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bookmarkStart w:id="0" w:name="_GoBack"/>
      <w:r w:rsidRPr="00EB03DF">
        <w:rPr>
          <w:rFonts w:ascii="Garamond" w:eastAsia="Times New Roman" w:hAnsi="Garamond" w:cs="Arial"/>
          <w:b/>
          <w:sz w:val="24"/>
          <w:szCs w:val="24"/>
          <w:lang w:val="en-US"/>
        </w:rPr>
        <w:t>BEFORE THE APPELLATE AUTHORITY</w:t>
      </w: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r w:rsidRPr="00EB03DF">
        <w:rPr>
          <w:rFonts w:ascii="Garamond" w:eastAsia="Times New Roman" w:hAnsi="Garamond" w:cs="Arial"/>
          <w:b/>
          <w:sz w:val="24"/>
          <w:szCs w:val="24"/>
          <w:lang w:val="en-US"/>
        </w:rPr>
        <w:t>(Under the Right to Information Act, 2005)</w:t>
      </w: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r w:rsidRPr="00EB03DF">
        <w:rPr>
          <w:rFonts w:ascii="Garamond" w:eastAsia="Times New Roman" w:hAnsi="Garamond" w:cs="Arial"/>
          <w:b/>
          <w:sz w:val="24"/>
          <w:szCs w:val="24"/>
          <w:lang w:val="en-US"/>
        </w:rPr>
        <w:t>SECURITIES AND EXCHANGE BOARD OF INDIA</w:t>
      </w: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r w:rsidRPr="00EB03DF">
        <w:rPr>
          <w:rFonts w:ascii="Garamond" w:eastAsia="Times New Roman" w:hAnsi="Garamond" w:cs="Arial"/>
          <w:b/>
          <w:sz w:val="24"/>
          <w:szCs w:val="24"/>
          <w:lang w:val="en-US"/>
        </w:rPr>
        <w:t>Appeal No. 261</w:t>
      </w:r>
      <w:r w:rsidR="000F2B4A" w:rsidRPr="00EB03DF">
        <w:rPr>
          <w:rFonts w:ascii="Garamond" w:eastAsia="Times New Roman" w:hAnsi="Garamond" w:cs="Arial"/>
          <w:b/>
          <w:sz w:val="24"/>
          <w:szCs w:val="24"/>
          <w:lang w:val="en-US"/>
        </w:rPr>
        <w:t>9</w:t>
      </w:r>
      <w:r w:rsidRPr="00EB03DF">
        <w:rPr>
          <w:rFonts w:ascii="Garamond" w:eastAsia="Times New Roman" w:hAnsi="Garamond" w:cs="Arial"/>
          <w:b/>
          <w:sz w:val="24"/>
          <w:szCs w:val="24"/>
          <w:lang w:val="en-US"/>
        </w:rPr>
        <w:t xml:space="preserve"> of 2017</w:t>
      </w: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p>
    <w:p w:rsidR="00DF3B03" w:rsidRPr="00EB03DF" w:rsidRDefault="00DF3B03" w:rsidP="00EB03DF">
      <w:pPr>
        <w:spacing w:after="0" w:line="312" w:lineRule="auto"/>
        <w:ind w:left="567" w:hanging="567"/>
        <w:jc w:val="center"/>
        <w:rPr>
          <w:rFonts w:ascii="Garamond" w:hAnsi="Garamond" w:cs="Arial"/>
          <w:b/>
          <w:sz w:val="24"/>
          <w:szCs w:val="24"/>
        </w:rPr>
      </w:pPr>
      <w:r w:rsidRPr="00EB03DF">
        <w:rPr>
          <w:rFonts w:ascii="Garamond" w:hAnsi="Garamond" w:cs="Arial"/>
          <w:sz w:val="24"/>
          <w:szCs w:val="24"/>
        </w:rPr>
        <w:t xml:space="preserve">Sapan Shrivastava  </w:t>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t>:</w:t>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t xml:space="preserve"> Appellant</w:t>
      </w:r>
    </w:p>
    <w:p w:rsidR="00DF3B03" w:rsidRPr="00EB03DF" w:rsidRDefault="00DF3B03" w:rsidP="00EB03DF">
      <w:pPr>
        <w:spacing w:after="0" w:line="312" w:lineRule="auto"/>
        <w:ind w:left="567" w:hanging="567"/>
        <w:jc w:val="center"/>
        <w:rPr>
          <w:rFonts w:ascii="Garamond" w:hAnsi="Garamond" w:cs="Arial"/>
          <w:sz w:val="24"/>
          <w:szCs w:val="24"/>
        </w:rPr>
      </w:pPr>
      <w:r w:rsidRPr="00EB03DF">
        <w:rPr>
          <w:rFonts w:ascii="Garamond" w:hAnsi="Garamond" w:cs="Arial"/>
          <w:sz w:val="24"/>
          <w:szCs w:val="24"/>
        </w:rPr>
        <w:t>Vs.</w:t>
      </w:r>
    </w:p>
    <w:p w:rsidR="00DF3B03" w:rsidRPr="00EB03DF" w:rsidRDefault="00DF3B03" w:rsidP="00EB03DF">
      <w:pPr>
        <w:spacing w:after="0" w:line="312" w:lineRule="auto"/>
        <w:ind w:left="567" w:hanging="567"/>
        <w:jc w:val="center"/>
        <w:rPr>
          <w:rFonts w:ascii="Garamond" w:hAnsi="Garamond" w:cs="Arial"/>
          <w:sz w:val="24"/>
          <w:szCs w:val="24"/>
        </w:rPr>
      </w:pPr>
      <w:r w:rsidRPr="00EB03DF">
        <w:rPr>
          <w:rFonts w:ascii="Garamond" w:hAnsi="Garamond" w:cs="Arial"/>
          <w:sz w:val="24"/>
          <w:szCs w:val="24"/>
        </w:rPr>
        <w:t>CPIO, SEBI, Mumbai</w:t>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t>:</w:t>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r>
      <w:r w:rsidRPr="00EB03DF">
        <w:rPr>
          <w:rFonts w:ascii="Garamond" w:hAnsi="Garamond" w:cs="Arial"/>
          <w:sz w:val="24"/>
          <w:szCs w:val="24"/>
        </w:rPr>
        <w:tab/>
        <w:t>Respondent</w:t>
      </w:r>
    </w:p>
    <w:p w:rsidR="00DF3B03" w:rsidRPr="00EB03DF" w:rsidRDefault="00DF3B03" w:rsidP="00EB03DF">
      <w:pPr>
        <w:spacing w:after="0" w:line="312" w:lineRule="auto"/>
        <w:ind w:left="567" w:hanging="567"/>
        <w:jc w:val="center"/>
        <w:rPr>
          <w:rFonts w:ascii="Garamond" w:hAnsi="Garamond" w:cs="Arial"/>
          <w:sz w:val="24"/>
          <w:szCs w:val="24"/>
        </w:rPr>
      </w:pP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r w:rsidRPr="00EB03DF">
        <w:rPr>
          <w:rFonts w:ascii="Garamond" w:eastAsia="Times New Roman" w:hAnsi="Garamond" w:cs="Arial"/>
          <w:b/>
          <w:sz w:val="24"/>
          <w:szCs w:val="24"/>
          <w:lang w:val="en-US"/>
        </w:rPr>
        <w:t>ORDER</w:t>
      </w:r>
    </w:p>
    <w:p w:rsidR="00DF3B03" w:rsidRPr="00EB03DF" w:rsidRDefault="00DF3B03" w:rsidP="00EB03DF">
      <w:pPr>
        <w:spacing w:after="0" w:line="312" w:lineRule="auto"/>
        <w:ind w:left="567" w:hanging="567"/>
        <w:jc w:val="center"/>
        <w:rPr>
          <w:rFonts w:ascii="Garamond" w:eastAsia="Times New Roman" w:hAnsi="Garamond" w:cs="Arial"/>
          <w:b/>
          <w:sz w:val="24"/>
          <w:szCs w:val="24"/>
          <w:lang w:val="en-US"/>
        </w:rPr>
      </w:pPr>
    </w:p>
    <w:p w:rsidR="00DF3B03" w:rsidRPr="00EB03DF" w:rsidRDefault="00DF3B03" w:rsidP="00EB03DF">
      <w:pPr>
        <w:numPr>
          <w:ilvl w:val="0"/>
          <w:numId w:val="1"/>
        </w:numPr>
        <w:autoSpaceDE w:val="0"/>
        <w:autoSpaceDN w:val="0"/>
        <w:adjustRightInd w:val="0"/>
        <w:spacing w:after="0" w:line="312" w:lineRule="auto"/>
        <w:ind w:left="567" w:hanging="567"/>
        <w:jc w:val="both"/>
        <w:rPr>
          <w:rFonts w:ascii="Garamond" w:hAnsi="Garamond"/>
          <w:sz w:val="24"/>
          <w:szCs w:val="24"/>
        </w:rPr>
      </w:pPr>
      <w:r w:rsidRPr="00EB03DF">
        <w:rPr>
          <w:rFonts w:ascii="Garamond" w:hAnsi="Garamond" w:cs="Arial"/>
          <w:sz w:val="24"/>
          <w:szCs w:val="24"/>
        </w:rPr>
        <w:t xml:space="preserve">The appellant filed an application dated January 6, 2017, </w:t>
      </w:r>
      <w:r w:rsidRPr="00EB03DF">
        <w:rPr>
          <w:rFonts w:ascii="Garamond" w:eastAsia="Times New Roman" w:hAnsi="Garamond" w:cs="Arial"/>
          <w:sz w:val="24"/>
          <w:szCs w:val="24"/>
        </w:rPr>
        <w:t xml:space="preserve">under the Right to Information Act, 2005 </w:t>
      </w:r>
      <w:r w:rsidRPr="00EB03DF">
        <w:rPr>
          <w:rFonts w:ascii="Garamond" w:hAnsi="Garamond"/>
          <w:sz w:val="24"/>
          <w:szCs w:val="24"/>
        </w:rPr>
        <w:t>(</w:t>
      </w:r>
      <w:r w:rsidRPr="00EB03DF">
        <w:rPr>
          <w:rFonts w:ascii="Garamond" w:hAnsi="Garamond" w:cs="Arial"/>
          <w:sz w:val="24"/>
          <w:szCs w:val="24"/>
        </w:rPr>
        <w:t>“</w:t>
      </w:r>
      <w:r w:rsidRPr="00EB03DF">
        <w:rPr>
          <w:rFonts w:ascii="Garamond" w:hAnsi="Garamond" w:cs="Arial"/>
          <w:b/>
          <w:sz w:val="24"/>
          <w:szCs w:val="24"/>
        </w:rPr>
        <w:t>RTI Act</w:t>
      </w:r>
      <w:r w:rsidRPr="00EB03DF">
        <w:rPr>
          <w:rFonts w:ascii="Garamond" w:hAnsi="Garamond" w:cs="Arial"/>
          <w:sz w:val="24"/>
          <w:szCs w:val="24"/>
        </w:rPr>
        <w:t>”)</w:t>
      </w:r>
      <w:r w:rsidRPr="00EB03DF">
        <w:rPr>
          <w:rFonts w:ascii="Garamond" w:hAnsi="Garamond" w:cs="Garamond"/>
          <w:sz w:val="24"/>
          <w:szCs w:val="24"/>
        </w:rPr>
        <w:t xml:space="preserve">. The respondent vide letter dated </w:t>
      </w:r>
      <w:r w:rsidRPr="00EB03DF">
        <w:rPr>
          <w:rFonts w:ascii="Garamond" w:hAnsi="Garamond" w:cs="Arial"/>
          <w:sz w:val="24"/>
          <w:szCs w:val="24"/>
        </w:rPr>
        <w:t>January 19, 2017</w:t>
      </w:r>
      <w:r w:rsidRPr="00EB03DF">
        <w:rPr>
          <w:rFonts w:ascii="Garamond" w:hAnsi="Garamond" w:cs="Garamond"/>
          <w:sz w:val="24"/>
          <w:szCs w:val="24"/>
        </w:rPr>
        <w:t xml:space="preserve">, responded to the appellant. The appellant filed this appeal </w:t>
      </w:r>
      <w:r w:rsidRPr="00EB03DF">
        <w:rPr>
          <w:rFonts w:ascii="Garamond" w:hAnsi="Garamond"/>
          <w:iCs/>
          <w:sz w:val="24"/>
          <w:szCs w:val="24"/>
        </w:rPr>
        <w:t>dated January 24, 2017</w:t>
      </w:r>
      <w:r w:rsidRPr="00EB03DF">
        <w:rPr>
          <w:rFonts w:ascii="Garamond" w:hAnsi="Garamond" w:cs="Garamond"/>
          <w:sz w:val="24"/>
          <w:szCs w:val="24"/>
        </w:rPr>
        <w:t>, against the said response. I have carefully considered the application, the response and the appeal and find that the matter can be decided based on the material available on record.</w:t>
      </w:r>
    </w:p>
    <w:p w:rsidR="00DF3B03" w:rsidRPr="00EB03DF" w:rsidRDefault="00DF3B03" w:rsidP="00EB03DF">
      <w:pPr>
        <w:autoSpaceDE w:val="0"/>
        <w:autoSpaceDN w:val="0"/>
        <w:adjustRightInd w:val="0"/>
        <w:spacing w:after="0" w:line="312" w:lineRule="auto"/>
        <w:ind w:left="567"/>
        <w:jc w:val="both"/>
        <w:rPr>
          <w:rFonts w:ascii="Garamond" w:hAnsi="Garamond"/>
          <w:sz w:val="24"/>
          <w:szCs w:val="24"/>
        </w:rPr>
      </w:pPr>
    </w:p>
    <w:p w:rsidR="00DF3B03" w:rsidRPr="00EB03DF" w:rsidRDefault="00DF3B03" w:rsidP="00EB03DF">
      <w:pPr>
        <w:numPr>
          <w:ilvl w:val="0"/>
          <w:numId w:val="1"/>
        </w:numPr>
        <w:autoSpaceDE w:val="0"/>
        <w:autoSpaceDN w:val="0"/>
        <w:adjustRightInd w:val="0"/>
        <w:spacing w:after="0" w:line="312" w:lineRule="auto"/>
        <w:ind w:left="567" w:hanging="567"/>
        <w:jc w:val="both"/>
        <w:rPr>
          <w:rFonts w:ascii="Garamond" w:hAnsi="Garamond"/>
          <w:sz w:val="24"/>
          <w:szCs w:val="24"/>
        </w:rPr>
      </w:pPr>
      <w:r w:rsidRPr="00EB03DF">
        <w:rPr>
          <w:rFonts w:ascii="Garamond" w:hAnsi="Garamond"/>
          <w:sz w:val="24"/>
          <w:szCs w:val="24"/>
        </w:rPr>
        <w:t>From the appeal, I note that the appellant is aggrieved by the respondent’s response to his application</w:t>
      </w:r>
      <w:r w:rsidRPr="00EB03DF">
        <w:rPr>
          <w:rFonts w:ascii="Garamond" w:hAnsi="Garamond"/>
          <w:i/>
          <w:iCs/>
          <w:sz w:val="24"/>
          <w:szCs w:val="24"/>
        </w:rPr>
        <w:t xml:space="preserve">. </w:t>
      </w:r>
    </w:p>
    <w:p w:rsidR="00DF3B03" w:rsidRPr="00EB03DF" w:rsidRDefault="00DF3B03" w:rsidP="00EB03DF">
      <w:pPr>
        <w:pStyle w:val="ListParagraph"/>
        <w:autoSpaceDE w:val="0"/>
        <w:autoSpaceDN w:val="0"/>
        <w:adjustRightInd w:val="0"/>
        <w:spacing w:after="0" w:line="312" w:lineRule="auto"/>
        <w:ind w:left="360"/>
        <w:jc w:val="both"/>
        <w:rPr>
          <w:rFonts w:ascii="Garamond" w:hAnsi="Garamond" w:cs="Courier New"/>
          <w:bCs/>
          <w:sz w:val="24"/>
          <w:szCs w:val="24"/>
        </w:rPr>
      </w:pPr>
    </w:p>
    <w:p w:rsidR="00DF3B03" w:rsidRPr="00EB03DF" w:rsidRDefault="00DF3B03" w:rsidP="00EB03DF">
      <w:pPr>
        <w:pStyle w:val="ListParagraph"/>
        <w:numPr>
          <w:ilvl w:val="0"/>
          <w:numId w:val="2"/>
        </w:numPr>
        <w:autoSpaceDE w:val="0"/>
        <w:autoSpaceDN w:val="0"/>
        <w:adjustRightInd w:val="0"/>
        <w:spacing w:after="0" w:line="312" w:lineRule="auto"/>
        <w:jc w:val="both"/>
        <w:rPr>
          <w:rFonts w:ascii="Garamond" w:eastAsia="Times New Roman" w:hAnsi="Garamond" w:cs="Courier New"/>
          <w:b/>
          <w:iCs/>
          <w:vanish/>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eastAsia="Times New Roman" w:hAnsi="Garamond" w:cs="Courier New"/>
          <w:iCs/>
          <w:sz w:val="24"/>
          <w:szCs w:val="24"/>
        </w:rPr>
      </w:pPr>
      <w:r w:rsidRPr="00EB03DF">
        <w:rPr>
          <w:rFonts w:ascii="Garamond" w:hAnsi="Garamond" w:cs="Courier New"/>
          <w:b/>
          <w:iCs/>
          <w:sz w:val="24"/>
          <w:szCs w:val="24"/>
        </w:rPr>
        <w:t xml:space="preserve">Query 1 of the appellant’s application – </w:t>
      </w:r>
      <w:r w:rsidRPr="00EB03DF">
        <w:rPr>
          <w:rFonts w:ascii="Garamond" w:hAnsi="Garamond" w:cs="Courier New"/>
          <w:bCs/>
          <w:iCs/>
          <w:sz w:val="24"/>
          <w:szCs w:val="24"/>
        </w:rPr>
        <w:t xml:space="preserve">In his response, the respondent </w:t>
      </w:r>
      <w:r w:rsidRPr="00EB03DF">
        <w:rPr>
          <w:rFonts w:ascii="Garamond" w:hAnsi="Garamond" w:cs="Courier New"/>
          <w:bCs/>
          <w:i/>
          <w:sz w:val="24"/>
          <w:szCs w:val="24"/>
        </w:rPr>
        <w:t>inter alia</w:t>
      </w:r>
      <w:r w:rsidRPr="00EB03DF">
        <w:rPr>
          <w:rFonts w:ascii="Garamond" w:hAnsi="Garamond" w:cs="Courier New"/>
          <w:bCs/>
          <w:iCs/>
          <w:sz w:val="24"/>
          <w:szCs w:val="24"/>
        </w:rPr>
        <w:t xml:space="preserve"> informed the appellant that the instant query was vague and not specific; hence, the same could not be construed as </w:t>
      </w:r>
      <w:r w:rsidRPr="00EB03DF">
        <w:rPr>
          <w:rFonts w:ascii="Garamond" w:hAnsi="Garamond" w:cs="Courier New"/>
          <w:bCs/>
          <w:i/>
          <w:sz w:val="24"/>
          <w:szCs w:val="24"/>
        </w:rPr>
        <w:t xml:space="preserve">‘information’ </w:t>
      </w:r>
      <w:r w:rsidRPr="00EB03DF">
        <w:rPr>
          <w:rFonts w:ascii="Garamond" w:hAnsi="Garamond" w:cs="Courier New"/>
          <w:bCs/>
          <w:iCs/>
          <w:sz w:val="24"/>
          <w:szCs w:val="24"/>
        </w:rPr>
        <w:t>as defined under Section 2(f) of the RTI Act</w:t>
      </w:r>
      <w:r w:rsidRPr="00EB03DF">
        <w:rPr>
          <w:rFonts w:ascii="Garamond" w:eastAsia="Times New Roman" w:hAnsi="Garamond" w:cs="Times New Roman"/>
          <w:sz w:val="24"/>
          <w:szCs w:val="24"/>
        </w:rPr>
        <w:t>.</w:t>
      </w:r>
    </w:p>
    <w:p w:rsidR="00DF3B03" w:rsidRPr="00EB03DF" w:rsidRDefault="00DF3B03" w:rsidP="00EB03DF">
      <w:pPr>
        <w:pStyle w:val="ListParagraph"/>
        <w:autoSpaceDE w:val="0"/>
        <w:autoSpaceDN w:val="0"/>
        <w:adjustRightInd w:val="0"/>
        <w:spacing w:after="0" w:line="312" w:lineRule="auto"/>
        <w:ind w:left="567"/>
        <w:jc w:val="both"/>
        <w:rPr>
          <w:rFonts w:ascii="Garamond" w:eastAsia="Times New Roman" w:hAnsi="Garamond" w:cs="Courier New"/>
          <w:iCs/>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eastAsia="Times New Roman" w:hAnsi="Garamond" w:cs="Courier New"/>
          <w:iCs/>
          <w:sz w:val="24"/>
          <w:szCs w:val="24"/>
        </w:rPr>
      </w:pPr>
      <w:r w:rsidRPr="00EB03DF">
        <w:rPr>
          <w:rFonts w:ascii="Garamond" w:hAnsi="Garamond" w:cs="Courier New"/>
          <w:bCs/>
          <w:iCs/>
          <w:sz w:val="24"/>
          <w:szCs w:val="24"/>
        </w:rPr>
        <w:t>In</w:t>
      </w:r>
      <w:r w:rsidRPr="00EB03DF">
        <w:rPr>
          <w:rFonts w:ascii="Garamond" w:eastAsia="Times New Roman" w:hAnsi="Garamond" w:cs="Times New Roman"/>
          <w:iCs/>
          <w:sz w:val="24"/>
          <w:szCs w:val="24"/>
        </w:rPr>
        <w:t xml:space="preserve">this appeal, the appellant has </w:t>
      </w:r>
      <w:r w:rsidRPr="00EB03DF">
        <w:rPr>
          <w:rFonts w:ascii="Garamond" w:eastAsia="Times New Roman" w:hAnsi="Garamond" w:cs="Times New Roman"/>
          <w:i/>
          <w:sz w:val="24"/>
          <w:szCs w:val="24"/>
        </w:rPr>
        <w:t xml:space="preserve">inter alia </w:t>
      </w:r>
      <w:r w:rsidRPr="00EB03DF">
        <w:rPr>
          <w:rFonts w:ascii="Garamond" w:eastAsia="Times New Roman" w:hAnsi="Garamond" w:cs="Times New Roman"/>
          <w:iCs/>
          <w:sz w:val="24"/>
          <w:szCs w:val="24"/>
        </w:rPr>
        <w:t xml:space="preserve">submitted: </w:t>
      </w:r>
      <w:r w:rsidRPr="00EB03DF">
        <w:rPr>
          <w:rFonts w:ascii="Garamond" w:eastAsia="Times New Roman" w:hAnsi="Garamond" w:cs="Times New Roman"/>
          <w:i/>
          <w:sz w:val="24"/>
          <w:szCs w:val="24"/>
        </w:rPr>
        <w:t>“(Respondent) provided also dates of complaint but did not try to understand material due to prejudice. He may be unqualified to understand any query.”</w:t>
      </w:r>
    </w:p>
    <w:p w:rsidR="00DF3B03" w:rsidRPr="00EB03DF" w:rsidRDefault="00DF3B03" w:rsidP="00EB03DF">
      <w:pPr>
        <w:pStyle w:val="ListParagraph"/>
        <w:spacing w:after="0" w:line="312" w:lineRule="auto"/>
        <w:rPr>
          <w:rFonts w:ascii="Garamond" w:hAnsi="Garamond" w:cs="Courier New"/>
          <w:bCs/>
          <w:iCs/>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hAnsi="Garamond"/>
          <w:iCs/>
          <w:sz w:val="24"/>
          <w:szCs w:val="24"/>
        </w:rPr>
      </w:pPr>
      <w:r w:rsidRPr="00EB03DF">
        <w:rPr>
          <w:rFonts w:ascii="Garamond" w:eastAsia="Times New Roman" w:hAnsi="Garamond" w:cs="Times New Roman"/>
          <w:sz w:val="24"/>
          <w:szCs w:val="24"/>
        </w:rPr>
        <w:t xml:space="preserve">Upon a perusal of the appellant’s request for information as made through </w:t>
      </w:r>
      <w:r w:rsidRPr="00EB03DF">
        <w:rPr>
          <w:rFonts w:ascii="Garamond" w:eastAsia="Times New Roman" w:hAnsi="Garamond" w:cs="Courier New"/>
          <w:iCs/>
          <w:sz w:val="24"/>
          <w:szCs w:val="24"/>
        </w:rPr>
        <w:t xml:space="preserve">the instant query of </w:t>
      </w:r>
      <w:r w:rsidRPr="00EB03DF">
        <w:rPr>
          <w:rFonts w:ascii="Garamond" w:eastAsia="Times New Roman" w:hAnsi="Garamond" w:cs="Times New Roman"/>
          <w:sz w:val="24"/>
          <w:szCs w:val="24"/>
        </w:rPr>
        <w:t xml:space="preserve">his application, </w:t>
      </w:r>
      <w:r w:rsidRPr="00EB03DF">
        <w:rPr>
          <w:rFonts w:ascii="Garamond" w:eastAsia="Times New Roman" w:hAnsi="Garamond" w:cs="Times New Roman"/>
          <w:sz w:val="24"/>
          <w:szCs w:val="24"/>
          <w:lang w:val="en-US"/>
        </w:rPr>
        <w:t xml:space="preserve">I find that the request </w:t>
      </w:r>
      <w:r w:rsidRPr="00EB03DF">
        <w:rPr>
          <w:rFonts w:ascii="Garamond" w:eastAsia="Times New Roman" w:hAnsi="Garamond" w:cs="Times New Roman"/>
          <w:sz w:val="24"/>
          <w:szCs w:val="24"/>
        </w:rPr>
        <w:t xml:space="preserve">contained therein </w:t>
      </w:r>
      <w:r w:rsidRPr="00EB03DF">
        <w:rPr>
          <w:rFonts w:ascii="Garamond" w:eastAsia="Times New Roman" w:hAnsi="Garamond" w:cs="Times New Roman"/>
          <w:sz w:val="24"/>
          <w:szCs w:val="24"/>
          <w:lang w:val="en-US"/>
        </w:rPr>
        <w:t xml:space="preserve">was vague and not specific. In this context, </w:t>
      </w:r>
      <w:r w:rsidRPr="00EB03DF">
        <w:rPr>
          <w:rFonts w:ascii="Garamond" w:hAnsi="Garamond"/>
          <w:sz w:val="24"/>
          <w:szCs w:val="24"/>
          <w:lang w:val="en-US"/>
        </w:rPr>
        <w:t xml:space="preserve">I note that in the matter of </w:t>
      </w:r>
      <w:r w:rsidRPr="00EB03DF">
        <w:rPr>
          <w:rFonts w:ascii="Garamond" w:hAnsi="Garamond"/>
          <w:i/>
          <w:sz w:val="24"/>
          <w:szCs w:val="24"/>
          <w:lang w:val="en-US"/>
        </w:rPr>
        <w:t>Shri S. C. Sharma vs. CPIO, Securities and Exchange Board of India (Decision dated August 30, 2012)</w:t>
      </w:r>
      <w:r w:rsidRPr="00EB03DF">
        <w:rPr>
          <w:rFonts w:ascii="Garamond" w:hAnsi="Garamond"/>
          <w:sz w:val="24"/>
          <w:szCs w:val="24"/>
          <w:lang w:val="en-US"/>
        </w:rPr>
        <w:t xml:space="preserve">, the Hon’ble CIC held: </w:t>
      </w:r>
      <w:r w:rsidRPr="00EB03DF">
        <w:rPr>
          <w:rFonts w:ascii="Garamond" w:hAnsi="Garamond"/>
          <w:i/>
          <w:sz w:val="24"/>
          <w:szCs w:val="24"/>
          <w:lang w:val="en-US"/>
        </w:rPr>
        <w:t>“Since the Appellant had not clearly stated what exact information he wanted, the CPIO could not have provided any specific information to him. We would like to advise the Appellant that he might like to specify the exact information he wants from the SEBI and prefer a fresh application before the CPIO</w:t>
      </w:r>
      <w:r w:rsidRPr="00EB03DF">
        <w:rPr>
          <w:rFonts w:ascii="Garamond" w:hAnsi="Garamond"/>
          <w:sz w:val="24"/>
          <w:szCs w:val="24"/>
          <w:lang w:val="en-US"/>
        </w:rPr>
        <w:t>.</w:t>
      </w:r>
      <w:r w:rsidRPr="00EB03DF">
        <w:rPr>
          <w:rFonts w:ascii="Garamond" w:hAnsi="Garamond"/>
          <w:i/>
          <w:iCs/>
          <w:sz w:val="24"/>
          <w:szCs w:val="24"/>
          <w:lang w:val="en-US"/>
        </w:rPr>
        <w:t>”</w:t>
      </w:r>
      <w:r w:rsidRPr="00EB03DF">
        <w:rPr>
          <w:rFonts w:ascii="Garamond" w:hAnsi="Garamond" w:cs="NimbusSansL-Regu"/>
          <w:sz w:val="24"/>
          <w:szCs w:val="24"/>
        </w:rPr>
        <w:t xml:space="preserve">In addition, I note that in the matter of </w:t>
      </w:r>
      <w:r w:rsidRPr="00EB03DF">
        <w:rPr>
          <w:rFonts w:ascii="Garamond" w:eastAsia="Times New Roman" w:hAnsi="Garamond" w:cs="Times New Roman"/>
          <w:i/>
          <w:sz w:val="24"/>
          <w:szCs w:val="24"/>
          <w:lang w:val="en-US"/>
        </w:rPr>
        <w:t>Mrs. Bina Saha vs. CPIO, Securities and Exchange Board of India (Decision dated November 6, 2012),</w:t>
      </w:r>
      <w:r w:rsidRPr="00EB03DF">
        <w:rPr>
          <w:rFonts w:ascii="Garamond" w:eastAsia="Times New Roman" w:hAnsi="Garamond" w:cs="Times New Roman"/>
          <w:sz w:val="24"/>
          <w:szCs w:val="24"/>
          <w:lang w:val="en-US"/>
        </w:rPr>
        <w:t xml:space="preserve"> the Hon’ble CIC held: </w:t>
      </w:r>
      <w:r w:rsidRPr="00EB03DF">
        <w:rPr>
          <w:rFonts w:ascii="Garamond" w:eastAsia="Times New Roman" w:hAnsi="Garamond" w:cs="Times New Roman"/>
          <w:i/>
          <w:sz w:val="24"/>
          <w:szCs w:val="24"/>
          <w:lang w:val="en-US"/>
        </w:rPr>
        <w:t xml:space="preserve">“It must be remembered that Section 2(f) </w:t>
      </w:r>
      <w:r w:rsidRPr="00EB03DF">
        <w:rPr>
          <w:rFonts w:ascii="Garamond" w:eastAsia="Times New Roman" w:hAnsi="Garamond" w:cs="Times New Roman"/>
          <w:i/>
          <w:sz w:val="24"/>
          <w:szCs w:val="24"/>
          <w:lang w:val="en-US"/>
        </w:rPr>
        <w:lastRenderedPageBreak/>
        <w:t>of the RTI Act defines information as a material or virtual record. The citizen has every right to get copies of such records held by any public authority including the SEBI. However, in order to get the copies of such records, the information seeker has to specify the details of the records she wants. In fact, section 6(1) of the RTI Act very clearly states that the information seeker has to specify the particulars of the information sought by him or her.”</w:t>
      </w:r>
      <w:r w:rsidRPr="00EB03DF">
        <w:rPr>
          <w:rFonts w:ascii="Garamond" w:hAnsi="Garamond"/>
          <w:sz w:val="24"/>
          <w:szCs w:val="24"/>
          <w:lang w:val="en-US"/>
        </w:rPr>
        <w:t>In view of these observations, I find that the respondent is not obliged to provide a response where the information sought is not clear or specific. However, if the appellant still wishes to get information, he may prefer a fresh application before the respondent specifying clearly the exact information he wants from SEBI.</w:t>
      </w:r>
    </w:p>
    <w:p w:rsidR="00DF3B03" w:rsidRPr="00EB03DF" w:rsidRDefault="00DF3B03" w:rsidP="00EB03DF">
      <w:pPr>
        <w:pStyle w:val="ListParagraph"/>
        <w:autoSpaceDE w:val="0"/>
        <w:autoSpaceDN w:val="0"/>
        <w:adjustRightInd w:val="0"/>
        <w:spacing w:after="0" w:line="312" w:lineRule="auto"/>
        <w:ind w:left="567"/>
        <w:jc w:val="both"/>
        <w:rPr>
          <w:rFonts w:ascii="Garamond" w:hAnsi="Garamond"/>
          <w:iCs/>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hAnsi="Garamond"/>
          <w:iCs/>
          <w:sz w:val="24"/>
          <w:szCs w:val="24"/>
        </w:rPr>
      </w:pPr>
      <w:r w:rsidRPr="00EB03DF">
        <w:rPr>
          <w:rFonts w:ascii="Garamond" w:eastAsia="Times New Roman" w:hAnsi="Garamond" w:cs="Times New Roman"/>
          <w:sz w:val="24"/>
          <w:szCs w:val="24"/>
          <w:lang w:val="en-US"/>
        </w:rPr>
        <w:t xml:space="preserve">Without prejudice to the foregoing, I note that the respondent informed the appellant that as per available records, SEBI had not received </w:t>
      </w:r>
      <w:r w:rsidR="00EB03DF" w:rsidRPr="00EB03DF">
        <w:rPr>
          <w:rFonts w:ascii="Garamond" w:eastAsia="Times New Roman" w:hAnsi="Garamond" w:cs="Times New Roman"/>
          <w:sz w:val="24"/>
          <w:szCs w:val="24"/>
          <w:lang w:val="en-US"/>
        </w:rPr>
        <w:t xml:space="preserve">any </w:t>
      </w:r>
      <w:r w:rsidRPr="00EB03DF">
        <w:rPr>
          <w:rFonts w:ascii="Garamond" w:eastAsia="Times New Roman" w:hAnsi="Garamond" w:cs="Times New Roman"/>
          <w:sz w:val="24"/>
          <w:szCs w:val="24"/>
          <w:lang w:val="en-US"/>
        </w:rPr>
        <w:t>e–mail from him on September 2, 2016</w:t>
      </w:r>
      <w:r w:rsidR="00EB03DF" w:rsidRPr="00EB03DF">
        <w:rPr>
          <w:rFonts w:ascii="Garamond" w:eastAsia="Times New Roman" w:hAnsi="Garamond" w:cs="Times New Roman"/>
          <w:sz w:val="24"/>
          <w:szCs w:val="24"/>
          <w:lang w:val="en-US"/>
        </w:rPr>
        <w:t>; however, SEBI</w:t>
      </w:r>
      <w:r w:rsidRPr="00EB03DF">
        <w:rPr>
          <w:rFonts w:ascii="Garamond" w:eastAsia="Times New Roman" w:hAnsi="Garamond" w:cs="Times New Roman"/>
          <w:sz w:val="24"/>
          <w:szCs w:val="24"/>
          <w:lang w:val="en-US"/>
        </w:rPr>
        <w:t xml:space="preserve"> received </w:t>
      </w:r>
      <w:r w:rsidR="00EB03DF" w:rsidRPr="00EB03DF">
        <w:rPr>
          <w:rFonts w:ascii="Garamond" w:eastAsia="Times New Roman" w:hAnsi="Garamond" w:cs="Times New Roman"/>
          <w:sz w:val="24"/>
          <w:szCs w:val="24"/>
          <w:lang w:val="en-US"/>
        </w:rPr>
        <w:t>e–mails</w:t>
      </w:r>
      <w:r w:rsidRPr="00EB03DF">
        <w:rPr>
          <w:rFonts w:ascii="Garamond" w:eastAsia="Times New Roman" w:hAnsi="Garamond" w:cs="Times New Roman"/>
          <w:sz w:val="24"/>
          <w:szCs w:val="24"/>
          <w:lang w:val="en-US"/>
        </w:rPr>
        <w:t xml:space="preserve"> from </w:t>
      </w:r>
      <w:hyperlink r:id="rId7" w:history="1">
        <w:r w:rsidRPr="00EB03DF">
          <w:rPr>
            <w:rStyle w:val="Hyperlink"/>
            <w:rFonts w:ascii="Garamond" w:eastAsia="Times New Roman" w:hAnsi="Garamond" w:cs="Times New Roman"/>
            <w:sz w:val="24"/>
            <w:szCs w:val="24"/>
            <w:lang w:val="en-US"/>
          </w:rPr>
          <w:t>indiartinews@gmail.com</w:t>
        </w:r>
      </w:hyperlink>
      <w:r w:rsidRPr="00EB03DF">
        <w:rPr>
          <w:rFonts w:ascii="Garamond" w:eastAsia="Times New Roman" w:hAnsi="Garamond" w:cs="Times New Roman"/>
          <w:sz w:val="24"/>
          <w:szCs w:val="24"/>
          <w:lang w:val="en-US"/>
        </w:rPr>
        <w:t xml:space="preserve"> on September 12, 2016; September 15, 2016 and September 18, 2016, raising issues related to Initial Public Offer of </w:t>
      </w:r>
      <w:r w:rsidRPr="00EB03DF">
        <w:rPr>
          <w:rFonts w:ascii="Garamond" w:eastAsia="Times New Roman" w:hAnsi="Garamond" w:cs="Times New Roman"/>
          <w:i/>
          <w:iCs/>
          <w:sz w:val="24"/>
          <w:szCs w:val="24"/>
          <w:lang w:val="en-US"/>
        </w:rPr>
        <w:t>M/s ICICI Prudential Life</w:t>
      </w:r>
      <w:r w:rsidRPr="00EB03DF">
        <w:rPr>
          <w:rFonts w:ascii="Garamond" w:eastAsia="Times New Roman" w:hAnsi="Garamond" w:cs="Times New Roman"/>
          <w:sz w:val="24"/>
          <w:szCs w:val="24"/>
          <w:lang w:val="en-US"/>
        </w:rPr>
        <w:t xml:space="preserve">. Further, I note that the respondent informed the appellant that action taken on complaints were earlier provided by the respondent’s office vide letter no. CPIO/JS/SK/1093–2016/30350 dated November 4, 2016. </w:t>
      </w:r>
      <w:r w:rsidRPr="00EB03DF">
        <w:rPr>
          <w:rFonts w:ascii="Garamond" w:hAnsi="Garamond"/>
          <w:sz w:val="24"/>
          <w:szCs w:val="24"/>
        </w:rPr>
        <w:t>Upon a consideration of the aforementioned, I find that the requisite information as available with SEBI in respect of the appellant’s application was provided by the respondent. I, therefore, find no deficiency in the respondent’s response.</w:t>
      </w:r>
    </w:p>
    <w:p w:rsidR="00DF3B03" w:rsidRPr="00EB03DF" w:rsidRDefault="00DF3B03" w:rsidP="00EB03DF">
      <w:pPr>
        <w:pStyle w:val="ListParagraph"/>
        <w:spacing w:after="0" w:line="312" w:lineRule="auto"/>
        <w:rPr>
          <w:rFonts w:ascii="Garamond" w:eastAsia="Times New Roman" w:hAnsi="Garamond" w:cs="Times New Roman"/>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eastAsia="Times New Roman" w:hAnsi="Garamond" w:cs="Courier New"/>
          <w:iCs/>
          <w:sz w:val="24"/>
          <w:szCs w:val="24"/>
        </w:rPr>
      </w:pPr>
      <w:r w:rsidRPr="00EB03DF">
        <w:rPr>
          <w:rFonts w:ascii="Garamond" w:eastAsia="Times New Roman" w:hAnsi="Garamond" w:cs="Times New Roman"/>
          <w:b/>
          <w:bCs/>
          <w:sz w:val="24"/>
          <w:szCs w:val="24"/>
        </w:rPr>
        <w:t xml:space="preserve">Query 2 of the appellant’s application – </w:t>
      </w:r>
      <w:r w:rsidRPr="00EB03DF">
        <w:rPr>
          <w:rFonts w:ascii="Garamond" w:hAnsi="Garamond" w:cs="Courier New"/>
          <w:bCs/>
          <w:iCs/>
          <w:sz w:val="24"/>
          <w:szCs w:val="24"/>
        </w:rPr>
        <w:t>In</w:t>
      </w:r>
      <w:r w:rsidRPr="00EB03DF">
        <w:rPr>
          <w:rFonts w:ascii="Garamond" w:eastAsia="Times New Roman" w:hAnsi="Garamond" w:cs="Times New Roman"/>
          <w:iCs/>
          <w:sz w:val="24"/>
          <w:szCs w:val="24"/>
        </w:rPr>
        <w:t xml:space="preserve">this appeal, the appellant has reiterated the request for information contained in his application. </w:t>
      </w:r>
    </w:p>
    <w:p w:rsidR="00DF3B03" w:rsidRPr="00EB03DF" w:rsidRDefault="00DF3B03" w:rsidP="00EB03DF">
      <w:pPr>
        <w:pStyle w:val="ListParagraph"/>
        <w:spacing w:after="0" w:line="312" w:lineRule="auto"/>
        <w:rPr>
          <w:rFonts w:ascii="Garamond" w:hAnsi="Garamond" w:cs="Courier New"/>
          <w:bCs/>
          <w:iCs/>
          <w:sz w:val="24"/>
          <w:szCs w:val="24"/>
        </w:rPr>
      </w:pPr>
    </w:p>
    <w:p w:rsidR="00DF3B03" w:rsidRPr="00EB03DF" w:rsidRDefault="00DF3B03" w:rsidP="00EB03DF">
      <w:pPr>
        <w:pStyle w:val="ListParagraph"/>
        <w:numPr>
          <w:ilvl w:val="1"/>
          <w:numId w:val="2"/>
        </w:numPr>
        <w:autoSpaceDE w:val="0"/>
        <w:autoSpaceDN w:val="0"/>
        <w:adjustRightInd w:val="0"/>
        <w:spacing w:after="0" w:line="312" w:lineRule="auto"/>
        <w:ind w:left="567" w:hanging="567"/>
        <w:jc w:val="both"/>
        <w:rPr>
          <w:rFonts w:ascii="Garamond" w:hAnsi="Garamond"/>
          <w:iCs/>
          <w:sz w:val="24"/>
          <w:szCs w:val="24"/>
        </w:rPr>
      </w:pPr>
      <w:r w:rsidRPr="00EB03DF">
        <w:rPr>
          <w:rFonts w:ascii="Garamond" w:eastAsia="Times New Roman" w:hAnsi="Garamond" w:cs="Times New Roman"/>
          <w:sz w:val="24"/>
          <w:szCs w:val="24"/>
        </w:rPr>
        <w:t>In his response</w:t>
      </w:r>
      <w:r w:rsidRPr="00EB03DF">
        <w:rPr>
          <w:rFonts w:ascii="Garamond" w:eastAsia="Times New Roman" w:hAnsi="Garamond" w:cs="Times New Roman"/>
          <w:sz w:val="24"/>
          <w:szCs w:val="24"/>
          <w:lang w:val="en-US"/>
        </w:rPr>
        <w:t xml:space="preserve">, </w:t>
      </w:r>
      <w:r w:rsidRPr="00EB03DF">
        <w:rPr>
          <w:rFonts w:ascii="Garamond" w:hAnsi="Garamond" w:cs="Courier New"/>
          <w:bCs/>
          <w:iCs/>
          <w:sz w:val="24"/>
          <w:szCs w:val="24"/>
        </w:rPr>
        <w:t xml:space="preserve">the respondent </w:t>
      </w:r>
      <w:r w:rsidRPr="00EB03DF">
        <w:rPr>
          <w:rFonts w:ascii="Garamond" w:hAnsi="Garamond" w:cs="Courier New"/>
          <w:bCs/>
          <w:i/>
          <w:sz w:val="24"/>
          <w:szCs w:val="24"/>
        </w:rPr>
        <w:t>inter alia</w:t>
      </w:r>
      <w:r w:rsidRPr="00EB03DF">
        <w:rPr>
          <w:rFonts w:ascii="Garamond" w:hAnsi="Garamond" w:cs="Courier New"/>
          <w:bCs/>
          <w:iCs/>
          <w:sz w:val="24"/>
          <w:szCs w:val="24"/>
        </w:rPr>
        <w:t xml:space="preserve"> informed the appellant that the information sought by him was not maintained by SEBI in the manner/format as specified</w:t>
      </w:r>
      <w:r w:rsidR="00EB03DF" w:rsidRPr="00EB03DF">
        <w:rPr>
          <w:rFonts w:ascii="Garamond" w:hAnsi="Garamond" w:cs="Courier New"/>
          <w:bCs/>
          <w:iCs/>
          <w:sz w:val="24"/>
          <w:szCs w:val="24"/>
        </w:rPr>
        <w:t xml:space="preserve"> by him</w:t>
      </w:r>
      <w:r w:rsidRPr="00EB03DF">
        <w:rPr>
          <w:rFonts w:ascii="Garamond" w:hAnsi="Garamond" w:cs="Courier New"/>
          <w:bCs/>
          <w:iCs/>
          <w:sz w:val="24"/>
          <w:szCs w:val="24"/>
        </w:rPr>
        <w:t xml:space="preserve"> and hence, the information was not available with SEBI. </w:t>
      </w:r>
      <w:r w:rsidRPr="00EB03DF">
        <w:rPr>
          <w:rFonts w:ascii="Garamond" w:eastAsia="Times New Roman" w:hAnsi="Garamond" w:cs="Times New Roman"/>
          <w:bCs/>
          <w:sz w:val="24"/>
          <w:szCs w:val="24"/>
        </w:rPr>
        <w:t xml:space="preserve">I do not find any reason to disbelieve the response provided by the respondent. In this context, </w:t>
      </w:r>
      <w:r w:rsidRPr="00EB03DF">
        <w:rPr>
          <w:rFonts w:ascii="Garamond" w:eastAsia="Times New Roman" w:hAnsi="Garamond" w:cs="Times New Roman"/>
          <w:sz w:val="24"/>
          <w:szCs w:val="24"/>
        </w:rPr>
        <w:t xml:space="preserve">I note that the Hon’ble Supreme Court of India in the matter of </w:t>
      </w:r>
      <w:r w:rsidRPr="00EB03DF">
        <w:rPr>
          <w:rFonts w:ascii="Garamond" w:eastAsia="Times New Roman" w:hAnsi="Garamond" w:cs="Times New Roman"/>
          <w:i/>
          <w:sz w:val="24"/>
          <w:szCs w:val="24"/>
        </w:rPr>
        <w:t>Central Board of Secondary Education &amp; Anr. vs. Aditya Bandopadhyay &amp; Ors (Judgment dated August 9, 2011)</w:t>
      </w:r>
      <w:r w:rsidRPr="00EB03DF">
        <w:rPr>
          <w:rFonts w:ascii="Garamond" w:eastAsia="Times New Roman" w:hAnsi="Garamond" w:cs="Times New Roman"/>
          <w:sz w:val="24"/>
          <w:szCs w:val="24"/>
        </w:rPr>
        <w:t xml:space="preserve">, </w:t>
      </w:r>
      <w:r w:rsidRPr="00EB03DF">
        <w:rPr>
          <w:rFonts w:ascii="Garamond" w:eastAsia="Times New Roman" w:hAnsi="Garamond" w:cs="Times New Roman"/>
          <w:i/>
          <w:sz w:val="24"/>
          <w:szCs w:val="24"/>
        </w:rPr>
        <w:t>inter alia</w:t>
      </w:r>
      <w:r w:rsidRPr="00EB03DF">
        <w:rPr>
          <w:rFonts w:ascii="Garamond" w:eastAsia="Times New Roman" w:hAnsi="Garamond" w:cs="Times New Roman"/>
          <w:sz w:val="24"/>
          <w:szCs w:val="24"/>
        </w:rPr>
        <w:t xml:space="preserve"> held: “</w:t>
      </w:r>
      <w:r w:rsidRPr="00EB03DF">
        <w:rPr>
          <w:rFonts w:ascii="Garamond" w:eastAsia="Times New Roman" w:hAnsi="Garamond" w:cs="Times New Roman"/>
          <w:i/>
          <w:sz w:val="24"/>
          <w:szCs w:val="24"/>
        </w:rPr>
        <w:t>The RTI Act provides access to all information that is available and existing. …But where the information sought is not a part of the record of a public authority, and where such information is not required to be maintained under any law or the rules or regulations of the public authority, the Act does not cast an obligation upon the public authority, to collect or collate such non-available information and then furnish it to an applicant.</w:t>
      </w:r>
      <w:r w:rsidRPr="00EB03DF">
        <w:rPr>
          <w:rFonts w:ascii="Garamond" w:eastAsia="Times New Roman" w:hAnsi="Garamond" w:cs="Times New Roman"/>
          <w:sz w:val="24"/>
          <w:szCs w:val="24"/>
        </w:rPr>
        <w:t>” In view of these observations, I find no deficiency in the respondent’s response to the appellant’s application.</w:t>
      </w:r>
    </w:p>
    <w:p w:rsidR="00DF3B03" w:rsidRPr="00EB03DF" w:rsidRDefault="00DF3B03" w:rsidP="00EB03DF">
      <w:pPr>
        <w:pStyle w:val="ListParagraph"/>
        <w:spacing w:after="0" w:line="312" w:lineRule="auto"/>
        <w:rPr>
          <w:rFonts w:ascii="Garamond" w:hAnsi="Garamond"/>
          <w:iCs/>
          <w:sz w:val="24"/>
          <w:szCs w:val="24"/>
        </w:rPr>
      </w:pPr>
    </w:p>
    <w:p w:rsidR="00CB0234" w:rsidRPr="00EB03DF" w:rsidRDefault="00CB0234" w:rsidP="00EB03DF">
      <w:pPr>
        <w:spacing w:after="0" w:line="312" w:lineRule="auto"/>
        <w:rPr>
          <w:rFonts w:ascii="Garamond" w:hAnsi="Garamond"/>
          <w:iCs/>
          <w:sz w:val="24"/>
          <w:szCs w:val="24"/>
        </w:rPr>
      </w:pPr>
      <w:r w:rsidRPr="00EB03DF">
        <w:rPr>
          <w:rFonts w:ascii="Garamond" w:hAnsi="Garamond"/>
          <w:iCs/>
          <w:sz w:val="24"/>
          <w:szCs w:val="24"/>
        </w:rPr>
        <w:br w:type="page"/>
      </w:r>
    </w:p>
    <w:p w:rsidR="00CB0234" w:rsidRPr="00EB03DF" w:rsidRDefault="00CB0234" w:rsidP="00EB03DF">
      <w:pPr>
        <w:pStyle w:val="ListParagraph"/>
        <w:spacing w:after="0" w:line="312" w:lineRule="auto"/>
        <w:rPr>
          <w:rFonts w:ascii="Garamond" w:hAnsi="Garamond"/>
          <w:iCs/>
          <w:sz w:val="24"/>
          <w:szCs w:val="24"/>
        </w:rPr>
      </w:pPr>
    </w:p>
    <w:p w:rsidR="00DF3B03" w:rsidRPr="00EB03DF" w:rsidRDefault="00DF3B03" w:rsidP="00EB03DF">
      <w:pPr>
        <w:numPr>
          <w:ilvl w:val="0"/>
          <w:numId w:val="3"/>
        </w:numPr>
        <w:autoSpaceDE w:val="0"/>
        <w:autoSpaceDN w:val="0"/>
        <w:adjustRightInd w:val="0"/>
        <w:spacing w:after="0" w:line="312" w:lineRule="auto"/>
        <w:ind w:left="567" w:hanging="567"/>
        <w:jc w:val="both"/>
        <w:rPr>
          <w:rFonts w:ascii="Garamond" w:hAnsi="Garamond"/>
          <w:iCs/>
          <w:sz w:val="24"/>
          <w:szCs w:val="24"/>
        </w:rPr>
      </w:pPr>
      <w:r w:rsidRPr="00EB03DF">
        <w:rPr>
          <w:rFonts w:ascii="Garamond" w:hAnsi="Garamond"/>
          <w:sz w:val="24"/>
          <w:szCs w:val="24"/>
          <w:lang w:val="en-US"/>
        </w:rPr>
        <w:t>I find that there is no need to interfere with the decision of the respondent. The appeal is accordingly dismissed.</w:t>
      </w:r>
    </w:p>
    <w:p w:rsidR="00DF3B03" w:rsidRPr="00EB03DF" w:rsidRDefault="00DF3B03" w:rsidP="00EB03DF">
      <w:pPr>
        <w:autoSpaceDE w:val="0"/>
        <w:autoSpaceDN w:val="0"/>
        <w:adjustRightInd w:val="0"/>
        <w:spacing w:after="0" w:line="312" w:lineRule="auto"/>
        <w:ind w:left="567"/>
        <w:jc w:val="both"/>
        <w:rPr>
          <w:rFonts w:ascii="Garamond" w:hAnsi="Garamond"/>
          <w:sz w:val="24"/>
          <w:szCs w:val="24"/>
          <w:lang w:val="en-US"/>
        </w:rPr>
      </w:pPr>
    </w:p>
    <w:p w:rsidR="00DF3B03" w:rsidRPr="00EB03DF" w:rsidRDefault="00DF3B03" w:rsidP="00EB03DF">
      <w:pPr>
        <w:autoSpaceDE w:val="0"/>
        <w:autoSpaceDN w:val="0"/>
        <w:adjustRightInd w:val="0"/>
        <w:spacing w:after="0" w:line="312" w:lineRule="auto"/>
        <w:ind w:left="567"/>
        <w:jc w:val="both"/>
        <w:rPr>
          <w:rFonts w:ascii="Garamond" w:eastAsia="Times New Roman" w:hAnsi="Garamond" w:cs="Times New Roman"/>
          <w:sz w:val="24"/>
          <w:szCs w:val="24"/>
          <w:lang w:val="en-US"/>
        </w:rPr>
      </w:pPr>
    </w:p>
    <w:p w:rsidR="00DF3B03" w:rsidRPr="00EB03DF" w:rsidRDefault="00DF3B03" w:rsidP="00EB03DF">
      <w:pPr>
        <w:autoSpaceDE w:val="0"/>
        <w:autoSpaceDN w:val="0"/>
        <w:adjustRightInd w:val="0"/>
        <w:spacing w:after="0" w:line="312" w:lineRule="auto"/>
        <w:ind w:left="567"/>
        <w:jc w:val="both"/>
        <w:rPr>
          <w:rFonts w:ascii="Garamond" w:eastAsia="Times New Roman" w:hAnsi="Garamond" w:cs="Times New Roman"/>
          <w:sz w:val="24"/>
          <w:szCs w:val="24"/>
          <w:lang w:val="en-US"/>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6378"/>
      </w:tblGrid>
      <w:tr w:rsidR="00DF3B03" w:rsidRPr="00EB03DF" w:rsidTr="005E4377">
        <w:tc>
          <w:tcPr>
            <w:tcW w:w="2694" w:type="dxa"/>
            <w:hideMark/>
          </w:tcPr>
          <w:p w:rsidR="00DF3B03" w:rsidRPr="00EB03DF" w:rsidRDefault="00DF3B03" w:rsidP="00EB03DF">
            <w:pPr>
              <w:spacing w:after="0" w:line="312" w:lineRule="auto"/>
              <w:ind w:left="-74"/>
              <w:jc w:val="both"/>
              <w:rPr>
                <w:rFonts w:ascii="Garamond" w:eastAsia="Times New Roman" w:hAnsi="Garamond" w:cs="Times New Roman"/>
                <w:sz w:val="24"/>
                <w:szCs w:val="24"/>
                <w:vertAlign w:val="baseline"/>
                <w:lang w:val="en-US"/>
              </w:rPr>
            </w:pPr>
            <w:r w:rsidRPr="00EB03DF">
              <w:rPr>
                <w:rFonts w:ascii="Garamond" w:eastAsia="Times New Roman" w:hAnsi="Garamond"/>
                <w:b/>
                <w:sz w:val="24"/>
                <w:szCs w:val="24"/>
                <w:vertAlign w:val="baseline"/>
                <w:lang w:val="en-US"/>
              </w:rPr>
              <w:t>Place: Mumbai</w:t>
            </w:r>
          </w:p>
        </w:tc>
        <w:tc>
          <w:tcPr>
            <w:tcW w:w="6378" w:type="dxa"/>
            <w:hideMark/>
          </w:tcPr>
          <w:p w:rsidR="00DF3B03" w:rsidRPr="00EB03DF" w:rsidRDefault="00DF3B03" w:rsidP="00EB03DF">
            <w:pPr>
              <w:spacing w:after="0" w:line="312" w:lineRule="auto"/>
              <w:ind w:left="142"/>
              <w:jc w:val="right"/>
              <w:rPr>
                <w:rFonts w:ascii="Garamond" w:eastAsia="Times New Roman" w:hAnsi="Garamond" w:cs="Times New Roman"/>
                <w:sz w:val="24"/>
                <w:szCs w:val="24"/>
                <w:vertAlign w:val="baseline"/>
                <w:lang w:val="en-US"/>
              </w:rPr>
            </w:pPr>
            <w:r w:rsidRPr="00EB03DF">
              <w:rPr>
                <w:rFonts w:ascii="Garamond" w:eastAsia="Times New Roman" w:hAnsi="Garamond"/>
                <w:b/>
                <w:sz w:val="24"/>
                <w:szCs w:val="24"/>
                <w:vertAlign w:val="baseline"/>
                <w:lang w:val="en-US"/>
              </w:rPr>
              <w:t>S. RAMAN</w:t>
            </w:r>
          </w:p>
        </w:tc>
      </w:tr>
      <w:tr w:rsidR="00DF3B03" w:rsidRPr="00EB03DF" w:rsidTr="005E4377">
        <w:tc>
          <w:tcPr>
            <w:tcW w:w="2694" w:type="dxa"/>
            <w:hideMark/>
          </w:tcPr>
          <w:p w:rsidR="00DF3B03" w:rsidRPr="00EB03DF" w:rsidRDefault="00DF3B03" w:rsidP="00EB03DF">
            <w:pPr>
              <w:spacing w:after="0" w:line="312" w:lineRule="auto"/>
              <w:ind w:left="-74"/>
              <w:jc w:val="both"/>
              <w:rPr>
                <w:rFonts w:ascii="Garamond" w:eastAsia="Times New Roman" w:hAnsi="Garamond" w:cs="Times New Roman"/>
                <w:sz w:val="24"/>
                <w:szCs w:val="24"/>
                <w:vertAlign w:val="baseline"/>
                <w:lang w:val="en-US"/>
              </w:rPr>
            </w:pPr>
            <w:r w:rsidRPr="00EB03DF">
              <w:rPr>
                <w:rFonts w:ascii="Garamond" w:eastAsia="Times New Roman" w:hAnsi="Garamond"/>
                <w:b/>
                <w:sz w:val="24"/>
                <w:szCs w:val="24"/>
                <w:vertAlign w:val="baseline"/>
                <w:lang w:val="en-US"/>
              </w:rPr>
              <w:t xml:space="preserve">Date: February 20, 2017 </w:t>
            </w:r>
          </w:p>
        </w:tc>
        <w:tc>
          <w:tcPr>
            <w:tcW w:w="6378" w:type="dxa"/>
            <w:hideMark/>
          </w:tcPr>
          <w:p w:rsidR="00DF3B03" w:rsidRPr="00EB03DF" w:rsidRDefault="00DF3B03" w:rsidP="00EB03DF">
            <w:pPr>
              <w:spacing w:after="0" w:line="312" w:lineRule="auto"/>
              <w:ind w:left="142"/>
              <w:jc w:val="right"/>
              <w:rPr>
                <w:rFonts w:ascii="Garamond" w:eastAsia="Times New Roman" w:hAnsi="Garamond" w:cs="Times New Roman"/>
                <w:sz w:val="24"/>
                <w:szCs w:val="24"/>
                <w:vertAlign w:val="baseline"/>
                <w:lang w:val="en-US"/>
              </w:rPr>
            </w:pPr>
            <w:r w:rsidRPr="00EB03DF">
              <w:rPr>
                <w:rFonts w:ascii="Garamond" w:eastAsia="Times New Roman" w:hAnsi="Garamond"/>
                <w:b/>
                <w:sz w:val="24"/>
                <w:szCs w:val="24"/>
                <w:vertAlign w:val="baseline"/>
                <w:lang w:val="en-US"/>
              </w:rPr>
              <w:t>APPELLATE AUTHORITY</w:t>
            </w:r>
          </w:p>
        </w:tc>
      </w:tr>
      <w:tr w:rsidR="00DF3B03" w:rsidRPr="00EB03DF" w:rsidTr="005E4377">
        <w:tc>
          <w:tcPr>
            <w:tcW w:w="2694" w:type="dxa"/>
          </w:tcPr>
          <w:p w:rsidR="00DF3B03" w:rsidRPr="00EB03DF" w:rsidRDefault="00DF3B03" w:rsidP="00EB03DF">
            <w:pPr>
              <w:spacing w:after="0" w:line="312" w:lineRule="auto"/>
              <w:ind w:left="142"/>
              <w:jc w:val="both"/>
              <w:rPr>
                <w:rFonts w:ascii="Garamond" w:eastAsia="Times New Roman" w:hAnsi="Garamond"/>
                <w:b/>
                <w:sz w:val="24"/>
                <w:szCs w:val="24"/>
                <w:vertAlign w:val="baseline"/>
                <w:lang w:val="en-US"/>
              </w:rPr>
            </w:pPr>
          </w:p>
        </w:tc>
        <w:tc>
          <w:tcPr>
            <w:tcW w:w="6378" w:type="dxa"/>
            <w:hideMark/>
          </w:tcPr>
          <w:p w:rsidR="00DF3B03" w:rsidRPr="00EB03DF" w:rsidRDefault="00DF3B03" w:rsidP="00EB03DF">
            <w:pPr>
              <w:spacing w:after="0" w:line="312" w:lineRule="auto"/>
              <w:ind w:left="142"/>
              <w:jc w:val="right"/>
              <w:rPr>
                <w:rFonts w:ascii="Garamond" w:eastAsia="Times New Roman" w:hAnsi="Garamond"/>
                <w:b/>
                <w:sz w:val="24"/>
                <w:szCs w:val="24"/>
                <w:vertAlign w:val="baseline"/>
                <w:lang w:val="en-US"/>
              </w:rPr>
            </w:pPr>
            <w:r w:rsidRPr="00EB03DF">
              <w:rPr>
                <w:rFonts w:ascii="Garamond" w:eastAsia="Times New Roman" w:hAnsi="Garamond"/>
                <w:b/>
                <w:sz w:val="24"/>
                <w:szCs w:val="24"/>
                <w:vertAlign w:val="baseline"/>
                <w:lang w:val="en-US"/>
              </w:rPr>
              <w:t>SECURITIES AND EXCHANGE BOARD OF INDIA</w:t>
            </w:r>
          </w:p>
        </w:tc>
      </w:tr>
    </w:tbl>
    <w:p w:rsidR="00DF3B03" w:rsidRPr="00EB03DF" w:rsidRDefault="00DF3B03" w:rsidP="00EB03DF">
      <w:pPr>
        <w:spacing w:after="0" w:line="312" w:lineRule="auto"/>
        <w:rPr>
          <w:rFonts w:ascii="Garamond" w:hAnsi="Garamond"/>
          <w:sz w:val="24"/>
          <w:szCs w:val="24"/>
        </w:rPr>
      </w:pPr>
    </w:p>
    <w:p w:rsidR="00DF3B03" w:rsidRPr="00EB03DF" w:rsidRDefault="00DF3B03" w:rsidP="00EB03DF">
      <w:pPr>
        <w:spacing w:after="0" w:line="312" w:lineRule="auto"/>
        <w:rPr>
          <w:rFonts w:ascii="Garamond" w:hAnsi="Garamond"/>
          <w:sz w:val="24"/>
          <w:szCs w:val="24"/>
        </w:rPr>
      </w:pPr>
    </w:p>
    <w:bookmarkEnd w:id="0"/>
    <w:p w:rsidR="00735677" w:rsidRPr="00EB03DF" w:rsidRDefault="00E1527B" w:rsidP="00EB03DF">
      <w:pPr>
        <w:spacing w:after="0" w:line="312" w:lineRule="auto"/>
        <w:rPr>
          <w:rFonts w:ascii="Garamond" w:hAnsi="Garamond"/>
          <w:sz w:val="24"/>
          <w:szCs w:val="24"/>
        </w:rPr>
      </w:pPr>
    </w:p>
    <w:sectPr w:rsidR="00735677" w:rsidRPr="00EB03DF" w:rsidSect="00F946BC">
      <w:headerReference w:type="even" r:id="rId8"/>
      <w:headerReference w:type="default" r:id="rId9"/>
      <w:footerReference w:type="even" r:id="rId10"/>
      <w:footerReference w:type="default" r:id="rId11"/>
      <w:headerReference w:type="first" r:id="rId12"/>
      <w:footerReference w:type="first" r:id="rId13"/>
      <w:pgSz w:w="11907" w:h="15876" w:code="9"/>
      <w:pgMar w:top="1440" w:right="1440" w:bottom="992"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27B" w:rsidRDefault="00E1527B">
      <w:pPr>
        <w:spacing w:after="0" w:line="240" w:lineRule="auto"/>
      </w:pPr>
      <w:r>
        <w:separator/>
      </w:r>
    </w:p>
  </w:endnote>
  <w:endnote w:type="continuationSeparator" w:id="1">
    <w:p w:rsidR="00E1527B" w:rsidRDefault="00E15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Rupee Foradian">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NimbusSansL-Regu">
    <w:panose1 w:val="00000000000000000000"/>
    <w:charset w:val="00"/>
    <w:family w:val="auto"/>
    <w:notTrueType/>
    <w:pitch w:val="default"/>
    <w:sig w:usb0="00000003" w:usb1="00000000" w:usb2="00000000" w:usb3="00000000" w:csb0="00000001"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BC" w:rsidRDefault="00E152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eastAsia="Times New Roman" w:hAnsi="Garamond" w:cs="Times New Roman"/>
        <w:i/>
        <w:sz w:val="23"/>
        <w:szCs w:val="23"/>
        <w:lang w:val="en-US"/>
      </w:rPr>
      <w:id w:val="28089572"/>
      <w:docPartObj>
        <w:docPartGallery w:val="Page Numbers (Top of Page)"/>
        <w:docPartUnique/>
      </w:docPartObj>
    </w:sdtPr>
    <w:sdtContent>
      <w:p w:rsidR="00F946BC" w:rsidRPr="00347932" w:rsidRDefault="000F2B4A" w:rsidP="00F946BC">
        <w:pPr>
          <w:tabs>
            <w:tab w:val="center" w:pos="4513"/>
            <w:tab w:val="right" w:pos="9026"/>
          </w:tabs>
          <w:spacing w:after="0" w:line="240" w:lineRule="auto"/>
          <w:jc w:val="center"/>
          <w:rPr>
            <w:rFonts w:ascii="Garamond" w:eastAsia="Times New Roman" w:hAnsi="Garamond" w:cs="Times New Roman"/>
            <w:i/>
            <w:sz w:val="23"/>
            <w:szCs w:val="23"/>
            <w:lang w:val="en-US"/>
          </w:rPr>
        </w:pPr>
        <w:r w:rsidRPr="00347932">
          <w:rPr>
            <w:rFonts w:ascii="Garamond" w:eastAsia="Times New Roman" w:hAnsi="Garamond" w:cs="Times New Roman"/>
            <w:i/>
            <w:sz w:val="23"/>
            <w:szCs w:val="23"/>
            <w:lang w:val="en-US"/>
          </w:rPr>
          <w:t xml:space="preserve">Page </w:t>
        </w:r>
        <w:r w:rsidR="00866AE8" w:rsidRPr="00347932">
          <w:rPr>
            <w:rFonts w:ascii="Garamond" w:eastAsia="Times New Roman" w:hAnsi="Garamond" w:cs="Times New Roman"/>
            <w:b/>
            <w:i/>
            <w:sz w:val="23"/>
            <w:szCs w:val="23"/>
            <w:lang w:val="en-US"/>
          </w:rPr>
          <w:fldChar w:fldCharType="begin"/>
        </w:r>
        <w:r w:rsidRPr="00347932">
          <w:rPr>
            <w:rFonts w:ascii="Garamond" w:eastAsia="Times New Roman" w:hAnsi="Garamond" w:cs="Times New Roman"/>
            <w:b/>
            <w:i/>
            <w:sz w:val="23"/>
            <w:szCs w:val="23"/>
            <w:lang w:val="en-US"/>
          </w:rPr>
          <w:instrText xml:space="preserve"> PAGE </w:instrText>
        </w:r>
        <w:r w:rsidR="00866AE8" w:rsidRPr="00347932">
          <w:rPr>
            <w:rFonts w:ascii="Garamond" w:eastAsia="Times New Roman" w:hAnsi="Garamond" w:cs="Times New Roman"/>
            <w:b/>
            <w:i/>
            <w:sz w:val="23"/>
            <w:szCs w:val="23"/>
            <w:lang w:val="en-US"/>
          </w:rPr>
          <w:fldChar w:fldCharType="separate"/>
        </w:r>
        <w:r w:rsidR="00653CA2">
          <w:rPr>
            <w:rFonts w:ascii="Garamond" w:eastAsia="Times New Roman" w:hAnsi="Garamond" w:cs="Times New Roman"/>
            <w:b/>
            <w:i/>
            <w:noProof/>
            <w:sz w:val="23"/>
            <w:szCs w:val="23"/>
            <w:lang w:val="en-US"/>
          </w:rPr>
          <w:t>1</w:t>
        </w:r>
        <w:r w:rsidR="00866AE8" w:rsidRPr="00347932">
          <w:rPr>
            <w:rFonts w:ascii="Garamond" w:eastAsia="Times New Roman" w:hAnsi="Garamond" w:cs="Times New Roman"/>
            <w:b/>
            <w:i/>
            <w:sz w:val="23"/>
            <w:szCs w:val="23"/>
            <w:lang w:val="en-US"/>
          </w:rPr>
          <w:fldChar w:fldCharType="end"/>
        </w:r>
        <w:r w:rsidRPr="00347932">
          <w:rPr>
            <w:rFonts w:ascii="Garamond" w:eastAsia="Times New Roman" w:hAnsi="Garamond" w:cs="Times New Roman"/>
            <w:i/>
            <w:sz w:val="23"/>
            <w:szCs w:val="23"/>
            <w:lang w:val="en-US"/>
          </w:rPr>
          <w:t xml:space="preserve"> of </w:t>
        </w:r>
        <w:r w:rsidR="00866AE8" w:rsidRPr="00347932">
          <w:rPr>
            <w:rFonts w:ascii="Garamond" w:eastAsia="Times New Roman" w:hAnsi="Garamond" w:cs="Times New Roman"/>
            <w:b/>
            <w:i/>
            <w:sz w:val="23"/>
            <w:szCs w:val="23"/>
            <w:lang w:val="en-US"/>
          </w:rPr>
          <w:fldChar w:fldCharType="begin"/>
        </w:r>
        <w:r w:rsidRPr="00347932">
          <w:rPr>
            <w:rFonts w:ascii="Garamond" w:eastAsia="Times New Roman" w:hAnsi="Garamond" w:cs="Times New Roman"/>
            <w:b/>
            <w:i/>
            <w:sz w:val="23"/>
            <w:szCs w:val="23"/>
            <w:lang w:val="en-US"/>
          </w:rPr>
          <w:instrText xml:space="preserve"> NUMPAGES  </w:instrText>
        </w:r>
        <w:r w:rsidR="00866AE8" w:rsidRPr="00347932">
          <w:rPr>
            <w:rFonts w:ascii="Garamond" w:eastAsia="Times New Roman" w:hAnsi="Garamond" w:cs="Times New Roman"/>
            <w:b/>
            <w:i/>
            <w:sz w:val="23"/>
            <w:szCs w:val="23"/>
            <w:lang w:val="en-US"/>
          </w:rPr>
          <w:fldChar w:fldCharType="separate"/>
        </w:r>
        <w:r w:rsidR="00653CA2">
          <w:rPr>
            <w:rFonts w:ascii="Garamond" w:eastAsia="Times New Roman" w:hAnsi="Garamond" w:cs="Times New Roman"/>
            <w:b/>
            <w:i/>
            <w:noProof/>
            <w:sz w:val="23"/>
            <w:szCs w:val="23"/>
            <w:lang w:val="en-US"/>
          </w:rPr>
          <w:t>3</w:t>
        </w:r>
        <w:r w:rsidR="00866AE8" w:rsidRPr="00347932">
          <w:rPr>
            <w:rFonts w:ascii="Garamond" w:eastAsia="Times New Roman" w:hAnsi="Garamond" w:cs="Times New Roman"/>
            <w:b/>
            <w:i/>
            <w:sz w:val="23"/>
            <w:szCs w:val="23"/>
            <w:lang w:val="en-US"/>
          </w:rPr>
          <w:fldChar w:fldCharType="end"/>
        </w:r>
      </w:p>
    </w:sdtContent>
  </w:sdt>
  <w:p w:rsidR="00F946BC" w:rsidRDefault="00E152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BC" w:rsidRDefault="00E15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27B" w:rsidRDefault="00E1527B">
      <w:pPr>
        <w:spacing w:after="0" w:line="240" w:lineRule="auto"/>
      </w:pPr>
      <w:r>
        <w:separator/>
      </w:r>
    </w:p>
  </w:footnote>
  <w:footnote w:type="continuationSeparator" w:id="1">
    <w:p w:rsidR="00E1527B" w:rsidRDefault="00E152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BC" w:rsidRDefault="00E15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BC" w:rsidRDefault="00E152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BC" w:rsidRDefault="00E152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5361"/>
    <w:multiLevelType w:val="multilevel"/>
    <w:tmpl w:val="C998597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3CF7A55"/>
    <w:multiLevelType w:val="hybridMultilevel"/>
    <w:tmpl w:val="A084819A"/>
    <w:lvl w:ilvl="0" w:tplc="A6C6A22A">
      <w:start w:val="4"/>
      <w:numFmt w:val="decimal"/>
      <w:lvlText w:val="%1."/>
      <w:lvlJc w:val="left"/>
      <w:pPr>
        <w:ind w:left="1287"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BDB20AB"/>
    <w:multiLevelType w:val="hybridMultilevel"/>
    <w:tmpl w:val="7EFE4ABA"/>
    <w:lvl w:ilvl="0" w:tplc="4009000F">
      <w:start w:val="1"/>
      <w:numFmt w:val="decimal"/>
      <w:lvlText w:val="%1."/>
      <w:lvlJc w:val="left"/>
      <w:pPr>
        <w:ind w:left="1287" w:hanging="360"/>
      </w:pPr>
    </w:lvl>
    <w:lvl w:ilvl="1" w:tplc="40090019">
      <w:start w:val="1"/>
      <w:numFmt w:val="lowerLetter"/>
      <w:lvlText w:val="%2."/>
      <w:lvlJc w:val="left"/>
      <w:pPr>
        <w:ind w:left="2007" w:hanging="360"/>
      </w:pPr>
    </w:lvl>
    <w:lvl w:ilvl="2" w:tplc="CB0C2FD6">
      <w:start w:val="1"/>
      <w:numFmt w:val="lowerRoman"/>
      <w:lvlText w:val="%3."/>
      <w:lvlJc w:val="right"/>
      <w:pPr>
        <w:ind w:left="2727" w:hanging="180"/>
      </w:pPr>
      <w:rPr>
        <w:rFonts w:hint="default"/>
      </w:rPr>
    </w:lvl>
    <w:lvl w:ilvl="3" w:tplc="4009000F">
      <w:start w:val="1"/>
      <w:numFmt w:val="decimal"/>
      <w:lvlText w:val="%4."/>
      <w:lvlJc w:val="left"/>
      <w:pPr>
        <w:ind w:left="3447" w:hanging="360"/>
      </w:pPr>
    </w:lvl>
    <w:lvl w:ilvl="4" w:tplc="40090019">
      <w:start w:val="1"/>
      <w:numFmt w:val="lowerLetter"/>
      <w:lvlText w:val="%5."/>
      <w:lvlJc w:val="left"/>
      <w:pPr>
        <w:ind w:left="4167" w:hanging="360"/>
      </w:pPr>
    </w:lvl>
    <w:lvl w:ilvl="5" w:tplc="4009001B">
      <w:start w:val="1"/>
      <w:numFmt w:val="lowerRoman"/>
      <w:lvlText w:val="%6."/>
      <w:lvlJc w:val="right"/>
      <w:pPr>
        <w:ind w:left="4887" w:hanging="180"/>
      </w:pPr>
    </w:lvl>
    <w:lvl w:ilvl="6" w:tplc="4009000F">
      <w:start w:val="1"/>
      <w:numFmt w:val="decimal"/>
      <w:lvlText w:val="%7."/>
      <w:lvlJc w:val="left"/>
      <w:pPr>
        <w:ind w:left="5607" w:hanging="360"/>
      </w:pPr>
    </w:lvl>
    <w:lvl w:ilvl="7" w:tplc="40090019">
      <w:start w:val="1"/>
      <w:numFmt w:val="lowerLetter"/>
      <w:lvlText w:val="%8."/>
      <w:lvlJc w:val="left"/>
      <w:pPr>
        <w:ind w:left="6327" w:hanging="360"/>
      </w:pPr>
    </w:lvl>
    <w:lvl w:ilvl="8" w:tplc="4009001B">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DF3B03"/>
    <w:rsid w:val="000F2B4A"/>
    <w:rsid w:val="003327A8"/>
    <w:rsid w:val="003409AA"/>
    <w:rsid w:val="00653CA2"/>
    <w:rsid w:val="007F4460"/>
    <w:rsid w:val="00866AE8"/>
    <w:rsid w:val="00A279B7"/>
    <w:rsid w:val="00CB0234"/>
    <w:rsid w:val="00CC7F07"/>
    <w:rsid w:val="00DF3B03"/>
    <w:rsid w:val="00E1527B"/>
    <w:rsid w:val="00E30A4F"/>
    <w:rsid w:val="00EB03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B03"/>
    <w:pPr>
      <w:spacing w:after="200" w:line="276"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B03"/>
    <w:pPr>
      <w:ind w:left="720"/>
      <w:contextualSpacing/>
    </w:pPr>
  </w:style>
  <w:style w:type="table" w:customStyle="1" w:styleId="TableGrid1">
    <w:name w:val="Table Grid1"/>
    <w:basedOn w:val="TableNormal"/>
    <w:uiPriority w:val="59"/>
    <w:rsid w:val="00DF3B03"/>
    <w:pPr>
      <w:spacing w:after="0" w:line="240" w:lineRule="auto"/>
    </w:pPr>
    <w:rPr>
      <w:rFonts w:ascii="Rupee Foradian" w:hAnsi="Rupee Foradian" w:cs="Arial"/>
      <w:sz w:val="20"/>
      <w:vertAlign w:val="superscript"/>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F3B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B03"/>
    <w:rPr>
      <w:szCs w:val="22"/>
      <w:lang w:bidi="ar-SA"/>
    </w:rPr>
  </w:style>
  <w:style w:type="paragraph" w:styleId="Footer">
    <w:name w:val="footer"/>
    <w:basedOn w:val="Normal"/>
    <w:link w:val="FooterChar"/>
    <w:uiPriority w:val="99"/>
    <w:unhideWhenUsed/>
    <w:rsid w:val="00DF3B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B03"/>
    <w:rPr>
      <w:szCs w:val="22"/>
      <w:lang w:bidi="ar-SA"/>
    </w:rPr>
  </w:style>
  <w:style w:type="character" w:styleId="Hyperlink">
    <w:name w:val="Hyperlink"/>
    <w:basedOn w:val="DefaultParagraphFont"/>
    <w:uiPriority w:val="99"/>
    <w:unhideWhenUsed/>
    <w:rsid w:val="00DF3B03"/>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diartinews@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Alvine Lyngwa</dc:creator>
  <cp:lastModifiedBy>ITD_OPRT43 MUKESH</cp:lastModifiedBy>
  <cp:revision>2</cp:revision>
  <dcterms:created xsi:type="dcterms:W3CDTF">2017-03-27T05:45:00Z</dcterms:created>
  <dcterms:modified xsi:type="dcterms:W3CDTF">2017-03-27T05:45:00Z</dcterms:modified>
</cp:coreProperties>
</file>