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560465" w:rsidRDefault="00920C84" w:rsidP="00920C84">
      <w:pPr>
        <w:spacing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920C84" w:rsidRPr="00560465" w:rsidRDefault="00920C84" w:rsidP="00920C84">
      <w:pPr>
        <w:spacing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92888" w:rsidP="00920C84">
      <w:pPr>
        <w:spacing w:line="20" w:lineRule="atLeast"/>
        <w:jc w:val="center"/>
        <w:rPr>
          <w:rFonts w:ascii="Garamond" w:hAnsi="Garamond"/>
          <w:b/>
          <w:color w:val="FF0000"/>
          <w:sz w:val="28"/>
          <w:szCs w:val="28"/>
        </w:rPr>
      </w:pPr>
      <w:r>
        <w:rPr>
          <w:rFonts w:ascii="Garamond" w:hAnsi="Garamond"/>
          <w:b/>
          <w:color w:val="000080"/>
          <w:sz w:val="28"/>
          <w:szCs w:val="28"/>
        </w:rPr>
        <w:t>March</w:t>
      </w:r>
      <w:r w:rsidR="00920C84">
        <w:rPr>
          <w:rFonts w:ascii="Garamond" w:hAnsi="Garamond"/>
          <w:b/>
          <w:color w:val="000080"/>
          <w:sz w:val="28"/>
          <w:szCs w:val="28"/>
        </w:rPr>
        <w:t xml:space="preserve"> 2018   VOL. 16</w:t>
      </w:r>
      <w:r w:rsidR="00920C84" w:rsidRPr="00560465">
        <w:rPr>
          <w:rFonts w:ascii="Garamond" w:hAnsi="Garamond"/>
          <w:b/>
          <w:color w:val="000080"/>
          <w:sz w:val="28"/>
          <w:szCs w:val="28"/>
        </w:rPr>
        <w:tab/>
        <w:t xml:space="preserve">  </w:t>
      </w:r>
      <w:r>
        <w:rPr>
          <w:rFonts w:ascii="Garamond" w:hAnsi="Garamond"/>
          <w:b/>
          <w:color w:val="FF0000"/>
          <w:sz w:val="28"/>
          <w:szCs w:val="28"/>
        </w:rPr>
        <w:t>NUMBER 03</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(LOGO)</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rPr>
          <w:rFonts w:ascii="Garamond" w:hAnsi="Garamond"/>
          <w:b/>
          <w:color w:val="000080"/>
        </w:rPr>
      </w:pPr>
      <w:r w:rsidRPr="00560465">
        <w:rPr>
          <w:rFonts w:ascii="Garamond" w:hAnsi="Garamond"/>
          <w:b/>
          <w:color w:val="000080"/>
        </w:rPr>
        <w:br w:type="page"/>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SECURITIES AND EXCHANGE BOARD OF INDIA</w:t>
      </w:r>
    </w:p>
    <w:p w:rsidR="00920C84" w:rsidRPr="00560465" w:rsidRDefault="00920C84" w:rsidP="00920C84">
      <w:pPr>
        <w:spacing w:line="20" w:lineRule="atLeast"/>
        <w:jc w:val="both"/>
        <w:rPr>
          <w:rFonts w:ascii="Garamond" w:hAnsi="Garamond"/>
          <w:color w:val="FF0000"/>
        </w:rPr>
      </w:pPr>
    </w:p>
    <w:p w:rsidR="00920C84" w:rsidRPr="00560465" w:rsidRDefault="00920C84" w:rsidP="00920C84">
      <w:pPr>
        <w:spacing w:line="20" w:lineRule="atLeast"/>
        <w:rPr>
          <w:rFonts w:ascii="Garamond" w:hAnsi="Garamond"/>
          <w:b/>
        </w:rPr>
      </w:pPr>
      <w:r w:rsidRPr="00560465">
        <w:rPr>
          <w:rFonts w:ascii="Garamond" w:hAnsi="Garamond"/>
          <w:b/>
        </w:rPr>
        <w:t xml:space="preserve">EDITORIAL COMMITTEE </w:t>
      </w:r>
    </w:p>
    <w:p w:rsidR="00920C84" w:rsidRPr="00560465" w:rsidRDefault="00920C84" w:rsidP="00920C84">
      <w:pPr>
        <w:spacing w:line="20" w:lineRule="atLeast"/>
        <w:jc w:val="both"/>
        <w:outlineLvl w:val="0"/>
        <w:rPr>
          <w:rFonts w:ascii="Garamond" w:hAnsi="Garamond"/>
          <w:b/>
        </w:rPr>
      </w:pPr>
      <w:r w:rsidRPr="00560465">
        <w:rPr>
          <w:rFonts w:ascii="Garamond" w:hAnsi="Garamond"/>
          <w:b/>
        </w:rPr>
        <w:t>Mr. Ananta Barua</w:t>
      </w:r>
    </w:p>
    <w:p w:rsidR="00920C84" w:rsidRPr="00560465" w:rsidRDefault="00920C84" w:rsidP="00920C84">
      <w:pPr>
        <w:spacing w:line="20" w:lineRule="atLeast"/>
        <w:jc w:val="both"/>
        <w:outlineLvl w:val="0"/>
        <w:rPr>
          <w:rFonts w:ascii="Garamond" w:hAnsi="Garamond"/>
          <w:b/>
        </w:rPr>
      </w:pPr>
      <w:r w:rsidRPr="00560465">
        <w:rPr>
          <w:rFonts w:ascii="Garamond" w:hAnsi="Garamond"/>
          <w:b/>
        </w:rPr>
        <w:t>Mr. S. V. Murali Dhar Rao</w:t>
      </w:r>
    </w:p>
    <w:p w:rsidR="00920C84" w:rsidRPr="00560465" w:rsidRDefault="00920C84" w:rsidP="00920C84">
      <w:pPr>
        <w:spacing w:line="20" w:lineRule="atLeast"/>
        <w:jc w:val="both"/>
        <w:rPr>
          <w:rFonts w:ascii="Garamond" w:hAnsi="Garamond"/>
        </w:rPr>
      </w:pPr>
    </w:p>
    <w:p w:rsidR="00920C84" w:rsidRPr="00560465" w:rsidRDefault="00920C84" w:rsidP="00920C84">
      <w:pPr>
        <w:spacing w:line="20" w:lineRule="atLeast"/>
        <w:jc w:val="both"/>
        <w:rPr>
          <w:rFonts w:ascii="Garamond" w:hAnsi="Garamond"/>
        </w:rPr>
      </w:pPr>
      <w:r w:rsidRPr="00560465">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7" w:history="1">
        <w:r w:rsidRPr="00560465">
          <w:rPr>
            <w:rFonts w:ascii="Garamond" w:hAnsi="Garamond"/>
          </w:rPr>
          <w:t>bulletin@sebi.gov.in</w:t>
        </w:r>
      </w:hyperlink>
      <w:r w:rsidRPr="00560465">
        <w:rPr>
          <w:rFonts w:ascii="Garamond" w:hAnsi="Garamond"/>
        </w:rPr>
        <w:t xml:space="preserve"> along with their complete address. </w:t>
      </w:r>
      <w:r w:rsidRPr="00560465">
        <w:rPr>
          <w:rFonts w:ascii="Garamond" w:hAnsi="Garamond"/>
          <w:bCs/>
        </w:rPr>
        <w:t xml:space="preserve">A readable version of SEBI Bulletin is available at </w:t>
      </w:r>
      <w:hyperlink r:id="rId8" w:history="1">
        <w:r w:rsidRPr="00560465">
          <w:rPr>
            <w:rFonts w:ascii="Garamond" w:hAnsi="Garamond"/>
            <w:bCs/>
          </w:rPr>
          <w:t>http://www.sebi.gov.in</w:t>
        </w:r>
      </w:hyperlink>
      <w:r w:rsidRPr="00560465">
        <w:rPr>
          <w:rFonts w:ascii="Garamond" w:hAnsi="Garamond"/>
          <w:bCs/>
        </w:rPr>
        <w:t xml:space="preserve">. Any comments and suggestions on any of the features/sections may be sent to </w:t>
      </w:r>
      <w:hyperlink r:id="rId9" w:history="1">
        <w:r w:rsidRPr="00560465">
          <w:rPr>
            <w:rFonts w:ascii="Garamond" w:hAnsi="Garamond"/>
            <w:bCs/>
          </w:rPr>
          <w:t>bulletin@sebi.gov.in</w:t>
        </w:r>
      </w:hyperlink>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center"/>
        <w:rPr>
          <w:rFonts w:ascii="Garamond" w:hAnsi="Garamond"/>
          <w:b/>
          <w:color w:val="632423"/>
        </w:rPr>
      </w:pPr>
    </w:p>
    <w:p w:rsidR="00920C84" w:rsidRPr="00560465" w:rsidRDefault="00920C84" w:rsidP="00920C84">
      <w:pPr>
        <w:rPr>
          <w:rFonts w:ascii="Garamond" w:hAnsi="Garamond"/>
          <w:b/>
          <w:color w:val="632423"/>
          <w:sz w:val="40"/>
          <w:szCs w:val="40"/>
        </w:rPr>
      </w:pPr>
      <w:r w:rsidRPr="00560465">
        <w:rPr>
          <w:rFonts w:ascii="Garamond" w:hAnsi="Garamond"/>
          <w:b/>
          <w:color w:val="632423"/>
          <w:sz w:val="40"/>
          <w:szCs w:val="40"/>
        </w:rPr>
        <w:br w:type="page"/>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rPr>
          <w:rFonts w:ascii="Garamond" w:hAnsi="Garamond"/>
          <w:b/>
          <w:color w:val="632423"/>
          <w:sz w:val="40"/>
          <w:szCs w:val="40"/>
        </w:rPr>
      </w:pPr>
    </w:p>
    <w:p w:rsidR="00920C84" w:rsidRPr="00560465" w:rsidRDefault="00920C84" w:rsidP="00920C84">
      <w:pPr>
        <w:spacing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CAPITAL MARKET REVIEW</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 xml:space="preserve">GLOBAL MARKET REVIEW - </w:t>
      </w:r>
      <w:r w:rsidR="00B25DA6">
        <w:rPr>
          <w:rFonts w:ascii="Garamond" w:hAnsi="Garamond"/>
          <w:b/>
          <w:color w:val="0000FF"/>
        </w:rPr>
        <w:t>MARCH</w:t>
      </w:r>
      <w:r>
        <w:rPr>
          <w:rFonts w:ascii="Garamond" w:hAnsi="Garamond"/>
          <w:b/>
          <w:color w:val="0000FF"/>
        </w:rPr>
        <w:t xml:space="preserve"> 2018</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HIGHLIGHTS OF DEVELOPMENTS IN INTERNATIONAL SECURITIES MARKET</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Pr>
          <w:rFonts w:ascii="Garamond" w:hAnsi="Garamond"/>
          <w:b/>
          <w:color w:val="0000FF"/>
        </w:rPr>
        <w:t>TABLES</w:t>
      </w:r>
      <w:r w:rsidRPr="00560465">
        <w:rPr>
          <w:rFonts w:ascii="Garamond" w:hAnsi="Garamond"/>
          <w:b/>
          <w:color w:val="0000FF"/>
        </w:rPr>
        <w:t xml:space="preserve"> </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PUBLICATIONS</w:t>
      </w:r>
    </w:p>
    <w:p w:rsidR="00920C84" w:rsidRDefault="00920C84">
      <w:pPr>
        <w:rPr>
          <w:rFonts w:ascii="Garamond" w:hAnsi="Garamond" w:cs="Helvetica"/>
          <w:b/>
          <w:color w:val="000099"/>
          <w:sz w:val="32"/>
          <w:szCs w:val="40"/>
        </w:rPr>
      </w:pPr>
      <w:r>
        <w:rPr>
          <w:rFonts w:ascii="Garamond" w:hAnsi="Garamond" w:cs="Helvetica"/>
          <w:b/>
          <w:color w:val="000099"/>
          <w:sz w:val="32"/>
          <w:szCs w:val="40"/>
        </w:rPr>
        <w:br w:type="page"/>
      </w:r>
    </w:p>
    <w:p w:rsidR="00920C84" w:rsidRDefault="00920C84">
      <w:pPr>
        <w:rPr>
          <w:rFonts w:ascii="Garamond" w:hAnsi="Garamond" w:cs="Helvetica"/>
          <w:b/>
          <w:color w:val="000099"/>
          <w:sz w:val="32"/>
          <w:szCs w:val="40"/>
        </w:rPr>
      </w:pPr>
    </w:p>
    <w:p w:rsidR="00B25DA6" w:rsidRPr="00991592" w:rsidRDefault="00B25DA6" w:rsidP="00B25DA6">
      <w:pPr>
        <w:jc w:val="center"/>
        <w:outlineLvl w:val="0"/>
        <w:rPr>
          <w:rFonts w:ascii="Garamond" w:hAnsi="Garamond" w:cs="Helvetica"/>
          <w:b/>
          <w:color w:val="000099"/>
          <w:sz w:val="32"/>
          <w:szCs w:val="40"/>
        </w:rPr>
      </w:pPr>
      <w:r w:rsidRPr="00991592">
        <w:rPr>
          <w:rFonts w:ascii="Garamond" w:hAnsi="Garamond" w:cs="Helvetica"/>
          <w:b/>
          <w:color w:val="000099"/>
          <w:sz w:val="32"/>
          <w:szCs w:val="40"/>
        </w:rPr>
        <w:t>CAPITAL MARKET REVIEW</w:t>
      </w:r>
    </w:p>
    <w:p w:rsidR="00B25DA6" w:rsidRPr="00991592" w:rsidRDefault="00B25DA6" w:rsidP="00B25DA6">
      <w:pPr>
        <w:jc w:val="center"/>
        <w:rPr>
          <w:rFonts w:ascii="Garamond" w:hAnsi="Garamond"/>
          <w:b/>
          <w:color w:val="000099"/>
        </w:rPr>
      </w:pPr>
    </w:p>
    <w:p w:rsidR="00B25DA6" w:rsidRPr="00991592" w:rsidRDefault="00B25DA6" w:rsidP="00B25DA6">
      <w:pPr>
        <w:jc w:val="center"/>
        <w:rPr>
          <w:rFonts w:ascii="Garamond" w:hAnsi="Garamond"/>
          <w:b/>
          <w:color w:val="000099"/>
        </w:rPr>
      </w:pPr>
    </w:p>
    <w:p w:rsidR="00B25DA6" w:rsidRPr="00A453F9" w:rsidRDefault="00B25DA6" w:rsidP="00B25DA6">
      <w:pPr>
        <w:widowControl w:val="0"/>
        <w:numPr>
          <w:ilvl w:val="0"/>
          <w:numId w:val="3"/>
        </w:numPr>
        <w:contextualSpacing/>
        <w:jc w:val="both"/>
        <w:rPr>
          <w:rFonts w:ascii="Garamond" w:hAnsi="Garamond"/>
          <w:b/>
        </w:rPr>
      </w:pPr>
      <w:bookmarkStart w:id="1" w:name="OLE_LINK3"/>
      <w:bookmarkStart w:id="2" w:name="OLE_LINK4"/>
      <w:r w:rsidRPr="00A453F9">
        <w:rPr>
          <w:rFonts w:ascii="Garamond" w:hAnsi="Garamond"/>
          <w:b/>
        </w:rPr>
        <w:t>Trends in Primary Market</w:t>
      </w:r>
    </w:p>
    <w:p w:rsidR="00B25DA6" w:rsidRPr="00A453F9" w:rsidRDefault="00B25DA6" w:rsidP="00B25DA6">
      <w:pPr>
        <w:widowControl w:val="0"/>
        <w:jc w:val="both"/>
        <w:rPr>
          <w:rFonts w:ascii="Garamond" w:hAnsi="Garamond"/>
          <w:b/>
        </w:rPr>
      </w:pPr>
    </w:p>
    <w:p w:rsidR="00B25DA6" w:rsidRPr="00A453F9" w:rsidRDefault="00B25DA6" w:rsidP="00B25DA6">
      <w:pPr>
        <w:numPr>
          <w:ilvl w:val="0"/>
          <w:numId w:val="1"/>
        </w:numPr>
        <w:jc w:val="both"/>
        <w:rPr>
          <w:rFonts w:ascii="Garamond" w:hAnsi="Garamond"/>
          <w:b/>
        </w:rPr>
      </w:pPr>
      <w:r w:rsidRPr="00A453F9">
        <w:rPr>
          <w:rFonts w:ascii="Garamond" w:hAnsi="Garamond"/>
          <w:b/>
        </w:rPr>
        <w:t>Public and Rights Issues</w:t>
      </w:r>
    </w:p>
    <w:p w:rsidR="00B25DA6" w:rsidRPr="00A453F9" w:rsidRDefault="00B25DA6" w:rsidP="00B25DA6">
      <w:pPr>
        <w:jc w:val="both"/>
        <w:rPr>
          <w:rFonts w:ascii="Garamond" w:hAnsi="Garamond"/>
          <w:b/>
        </w:rPr>
      </w:pPr>
    </w:p>
    <w:p w:rsidR="00B25DA6" w:rsidRPr="00991592" w:rsidRDefault="00B25DA6" w:rsidP="00B25DA6">
      <w:pPr>
        <w:autoSpaceDE w:val="0"/>
        <w:autoSpaceDN w:val="0"/>
        <w:adjustRightInd w:val="0"/>
        <w:jc w:val="both"/>
        <w:rPr>
          <w:rFonts w:ascii="Garamond" w:hAnsi="Garamond"/>
          <w:color w:val="000099"/>
        </w:rPr>
      </w:pPr>
      <w:r w:rsidRPr="00A453F9">
        <w:rPr>
          <w:rFonts w:ascii="Garamond" w:hAnsi="Garamond"/>
        </w:rPr>
        <w:t xml:space="preserve">Resource mobilisation through primary securities market continued during February 2018. During the month under review, the primary market witnessed 17 equity issues that mobilised </w:t>
      </w:r>
      <w:r w:rsidRPr="00A453F9">
        <w:rPr>
          <w:rFonts w:ascii="Rupee Foradian" w:eastAsia="Times New Roman" w:hAnsi="Rupee Foradian"/>
          <w:bCs/>
          <w:szCs w:val="20"/>
          <w:lang w:eastAsia="en-GB" w:bidi="bn-IN"/>
        </w:rPr>
        <w:t>`</w:t>
      </w:r>
      <w:r w:rsidRPr="00A453F9">
        <w:rPr>
          <w:rFonts w:ascii="Garamond" w:eastAsia="Times New Roman" w:hAnsi="Garamond"/>
          <w:bCs/>
          <w:szCs w:val="20"/>
          <w:lang w:eastAsia="en-GB" w:bidi="bn-IN"/>
        </w:rPr>
        <w:t xml:space="preserve"> </w:t>
      </w:r>
      <w:r w:rsidRPr="00A453F9">
        <w:rPr>
          <w:rFonts w:ascii="Garamond" w:hAnsi="Garamond"/>
        </w:rPr>
        <w:t xml:space="preserve">18,367 crore as compared to 18 equity issues that mobilised </w:t>
      </w:r>
      <w:r w:rsidRPr="00A453F9">
        <w:rPr>
          <w:rFonts w:ascii="Rupee Foradian" w:eastAsia="Times New Roman" w:hAnsi="Rupee Foradian"/>
          <w:bCs/>
          <w:szCs w:val="20"/>
          <w:lang w:eastAsia="en-GB" w:bidi="bn-IN"/>
        </w:rPr>
        <w:t>`</w:t>
      </w:r>
      <w:r w:rsidRPr="00A453F9">
        <w:rPr>
          <w:rFonts w:ascii="Garamond" w:eastAsia="Times New Roman" w:hAnsi="Garamond"/>
          <w:bCs/>
          <w:szCs w:val="20"/>
          <w:lang w:eastAsia="en-GB" w:bidi="bn-IN"/>
        </w:rPr>
        <w:t xml:space="preserve"> </w:t>
      </w:r>
      <w:r w:rsidRPr="00A453F9">
        <w:rPr>
          <w:rFonts w:ascii="Garamond" w:hAnsi="Garamond"/>
        </w:rPr>
        <w:t xml:space="preserve">2,276 crore during January 2018. There were 13 initial public offerings (IPOs) of equity issues that raised </w:t>
      </w:r>
      <w:r w:rsidRPr="00A453F9">
        <w:rPr>
          <w:rFonts w:ascii="Rupee Foradian" w:hAnsi="Rupee Foradian"/>
        </w:rPr>
        <w:t>`</w:t>
      </w:r>
      <w:r w:rsidRPr="00A453F9">
        <w:rPr>
          <w:rFonts w:ascii="Garamond" w:hAnsi="Garamond"/>
        </w:rPr>
        <w:t xml:space="preserve"> 1,656 crore and 4 rights issue that raised </w:t>
      </w:r>
      <w:r w:rsidRPr="00A453F9">
        <w:rPr>
          <w:rFonts w:ascii="Rupee Foradian" w:hAnsi="Rupee Foradian"/>
        </w:rPr>
        <w:t>`</w:t>
      </w:r>
      <w:r w:rsidRPr="00A453F9">
        <w:rPr>
          <w:rFonts w:ascii="Garamond" w:hAnsi="Garamond"/>
        </w:rPr>
        <w:t xml:space="preserve"> 16,711 crore during the month.</w:t>
      </w:r>
    </w:p>
    <w:p w:rsidR="00B25DA6" w:rsidRPr="00991592" w:rsidRDefault="00B25DA6" w:rsidP="00B25DA6">
      <w:pPr>
        <w:jc w:val="both"/>
        <w:outlineLvl w:val="0"/>
        <w:rPr>
          <w:rFonts w:ascii="Garamond" w:eastAsia="Times New Roman" w:hAnsi="Garamond"/>
          <w:b/>
          <w:bCs/>
          <w:color w:val="000099"/>
          <w:highlight w:val="lightGray"/>
        </w:rPr>
      </w:pPr>
    </w:p>
    <w:p w:rsidR="00B25DA6" w:rsidRPr="00A453F9" w:rsidRDefault="00B25DA6" w:rsidP="00B25DA6">
      <w:pPr>
        <w:jc w:val="both"/>
        <w:outlineLvl w:val="0"/>
        <w:rPr>
          <w:rFonts w:ascii="Garamond" w:eastAsia="Times New Roman" w:hAnsi="Garamond"/>
          <w:b/>
          <w:bCs/>
        </w:rPr>
      </w:pPr>
      <w:r w:rsidRPr="00A453F9">
        <w:rPr>
          <w:rFonts w:ascii="Garamond" w:eastAsia="Times New Roman" w:hAnsi="Garamond"/>
          <w:b/>
          <w:bCs/>
        </w:rPr>
        <w:t>Exhibit 1: Primary Market Trends (Public &amp; Rights Issues)</w:t>
      </w:r>
    </w:p>
    <w:p w:rsidR="00B25DA6" w:rsidRPr="00991592" w:rsidRDefault="00B25DA6" w:rsidP="00B25DA6">
      <w:pPr>
        <w:jc w:val="both"/>
        <w:outlineLvl w:val="0"/>
        <w:rPr>
          <w:rFonts w:ascii="Garamond" w:eastAsia="Times New Roman" w:hAnsi="Garamond"/>
          <w:b/>
          <w:bCs/>
          <w:color w:val="000099"/>
          <w:highlight w:val="lightGray"/>
        </w:rPr>
      </w:pPr>
    </w:p>
    <w:tbl>
      <w:tblPr>
        <w:tblW w:w="8894" w:type="dxa"/>
        <w:tblCellMar>
          <w:left w:w="58" w:type="dxa"/>
          <w:right w:w="58" w:type="dxa"/>
        </w:tblCellMar>
        <w:tblLook w:val="04A0" w:firstRow="1" w:lastRow="0" w:firstColumn="1" w:lastColumn="0" w:noHBand="0" w:noVBand="1"/>
      </w:tblPr>
      <w:tblGrid>
        <w:gridCol w:w="2425"/>
        <w:gridCol w:w="720"/>
        <w:gridCol w:w="900"/>
        <w:gridCol w:w="720"/>
        <w:gridCol w:w="900"/>
        <w:gridCol w:w="720"/>
        <w:gridCol w:w="900"/>
        <w:gridCol w:w="681"/>
        <w:gridCol w:w="928"/>
      </w:tblGrid>
      <w:tr w:rsidR="00B25DA6" w:rsidRPr="00A453F9" w:rsidTr="007C138F">
        <w:trPr>
          <w:trHeight w:val="218"/>
        </w:trPr>
        <w:tc>
          <w:tcPr>
            <w:tcW w:w="2425" w:type="dxa"/>
            <w:tcBorders>
              <w:top w:val="single" w:sz="4" w:space="0" w:color="auto"/>
              <w:left w:val="single" w:sz="4" w:space="0" w:color="auto"/>
              <w:bottom w:val="nil"/>
              <w:right w:val="single" w:sz="4" w:space="0" w:color="auto"/>
            </w:tcBorders>
            <w:shd w:val="clear" w:color="000000" w:fill="B8CCE4"/>
            <w:noWrap/>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Items</w:t>
            </w:r>
          </w:p>
        </w:tc>
        <w:tc>
          <w:tcPr>
            <w:tcW w:w="1620" w:type="dxa"/>
            <w:gridSpan w:val="2"/>
            <w:tcBorders>
              <w:top w:val="single" w:sz="4" w:space="0" w:color="auto"/>
              <w:left w:val="nil"/>
              <w:bottom w:val="single" w:sz="4" w:space="0" w:color="auto"/>
              <w:right w:val="single" w:sz="4" w:space="0" w:color="000000"/>
            </w:tcBorders>
            <w:shd w:val="clear" w:color="000000" w:fill="B8CCE4"/>
            <w:noWrap/>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Feb-18</w:t>
            </w:r>
          </w:p>
        </w:tc>
        <w:tc>
          <w:tcPr>
            <w:tcW w:w="1620" w:type="dxa"/>
            <w:gridSpan w:val="2"/>
            <w:tcBorders>
              <w:top w:val="single" w:sz="4" w:space="0" w:color="auto"/>
              <w:left w:val="nil"/>
              <w:bottom w:val="single" w:sz="4" w:space="0" w:color="auto"/>
              <w:right w:val="single" w:sz="4" w:space="0" w:color="000000"/>
            </w:tcBorders>
            <w:shd w:val="clear" w:color="000000" w:fill="B8CCE4"/>
            <w:noWrap/>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Jan-18</w:t>
            </w:r>
          </w:p>
        </w:tc>
        <w:tc>
          <w:tcPr>
            <w:tcW w:w="1620" w:type="dxa"/>
            <w:gridSpan w:val="2"/>
            <w:tcBorders>
              <w:top w:val="single" w:sz="4" w:space="0" w:color="auto"/>
              <w:left w:val="nil"/>
              <w:bottom w:val="single" w:sz="4" w:space="0" w:color="auto"/>
              <w:right w:val="single" w:sz="4" w:space="0" w:color="000000"/>
            </w:tcBorders>
            <w:shd w:val="clear" w:color="000000" w:fill="B8CCE4"/>
            <w:noWrap/>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2017-18$</w:t>
            </w:r>
          </w:p>
        </w:tc>
        <w:tc>
          <w:tcPr>
            <w:tcW w:w="1609" w:type="dxa"/>
            <w:gridSpan w:val="2"/>
            <w:tcBorders>
              <w:top w:val="single" w:sz="4" w:space="0" w:color="auto"/>
              <w:left w:val="nil"/>
              <w:bottom w:val="single" w:sz="4" w:space="0" w:color="auto"/>
              <w:right w:val="single" w:sz="4" w:space="0" w:color="000000"/>
            </w:tcBorders>
            <w:shd w:val="clear" w:color="000000" w:fill="B8CCE4"/>
            <w:noWrap/>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2016-17$</w:t>
            </w:r>
          </w:p>
        </w:tc>
      </w:tr>
      <w:tr w:rsidR="00B25DA6" w:rsidRPr="00A453F9" w:rsidTr="007C138F">
        <w:trPr>
          <w:trHeight w:val="176"/>
        </w:trPr>
        <w:tc>
          <w:tcPr>
            <w:tcW w:w="2425" w:type="dxa"/>
            <w:tcBorders>
              <w:top w:val="nil"/>
              <w:left w:val="single" w:sz="4" w:space="0" w:color="auto"/>
              <w:bottom w:val="nil"/>
              <w:right w:val="single" w:sz="4" w:space="0" w:color="auto"/>
            </w:tcBorders>
            <w:shd w:val="clear" w:color="000000" w:fill="B8CCE4"/>
            <w:noWrap/>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 </w:t>
            </w:r>
          </w:p>
        </w:tc>
        <w:tc>
          <w:tcPr>
            <w:tcW w:w="720"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No. of Issues</w:t>
            </w:r>
          </w:p>
        </w:tc>
        <w:tc>
          <w:tcPr>
            <w:tcW w:w="900"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Amount (</w:t>
            </w:r>
            <w:r w:rsidRPr="00A453F9">
              <w:rPr>
                <w:rFonts w:ascii="Rupee Foradian" w:eastAsia="Times New Roman" w:hAnsi="Rupee Foradian"/>
                <w:b/>
                <w:bCs/>
                <w:color w:val="000000"/>
                <w:sz w:val="20"/>
                <w:szCs w:val="20"/>
                <w:lang w:eastAsia="en-GB"/>
              </w:rPr>
              <w:t xml:space="preserve">` </w:t>
            </w:r>
            <w:r w:rsidRPr="00A453F9">
              <w:rPr>
                <w:rFonts w:ascii="Garamond" w:eastAsia="Times New Roman" w:hAnsi="Garamond"/>
                <w:b/>
                <w:bCs/>
                <w:color w:val="000000"/>
                <w:sz w:val="20"/>
                <w:szCs w:val="20"/>
                <w:lang w:eastAsia="en-GB"/>
              </w:rPr>
              <w:t>crore)</w:t>
            </w:r>
          </w:p>
        </w:tc>
        <w:tc>
          <w:tcPr>
            <w:tcW w:w="720"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No. of Issues</w:t>
            </w:r>
          </w:p>
        </w:tc>
        <w:tc>
          <w:tcPr>
            <w:tcW w:w="900"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Amount (</w:t>
            </w:r>
            <w:r w:rsidRPr="00A453F9">
              <w:rPr>
                <w:rFonts w:ascii="Rupee Foradian" w:eastAsia="Times New Roman" w:hAnsi="Rupee Foradian"/>
                <w:b/>
                <w:bCs/>
                <w:color w:val="000000"/>
                <w:sz w:val="20"/>
                <w:szCs w:val="20"/>
                <w:lang w:eastAsia="en-GB"/>
              </w:rPr>
              <w:t xml:space="preserve">` </w:t>
            </w:r>
            <w:r w:rsidRPr="00A453F9">
              <w:rPr>
                <w:rFonts w:ascii="Garamond" w:eastAsia="Times New Roman" w:hAnsi="Garamond"/>
                <w:b/>
                <w:bCs/>
                <w:color w:val="000000"/>
                <w:sz w:val="20"/>
                <w:szCs w:val="20"/>
                <w:lang w:eastAsia="en-GB"/>
              </w:rPr>
              <w:t>crore)</w:t>
            </w:r>
          </w:p>
        </w:tc>
        <w:tc>
          <w:tcPr>
            <w:tcW w:w="720"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No. of Issues</w:t>
            </w:r>
          </w:p>
        </w:tc>
        <w:tc>
          <w:tcPr>
            <w:tcW w:w="900"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Amount (</w:t>
            </w:r>
            <w:r w:rsidRPr="00A453F9">
              <w:rPr>
                <w:rFonts w:ascii="Rupee Foradian" w:eastAsia="Times New Roman" w:hAnsi="Rupee Foradian"/>
                <w:b/>
                <w:bCs/>
                <w:color w:val="000000"/>
                <w:sz w:val="20"/>
                <w:szCs w:val="20"/>
                <w:lang w:eastAsia="en-GB"/>
              </w:rPr>
              <w:t xml:space="preserve">` </w:t>
            </w:r>
            <w:r w:rsidRPr="00A453F9">
              <w:rPr>
                <w:rFonts w:ascii="Garamond" w:eastAsia="Times New Roman" w:hAnsi="Garamond"/>
                <w:b/>
                <w:bCs/>
                <w:color w:val="000000"/>
                <w:sz w:val="20"/>
                <w:szCs w:val="20"/>
                <w:lang w:eastAsia="en-GB"/>
              </w:rPr>
              <w:t>crore)</w:t>
            </w:r>
          </w:p>
        </w:tc>
        <w:tc>
          <w:tcPr>
            <w:tcW w:w="681"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No. of Issues</w:t>
            </w:r>
          </w:p>
        </w:tc>
        <w:tc>
          <w:tcPr>
            <w:tcW w:w="928" w:type="dxa"/>
            <w:vMerge w:val="restart"/>
            <w:tcBorders>
              <w:top w:val="nil"/>
              <w:left w:val="single" w:sz="4" w:space="0" w:color="auto"/>
              <w:bottom w:val="single" w:sz="4" w:space="0" w:color="auto"/>
              <w:right w:val="single" w:sz="4" w:space="0" w:color="auto"/>
            </w:tcBorders>
            <w:shd w:val="clear" w:color="000000" w:fill="B8CCE4"/>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Amount (</w:t>
            </w:r>
            <w:r w:rsidRPr="00A453F9">
              <w:rPr>
                <w:rFonts w:ascii="Rupee Foradian" w:eastAsia="Times New Roman" w:hAnsi="Rupee Foradian"/>
                <w:b/>
                <w:bCs/>
                <w:color w:val="000000"/>
                <w:sz w:val="20"/>
                <w:szCs w:val="20"/>
                <w:lang w:eastAsia="en-GB"/>
              </w:rPr>
              <w:t xml:space="preserve">` </w:t>
            </w:r>
            <w:r w:rsidRPr="00A453F9">
              <w:rPr>
                <w:rFonts w:ascii="Garamond" w:eastAsia="Times New Roman" w:hAnsi="Garamond"/>
                <w:b/>
                <w:bCs/>
                <w:color w:val="000000"/>
                <w:sz w:val="20"/>
                <w:szCs w:val="20"/>
                <w:lang w:eastAsia="en-GB"/>
              </w:rPr>
              <w:t>crore)</w:t>
            </w:r>
          </w:p>
        </w:tc>
      </w:tr>
      <w:tr w:rsidR="00B25DA6" w:rsidRPr="00A453F9" w:rsidTr="007C138F">
        <w:trPr>
          <w:trHeight w:val="270"/>
        </w:trPr>
        <w:tc>
          <w:tcPr>
            <w:tcW w:w="2425" w:type="dxa"/>
            <w:tcBorders>
              <w:top w:val="nil"/>
              <w:left w:val="single" w:sz="4" w:space="0" w:color="auto"/>
              <w:bottom w:val="single" w:sz="4" w:space="0" w:color="auto"/>
              <w:right w:val="single" w:sz="4" w:space="0" w:color="auto"/>
            </w:tcBorders>
            <w:shd w:val="clear" w:color="000000" w:fill="B8CCE4"/>
            <w:noWrap/>
            <w:hideMark/>
          </w:tcPr>
          <w:p w:rsidR="00B25DA6" w:rsidRPr="00A453F9" w:rsidRDefault="00B25DA6" w:rsidP="007C138F">
            <w:pPr>
              <w:jc w:val="center"/>
              <w:rPr>
                <w:rFonts w:ascii="Garamond" w:eastAsia="Times New Roman" w:hAnsi="Garamond"/>
                <w:b/>
                <w:bCs/>
                <w:color w:val="000000"/>
                <w:sz w:val="20"/>
                <w:szCs w:val="20"/>
                <w:lang w:eastAsia="en-GB"/>
              </w:rPr>
            </w:pPr>
            <w:r w:rsidRPr="00A453F9">
              <w:rPr>
                <w:rFonts w:ascii="Garamond" w:eastAsia="Times New Roman" w:hAnsi="Garamond"/>
                <w:b/>
                <w:bCs/>
                <w:color w:val="000000"/>
                <w:sz w:val="20"/>
                <w:szCs w:val="20"/>
                <w:lang w:eastAsia="en-GB"/>
              </w:rPr>
              <w:t> </w:t>
            </w:r>
          </w:p>
        </w:tc>
        <w:tc>
          <w:tcPr>
            <w:tcW w:w="720"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c>
          <w:tcPr>
            <w:tcW w:w="900"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c>
          <w:tcPr>
            <w:tcW w:w="720"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c>
          <w:tcPr>
            <w:tcW w:w="900"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c>
          <w:tcPr>
            <w:tcW w:w="720"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c>
          <w:tcPr>
            <w:tcW w:w="900"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c>
          <w:tcPr>
            <w:tcW w:w="681"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c>
          <w:tcPr>
            <w:tcW w:w="928" w:type="dxa"/>
            <w:vMerge/>
            <w:tcBorders>
              <w:top w:val="nil"/>
              <w:left w:val="single" w:sz="4" w:space="0" w:color="auto"/>
              <w:bottom w:val="single" w:sz="4" w:space="0" w:color="auto"/>
              <w:right w:val="single" w:sz="4" w:space="0" w:color="auto"/>
            </w:tcBorders>
            <w:vAlign w:val="center"/>
            <w:hideMark/>
          </w:tcPr>
          <w:p w:rsidR="00B25DA6" w:rsidRPr="00A453F9" w:rsidRDefault="00B25DA6" w:rsidP="007C138F">
            <w:pPr>
              <w:rPr>
                <w:rFonts w:ascii="Garamond" w:eastAsia="Times New Roman" w:hAnsi="Garamond"/>
                <w:b/>
                <w:bCs/>
                <w:color w:val="000000"/>
                <w:sz w:val="20"/>
                <w:szCs w:val="20"/>
                <w:lang w:eastAsia="en-GB"/>
              </w:rPr>
            </w:pPr>
          </w:p>
        </w:tc>
      </w:tr>
      <w:tr w:rsidR="00B25DA6" w:rsidRPr="00A453F9" w:rsidTr="007C138F">
        <w:trPr>
          <w:trHeight w:val="218"/>
        </w:trPr>
        <w:tc>
          <w:tcPr>
            <w:tcW w:w="2425" w:type="dxa"/>
            <w:tcBorders>
              <w:top w:val="nil"/>
              <w:left w:val="single" w:sz="4" w:space="0" w:color="auto"/>
              <w:bottom w:val="single" w:sz="4" w:space="0" w:color="auto"/>
              <w:right w:val="nil"/>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1</w:t>
            </w:r>
          </w:p>
        </w:tc>
        <w:tc>
          <w:tcPr>
            <w:tcW w:w="720" w:type="dxa"/>
            <w:tcBorders>
              <w:top w:val="nil"/>
              <w:left w:val="single" w:sz="4" w:space="0" w:color="auto"/>
              <w:bottom w:val="nil"/>
              <w:right w:val="nil"/>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2</w:t>
            </w:r>
          </w:p>
        </w:tc>
        <w:tc>
          <w:tcPr>
            <w:tcW w:w="900" w:type="dxa"/>
            <w:tcBorders>
              <w:top w:val="nil"/>
              <w:left w:val="single" w:sz="4" w:space="0" w:color="auto"/>
              <w:bottom w:val="single" w:sz="4" w:space="0" w:color="auto"/>
              <w:right w:val="single" w:sz="4" w:space="0" w:color="auto"/>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3</w:t>
            </w:r>
          </w:p>
        </w:tc>
        <w:tc>
          <w:tcPr>
            <w:tcW w:w="720" w:type="dxa"/>
            <w:tcBorders>
              <w:top w:val="nil"/>
              <w:left w:val="nil"/>
              <w:bottom w:val="single" w:sz="4" w:space="0" w:color="auto"/>
              <w:right w:val="single" w:sz="4" w:space="0" w:color="auto"/>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4</w:t>
            </w:r>
          </w:p>
        </w:tc>
        <w:tc>
          <w:tcPr>
            <w:tcW w:w="900" w:type="dxa"/>
            <w:tcBorders>
              <w:top w:val="nil"/>
              <w:left w:val="nil"/>
              <w:bottom w:val="single" w:sz="4" w:space="0" w:color="auto"/>
              <w:right w:val="single" w:sz="4" w:space="0" w:color="auto"/>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5</w:t>
            </w:r>
          </w:p>
        </w:tc>
        <w:tc>
          <w:tcPr>
            <w:tcW w:w="720" w:type="dxa"/>
            <w:tcBorders>
              <w:top w:val="nil"/>
              <w:left w:val="nil"/>
              <w:bottom w:val="single" w:sz="4" w:space="0" w:color="auto"/>
              <w:right w:val="single" w:sz="4" w:space="0" w:color="auto"/>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6</w:t>
            </w:r>
          </w:p>
        </w:tc>
        <w:tc>
          <w:tcPr>
            <w:tcW w:w="900" w:type="dxa"/>
            <w:tcBorders>
              <w:top w:val="nil"/>
              <w:left w:val="nil"/>
              <w:bottom w:val="single" w:sz="4" w:space="0" w:color="auto"/>
              <w:right w:val="single" w:sz="4" w:space="0" w:color="auto"/>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7</w:t>
            </w:r>
          </w:p>
        </w:tc>
        <w:tc>
          <w:tcPr>
            <w:tcW w:w="681" w:type="dxa"/>
            <w:tcBorders>
              <w:top w:val="nil"/>
              <w:left w:val="nil"/>
              <w:bottom w:val="single" w:sz="4" w:space="0" w:color="auto"/>
              <w:right w:val="single" w:sz="4" w:space="0" w:color="auto"/>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8</w:t>
            </w:r>
          </w:p>
        </w:tc>
        <w:tc>
          <w:tcPr>
            <w:tcW w:w="928" w:type="dxa"/>
            <w:tcBorders>
              <w:top w:val="nil"/>
              <w:left w:val="nil"/>
              <w:bottom w:val="single" w:sz="4" w:space="0" w:color="auto"/>
              <w:right w:val="single" w:sz="4" w:space="0" w:color="auto"/>
            </w:tcBorders>
            <w:shd w:val="clear" w:color="000000" w:fill="C5D9F1"/>
            <w:noWrap/>
            <w:hideMark/>
          </w:tcPr>
          <w:p w:rsidR="00B25DA6" w:rsidRPr="00A453F9" w:rsidRDefault="00B25DA6" w:rsidP="007C138F">
            <w:pPr>
              <w:jc w:val="center"/>
              <w:rPr>
                <w:rFonts w:ascii="Garamond" w:eastAsia="Times New Roman" w:hAnsi="Garamond"/>
                <w:i/>
                <w:iCs/>
                <w:color w:val="000000"/>
                <w:sz w:val="20"/>
                <w:szCs w:val="20"/>
                <w:lang w:eastAsia="en-GB"/>
              </w:rPr>
            </w:pPr>
            <w:r w:rsidRPr="00A453F9">
              <w:rPr>
                <w:rFonts w:ascii="Garamond" w:eastAsia="Times New Roman" w:hAnsi="Garamond"/>
                <w:i/>
                <w:iCs/>
                <w:color w:val="000000"/>
                <w:sz w:val="20"/>
                <w:szCs w:val="20"/>
                <w:lang w:eastAsia="en-GB"/>
              </w:rPr>
              <w:t>9</w:t>
            </w:r>
          </w:p>
        </w:tc>
      </w:tr>
      <w:tr w:rsidR="00B25DA6" w:rsidRPr="00A453F9" w:rsidTr="007C138F">
        <w:trPr>
          <w:trHeight w:val="281"/>
        </w:trPr>
        <w:tc>
          <w:tcPr>
            <w:tcW w:w="2425" w:type="dxa"/>
            <w:tcBorders>
              <w:top w:val="nil"/>
              <w:left w:val="single" w:sz="4" w:space="0" w:color="auto"/>
              <w:bottom w:val="nil"/>
              <w:right w:val="nil"/>
            </w:tcBorders>
            <w:shd w:val="clear" w:color="000000" w:fill="C5D9F1"/>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a. Public Issues</w:t>
            </w:r>
          </w:p>
        </w:tc>
        <w:tc>
          <w:tcPr>
            <w:tcW w:w="720" w:type="dxa"/>
            <w:tcBorders>
              <w:top w:val="single" w:sz="4" w:space="0" w:color="auto"/>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13</w:t>
            </w:r>
          </w:p>
        </w:tc>
        <w:tc>
          <w:tcPr>
            <w:tcW w:w="90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1,656</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w:t>
            </w:r>
          </w:p>
        </w:tc>
        <w:tc>
          <w:tcPr>
            <w:tcW w:w="90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2,258</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169</w:t>
            </w:r>
          </w:p>
        </w:tc>
        <w:tc>
          <w:tcPr>
            <w:tcW w:w="90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72,180</w:t>
            </w:r>
          </w:p>
        </w:tc>
        <w:tc>
          <w:tcPr>
            <w:tcW w:w="681"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96</w:t>
            </w:r>
          </w:p>
        </w:tc>
        <w:tc>
          <w:tcPr>
            <w:tcW w:w="928" w:type="dxa"/>
            <w:tcBorders>
              <w:top w:val="single" w:sz="4" w:space="0" w:color="auto"/>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55,220</w:t>
            </w:r>
          </w:p>
        </w:tc>
      </w:tr>
      <w:tr w:rsidR="00B25DA6" w:rsidRPr="00A453F9" w:rsidTr="007C138F">
        <w:trPr>
          <w:trHeight w:val="281"/>
        </w:trPr>
        <w:tc>
          <w:tcPr>
            <w:tcW w:w="2425" w:type="dxa"/>
            <w:tcBorders>
              <w:top w:val="nil"/>
              <w:left w:val="single" w:sz="4" w:space="0" w:color="auto"/>
              <w:bottom w:val="nil"/>
              <w:right w:val="nil"/>
            </w:tcBorders>
            <w:shd w:val="clear" w:color="000000" w:fill="C5D9F1"/>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(i) Debt</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90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90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5</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4,125</w:t>
            </w:r>
          </w:p>
        </w:tc>
        <w:tc>
          <w:tcPr>
            <w:tcW w:w="681"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15</w:t>
            </w:r>
          </w:p>
        </w:tc>
        <w:tc>
          <w:tcPr>
            <w:tcW w:w="928"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29,328</w:t>
            </w:r>
          </w:p>
        </w:tc>
      </w:tr>
      <w:tr w:rsidR="00B25DA6" w:rsidRPr="00A453F9" w:rsidTr="007C138F">
        <w:trPr>
          <w:trHeight w:val="281"/>
        </w:trPr>
        <w:tc>
          <w:tcPr>
            <w:tcW w:w="2425" w:type="dxa"/>
            <w:tcBorders>
              <w:top w:val="nil"/>
              <w:left w:val="single" w:sz="4" w:space="0" w:color="auto"/>
              <w:bottom w:val="nil"/>
              <w:right w:val="nil"/>
            </w:tcBorders>
            <w:shd w:val="clear" w:color="000000" w:fill="C5D9F1"/>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(ii) Equity, of which</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 </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 </w:t>
            </w:r>
          </w:p>
        </w:tc>
        <w:tc>
          <w:tcPr>
            <w:tcW w:w="720" w:type="dxa"/>
            <w:tcBorders>
              <w:top w:val="nil"/>
              <w:left w:val="nil"/>
              <w:bottom w:val="nil"/>
              <w:right w:val="nil"/>
            </w:tcBorders>
            <w:shd w:val="clear" w:color="auto" w:fill="auto"/>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 </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 </w:t>
            </w:r>
          </w:p>
        </w:tc>
        <w:tc>
          <w:tcPr>
            <w:tcW w:w="720" w:type="dxa"/>
            <w:tcBorders>
              <w:top w:val="nil"/>
              <w:left w:val="nil"/>
              <w:bottom w:val="nil"/>
              <w:right w:val="nil"/>
            </w:tcBorders>
            <w:shd w:val="clear" w:color="auto" w:fill="auto"/>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 </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 </w:t>
            </w:r>
          </w:p>
        </w:tc>
        <w:tc>
          <w:tcPr>
            <w:tcW w:w="681" w:type="dxa"/>
            <w:tcBorders>
              <w:top w:val="nil"/>
              <w:left w:val="nil"/>
              <w:bottom w:val="nil"/>
              <w:right w:val="single" w:sz="4" w:space="0" w:color="auto"/>
            </w:tcBorders>
            <w:shd w:val="clear" w:color="auto" w:fill="auto"/>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 </w:t>
            </w:r>
          </w:p>
        </w:tc>
        <w:tc>
          <w:tcPr>
            <w:tcW w:w="928" w:type="dxa"/>
            <w:tcBorders>
              <w:top w:val="nil"/>
              <w:left w:val="nil"/>
              <w:bottom w:val="nil"/>
              <w:right w:val="single" w:sz="4" w:space="0" w:color="auto"/>
            </w:tcBorders>
            <w:shd w:val="clear" w:color="auto" w:fill="auto"/>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 </w:t>
            </w:r>
          </w:p>
        </w:tc>
      </w:tr>
      <w:tr w:rsidR="00B25DA6" w:rsidRPr="00A453F9" w:rsidTr="007C138F">
        <w:trPr>
          <w:trHeight w:val="281"/>
        </w:trPr>
        <w:tc>
          <w:tcPr>
            <w:tcW w:w="2425" w:type="dxa"/>
            <w:tcBorders>
              <w:top w:val="nil"/>
              <w:left w:val="single" w:sz="4" w:space="0" w:color="auto"/>
              <w:bottom w:val="nil"/>
              <w:right w:val="nil"/>
            </w:tcBorders>
            <w:shd w:val="clear" w:color="000000" w:fill="C5D9F1"/>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IPOs</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13</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1,656</w:t>
            </w:r>
          </w:p>
        </w:tc>
        <w:tc>
          <w:tcPr>
            <w:tcW w:w="720" w:type="dxa"/>
            <w:tcBorders>
              <w:top w:val="nil"/>
              <w:left w:val="nil"/>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2,258</w:t>
            </w:r>
          </w:p>
        </w:tc>
        <w:tc>
          <w:tcPr>
            <w:tcW w:w="720" w:type="dxa"/>
            <w:tcBorders>
              <w:top w:val="nil"/>
              <w:left w:val="nil"/>
              <w:bottom w:val="nil"/>
              <w:right w:val="nil"/>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163</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68,043</w:t>
            </w:r>
          </w:p>
        </w:tc>
        <w:tc>
          <w:tcPr>
            <w:tcW w:w="681"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80</w:t>
            </w:r>
          </w:p>
        </w:tc>
        <w:tc>
          <w:tcPr>
            <w:tcW w:w="928"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25,882</w:t>
            </w:r>
          </w:p>
        </w:tc>
      </w:tr>
      <w:tr w:rsidR="00B25DA6" w:rsidRPr="00A453F9" w:rsidTr="007C138F">
        <w:trPr>
          <w:trHeight w:val="281"/>
        </w:trPr>
        <w:tc>
          <w:tcPr>
            <w:tcW w:w="2425" w:type="dxa"/>
            <w:tcBorders>
              <w:top w:val="nil"/>
              <w:left w:val="single" w:sz="4" w:space="0" w:color="auto"/>
              <w:bottom w:val="nil"/>
              <w:right w:val="nil"/>
            </w:tcBorders>
            <w:shd w:val="clear" w:color="000000" w:fill="C5D9F1"/>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FPOs</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720" w:type="dxa"/>
            <w:tcBorders>
              <w:top w:val="nil"/>
              <w:left w:val="nil"/>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720" w:type="dxa"/>
            <w:tcBorders>
              <w:top w:val="nil"/>
              <w:left w:val="nil"/>
              <w:bottom w:val="nil"/>
              <w:right w:val="nil"/>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1</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13</w:t>
            </w:r>
          </w:p>
        </w:tc>
        <w:tc>
          <w:tcPr>
            <w:tcW w:w="681"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1</w:t>
            </w:r>
          </w:p>
        </w:tc>
        <w:tc>
          <w:tcPr>
            <w:tcW w:w="928"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10</w:t>
            </w:r>
          </w:p>
        </w:tc>
      </w:tr>
      <w:tr w:rsidR="00B25DA6" w:rsidRPr="00A453F9" w:rsidTr="007C138F">
        <w:trPr>
          <w:trHeight w:val="281"/>
        </w:trPr>
        <w:tc>
          <w:tcPr>
            <w:tcW w:w="2425" w:type="dxa"/>
            <w:tcBorders>
              <w:top w:val="nil"/>
              <w:left w:val="single" w:sz="4" w:space="0" w:color="auto"/>
              <w:bottom w:val="nil"/>
              <w:right w:val="nil"/>
            </w:tcBorders>
            <w:shd w:val="clear" w:color="000000" w:fill="C5D9F1"/>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b. Rights Issues</w:t>
            </w:r>
          </w:p>
        </w:tc>
        <w:tc>
          <w:tcPr>
            <w:tcW w:w="720" w:type="dxa"/>
            <w:tcBorders>
              <w:top w:val="nil"/>
              <w:left w:val="single" w:sz="4" w:space="0" w:color="auto"/>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16,711</w:t>
            </w:r>
          </w:p>
        </w:tc>
        <w:tc>
          <w:tcPr>
            <w:tcW w:w="720" w:type="dxa"/>
            <w:tcBorders>
              <w:top w:val="nil"/>
              <w:left w:val="nil"/>
              <w:bottom w:val="nil"/>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w:t>
            </w:r>
          </w:p>
        </w:tc>
        <w:tc>
          <w:tcPr>
            <w:tcW w:w="900" w:type="dxa"/>
            <w:tcBorders>
              <w:top w:val="nil"/>
              <w:left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18</w:t>
            </w:r>
          </w:p>
        </w:tc>
        <w:tc>
          <w:tcPr>
            <w:tcW w:w="720" w:type="dxa"/>
            <w:tcBorders>
              <w:top w:val="nil"/>
              <w:left w:val="nil"/>
              <w:bottom w:val="nil"/>
              <w:right w:val="nil"/>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19</w:t>
            </w:r>
          </w:p>
        </w:tc>
        <w:tc>
          <w:tcPr>
            <w:tcW w:w="900" w:type="dxa"/>
            <w:tcBorders>
              <w:top w:val="nil"/>
              <w:left w:val="single" w:sz="4" w:space="0" w:color="auto"/>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21,250</w:t>
            </w:r>
          </w:p>
        </w:tc>
        <w:tc>
          <w:tcPr>
            <w:tcW w:w="681"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8</w:t>
            </w:r>
          </w:p>
        </w:tc>
        <w:tc>
          <w:tcPr>
            <w:tcW w:w="928" w:type="dxa"/>
            <w:tcBorders>
              <w:top w:val="nil"/>
              <w:left w:val="nil"/>
              <w:bottom w:val="nil"/>
              <w:right w:val="single" w:sz="4" w:space="0" w:color="auto"/>
            </w:tcBorders>
            <w:shd w:val="clear" w:color="auto" w:fill="auto"/>
            <w:noWrap/>
            <w:hideMark/>
          </w:tcPr>
          <w:p w:rsidR="00B25DA6" w:rsidRPr="00A453F9" w:rsidRDefault="00B25DA6" w:rsidP="007C138F">
            <w:pPr>
              <w:jc w:val="right"/>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2,028</w:t>
            </w:r>
          </w:p>
        </w:tc>
      </w:tr>
      <w:tr w:rsidR="00B25DA6" w:rsidRPr="00A453F9" w:rsidTr="007C138F">
        <w:trPr>
          <w:trHeight w:val="281"/>
        </w:trPr>
        <w:tc>
          <w:tcPr>
            <w:tcW w:w="2425" w:type="dxa"/>
            <w:tcBorders>
              <w:top w:val="nil"/>
              <w:left w:val="single" w:sz="4" w:space="0" w:color="auto"/>
              <w:bottom w:val="nil"/>
              <w:right w:val="nil"/>
            </w:tcBorders>
            <w:shd w:val="clear" w:color="000000" w:fill="C5D9F1"/>
            <w:noWrap/>
            <w:hideMark/>
          </w:tcPr>
          <w:p w:rsidR="00B25DA6" w:rsidRPr="00A453F9" w:rsidRDefault="00B25DA6" w:rsidP="007C138F">
            <w:pPr>
              <w:rPr>
                <w:rFonts w:ascii="Garamond" w:eastAsia="Times New Roman" w:hAnsi="Garamond"/>
                <w:color w:val="000000"/>
                <w:sz w:val="20"/>
                <w:szCs w:val="20"/>
                <w:lang w:eastAsia="en-GB"/>
              </w:rPr>
            </w:pPr>
            <w:r w:rsidRPr="00A453F9">
              <w:rPr>
                <w:rFonts w:ascii="Garamond" w:eastAsia="Times New Roman" w:hAnsi="Garamond"/>
                <w:color w:val="000000"/>
                <w:sz w:val="20"/>
                <w:szCs w:val="20"/>
                <w:lang w:eastAsia="en-GB"/>
              </w:rPr>
              <w:t>Total Equity Issues a(ii)+b</w:t>
            </w:r>
          </w:p>
        </w:tc>
        <w:tc>
          <w:tcPr>
            <w:tcW w:w="720" w:type="dxa"/>
            <w:tcBorders>
              <w:top w:val="nil"/>
              <w:left w:val="single" w:sz="4" w:space="0" w:color="auto"/>
              <w:bottom w:val="single" w:sz="4" w:space="0" w:color="auto"/>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w:t>
            </w:r>
          </w:p>
        </w:tc>
        <w:tc>
          <w:tcPr>
            <w:tcW w:w="900" w:type="dxa"/>
            <w:tcBorders>
              <w:top w:val="nil"/>
              <w:left w:val="single" w:sz="4" w:space="0" w:color="auto"/>
              <w:bottom w:val="single" w:sz="4" w:space="0" w:color="auto"/>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18,367</w:t>
            </w:r>
          </w:p>
        </w:tc>
        <w:tc>
          <w:tcPr>
            <w:tcW w:w="720" w:type="dxa"/>
            <w:tcBorders>
              <w:top w:val="nil"/>
              <w:left w:val="single" w:sz="4" w:space="0" w:color="auto"/>
              <w:bottom w:val="single" w:sz="4" w:space="0" w:color="auto"/>
              <w:right w:val="nil"/>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18</w:t>
            </w:r>
          </w:p>
        </w:tc>
        <w:tc>
          <w:tcPr>
            <w:tcW w:w="900" w:type="dxa"/>
            <w:tcBorders>
              <w:top w:val="nil"/>
              <w:left w:val="single" w:sz="4" w:space="0" w:color="auto"/>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2,276</w:t>
            </w:r>
          </w:p>
        </w:tc>
        <w:tc>
          <w:tcPr>
            <w:tcW w:w="720" w:type="dxa"/>
            <w:tcBorders>
              <w:top w:val="nil"/>
              <w:left w:val="single" w:sz="4" w:space="0" w:color="auto"/>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183</w:t>
            </w:r>
          </w:p>
        </w:tc>
        <w:tc>
          <w:tcPr>
            <w:tcW w:w="900" w:type="dxa"/>
            <w:tcBorders>
              <w:top w:val="nil"/>
              <w:left w:val="nil"/>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89,306</w:t>
            </w:r>
          </w:p>
        </w:tc>
        <w:tc>
          <w:tcPr>
            <w:tcW w:w="681" w:type="dxa"/>
            <w:tcBorders>
              <w:top w:val="nil"/>
              <w:left w:val="nil"/>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89</w:t>
            </w:r>
          </w:p>
        </w:tc>
        <w:tc>
          <w:tcPr>
            <w:tcW w:w="928" w:type="dxa"/>
            <w:tcBorders>
              <w:top w:val="nil"/>
              <w:left w:val="nil"/>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27,920</w:t>
            </w:r>
          </w:p>
        </w:tc>
      </w:tr>
      <w:tr w:rsidR="00B25DA6" w:rsidRPr="00A453F9" w:rsidTr="007C138F">
        <w:trPr>
          <w:trHeight w:val="239"/>
        </w:trPr>
        <w:tc>
          <w:tcPr>
            <w:tcW w:w="2425" w:type="dxa"/>
            <w:tcBorders>
              <w:top w:val="single" w:sz="4" w:space="0" w:color="auto"/>
              <w:left w:val="single" w:sz="4" w:space="0" w:color="auto"/>
              <w:bottom w:val="single" w:sz="4" w:space="0" w:color="auto"/>
              <w:right w:val="nil"/>
            </w:tcBorders>
            <w:shd w:val="clear" w:color="000000" w:fill="C5D9F1"/>
            <w:noWrap/>
            <w:hideMark/>
          </w:tcPr>
          <w:p w:rsidR="00B25DA6" w:rsidRPr="00A453F9" w:rsidRDefault="00B25DA6" w:rsidP="007C138F">
            <w:pP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Grand Total (a+b)</w:t>
            </w:r>
          </w:p>
        </w:tc>
        <w:tc>
          <w:tcPr>
            <w:tcW w:w="720" w:type="dxa"/>
            <w:tcBorders>
              <w:top w:val="nil"/>
              <w:left w:val="single" w:sz="4" w:space="0" w:color="auto"/>
              <w:bottom w:val="single" w:sz="4" w:space="0" w:color="auto"/>
              <w:right w:val="nil"/>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17</w:t>
            </w:r>
          </w:p>
        </w:tc>
        <w:tc>
          <w:tcPr>
            <w:tcW w:w="900" w:type="dxa"/>
            <w:tcBorders>
              <w:top w:val="nil"/>
              <w:left w:val="single" w:sz="4" w:space="0" w:color="auto"/>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18,367</w:t>
            </w:r>
          </w:p>
        </w:tc>
        <w:tc>
          <w:tcPr>
            <w:tcW w:w="720" w:type="dxa"/>
            <w:tcBorders>
              <w:top w:val="nil"/>
              <w:left w:val="nil"/>
              <w:bottom w:val="single" w:sz="4" w:space="0" w:color="auto"/>
              <w:right w:val="nil"/>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18</w:t>
            </w:r>
          </w:p>
        </w:tc>
        <w:tc>
          <w:tcPr>
            <w:tcW w:w="900" w:type="dxa"/>
            <w:tcBorders>
              <w:top w:val="nil"/>
              <w:left w:val="single" w:sz="4" w:space="0" w:color="auto"/>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2,276</w:t>
            </w:r>
          </w:p>
        </w:tc>
        <w:tc>
          <w:tcPr>
            <w:tcW w:w="720" w:type="dxa"/>
            <w:tcBorders>
              <w:top w:val="nil"/>
              <w:left w:val="nil"/>
              <w:bottom w:val="single" w:sz="4" w:space="0" w:color="auto"/>
              <w:right w:val="nil"/>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188</w:t>
            </w:r>
          </w:p>
        </w:tc>
        <w:tc>
          <w:tcPr>
            <w:tcW w:w="900" w:type="dxa"/>
            <w:tcBorders>
              <w:top w:val="nil"/>
              <w:left w:val="single" w:sz="4" w:space="0" w:color="auto"/>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93,430</w:t>
            </w:r>
          </w:p>
        </w:tc>
        <w:tc>
          <w:tcPr>
            <w:tcW w:w="681" w:type="dxa"/>
            <w:tcBorders>
              <w:top w:val="nil"/>
              <w:left w:val="nil"/>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104</w:t>
            </w:r>
          </w:p>
        </w:tc>
        <w:tc>
          <w:tcPr>
            <w:tcW w:w="928" w:type="dxa"/>
            <w:tcBorders>
              <w:top w:val="nil"/>
              <w:left w:val="nil"/>
              <w:bottom w:val="single" w:sz="4" w:space="0" w:color="auto"/>
              <w:right w:val="single" w:sz="4" w:space="0" w:color="auto"/>
            </w:tcBorders>
            <w:shd w:val="clear" w:color="auto" w:fill="auto"/>
            <w:noWrap/>
            <w:hideMark/>
          </w:tcPr>
          <w:p w:rsidR="00B25DA6" w:rsidRPr="00A453F9" w:rsidRDefault="00B25DA6" w:rsidP="007C138F">
            <w:pPr>
              <w:jc w:val="right"/>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57,248</w:t>
            </w:r>
          </w:p>
        </w:tc>
      </w:tr>
    </w:tbl>
    <w:p w:rsidR="00B25DA6" w:rsidRPr="00A453F9" w:rsidRDefault="00B25DA6" w:rsidP="00B25DA6">
      <w:pPr>
        <w:rPr>
          <w:rFonts w:ascii="Garamond" w:hAnsi="Garamond"/>
          <w:b/>
          <w:i/>
          <w:sz w:val="20"/>
          <w:szCs w:val="20"/>
        </w:rPr>
      </w:pPr>
      <w:r w:rsidRPr="00A453F9">
        <w:rPr>
          <w:rFonts w:ascii="Garamond" w:hAnsi="Garamond"/>
          <w:b/>
          <w:i/>
          <w:sz w:val="20"/>
          <w:szCs w:val="20"/>
        </w:rPr>
        <w:t xml:space="preserve">Notes: </w:t>
      </w:r>
    </w:p>
    <w:p w:rsidR="00B25DA6" w:rsidRPr="00A453F9" w:rsidRDefault="00B25DA6" w:rsidP="00B25DA6">
      <w:pPr>
        <w:rPr>
          <w:rFonts w:ascii="Garamond" w:hAnsi="Garamond"/>
          <w:i/>
          <w:sz w:val="20"/>
          <w:szCs w:val="20"/>
        </w:rPr>
      </w:pPr>
      <w:r w:rsidRPr="00A453F9">
        <w:rPr>
          <w:rFonts w:ascii="Garamond" w:hAnsi="Garamond"/>
          <w:i/>
          <w:sz w:val="20"/>
          <w:szCs w:val="20"/>
        </w:rPr>
        <w:t xml:space="preserve">1. IPOs - Initial Public Offers (IPOs include SME IPOs), FPOs - Follow on Public Offers </w:t>
      </w:r>
    </w:p>
    <w:p w:rsidR="00B25DA6" w:rsidRPr="00A453F9" w:rsidRDefault="00B25DA6" w:rsidP="00B25DA6">
      <w:pPr>
        <w:rPr>
          <w:rFonts w:ascii="Garamond" w:hAnsi="Garamond"/>
          <w:i/>
          <w:sz w:val="20"/>
          <w:szCs w:val="20"/>
        </w:rPr>
      </w:pPr>
      <w:r w:rsidRPr="00A453F9">
        <w:rPr>
          <w:rFonts w:ascii="Garamond" w:hAnsi="Garamond"/>
          <w:i/>
          <w:sz w:val="20"/>
          <w:szCs w:val="20"/>
        </w:rPr>
        <w:t>2. Amount raised through debt issues for the last two months are provisional.</w:t>
      </w:r>
    </w:p>
    <w:p w:rsidR="00B25DA6" w:rsidRPr="00A453F9" w:rsidRDefault="00B25DA6" w:rsidP="00B25DA6">
      <w:pPr>
        <w:rPr>
          <w:rFonts w:ascii="Garamond" w:hAnsi="Garamond"/>
          <w:b/>
          <w:sz w:val="18"/>
          <w:szCs w:val="18"/>
        </w:rPr>
      </w:pPr>
      <w:r w:rsidRPr="00A453F9">
        <w:rPr>
          <w:rFonts w:ascii="Garamond" w:hAnsi="Garamond"/>
          <w:i/>
          <w:sz w:val="20"/>
          <w:szCs w:val="20"/>
        </w:rPr>
        <w:t>$ denotes as at the end of February of the respective years</w:t>
      </w:r>
    </w:p>
    <w:p w:rsidR="00B25DA6" w:rsidRPr="00991592" w:rsidRDefault="00B25DA6" w:rsidP="00B25DA6">
      <w:pPr>
        <w:rPr>
          <w:rFonts w:ascii="Garamond" w:hAnsi="Garamond"/>
          <w:b/>
          <w:color w:val="000099"/>
          <w:sz w:val="18"/>
          <w:szCs w:val="18"/>
        </w:rPr>
      </w:pPr>
    </w:p>
    <w:p w:rsidR="00B25DA6" w:rsidRPr="00991592" w:rsidRDefault="00B25DA6" w:rsidP="00B25DA6">
      <w:pPr>
        <w:rPr>
          <w:rFonts w:ascii="Garamond" w:hAnsi="Garamond"/>
          <w:b/>
          <w:color w:val="000099"/>
          <w:sz w:val="18"/>
          <w:szCs w:val="18"/>
        </w:rPr>
      </w:pPr>
    </w:p>
    <w:bookmarkEnd w:id="1"/>
    <w:bookmarkEnd w:id="2"/>
    <w:p w:rsidR="00B25DA6" w:rsidRPr="00D82597" w:rsidRDefault="00B25DA6" w:rsidP="00B25DA6">
      <w:pPr>
        <w:numPr>
          <w:ilvl w:val="0"/>
          <w:numId w:val="1"/>
        </w:numPr>
        <w:jc w:val="both"/>
        <w:rPr>
          <w:rFonts w:ascii="Garamond" w:hAnsi="Garamond"/>
          <w:b/>
        </w:rPr>
      </w:pPr>
      <w:r w:rsidRPr="00D82597">
        <w:rPr>
          <w:rFonts w:ascii="Garamond" w:hAnsi="Garamond"/>
          <w:b/>
        </w:rPr>
        <w:t>Private Placement</w:t>
      </w:r>
    </w:p>
    <w:p w:rsidR="00B25DA6" w:rsidRPr="00D82597" w:rsidRDefault="00B25DA6" w:rsidP="00B25DA6">
      <w:pPr>
        <w:jc w:val="both"/>
        <w:rPr>
          <w:rFonts w:ascii="Garamond" w:hAnsi="Garamond"/>
          <w:b/>
        </w:rPr>
      </w:pPr>
    </w:p>
    <w:p w:rsidR="00B25DA6" w:rsidRPr="00D82597" w:rsidRDefault="00B25DA6" w:rsidP="00B25DA6">
      <w:pPr>
        <w:numPr>
          <w:ilvl w:val="0"/>
          <w:numId w:val="4"/>
        </w:numPr>
        <w:autoSpaceDE w:val="0"/>
        <w:autoSpaceDN w:val="0"/>
        <w:adjustRightInd w:val="0"/>
        <w:contextualSpacing/>
        <w:jc w:val="both"/>
        <w:rPr>
          <w:rFonts w:ascii="Garamond" w:hAnsi="Garamond"/>
          <w:b/>
        </w:rPr>
      </w:pPr>
      <w:r w:rsidRPr="00D82597">
        <w:rPr>
          <w:rFonts w:ascii="Garamond" w:hAnsi="Garamond"/>
          <w:b/>
        </w:rPr>
        <w:t>QIPs Listed at BSE and NSE</w:t>
      </w:r>
    </w:p>
    <w:p w:rsidR="00B25DA6" w:rsidRPr="00D82597" w:rsidRDefault="00B25DA6" w:rsidP="00B25DA6">
      <w:pPr>
        <w:autoSpaceDE w:val="0"/>
        <w:autoSpaceDN w:val="0"/>
        <w:adjustRightInd w:val="0"/>
        <w:jc w:val="both"/>
        <w:rPr>
          <w:rFonts w:ascii="Garamond" w:hAnsi="Garamond"/>
        </w:rPr>
      </w:pPr>
    </w:p>
    <w:p w:rsidR="00B25DA6" w:rsidRPr="00D82597" w:rsidRDefault="00B25DA6" w:rsidP="00B25DA6">
      <w:pPr>
        <w:autoSpaceDE w:val="0"/>
        <w:autoSpaceDN w:val="0"/>
        <w:adjustRightInd w:val="0"/>
        <w:jc w:val="both"/>
        <w:rPr>
          <w:rFonts w:ascii="Garamond" w:hAnsi="Garamond" w:cs="Garamond"/>
        </w:rPr>
      </w:pPr>
      <w:r w:rsidRPr="00D82597">
        <w:rPr>
          <w:rFonts w:ascii="Garamond" w:hAnsi="Garamond"/>
        </w:rPr>
        <w:t xml:space="preserve">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Institutional Buyers only. There were eight QIP issues during February 2018, which raised </w:t>
      </w:r>
      <w:r w:rsidRPr="00D82597">
        <w:rPr>
          <w:rFonts w:ascii="Rupee Foradian" w:hAnsi="Rupee Foradian"/>
        </w:rPr>
        <w:t>`</w:t>
      </w:r>
      <w:r w:rsidRPr="00D82597">
        <w:rPr>
          <w:rFonts w:ascii="Garamond" w:hAnsi="Garamond"/>
        </w:rPr>
        <w:t xml:space="preserve"> 5,604 </w:t>
      </w:r>
      <w:r w:rsidRPr="00D82597">
        <w:rPr>
          <w:rFonts w:ascii="Garamond" w:hAnsi="Garamond" w:cs="Garamond"/>
        </w:rPr>
        <w:t xml:space="preserve">crore </w:t>
      </w:r>
      <w:r w:rsidRPr="00D82597">
        <w:rPr>
          <w:rFonts w:ascii="Garamond" w:hAnsi="Garamond"/>
        </w:rPr>
        <w:t xml:space="preserve">compared to four QIP issues during January 2018 which raised </w:t>
      </w:r>
      <w:r w:rsidRPr="00D82597">
        <w:rPr>
          <w:rFonts w:ascii="Rupee Foradian" w:hAnsi="Rupee Foradian"/>
        </w:rPr>
        <w:t>`</w:t>
      </w:r>
      <w:r w:rsidRPr="00D82597">
        <w:rPr>
          <w:rFonts w:ascii="Garamond" w:hAnsi="Garamond"/>
        </w:rPr>
        <w:t xml:space="preserve"> 809 </w:t>
      </w:r>
      <w:r w:rsidRPr="00D82597">
        <w:rPr>
          <w:rFonts w:ascii="Garamond" w:hAnsi="Garamond" w:cs="Garamond"/>
        </w:rPr>
        <w:t xml:space="preserve">crore </w:t>
      </w:r>
      <w:r w:rsidRPr="00D82597">
        <w:rPr>
          <w:rFonts w:ascii="Garamond" w:hAnsi="Garamond" w:cs="Garamond"/>
          <w:b/>
        </w:rPr>
        <w:t>(</w:t>
      </w:r>
      <w:r w:rsidRPr="00D82597">
        <w:rPr>
          <w:rFonts w:ascii="Garamond" w:hAnsi="Garamond" w:cs="Garamond"/>
          <w:b/>
          <w:i/>
          <w:iCs/>
        </w:rPr>
        <w:t>Table 10</w:t>
      </w:r>
      <w:r w:rsidRPr="00D82597">
        <w:rPr>
          <w:rFonts w:ascii="Garamond" w:hAnsi="Garamond" w:cs="Garamond"/>
          <w:b/>
        </w:rPr>
        <w:t>)</w:t>
      </w:r>
      <w:r w:rsidRPr="00D82597">
        <w:rPr>
          <w:rFonts w:ascii="Garamond" w:hAnsi="Garamond" w:cs="Garamond"/>
        </w:rPr>
        <w:t>.</w:t>
      </w:r>
    </w:p>
    <w:p w:rsidR="00B25DA6" w:rsidRPr="00D82597" w:rsidRDefault="00B25DA6" w:rsidP="00B25DA6">
      <w:pPr>
        <w:autoSpaceDE w:val="0"/>
        <w:autoSpaceDN w:val="0"/>
        <w:adjustRightInd w:val="0"/>
        <w:jc w:val="both"/>
        <w:rPr>
          <w:rFonts w:ascii="Garamond" w:hAnsi="Garamond"/>
        </w:rPr>
      </w:pPr>
    </w:p>
    <w:p w:rsidR="00B25DA6" w:rsidRPr="00D82597" w:rsidRDefault="00B25DA6" w:rsidP="00B25DA6">
      <w:pPr>
        <w:numPr>
          <w:ilvl w:val="0"/>
          <w:numId w:val="4"/>
        </w:numPr>
        <w:autoSpaceDE w:val="0"/>
        <w:autoSpaceDN w:val="0"/>
        <w:adjustRightInd w:val="0"/>
        <w:contextualSpacing/>
        <w:jc w:val="both"/>
        <w:rPr>
          <w:rFonts w:ascii="Garamond" w:hAnsi="Garamond"/>
          <w:b/>
        </w:rPr>
      </w:pPr>
      <w:r w:rsidRPr="00D82597">
        <w:rPr>
          <w:rFonts w:ascii="Garamond" w:hAnsi="Garamond"/>
          <w:b/>
        </w:rPr>
        <w:t>Preferential Allotments Listed at BSE and NSE</w:t>
      </w:r>
    </w:p>
    <w:p w:rsidR="00B25DA6" w:rsidRPr="00D82597" w:rsidRDefault="00B25DA6" w:rsidP="00B25DA6">
      <w:pPr>
        <w:widowControl w:val="0"/>
        <w:jc w:val="both"/>
        <w:rPr>
          <w:rFonts w:ascii="Garamond" w:hAnsi="Garamond"/>
        </w:rPr>
      </w:pPr>
    </w:p>
    <w:p w:rsidR="00B25DA6" w:rsidRPr="00D82597" w:rsidRDefault="00B25DA6" w:rsidP="00B25DA6">
      <w:pPr>
        <w:widowControl w:val="0"/>
        <w:jc w:val="both"/>
        <w:rPr>
          <w:rFonts w:ascii="Garamond" w:hAnsi="Garamond"/>
        </w:rPr>
      </w:pPr>
      <w:r w:rsidRPr="00D82597">
        <w:rPr>
          <w:rFonts w:ascii="Garamond" w:hAnsi="Garamond"/>
        </w:rPr>
        <w:t xml:space="preserve">Preferential allotment also serves as an alternative mechanism of resource mobilization wherein a listed issuer issues shares or convertible securities to a select group of persons. There were 32 preferential allotments (amounting to </w:t>
      </w:r>
      <w:r w:rsidRPr="00D82597">
        <w:rPr>
          <w:rFonts w:ascii="Rupee Foradian" w:eastAsia="Times New Roman" w:hAnsi="Rupee Foradian"/>
          <w:bCs/>
          <w:szCs w:val="20"/>
          <w:lang w:eastAsia="en-GB" w:bidi="bn-IN"/>
        </w:rPr>
        <w:t>`</w:t>
      </w:r>
      <w:r w:rsidRPr="00D82597">
        <w:rPr>
          <w:rFonts w:ascii="Garamond" w:eastAsia="Times New Roman" w:hAnsi="Garamond"/>
          <w:bCs/>
          <w:szCs w:val="20"/>
          <w:lang w:eastAsia="en-GB" w:bidi="bn-IN"/>
        </w:rPr>
        <w:t xml:space="preserve"> 13,517</w:t>
      </w:r>
      <w:r w:rsidRPr="00D82597">
        <w:rPr>
          <w:rFonts w:ascii="Garamond" w:hAnsi="Garamond" w:cs="Garamond"/>
        </w:rPr>
        <w:t xml:space="preserve"> crore) listed at BSE and NSE together during February </w:t>
      </w:r>
      <w:r w:rsidRPr="00D82597">
        <w:rPr>
          <w:rFonts w:ascii="Garamond" w:hAnsi="Garamond" w:cs="Garamond"/>
        </w:rPr>
        <w:lastRenderedPageBreak/>
        <w:t xml:space="preserve">2018, compared to </w:t>
      </w:r>
      <w:r w:rsidRPr="00D82597">
        <w:rPr>
          <w:rFonts w:ascii="Garamond" w:hAnsi="Garamond"/>
        </w:rPr>
        <w:t xml:space="preserve">42 preferential allotments (amounting to </w:t>
      </w:r>
      <w:r w:rsidRPr="00D82597">
        <w:rPr>
          <w:rFonts w:ascii="Rupee Foradian" w:eastAsia="Times New Roman" w:hAnsi="Rupee Foradian"/>
          <w:bCs/>
          <w:szCs w:val="20"/>
          <w:lang w:eastAsia="en-GB" w:bidi="bn-IN"/>
        </w:rPr>
        <w:t>`</w:t>
      </w:r>
      <w:r w:rsidRPr="00D82597">
        <w:rPr>
          <w:rFonts w:ascii="Garamond" w:eastAsia="Times New Roman" w:hAnsi="Garamond"/>
          <w:bCs/>
          <w:szCs w:val="20"/>
          <w:lang w:eastAsia="en-GB" w:bidi="bn-IN"/>
        </w:rPr>
        <w:t xml:space="preserve"> 913</w:t>
      </w:r>
      <w:r w:rsidRPr="00D82597">
        <w:rPr>
          <w:rFonts w:ascii="Garamond" w:hAnsi="Garamond" w:cs="Garamond"/>
        </w:rPr>
        <w:t xml:space="preserve"> crore) during January 2018 </w:t>
      </w:r>
      <w:r w:rsidRPr="00D82597">
        <w:rPr>
          <w:rFonts w:ascii="Garamond" w:hAnsi="Garamond" w:cs="Garamond"/>
          <w:b/>
        </w:rPr>
        <w:t>(</w:t>
      </w:r>
      <w:r w:rsidRPr="00D82597">
        <w:rPr>
          <w:rFonts w:ascii="Garamond" w:hAnsi="Garamond" w:cs="Garamond"/>
          <w:b/>
          <w:i/>
          <w:iCs/>
        </w:rPr>
        <w:t>Table 11</w:t>
      </w:r>
      <w:r w:rsidRPr="00D82597">
        <w:rPr>
          <w:rFonts w:ascii="Garamond" w:hAnsi="Garamond" w:cs="Garamond"/>
          <w:b/>
        </w:rPr>
        <w:t>)</w:t>
      </w:r>
      <w:r w:rsidRPr="00D82597">
        <w:rPr>
          <w:rFonts w:ascii="Garamond" w:hAnsi="Garamond"/>
        </w:rPr>
        <w:t>.</w:t>
      </w:r>
    </w:p>
    <w:p w:rsidR="00B25DA6" w:rsidRPr="00991592" w:rsidRDefault="00B25DA6" w:rsidP="00B25DA6">
      <w:pPr>
        <w:widowControl w:val="0"/>
        <w:jc w:val="both"/>
        <w:rPr>
          <w:rFonts w:ascii="Garamond" w:hAnsi="Garamond"/>
          <w:color w:val="000099"/>
        </w:rPr>
      </w:pPr>
    </w:p>
    <w:p w:rsidR="00B25DA6" w:rsidRPr="00912E8C" w:rsidRDefault="00B25DA6" w:rsidP="00B25DA6">
      <w:pPr>
        <w:numPr>
          <w:ilvl w:val="0"/>
          <w:numId w:val="4"/>
        </w:numPr>
        <w:autoSpaceDE w:val="0"/>
        <w:autoSpaceDN w:val="0"/>
        <w:adjustRightInd w:val="0"/>
        <w:contextualSpacing/>
        <w:jc w:val="both"/>
        <w:rPr>
          <w:rFonts w:ascii="Garamond" w:hAnsi="Garamond"/>
          <w:b/>
        </w:rPr>
      </w:pPr>
      <w:r w:rsidRPr="00912E8C">
        <w:rPr>
          <w:rFonts w:ascii="Garamond" w:hAnsi="Garamond"/>
          <w:b/>
        </w:rPr>
        <w:t xml:space="preserve">Private Placement of Corporate Debt </w:t>
      </w:r>
    </w:p>
    <w:p w:rsidR="00B25DA6" w:rsidRPr="00912E8C" w:rsidRDefault="00B25DA6" w:rsidP="00B25DA6">
      <w:pPr>
        <w:widowControl w:val="0"/>
        <w:jc w:val="both"/>
        <w:rPr>
          <w:rFonts w:ascii="Garamond" w:hAnsi="Garamond"/>
        </w:rPr>
      </w:pPr>
    </w:p>
    <w:p w:rsidR="00B25DA6" w:rsidRPr="00912E8C" w:rsidRDefault="00B25DA6" w:rsidP="00B25DA6">
      <w:pPr>
        <w:jc w:val="both"/>
        <w:rPr>
          <w:rFonts w:ascii="Garamond" w:hAnsi="Garamond"/>
        </w:rPr>
      </w:pPr>
      <w:r w:rsidRPr="00912E8C">
        <w:rPr>
          <w:rFonts w:ascii="Garamond" w:hAnsi="Garamond"/>
        </w:rPr>
        <w:t xml:space="preserve">Private placement mechanism dominates the resource mobilization through corporate bonds. During February 2018, </w:t>
      </w:r>
      <w:r w:rsidRPr="00912E8C">
        <w:rPr>
          <w:rFonts w:ascii="Rupee Foradian" w:eastAsia="Times New Roman" w:hAnsi="Rupee Foradian"/>
          <w:bCs/>
          <w:szCs w:val="20"/>
          <w:lang w:eastAsia="en-GB" w:bidi="bn-IN"/>
        </w:rPr>
        <w:t>`</w:t>
      </w:r>
      <w:r w:rsidRPr="00912E8C">
        <w:rPr>
          <w:rFonts w:ascii="Garamond" w:eastAsia="Times New Roman" w:hAnsi="Garamond"/>
          <w:bCs/>
          <w:szCs w:val="20"/>
          <w:lang w:eastAsia="en-GB" w:bidi="bn-IN"/>
        </w:rPr>
        <w:t xml:space="preserve"> 46</w:t>
      </w:r>
      <w:r w:rsidRPr="00912E8C">
        <w:rPr>
          <w:rFonts w:ascii="Garamond" w:hAnsi="Garamond" w:cs="Calibri"/>
        </w:rPr>
        <w:t xml:space="preserve">,467 crore was raised </w:t>
      </w:r>
      <w:r w:rsidRPr="00912E8C">
        <w:rPr>
          <w:rFonts w:ascii="Garamond" w:eastAsia="Times New Roman" w:hAnsi="Garamond"/>
        </w:rPr>
        <w:t>through</w:t>
      </w:r>
      <w:r w:rsidRPr="00912E8C">
        <w:rPr>
          <w:rFonts w:ascii="Garamond" w:hAnsi="Garamond" w:cs="Calibri"/>
        </w:rPr>
        <w:t xml:space="preserve"> private placement of 330 issues in the</w:t>
      </w:r>
      <w:r w:rsidRPr="00912E8C">
        <w:rPr>
          <w:rFonts w:ascii="Garamond" w:hAnsi="Garamond"/>
        </w:rPr>
        <w:t xml:space="preserve"> corporate bond market. There was no public issue of debt during the month.</w:t>
      </w:r>
      <w:r>
        <w:rPr>
          <w:rFonts w:ascii="Garamond" w:hAnsi="Garamond"/>
        </w:rPr>
        <w:t xml:space="preserve"> </w:t>
      </w:r>
      <w:r w:rsidRPr="00912E8C">
        <w:rPr>
          <w:rFonts w:ascii="Garamond" w:hAnsi="Garamond"/>
        </w:rPr>
        <w:t xml:space="preserve">Total amount mobilised through public issues and private placement of both debt and equity combined stood at </w:t>
      </w:r>
      <w:r w:rsidRPr="00912E8C">
        <w:rPr>
          <w:rFonts w:ascii="Rupee Foradian" w:eastAsia="Times New Roman" w:hAnsi="Rupee Foradian"/>
          <w:bCs/>
          <w:szCs w:val="20"/>
          <w:lang w:eastAsia="en-GB" w:bidi="bn-IN"/>
        </w:rPr>
        <w:t>`</w:t>
      </w:r>
      <w:r w:rsidRPr="00912E8C">
        <w:rPr>
          <w:rFonts w:ascii="Garamond" w:hAnsi="Garamond" w:cs="Calibri"/>
        </w:rPr>
        <w:t xml:space="preserve"> 83,956 crore in February 2018 as compared to </w:t>
      </w:r>
      <w:r w:rsidRPr="00912E8C">
        <w:rPr>
          <w:rFonts w:ascii="Rupee Foradian" w:eastAsia="Times New Roman" w:hAnsi="Rupee Foradian"/>
          <w:bCs/>
          <w:szCs w:val="20"/>
          <w:lang w:eastAsia="en-GB" w:bidi="bn-IN"/>
        </w:rPr>
        <w:t>`</w:t>
      </w:r>
      <w:r w:rsidRPr="00912E8C">
        <w:rPr>
          <w:rFonts w:ascii="Garamond" w:hAnsi="Garamond" w:cs="Calibri"/>
        </w:rPr>
        <w:t xml:space="preserve"> 31,693 crore in January 2018</w:t>
      </w:r>
      <w:r>
        <w:rPr>
          <w:rFonts w:ascii="Garamond" w:hAnsi="Garamond" w:cs="Calibri"/>
        </w:rPr>
        <w:t xml:space="preserve"> </w:t>
      </w:r>
      <w:r w:rsidRPr="00912E8C">
        <w:rPr>
          <w:rFonts w:ascii="Garamond" w:hAnsi="Garamond" w:cs="Calibri"/>
          <w:b/>
        </w:rPr>
        <w:t>(</w:t>
      </w:r>
      <w:r w:rsidRPr="00912E8C">
        <w:rPr>
          <w:rFonts w:ascii="Garamond" w:hAnsi="Garamond" w:cs="Calibri"/>
          <w:b/>
          <w:i/>
          <w:iCs/>
        </w:rPr>
        <w:t xml:space="preserve">Table 12 and </w:t>
      </w:r>
      <w:r w:rsidRPr="00912E8C">
        <w:rPr>
          <w:rFonts w:ascii="Garamond" w:hAnsi="Garamond"/>
          <w:b/>
          <w:i/>
          <w:iCs/>
        </w:rPr>
        <w:t>Exhibit 1A</w:t>
      </w:r>
      <w:r w:rsidRPr="00912E8C">
        <w:rPr>
          <w:rFonts w:ascii="Garamond" w:hAnsi="Garamond"/>
          <w:b/>
        </w:rPr>
        <w:t>)</w:t>
      </w:r>
      <w:r w:rsidRPr="00912E8C">
        <w:rPr>
          <w:rFonts w:ascii="Garamond" w:hAnsi="Garamond" w:cs="Calibri"/>
        </w:rPr>
        <w:t>.</w:t>
      </w:r>
    </w:p>
    <w:p w:rsidR="00B25DA6" w:rsidRPr="00912E8C" w:rsidRDefault="00B25DA6" w:rsidP="00B25DA6">
      <w:pPr>
        <w:widowControl w:val="0"/>
        <w:jc w:val="both"/>
        <w:rPr>
          <w:rFonts w:ascii="Garamond" w:eastAsia="Times New Roman" w:hAnsi="Garamond"/>
          <w:highlight w:val="lightGray"/>
        </w:rPr>
      </w:pPr>
    </w:p>
    <w:p w:rsidR="00B25DA6" w:rsidRPr="00912E8C" w:rsidRDefault="00B25DA6" w:rsidP="00B25DA6">
      <w:pPr>
        <w:outlineLvl w:val="0"/>
        <w:rPr>
          <w:rFonts w:ascii="Garamond" w:eastAsia="Times New Roman" w:hAnsi="Garamond"/>
          <w:b/>
          <w:bCs/>
        </w:rPr>
      </w:pPr>
      <w:r w:rsidRPr="00912E8C">
        <w:rPr>
          <w:rFonts w:ascii="Garamond" w:eastAsia="Times New Roman" w:hAnsi="Garamond"/>
          <w:b/>
          <w:bCs/>
        </w:rPr>
        <w:t>Exhibit 1A: Total Resources Mobilised by Corporate Sector (</w:t>
      </w:r>
      <w:r w:rsidRPr="00912E8C">
        <w:rPr>
          <w:rFonts w:ascii="Rupee Foradian" w:eastAsia="Times New Roman" w:hAnsi="Rupee Foradian"/>
          <w:b/>
          <w:bCs/>
          <w:szCs w:val="20"/>
          <w:lang w:eastAsia="en-GB" w:bidi="bn-IN"/>
        </w:rPr>
        <w:t>`</w:t>
      </w:r>
      <w:r w:rsidRPr="00912E8C">
        <w:rPr>
          <w:rFonts w:ascii="Garamond" w:eastAsia="Times New Roman" w:hAnsi="Garamond"/>
        </w:rPr>
        <w:t xml:space="preserve"> </w:t>
      </w:r>
      <w:r w:rsidRPr="00912E8C">
        <w:rPr>
          <w:rFonts w:ascii="Garamond" w:eastAsia="Times New Roman" w:hAnsi="Garamond"/>
          <w:b/>
          <w:bCs/>
        </w:rPr>
        <w:t>crore)</w:t>
      </w:r>
    </w:p>
    <w:tbl>
      <w:tblPr>
        <w:tblW w:w="8822" w:type="dxa"/>
        <w:jc w:val="center"/>
        <w:tblLook w:val="04A0" w:firstRow="1" w:lastRow="0" w:firstColumn="1" w:lastColumn="0" w:noHBand="0" w:noVBand="1"/>
      </w:tblPr>
      <w:tblGrid>
        <w:gridCol w:w="926"/>
        <w:gridCol w:w="981"/>
        <w:gridCol w:w="1194"/>
        <w:gridCol w:w="854"/>
        <w:gridCol w:w="810"/>
        <w:gridCol w:w="1194"/>
        <w:gridCol w:w="883"/>
        <w:gridCol w:w="1980"/>
      </w:tblGrid>
      <w:tr w:rsidR="00B25DA6" w:rsidRPr="00A453F9" w:rsidTr="007C138F">
        <w:trPr>
          <w:trHeight w:val="53"/>
          <w:jc w:val="center"/>
        </w:trPr>
        <w:tc>
          <w:tcPr>
            <w:tcW w:w="926"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Month</w:t>
            </w:r>
          </w:p>
        </w:tc>
        <w:tc>
          <w:tcPr>
            <w:tcW w:w="3029" w:type="dxa"/>
            <w:gridSpan w:val="3"/>
            <w:tcBorders>
              <w:top w:val="single" w:sz="4" w:space="0" w:color="auto"/>
              <w:left w:val="nil"/>
              <w:bottom w:val="single" w:sz="4" w:space="0" w:color="auto"/>
              <w:right w:val="single" w:sz="4" w:space="0" w:color="000000"/>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Equity Issues</w:t>
            </w:r>
          </w:p>
        </w:tc>
        <w:tc>
          <w:tcPr>
            <w:tcW w:w="2887" w:type="dxa"/>
            <w:gridSpan w:val="3"/>
            <w:tcBorders>
              <w:top w:val="single" w:sz="4" w:space="0" w:color="auto"/>
              <w:left w:val="nil"/>
              <w:bottom w:val="single" w:sz="4" w:space="0" w:color="auto"/>
              <w:right w:val="single" w:sz="4" w:space="0" w:color="000000"/>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Debt Issues</w:t>
            </w:r>
          </w:p>
        </w:tc>
        <w:tc>
          <w:tcPr>
            <w:tcW w:w="1980" w:type="dxa"/>
            <w:vMerge w:val="restart"/>
            <w:tcBorders>
              <w:top w:val="single" w:sz="4" w:space="0" w:color="auto"/>
              <w:left w:val="single" w:sz="4" w:space="0" w:color="auto"/>
              <w:bottom w:val="nil"/>
              <w:right w:val="single" w:sz="4" w:space="0" w:color="auto"/>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Total Resource Mobilisation  (4+7)</w:t>
            </w:r>
          </w:p>
        </w:tc>
      </w:tr>
      <w:tr w:rsidR="00B25DA6" w:rsidRPr="00A453F9" w:rsidTr="007C138F">
        <w:trPr>
          <w:trHeight w:val="53"/>
          <w:jc w:val="center"/>
        </w:trPr>
        <w:tc>
          <w:tcPr>
            <w:tcW w:w="926" w:type="dxa"/>
            <w:vMerge/>
            <w:tcBorders>
              <w:top w:val="single" w:sz="4" w:space="0" w:color="auto"/>
              <w:left w:val="single" w:sz="4" w:space="0" w:color="auto"/>
              <w:bottom w:val="single" w:sz="4" w:space="0" w:color="000000"/>
              <w:right w:val="single" w:sz="4" w:space="0" w:color="auto"/>
            </w:tcBorders>
            <w:vAlign w:val="center"/>
            <w:hideMark/>
          </w:tcPr>
          <w:p w:rsidR="00B25DA6" w:rsidRPr="00A453F9" w:rsidRDefault="00B25DA6" w:rsidP="007C138F">
            <w:pPr>
              <w:rPr>
                <w:rFonts w:ascii="Garamond" w:eastAsia="Times New Roman" w:hAnsi="Garamond"/>
                <w:b/>
                <w:bCs/>
                <w:sz w:val="20"/>
                <w:szCs w:val="20"/>
                <w:lang w:eastAsia="en-GB"/>
              </w:rPr>
            </w:pPr>
          </w:p>
        </w:tc>
        <w:tc>
          <w:tcPr>
            <w:tcW w:w="981" w:type="dxa"/>
            <w:tcBorders>
              <w:top w:val="nil"/>
              <w:left w:val="nil"/>
              <w:bottom w:val="nil"/>
              <w:right w:val="nil"/>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Public &amp; Rights</w:t>
            </w:r>
          </w:p>
        </w:tc>
        <w:tc>
          <w:tcPr>
            <w:tcW w:w="1194" w:type="dxa"/>
            <w:tcBorders>
              <w:top w:val="nil"/>
              <w:left w:val="nil"/>
              <w:bottom w:val="nil"/>
              <w:right w:val="nil"/>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Private Placements</w:t>
            </w:r>
          </w:p>
        </w:tc>
        <w:tc>
          <w:tcPr>
            <w:tcW w:w="854" w:type="dxa"/>
            <w:tcBorders>
              <w:top w:val="nil"/>
              <w:left w:val="nil"/>
              <w:bottom w:val="nil"/>
              <w:right w:val="single" w:sz="4" w:space="0" w:color="auto"/>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Total</w:t>
            </w:r>
            <w:r w:rsidRPr="00A453F9">
              <w:rPr>
                <w:rFonts w:ascii="Garamond" w:eastAsia="Times New Roman" w:hAnsi="Garamond"/>
                <w:b/>
                <w:bCs/>
                <w:sz w:val="20"/>
                <w:szCs w:val="20"/>
                <w:lang w:eastAsia="en-GB"/>
              </w:rPr>
              <w:br/>
              <w:t>(2+3)</w:t>
            </w:r>
          </w:p>
        </w:tc>
        <w:tc>
          <w:tcPr>
            <w:tcW w:w="810" w:type="dxa"/>
            <w:tcBorders>
              <w:top w:val="nil"/>
              <w:left w:val="nil"/>
              <w:bottom w:val="nil"/>
              <w:right w:val="nil"/>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 xml:space="preserve">Public </w:t>
            </w:r>
          </w:p>
        </w:tc>
        <w:tc>
          <w:tcPr>
            <w:tcW w:w="1194" w:type="dxa"/>
            <w:tcBorders>
              <w:top w:val="nil"/>
              <w:left w:val="nil"/>
              <w:bottom w:val="nil"/>
              <w:right w:val="nil"/>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Private Placements</w:t>
            </w:r>
          </w:p>
        </w:tc>
        <w:tc>
          <w:tcPr>
            <w:tcW w:w="883" w:type="dxa"/>
            <w:tcBorders>
              <w:top w:val="nil"/>
              <w:left w:val="nil"/>
              <w:bottom w:val="nil"/>
              <w:right w:val="single" w:sz="4" w:space="0" w:color="auto"/>
            </w:tcBorders>
            <w:shd w:val="clear" w:color="000000" w:fill="B8CCE4"/>
            <w:vAlign w:val="center"/>
            <w:hideMark/>
          </w:tcPr>
          <w:p w:rsidR="00B25DA6" w:rsidRPr="00A453F9" w:rsidRDefault="00B25DA6" w:rsidP="007C138F">
            <w:pPr>
              <w:jc w:val="center"/>
              <w:rPr>
                <w:rFonts w:ascii="Garamond" w:eastAsia="Times New Roman" w:hAnsi="Garamond"/>
                <w:b/>
                <w:bCs/>
                <w:sz w:val="20"/>
                <w:szCs w:val="20"/>
                <w:lang w:eastAsia="en-GB"/>
              </w:rPr>
            </w:pPr>
            <w:r w:rsidRPr="00A453F9">
              <w:rPr>
                <w:rFonts w:ascii="Garamond" w:eastAsia="Times New Roman" w:hAnsi="Garamond"/>
                <w:b/>
                <w:bCs/>
                <w:sz w:val="20"/>
                <w:szCs w:val="20"/>
                <w:lang w:eastAsia="en-GB"/>
              </w:rPr>
              <w:t>Total</w:t>
            </w:r>
            <w:r w:rsidRPr="00A453F9">
              <w:rPr>
                <w:rFonts w:ascii="Garamond" w:eastAsia="Times New Roman" w:hAnsi="Garamond"/>
                <w:b/>
                <w:bCs/>
                <w:sz w:val="20"/>
                <w:szCs w:val="20"/>
                <w:lang w:eastAsia="en-GB"/>
              </w:rPr>
              <w:br/>
              <w:t>(5+6)</w:t>
            </w:r>
          </w:p>
        </w:tc>
        <w:tc>
          <w:tcPr>
            <w:tcW w:w="1980" w:type="dxa"/>
            <w:vMerge/>
            <w:tcBorders>
              <w:top w:val="single" w:sz="4" w:space="0" w:color="auto"/>
              <w:left w:val="single" w:sz="4" w:space="0" w:color="auto"/>
              <w:bottom w:val="nil"/>
              <w:right w:val="single" w:sz="4" w:space="0" w:color="auto"/>
            </w:tcBorders>
            <w:vAlign w:val="center"/>
            <w:hideMark/>
          </w:tcPr>
          <w:p w:rsidR="00B25DA6" w:rsidRPr="00A453F9" w:rsidRDefault="00B25DA6" w:rsidP="007C138F">
            <w:pPr>
              <w:rPr>
                <w:rFonts w:ascii="Garamond" w:eastAsia="Times New Roman" w:hAnsi="Garamond"/>
                <w:b/>
                <w:bCs/>
                <w:sz w:val="20"/>
                <w:szCs w:val="20"/>
                <w:lang w:eastAsia="en-GB"/>
              </w:rPr>
            </w:pPr>
          </w:p>
        </w:tc>
      </w:tr>
      <w:tr w:rsidR="00B25DA6" w:rsidRPr="00A453F9" w:rsidTr="007C138F">
        <w:trPr>
          <w:trHeight w:val="53"/>
          <w:jc w:val="center"/>
        </w:trPr>
        <w:tc>
          <w:tcPr>
            <w:tcW w:w="926" w:type="dxa"/>
            <w:tcBorders>
              <w:top w:val="nil"/>
              <w:left w:val="single" w:sz="4" w:space="0" w:color="auto"/>
              <w:bottom w:val="single" w:sz="4" w:space="0" w:color="auto"/>
              <w:right w:val="single" w:sz="4" w:space="0" w:color="auto"/>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1</w:t>
            </w:r>
          </w:p>
        </w:tc>
        <w:tc>
          <w:tcPr>
            <w:tcW w:w="981" w:type="dxa"/>
            <w:tcBorders>
              <w:top w:val="single" w:sz="4" w:space="0" w:color="auto"/>
              <w:left w:val="nil"/>
              <w:bottom w:val="single" w:sz="4" w:space="0" w:color="auto"/>
              <w:right w:val="nil"/>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2</w:t>
            </w:r>
          </w:p>
        </w:tc>
        <w:tc>
          <w:tcPr>
            <w:tcW w:w="1194" w:type="dxa"/>
            <w:tcBorders>
              <w:top w:val="single" w:sz="4" w:space="0" w:color="auto"/>
              <w:left w:val="nil"/>
              <w:bottom w:val="single" w:sz="4" w:space="0" w:color="auto"/>
              <w:right w:val="nil"/>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3</w:t>
            </w:r>
          </w:p>
        </w:tc>
        <w:tc>
          <w:tcPr>
            <w:tcW w:w="854" w:type="dxa"/>
            <w:tcBorders>
              <w:top w:val="single" w:sz="4" w:space="0" w:color="auto"/>
              <w:left w:val="nil"/>
              <w:bottom w:val="single" w:sz="4" w:space="0" w:color="auto"/>
              <w:right w:val="single" w:sz="4" w:space="0" w:color="auto"/>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4</w:t>
            </w:r>
          </w:p>
        </w:tc>
        <w:tc>
          <w:tcPr>
            <w:tcW w:w="810" w:type="dxa"/>
            <w:tcBorders>
              <w:top w:val="single" w:sz="4" w:space="0" w:color="auto"/>
              <w:left w:val="nil"/>
              <w:bottom w:val="single" w:sz="4" w:space="0" w:color="auto"/>
              <w:right w:val="nil"/>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5</w:t>
            </w:r>
          </w:p>
        </w:tc>
        <w:tc>
          <w:tcPr>
            <w:tcW w:w="1194" w:type="dxa"/>
            <w:tcBorders>
              <w:top w:val="single" w:sz="4" w:space="0" w:color="auto"/>
              <w:left w:val="nil"/>
              <w:bottom w:val="single" w:sz="4" w:space="0" w:color="auto"/>
              <w:right w:val="nil"/>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6</w:t>
            </w:r>
          </w:p>
        </w:tc>
        <w:tc>
          <w:tcPr>
            <w:tcW w:w="883" w:type="dxa"/>
            <w:tcBorders>
              <w:top w:val="single" w:sz="4" w:space="0" w:color="auto"/>
              <w:left w:val="nil"/>
              <w:bottom w:val="single" w:sz="4" w:space="0" w:color="auto"/>
              <w:right w:val="single" w:sz="4" w:space="0" w:color="auto"/>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7</w:t>
            </w:r>
          </w:p>
        </w:tc>
        <w:tc>
          <w:tcPr>
            <w:tcW w:w="1980" w:type="dxa"/>
            <w:tcBorders>
              <w:top w:val="single" w:sz="4" w:space="0" w:color="auto"/>
              <w:left w:val="nil"/>
              <w:bottom w:val="single" w:sz="4" w:space="0" w:color="auto"/>
              <w:right w:val="single" w:sz="4" w:space="0" w:color="auto"/>
            </w:tcBorders>
            <w:shd w:val="clear" w:color="000000" w:fill="DCE6F1"/>
            <w:noWrap/>
            <w:hideMark/>
          </w:tcPr>
          <w:p w:rsidR="00B25DA6" w:rsidRPr="00A453F9" w:rsidRDefault="00B25DA6" w:rsidP="007C138F">
            <w:pPr>
              <w:jc w:val="center"/>
              <w:rPr>
                <w:rFonts w:ascii="Garamond" w:eastAsia="Times New Roman" w:hAnsi="Garamond"/>
                <w:b/>
                <w:bCs/>
                <w:i/>
                <w:iCs/>
                <w:sz w:val="20"/>
                <w:szCs w:val="20"/>
                <w:lang w:eastAsia="en-GB"/>
              </w:rPr>
            </w:pPr>
            <w:r w:rsidRPr="00A453F9">
              <w:rPr>
                <w:rFonts w:ascii="Garamond" w:eastAsia="Times New Roman" w:hAnsi="Garamond"/>
                <w:b/>
                <w:bCs/>
                <w:i/>
                <w:iCs/>
                <w:sz w:val="20"/>
                <w:szCs w:val="20"/>
                <w:lang w:eastAsia="en-GB"/>
              </w:rPr>
              <w:t>8</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b/>
                <w:bCs/>
                <w:sz w:val="20"/>
                <w:szCs w:val="20"/>
                <w:lang w:eastAsia="en-GB"/>
              </w:rPr>
            </w:pPr>
            <w:r w:rsidRPr="00A453F9">
              <w:rPr>
                <w:rFonts w:ascii="Garamond" w:eastAsia="Times New Roman" w:hAnsi="Garamond"/>
                <w:b/>
                <w:bCs/>
                <w:sz w:val="20"/>
                <w:szCs w:val="20"/>
                <w:lang w:eastAsia="en-GB"/>
              </w:rPr>
              <w:t>2016-17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32,517</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52,614</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85,132</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29,363</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6,40,715</w:t>
            </w:r>
          </w:p>
        </w:tc>
        <w:tc>
          <w:tcPr>
            <w:tcW w:w="883"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6,70,077</w:t>
            </w:r>
          </w:p>
        </w:tc>
        <w:tc>
          <w:tcPr>
            <w:tcW w:w="1980" w:type="dxa"/>
            <w:tcBorders>
              <w:top w:val="nil"/>
              <w:left w:val="single" w:sz="4" w:space="0" w:color="auto"/>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7,55,209</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b/>
                <w:bCs/>
                <w:sz w:val="20"/>
                <w:szCs w:val="20"/>
                <w:lang w:eastAsia="en-GB"/>
              </w:rPr>
            </w:pPr>
            <w:r w:rsidRPr="00A453F9">
              <w:rPr>
                <w:rFonts w:ascii="Garamond" w:eastAsia="Times New Roman" w:hAnsi="Garamond"/>
                <w:b/>
                <w:bCs/>
                <w:sz w:val="20"/>
                <w:szCs w:val="20"/>
                <w:lang w:eastAsia="en-GB"/>
              </w:rPr>
              <w:t>2017-18$</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89,297</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1,23,018</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2,12,315</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4,125</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5,34,231</w:t>
            </w:r>
          </w:p>
        </w:tc>
        <w:tc>
          <w:tcPr>
            <w:tcW w:w="883"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5,38,356</w:t>
            </w:r>
          </w:p>
        </w:tc>
        <w:tc>
          <w:tcPr>
            <w:tcW w:w="1980" w:type="dxa"/>
            <w:tcBorders>
              <w:top w:val="nil"/>
              <w:left w:val="single" w:sz="4" w:space="0" w:color="auto"/>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b/>
                <w:bCs/>
                <w:sz w:val="20"/>
                <w:szCs w:val="20"/>
                <w:lang w:eastAsia="en-GB"/>
              </w:rPr>
            </w:pPr>
            <w:r w:rsidRPr="00A453F9">
              <w:rPr>
                <w:rFonts w:ascii="Garamond" w:eastAsia="Times New Roman" w:hAnsi="Garamond"/>
                <w:b/>
                <w:bCs/>
                <w:sz w:val="20"/>
                <w:szCs w:val="20"/>
                <w:lang w:eastAsia="en-GB"/>
              </w:rPr>
              <w:t>7,50,670</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Apr-17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1,232</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7,041</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8,273</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1,969</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63,819</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65,787</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74,060</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May-17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1,480</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9,675</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11,155</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33,389</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33,389</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44,544</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Jun-17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5,632</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19,825</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25,457</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75,337</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75,337</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1,00,794</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Jul-17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1,108</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3,335</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4,443</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1,713</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49,033</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50,746</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55,189</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Aug-17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1,705</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6,367</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8,072</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215</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51,552</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51,767</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59,838</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Sep-17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17,163</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17,439</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34,602</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50,821</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50,821</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85,423</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Oct-17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18,608</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10,408</w:t>
            </w:r>
          </w:p>
        </w:tc>
        <w:tc>
          <w:tcPr>
            <w:tcW w:w="85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29,015</w:t>
            </w:r>
          </w:p>
        </w:tc>
        <w:tc>
          <w:tcPr>
            <w:tcW w:w="810" w:type="dxa"/>
            <w:tcBorders>
              <w:top w:val="nil"/>
              <w:left w:val="single" w:sz="4" w:space="0" w:color="auto"/>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44,146</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44,146</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73,162</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Nov-17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19,496</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4,254</w:t>
            </w:r>
          </w:p>
        </w:tc>
        <w:tc>
          <w:tcPr>
            <w:tcW w:w="85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23,750</w:t>
            </w:r>
          </w:p>
        </w:tc>
        <w:tc>
          <w:tcPr>
            <w:tcW w:w="810" w:type="dxa"/>
            <w:tcBorders>
              <w:top w:val="nil"/>
              <w:left w:val="single" w:sz="4" w:space="0" w:color="auto"/>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50,855</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50,855</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74,605</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Dec-17</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2,239</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23,829</w:t>
            </w:r>
          </w:p>
        </w:tc>
        <w:tc>
          <w:tcPr>
            <w:tcW w:w="85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26,069</w:t>
            </w:r>
          </w:p>
        </w:tc>
        <w:tc>
          <w:tcPr>
            <w:tcW w:w="810" w:type="dxa"/>
            <w:tcBorders>
              <w:top w:val="nil"/>
              <w:left w:val="single" w:sz="4" w:space="0" w:color="auto"/>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229</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41,108</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41,337</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67,406</w:t>
            </w:r>
          </w:p>
        </w:tc>
      </w:tr>
      <w:tr w:rsidR="00B25DA6" w:rsidRPr="00A453F9" w:rsidTr="007C138F">
        <w:trPr>
          <w:trHeight w:val="248"/>
          <w:jc w:val="center"/>
        </w:trPr>
        <w:tc>
          <w:tcPr>
            <w:tcW w:w="926" w:type="dxa"/>
            <w:tcBorders>
              <w:top w:val="nil"/>
              <w:left w:val="single" w:sz="4" w:space="0" w:color="auto"/>
              <w:bottom w:val="nil"/>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Jan-18</w:t>
            </w:r>
          </w:p>
        </w:tc>
        <w:tc>
          <w:tcPr>
            <w:tcW w:w="981"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2,267</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1,722</w:t>
            </w:r>
          </w:p>
        </w:tc>
        <w:tc>
          <w:tcPr>
            <w:tcW w:w="854"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3,990</w:t>
            </w:r>
          </w:p>
        </w:tc>
        <w:tc>
          <w:tcPr>
            <w:tcW w:w="810"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1194" w:type="dxa"/>
            <w:tcBorders>
              <w:top w:val="nil"/>
              <w:left w:val="nil"/>
              <w:bottom w:val="nil"/>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27,703</w:t>
            </w:r>
          </w:p>
        </w:tc>
        <w:tc>
          <w:tcPr>
            <w:tcW w:w="883"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27,703</w:t>
            </w:r>
          </w:p>
        </w:tc>
        <w:tc>
          <w:tcPr>
            <w:tcW w:w="1980" w:type="dxa"/>
            <w:tcBorders>
              <w:top w:val="nil"/>
              <w:left w:val="nil"/>
              <w:bottom w:val="nil"/>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31,693</w:t>
            </w:r>
          </w:p>
        </w:tc>
      </w:tr>
      <w:tr w:rsidR="00B25DA6" w:rsidRPr="00A453F9" w:rsidTr="007C138F">
        <w:trPr>
          <w:trHeight w:val="248"/>
          <w:jc w:val="center"/>
        </w:trPr>
        <w:tc>
          <w:tcPr>
            <w:tcW w:w="926" w:type="dxa"/>
            <w:tcBorders>
              <w:top w:val="nil"/>
              <w:left w:val="single" w:sz="4" w:space="0" w:color="auto"/>
              <w:bottom w:val="single" w:sz="4" w:space="0" w:color="auto"/>
              <w:right w:val="single" w:sz="4" w:space="0" w:color="auto"/>
            </w:tcBorders>
            <w:shd w:val="clear" w:color="000000" w:fill="DCE6F1"/>
            <w:noWrap/>
            <w:hideMark/>
          </w:tcPr>
          <w:p w:rsidR="00B25DA6" w:rsidRPr="00A453F9" w:rsidRDefault="00B25DA6" w:rsidP="007C138F">
            <w:pPr>
              <w:rPr>
                <w:rFonts w:ascii="Garamond" w:eastAsia="Times New Roman" w:hAnsi="Garamond"/>
                <w:sz w:val="20"/>
                <w:szCs w:val="20"/>
                <w:lang w:eastAsia="en-GB"/>
              </w:rPr>
            </w:pPr>
            <w:r w:rsidRPr="00A453F9">
              <w:rPr>
                <w:rFonts w:ascii="Garamond" w:eastAsia="Times New Roman" w:hAnsi="Garamond"/>
                <w:sz w:val="20"/>
                <w:szCs w:val="20"/>
                <w:lang w:eastAsia="en-GB"/>
              </w:rPr>
              <w:t>Feb-18</w:t>
            </w:r>
          </w:p>
        </w:tc>
        <w:tc>
          <w:tcPr>
            <w:tcW w:w="981" w:type="dxa"/>
            <w:tcBorders>
              <w:top w:val="nil"/>
              <w:left w:val="nil"/>
              <w:bottom w:val="single" w:sz="4" w:space="0" w:color="auto"/>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18,367</w:t>
            </w:r>
          </w:p>
        </w:tc>
        <w:tc>
          <w:tcPr>
            <w:tcW w:w="1194" w:type="dxa"/>
            <w:tcBorders>
              <w:top w:val="nil"/>
              <w:left w:val="nil"/>
              <w:bottom w:val="single" w:sz="4" w:space="0" w:color="auto"/>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19,122</w:t>
            </w:r>
          </w:p>
        </w:tc>
        <w:tc>
          <w:tcPr>
            <w:tcW w:w="854" w:type="dxa"/>
            <w:tcBorders>
              <w:top w:val="nil"/>
              <w:left w:val="nil"/>
              <w:bottom w:val="single" w:sz="4" w:space="0" w:color="auto"/>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37,489</w:t>
            </w:r>
          </w:p>
        </w:tc>
        <w:tc>
          <w:tcPr>
            <w:tcW w:w="810" w:type="dxa"/>
            <w:tcBorders>
              <w:top w:val="nil"/>
              <w:left w:val="nil"/>
              <w:bottom w:val="single" w:sz="4" w:space="0" w:color="auto"/>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0</w:t>
            </w:r>
          </w:p>
        </w:tc>
        <w:tc>
          <w:tcPr>
            <w:tcW w:w="1194" w:type="dxa"/>
            <w:tcBorders>
              <w:top w:val="nil"/>
              <w:left w:val="nil"/>
              <w:bottom w:val="single" w:sz="4" w:space="0" w:color="auto"/>
              <w:right w:val="nil"/>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46,467</w:t>
            </w:r>
          </w:p>
        </w:tc>
        <w:tc>
          <w:tcPr>
            <w:tcW w:w="883" w:type="dxa"/>
            <w:tcBorders>
              <w:top w:val="nil"/>
              <w:left w:val="nil"/>
              <w:bottom w:val="single" w:sz="4" w:space="0" w:color="auto"/>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46,467</w:t>
            </w:r>
          </w:p>
        </w:tc>
        <w:tc>
          <w:tcPr>
            <w:tcW w:w="1980" w:type="dxa"/>
            <w:tcBorders>
              <w:top w:val="nil"/>
              <w:left w:val="nil"/>
              <w:bottom w:val="single" w:sz="4" w:space="0" w:color="auto"/>
              <w:right w:val="single" w:sz="4" w:space="0" w:color="auto"/>
            </w:tcBorders>
            <w:shd w:val="clear" w:color="000000" w:fill="FFFFFF"/>
            <w:noWrap/>
            <w:vAlign w:val="center"/>
            <w:hideMark/>
          </w:tcPr>
          <w:p w:rsidR="00B25DA6" w:rsidRPr="00A453F9" w:rsidRDefault="00B25DA6" w:rsidP="007C138F">
            <w:pPr>
              <w:jc w:val="right"/>
              <w:rPr>
                <w:rFonts w:ascii="Garamond" w:eastAsia="Times New Roman" w:hAnsi="Garamond"/>
                <w:sz w:val="20"/>
                <w:szCs w:val="20"/>
                <w:lang w:eastAsia="en-GB"/>
              </w:rPr>
            </w:pPr>
            <w:r w:rsidRPr="00A453F9">
              <w:rPr>
                <w:rFonts w:ascii="Garamond" w:eastAsia="Times New Roman" w:hAnsi="Garamond"/>
                <w:sz w:val="20"/>
                <w:szCs w:val="20"/>
                <w:lang w:eastAsia="en-GB"/>
              </w:rPr>
              <w:t>83,956</w:t>
            </w:r>
          </w:p>
        </w:tc>
      </w:tr>
    </w:tbl>
    <w:p w:rsidR="00B25DA6" w:rsidRPr="00A453F9" w:rsidRDefault="00B25DA6" w:rsidP="00B25DA6">
      <w:pPr>
        <w:jc w:val="both"/>
        <w:rPr>
          <w:rFonts w:ascii="Garamond" w:eastAsia="Times New Roman" w:hAnsi="Garamond"/>
          <w:b/>
          <w:bCs/>
          <w:i/>
          <w:sz w:val="20"/>
        </w:rPr>
      </w:pPr>
      <w:r w:rsidRPr="00A453F9">
        <w:rPr>
          <w:rFonts w:ascii="Garamond" w:eastAsia="Times New Roman" w:hAnsi="Garamond"/>
          <w:b/>
          <w:bCs/>
          <w:i/>
          <w:sz w:val="20"/>
        </w:rPr>
        <w:t xml:space="preserve"> Notes: </w:t>
      </w:r>
    </w:p>
    <w:p w:rsidR="00B25DA6" w:rsidRPr="00A453F9" w:rsidRDefault="00B25DA6" w:rsidP="00B25DA6">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Private placement of Equity includes, amount raised through preferential allotments, QIP and IPP mechanism.</w:t>
      </w:r>
    </w:p>
    <w:p w:rsidR="00B25DA6" w:rsidRPr="00A453F9" w:rsidRDefault="00B25DA6" w:rsidP="00B25DA6">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 xml:space="preserve">Public Equity Issues includes IPO, FPO &amp; Rights issues of common equity shares. </w:t>
      </w:r>
    </w:p>
    <w:p w:rsidR="00B25DA6" w:rsidRPr="00A453F9" w:rsidRDefault="00B25DA6" w:rsidP="00B25DA6">
      <w:pPr>
        <w:numPr>
          <w:ilvl w:val="1"/>
          <w:numId w:val="1"/>
        </w:numPr>
        <w:ind w:left="450"/>
        <w:contextualSpacing/>
        <w:jc w:val="both"/>
        <w:rPr>
          <w:rFonts w:ascii="Garamond" w:hAnsi="Garamond"/>
          <w:i/>
          <w:sz w:val="20"/>
          <w:szCs w:val="20"/>
        </w:rPr>
      </w:pPr>
      <w:r w:rsidRPr="00A453F9">
        <w:rPr>
          <w:rFonts w:ascii="Garamond" w:hAnsi="Garamond"/>
          <w:i/>
          <w:sz w:val="20"/>
          <w:szCs w:val="20"/>
        </w:rPr>
        <w:t>Data pertaining to Debt Issue of February 2018 are provisional</w:t>
      </w:r>
    </w:p>
    <w:p w:rsidR="00B25DA6" w:rsidRPr="00A453F9" w:rsidRDefault="00B25DA6" w:rsidP="00B25DA6">
      <w:pPr>
        <w:jc w:val="both"/>
        <w:rPr>
          <w:rFonts w:ascii="Garamond" w:hAnsi="Garamond"/>
          <w:i/>
          <w:sz w:val="20"/>
          <w:szCs w:val="20"/>
        </w:rPr>
      </w:pPr>
    </w:p>
    <w:p w:rsidR="00B25DA6" w:rsidRPr="00A15CF0" w:rsidRDefault="00B25DA6" w:rsidP="00B25DA6">
      <w:pPr>
        <w:widowControl w:val="0"/>
        <w:numPr>
          <w:ilvl w:val="0"/>
          <w:numId w:val="3"/>
        </w:numPr>
        <w:contextualSpacing/>
        <w:jc w:val="both"/>
        <w:rPr>
          <w:rFonts w:ascii="Garamond" w:hAnsi="Garamond"/>
          <w:b/>
        </w:rPr>
      </w:pPr>
      <w:r w:rsidRPr="00A15CF0">
        <w:rPr>
          <w:rFonts w:ascii="Garamond" w:hAnsi="Garamond"/>
          <w:b/>
        </w:rPr>
        <w:t>Resource Mobilisation by Mutual Funds</w:t>
      </w:r>
    </w:p>
    <w:p w:rsidR="00B25DA6" w:rsidRPr="00A15CF0" w:rsidRDefault="00B25DA6" w:rsidP="00B25DA6">
      <w:pPr>
        <w:widowControl w:val="0"/>
        <w:contextualSpacing/>
        <w:jc w:val="both"/>
        <w:rPr>
          <w:rFonts w:ascii="Garamond" w:hAnsi="Garamond"/>
          <w:b/>
        </w:rPr>
      </w:pPr>
    </w:p>
    <w:p w:rsidR="00B25DA6" w:rsidRPr="00A15CF0" w:rsidRDefault="00B25DA6" w:rsidP="00B25DA6">
      <w:pPr>
        <w:jc w:val="both"/>
      </w:pPr>
      <w:r w:rsidRPr="00A15CF0">
        <w:rPr>
          <w:rFonts w:ascii="Garamond" w:hAnsi="Garamond" w:cs="Arial"/>
        </w:rPr>
        <w:t xml:space="preserve">During February 2018, there was a net inflow of </w:t>
      </w:r>
      <w:r w:rsidRPr="00A15CF0">
        <w:rPr>
          <w:rFonts w:ascii="Rupee Foradian" w:hAnsi="Rupee Foradian" w:cs="Arial"/>
        </w:rPr>
        <w:t>`</w:t>
      </w:r>
      <w:r w:rsidRPr="00A15CF0">
        <w:rPr>
          <w:rFonts w:ascii="Garamond" w:hAnsi="Garamond" w:cs="Arial"/>
        </w:rPr>
        <w:t xml:space="preserve"> 12</w:t>
      </w:r>
      <w:r w:rsidRPr="00A15CF0">
        <w:rPr>
          <w:rFonts w:ascii="Garamond" w:hAnsi="Garamond" w:cs="Garamond"/>
        </w:rPr>
        <w:t xml:space="preserve">,092 </w:t>
      </w:r>
      <w:r w:rsidRPr="00A15CF0">
        <w:rPr>
          <w:rFonts w:ascii="Garamond" w:hAnsi="Garamond" w:cs="Arial"/>
        </w:rPr>
        <w:t>crore into the mutual funds industry</w:t>
      </w:r>
      <w:r w:rsidRPr="00A15CF0">
        <w:t xml:space="preserve"> </w:t>
      </w:r>
      <w:r w:rsidRPr="00A15CF0">
        <w:rPr>
          <w:rFonts w:ascii="Garamond" w:hAnsi="Garamond" w:cs="Arial"/>
        </w:rPr>
        <w:t xml:space="preserve">as against to a net inflow of </w:t>
      </w:r>
      <w:r w:rsidRPr="00A15CF0">
        <w:rPr>
          <w:rFonts w:ascii="Rupee Foradian" w:hAnsi="Rupee Foradian" w:cs="Arial"/>
        </w:rPr>
        <w:t>`</w:t>
      </w:r>
      <w:r w:rsidRPr="00A15CF0">
        <w:rPr>
          <w:rFonts w:ascii="Garamond" w:hAnsi="Garamond" w:cs="Arial"/>
        </w:rPr>
        <w:t xml:space="preserve"> </w:t>
      </w:r>
      <w:r w:rsidRPr="00A15CF0">
        <w:rPr>
          <w:rFonts w:ascii="Garamond" w:hAnsi="Garamond" w:cs="Garamond"/>
        </w:rPr>
        <w:t xml:space="preserve">1,06,158 </w:t>
      </w:r>
      <w:r w:rsidRPr="00A15CF0">
        <w:rPr>
          <w:rFonts w:ascii="Garamond" w:hAnsi="Garamond" w:cs="Arial"/>
        </w:rPr>
        <w:t xml:space="preserve">crore during January 2018. In the month under review, income / debt oriented schemes liquidated </w:t>
      </w:r>
      <w:r w:rsidRPr="00A15CF0">
        <w:rPr>
          <w:rFonts w:ascii="Rupee Foradian" w:hAnsi="Rupee Foradian" w:cs="Arial"/>
        </w:rPr>
        <w:t>`</w:t>
      </w:r>
      <w:r w:rsidRPr="00A15CF0">
        <w:rPr>
          <w:rFonts w:ascii="Garamond" w:hAnsi="Garamond" w:cs="Arial"/>
        </w:rPr>
        <w:t xml:space="preserve"> 10, 056 crore. Growth / equity oriented schemes mobilised </w:t>
      </w:r>
      <w:r w:rsidRPr="00A15CF0">
        <w:rPr>
          <w:rFonts w:ascii="Rupee Foradian" w:hAnsi="Rupee Foradian" w:cs="Arial"/>
        </w:rPr>
        <w:t>`</w:t>
      </w:r>
      <w:r w:rsidRPr="00A15CF0">
        <w:rPr>
          <w:rFonts w:ascii="Garamond" w:hAnsi="Garamond" w:cs="Arial"/>
        </w:rPr>
        <w:t xml:space="preserve"> 16,268 crore. Balanced </w:t>
      </w:r>
      <w:r w:rsidRPr="00A15CF0">
        <w:rPr>
          <w:rFonts w:ascii="Garamond" w:eastAsia="Times New Roman" w:hAnsi="Garamond"/>
        </w:rPr>
        <w:t>schemes</w:t>
      </w:r>
      <w:r w:rsidRPr="00A15CF0">
        <w:rPr>
          <w:rFonts w:ascii="Garamond" w:hAnsi="Garamond" w:cs="Arial"/>
        </w:rPr>
        <w:t xml:space="preserve"> mobilised </w:t>
      </w:r>
      <w:r w:rsidRPr="00A15CF0">
        <w:rPr>
          <w:rFonts w:ascii="Rupee Foradian" w:hAnsi="Rupee Foradian" w:cs="Arial"/>
        </w:rPr>
        <w:t>`</w:t>
      </w:r>
      <w:r w:rsidRPr="00A15CF0">
        <w:rPr>
          <w:rFonts w:ascii="Garamond" w:hAnsi="Garamond" w:cs="Arial"/>
        </w:rPr>
        <w:t xml:space="preserve"> 5,025 crore. Exchange traded funds, raised a net of </w:t>
      </w:r>
      <w:r w:rsidRPr="00A15CF0">
        <w:rPr>
          <w:rFonts w:ascii="Rupee Foradian" w:eastAsia="Times New Roman" w:hAnsi="Rupee Foradian"/>
          <w:bCs/>
          <w:szCs w:val="20"/>
          <w:lang w:eastAsia="en-GB" w:bidi="bn-IN"/>
        </w:rPr>
        <w:t>`</w:t>
      </w:r>
      <w:r w:rsidRPr="00A15CF0">
        <w:rPr>
          <w:rFonts w:ascii="Garamond" w:hAnsi="Garamond" w:cs="Arial"/>
        </w:rPr>
        <w:t xml:space="preserve"> 860</w:t>
      </w:r>
      <w:r w:rsidRPr="00A15CF0">
        <w:rPr>
          <w:rFonts w:ascii="Garamond" w:hAnsi="Garamond" w:cs="Garamond"/>
        </w:rPr>
        <w:t xml:space="preserve"> </w:t>
      </w:r>
      <w:r w:rsidRPr="00A15CF0">
        <w:rPr>
          <w:rFonts w:ascii="Garamond" w:hAnsi="Garamond" w:cs="Arial"/>
        </w:rPr>
        <w:t xml:space="preserve">crore of which there was liquidation of </w:t>
      </w:r>
      <w:r w:rsidRPr="00A15CF0">
        <w:rPr>
          <w:rFonts w:ascii="Rupee Foradian" w:eastAsia="Times New Roman" w:hAnsi="Rupee Foradian"/>
          <w:bCs/>
          <w:szCs w:val="20"/>
          <w:lang w:eastAsia="en-GB" w:bidi="bn-IN"/>
        </w:rPr>
        <w:t>`</w:t>
      </w:r>
      <w:r w:rsidRPr="00A15CF0">
        <w:rPr>
          <w:rFonts w:ascii="Garamond" w:eastAsia="Times New Roman" w:hAnsi="Garamond"/>
          <w:bCs/>
          <w:szCs w:val="20"/>
          <w:lang w:eastAsia="en-GB" w:bidi="bn-IN"/>
        </w:rPr>
        <w:t xml:space="preserve"> 94</w:t>
      </w:r>
      <w:r w:rsidRPr="00A15CF0">
        <w:rPr>
          <w:rFonts w:ascii="Garamond" w:hAnsi="Garamond" w:cs="Arial"/>
        </w:rPr>
        <w:t xml:space="preserve"> crore from gold ETFs and mobilisation of </w:t>
      </w:r>
      <w:r w:rsidRPr="00A15CF0">
        <w:rPr>
          <w:rFonts w:ascii="Rupee Foradian" w:eastAsia="Times New Roman" w:hAnsi="Rupee Foradian"/>
          <w:bCs/>
          <w:szCs w:val="20"/>
          <w:lang w:eastAsia="en-GB" w:bidi="bn-IN"/>
        </w:rPr>
        <w:t>`</w:t>
      </w:r>
      <w:r w:rsidRPr="00A15CF0">
        <w:rPr>
          <w:rFonts w:ascii="Garamond" w:eastAsia="Times New Roman" w:hAnsi="Garamond"/>
          <w:bCs/>
          <w:szCs w:val="20"/>
          <w:lang w:eastAsia="en-GB" w:bidi="bn-IN"/>
        </w:rPr>
        <w:t xml:space="preserve"> 954</w:t>
      </w:r>
      <w:r w:rsidRPr="00A15CF0">
        <w:rPr>
          <w:rFonts w:ascii="Garamond" w:hAnsi="Garamond" w:cs="Garamond"/>
        </w:rPr>
        <w:t xml:space="preserve"> crore from other ETFs. The Fund of funds schemes investing overseas recorded liquidation of </w:t>
      </w:r>
      <w:r w:rsidRPr="00A15CF0">
        <w:rPr>
          <w:rFonts w:ascii="Rupee Foradian" w:eastAsia="Times New Roman" w:hAnsi="Rupee Foradian"/>
          <w:bCs/>
          <w:szCs w:val="20"/>
          <w:lang w:eastAsia="en-GB" w:bidi="bn-IN"/>
        </w:rPr>
        <w:t>`</w:t>
      </w:r>
      <w:r w:rsidRPr="00A15CF0">
        <w:rPr>
          <w:rFonts w:ascii="Garamond" w:hAnsi="Garamond" w:cs="Arial"/>
        </w:rPr>
        <w:t xml:space="preserve"> 5 crore. The cumulative net assets under management by all mutual funds fell by 1.0 per cent to </w:t>
      </w:r>
      <w:r w:rsidRPr="00A15CF0">
        <w:rPr>
          <w:rFonts w:ascii="Rupee Foradian" w:hAnsi="Rupee Foradian" w:cs="Arial"/>
        </w:rPr>
        <w:t xml:space="preserve">` </w:t>
      </w:r>
      <w:r w:rsidRPr="00A15CF0">
        <w:rPr>
          <w:rFonts w:ascii="Garamond" w:hAnsi="Garamond" w:cs="Arial"/>
        </w:rPr>
        <w:t xml:space="preserve">22,20,326 </w:t>
      </w:r>
      <w:r w:rsidRPr="00A15CF0">
        <w:rPr>
          <w:rFonts w:ascii="Garamond" w:hAnsi="Garamond" w:cs="Garamond"/>
        </w:rPr>
        <w:t xml:space="preserve">crore at the end of January 2018 from </w:t>
      </w:r>
      <w:r w:rsidRPr="00A15CF0">
        <w:rPr>
          <w:rFonts w:ascii="Rupee Foradian" w:hAnsi="Rupee Foradian" w:cs="Arial"/>
        </w:rPr>
        <w:t xml:space="preserve">` </w:t>
      </w:r>
      <w:r w:rsidRPr="00A15CF0">
        <w:rPr>
          <w:rFonts w:ascii="Garamond" w:hAnsi="Garamond" w:cs="Arial"/>
        </w:rPr>
        <w:t xml:space="preserve">22,41,275 </w:t>
      </w:r>
      <w:r w:rsidRPr="00A15CF0">
        <w:rPr>
          <w:rFonts w:ascii="Garamond" w:hAnsi="Garamond" w:cs="Garamond"/>
        </w:rPr>
        <w:t xml:space="preserve">crore at the end of January 2018 </w:t>
      </w:r>
      <w:r w:rsidRPr="00A15CF0">
        <w:rPr>
          <w:rFonts w:ascii="Garamond" w:hAnsi="Garamond" w:cs="Garamond"/>
          <w:b/>
        </w:rPr>
        <w:t>(</w:t>
      </w:r>
      <w:r w:rsidRPr="00A15CF0">
        <w:rPr>
          <w:rFonts w:ascii="Garamond" w:hAnsi="Garamond" w:cs="Garamond"/>
          <w:b/>
          <w:i/>
          <w:iCs/>
        </w:rPr>
        <w:t>Tables 56 &amp; 58</w:t>
      </w:r>
      <w:r w:rsidRPr="00A15CF0">
        <w:rPr>
          <w:rFonts w:ascii="Garamond" w:hAnsi="Garamond" w:cs="Garamond"/>
          <w:b/>
        </w:rPr>
        <w:t>).</w:t>
      </w:r>
    </w:p>
    <w:p w:rsidR="00B25DA6" w:rsidRPr="00A15CF0" w:rsidRDefault="00B25DA6" w:rsidP="00B25DA6">
      <w:pPr>
        <w:jc w:val="both"/>
        <w:rPr>
          <w:rFonts w:ascii="Garamond" w:hAnsi="Garamond" w:cs="Garamond"/>
          <w:b/>
          <w:highlight w:val="lightGray"/>
        </w:rPr>
      </w:pPr>
    </w:p>
    <w:p w:rsidR="00B25DA6" w:rsidRPr="00824C4A" w:rsidRDefault="00B25DA6" w:rsidP="00B25DA6">
      <w:pPr>
        <w:widowControl w:val="0"/>
        <w:numPr>
          <w:ilvl w:val="0"/>
          <w:numId w:val="3"/>
        </w:numPr>
        <w:contextualSpacing/>
        <w:jc w:val="both"/>
        <w:rPr>
          <w:rFonts w:ascii="Garamond" w:hAnsi="Garamond"/>
          <w:b/>
        </w:rPr>
      </w:pPr>
      <w:r w:rsidRPr="00824C4A">
        <w:rPr>
          <w:rFonts w:ascii="Garamond" w:hAnsi="Garamond"/>
          <w:b/>
        </w:rPr>
        <w:t>Trends in the Secondary Market</w:t>
      </w:r>
    </w:p>
    <w:p w:rsidR="00B25DA6" w:rsidRPr="00824C4A" w:rsidRDefault="00B25DA6" w:rsidP="00B25DA6">
      <w:pPr>
        <w:widowControl w:val="0"/>
        <w:jc w:val="both"/>
        <w:rPr>
          <w:rFonts w:ascii="Garamond" w:hAnsi="Garamond"/>
          <w:b/>
        </w:rPr>
      </w:pPr>
    </w:p>
    <w:p w:rsidR="00B25DA6" w:rsidRPr="00991592" w:rsidRDefault="00B25DA6" w:rsidP="00B25DA6">
      <w:pPr>
        <w:jc w:val="both"/>
        <w:rPr>
          <w:rFonts w:ascii="Garamond" w:eastAsia="Times New Roman" w:hAnsi="Garamond"/>
          <w:color w:val="000099"/>
        </w:rPr>
      </w:pPr>
      <w:r w:rsidRPr="00824C4A">
        <w:rPr>
          <w:rFonts w:ascii="Garamond" w:eastAsia="Times New Roman" w:hAnsi="Garamond"/>
        </w:rPr>
        <w:lastRenderedPageBreak/>
        <w:t xml:space="preserve">The Indian stock market witnessed downtrend during the month under review. At the end of February 2018, S&amp;P BSE Sensex closed at 34,184 witnessing 5.0 per cent fall from previous month’s closing at 35,965. The Nifty 50 also fell by 4.9 per cent to close at 10,493 at the end of February 2018 compared to previous </w:t>
      </w:r>
      <w:r w:rsidRPr="000A5F89">
        <w:rPr>
          <w:rFonts w:ascii="Garamond" w:eastAsia="Times New Roman" w:hAnsi="Garamond"/>
        </w:rPr>
        <w:t>month’s closing at 11,028 (</w:t>
      </w:r>
      <w:r w:rsidRPr="000A5F89">
        <w:rPr>
          <w:rFonts w:ascii="Garamond" w:eastAsia="Times New Roman" w:hAnsi="Garamond"/>
          <w:b/>
          <w:bCs/>
          <w:i/>
          <w:iCs/>
        </w:rPr>
        <w:t>Figure 1</w:t>
      </w:r>
      <w:r w:rsidRPr="000A5F89">
        <w:rPr>
          <w:rFonts w:ascii="Garamond" w:eastAsia="Times New Roman" w:hAnsi="Garamond"/>
        </w:rPr>
        <w:t>). Both S&amp;P BSE Sensex and Nifty 50 touched their intraday high of 36,257 and 11,117, respectively on February 01, 2018. Both Sensex and Nifty touched their intraday lows of 33,843 and 10,276 respectively on February 06, 2018.</w:t>
      </w:r>
    </w:p>
    <w:p w:rsidR="00B25DA6" w:rsidRPr="00824C4A" w:rsidRDefault="00B25DA6" w:rsidP="00B25DA6">
      <w:pPr>
        <w:jc w:val="center"/>
        <w:outlineLvl w:val="0"/>
        <w:rPr>
          <w:rFonts w:ascii="Garamond" w:hAnsi="Garamond"/>
          <w:b/>
          <w:bCs/>
        </w:rPr>
      </w:pPr>
      <w:r w:rsidRPr="00824C4A">
        <w:rPr>
          <w:rFonts w:ascii="Garamond" w:hAnsi="Garamond"/>
          <w:b/>
          <w:bCs/>
        </w:rPr>
        <w:t xml:space="preserve">Figure </w:t>
      </w:r>
      <w:r w:rsidRPr="00824C4A">
        <w:rPr>
          <w:rFonts w:ascii="Garamond" w:hAnsi="Garamond"/>
          <w:b/>
          <w:bCs/>
        </w:rPr>
        <w:fldChar w:fldCharType="begin"/>
      </w:r>
      <w:r w:rsidRPr="00824C4A">
        <w:rPr>
          <w:rFonts w:ascii="Garamond" w:hAnsi="Garamond"/>
          <w:b/>
          <w:bCs/>
        </w:rPr>
        <w:instrText xml:space="preserve"> SEQ Figure \* ARABIC </w:instrText>
      </w:r>
      <w:r w:rsidRPr="00824C4A">
        <w:rPr>
          <w:rFonts w:ascii="Garamond" w:hAnsi="Garamond"/>
          <w:b/>
          <w:bCs/>
        </w:rPr>
        <w:fldChar w:fldCharType="separate"/>
      </w:r>
      <w:r w:rsidRPr="00824C4A">
        <w:rPr>
          <w:rFonts w:ascii="Garamond" w:hAnsi="Garamond"/>
          <w:b/>
          <w:bCs/>
          <w:noProof/>
        </w:rPr>
        <w:t>1</w:t>
      </w:r>
      <w:r w:rsidRPr="00824C4A">
        <w:rPr>
          <w:rFonts w:ascii="Garamond" w:hAnsi="Garamond"/>
          <w:b/>
          <w:bCs/>
        </w:rPr>
        <w:fldChar w:fldCharType="end"/>
      </w:r>
      <w:r w:rsidRPr="00824C4A">
        <w:rPr>
          <w:rFonts w:ascii="Garamond" w:hAnsi="Garamond"/>
          <w:b/>
          <w:bCs/>
        </w:rPr>
        <w:t>: Movement of Sensex and Nifty</w:t>
      </w:r>
    </w:p>
    <w:p w:rsidR="00B25DA6" w:rsidRPr="00991592" w:rsidRDefault="00B25DA6" w:rsidP="00B25DA6">
      <w:pPr>
        <w:jc w:val="center"/>
        <w:rPr>
          <w:rFonts w:ascii="Garamond" w:hAnsi="Garamond"/>
          <w:b/>
          <w:bCs/>
          <w:color w:val="000099"/>
          <w:highlight w:val="lightGray"/>
        </w:rPr>
      </w:pPr>
      <w:r>
        <w:rPr>
          <w:noProof/>
          <w:lang w:val="en-IN" w:eastAsia="en-IN"/>
        </w:rPr>
        <w:drawing>
          <wp:inline distT="0" distB="0" distL="0" distR="0" wp14:anchorId="53501961" wp14:editId="42EA7621">
            <wp:extent cx="5731510" cy="3670300"/>
            <wp:effectExtent l="0" t="0" r="254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5DA6" w:rsidRPr="00BE38CC" w:rsidRDefault="00B25DA6" w:rsidP="00B25DA6">
      <w:pPr>
        <w:jc w:val="both"/>
        <w:rPr>
          <w:rFonts w:ascii="Garamond" w:eastAsia="Times New Roman" w:hAnsi="Garamond"/>
          <w:highlight w:val="lightGray"/>
        </w:rPr>
      </w:pPr>
    </w:p>
    <w:p w:rsidR="00B25DA6" w:rsidRPr="00150ECB" w:rsidRDefault="00B25DA6" w:rsidP="00B25DA6">
      <w:pPr>
        <w:jc w:val="both"/>
        <w:rPr>
          <w:rFonts w:ascii="Garamond" w:eastAsia="Times New Roman" w:hAnsi="Garamond" w:cs="Garamond"/>
        </w:rPr>
      </w:pPr>
      <w:r w:rsidRPr="00BE38CC">
        <w:rPr>
          <w:rFonts w:ascii="Garamond" w:eastAsia="Times New Roman" w:hAnsi="Garamond"/>
        </w:rPr>
        <w:t xml:space="preserve">Market capitalisation of BSE fell by 3.6 per cent to </w:t>
      </w:r>
      <w:r w:rsidRPr="00BE38CC">
        <w:rPr>
          <w:rFonts w:ascii="Rupee Foradian" w:eastAsia="Times New Roman" w:hAnsi="Rupee Foradian"/>
          <w:bCs/>
          <w:szCs w:val="20"/>
          <w:lang w:eastAsia="en-GB" w:bidi="bn-IN"/>
        </w:rPr>
        <w:t>`</w:t>
      </w:r>
      <w:r w:rsidRPr="00BE38CC">
        <w:rPr>
          <w:rFonts w:ascii="Garamond" w:eastAsia="Times New Roman" w:hAnsi="Garamond"/>
          <w:bCs/>
          <w:szCs w:val="20"/>
          <w:lang w:eastAsia="en-GB" w:bidi="bn-IN"/>
        </w:rPr>
        <w:t xml:space="preserve"> </w:t>
      </w:r>
      <w:r w:rsidRPr="00BE38CC">
        <w:rPr>
          <w:rFonts w:ascii="Garamond" w:eastAsia="Times New Roman" w:hAnsi="Garamond"/>
        </w:rPr>
        <w:t xml:space="preserve">1,47,65,583 </w:t>
      </w:r>
      <w:r w:rsidRPr="00BE38CC">
        <w:rPr>
          <w:rFonts w:ascii="Garamond" w:eastAsia="Times New Roman" w:hAnsi="Garamond" w:cs="Garamond"/>
        </w:rPr>
        <w:t>crore</w:t>
      </w:r>
      <w:r w:rsidRPr="00BE38CC">
        <w:rPr>
          <w:rFonts w:ascii="Garamond" w:eastAsia="Times New Roman" w:hAnsi="Garamond"/>
        </w:rPr>
        <w:t xml:space="preserve"> at the end of February 2018, from </w:t>
      </w:r>
      <w:r w:rsidRPr="00BE38CC">
        <w:rPr>
          <w:rFonts w:ascii="Rupee Foradian" w:eastAsia="Times New Roman" w:hAnsi="Rupee Foradian"/>
          <w:bCs/>
          <w:szCs w:val="20"/>
          <w:lang w:eastAsia="en-GB" w:bidi="bn-IN"/>
        </w:rPr>
        <w:t>`</w:t>
      </w:r>
      <w:r w:rsidRPr="00BE38CC">
        <w:rPr>
          <w:rFonts w:ascii="Garamond" w:eastAsia="Times New Roman" w:hAnsi="Garamond"/>
          <w:bCs/>
          <w:szCs w:val="20"/>
          <w:lang w:eastAsia="en-GB" w:bidi="bn-IN"/>
        </w:rPr>
        <w:t xml:space="preserve"> </w:t>
      </w:r>
      <w:r w:rsidRPr="00BE38CC">
        <w:rPr>
          <w:rFonts w:ascii="Garamond" w:eastAsia="Times New Roman" w:hAnsi="Garamond"/>
        </w:rPr>
        <w:t xml:space="preserve">1,53,20,978 </w:t>
      </w:r>
      <w:r w:rsidRPr="00BE38CC">
        <w:rPr>
          <w:rFonts w:ascii="Garamond" w:eastAsia="Times New Roman" w:hAnsi="Garamond" w:cs="Garamond"/>
        </w:rPr>
        <w:t>crore</w:t>
      </w:r>
      <w:r w:rsidRPr="00BE38CC">
        <w:rPr>
          <w:rFonts w:ascii="Garamond" w:eastAsia="Times New Roman" w:hAnsi="Garamond"/>
        </w:rPr>
        <w:t xml:space="preserve"> at the end of January 2018</w:t>
      </w:r>
      <w:r w:rsidRPr="00BE38CC">
        <w:rPr>
          <w:rFonts w:ascii="Garamond" w:eastAsia="Times New Roman" w:hAnsi="Garamond" w:cs="Garamond"/>
        </w:rPr>
        <w:t>. Market capitalization at</w:t>
      </w:r>
      <w:r w:rsidRPr="00BE38CC">
        <w:rPr>
          <w:rFonts w:ascii="Garamond" w:eastAsia="Times New Roman" w:hAnsi="Garamond"/>
        </w:rPr>
        <w:t xml:space="preserve"> NSE also fell to </w:t>
      </w:r>
      <w:r w:rsidRPr="00BE38CC">
        <w:rPr>
          <w:rFonts w:ascii="Rupee Foradian" w:eastAsia="Times New Roman" w:hAnsi="Rupee Foradian"/>
          <w:bCs/>
          <w:szCs w:val="20"/>
          <w:lang w:eastAsia="en-GB" w:bidi="bn-IN"/>
        </w:rPr>
        <w:t>`</w:t>
      </w:r>
      <w:r w:rsidRPr="00BE38CC">
        <w:rPr>
          <w:rFonts w:ascii="Garamond" w:eastAsia="Times New Roman" w:hAnsi="Garamond"/>
          <w:bCs/>
          <w:szCs w:val="20"/>
          <w:lang w:eastAsia="en-GB" w:bidi="bn-IN"/>
        </w:rPr>
        <w:t xml:space="preserve"> </w:t>
      </w:r>
      <w:r w:rsidRPr="00BE38CC">
        <w:rPr>
          <w:rFonts w:ascii="Garamond" w:eastAsia="Times New Roman" w:hAnsi="Garamond" w:cs="Helvetica"/>
          <w:bCs/>
          <w:szCs w:val="20"/>
          <w:lang w:eastAsia="en-GB" w:bidi="bn-IN"/>
        </w:rPr>
        <w:t xml:space="preserve">1,45,64,091 </w:t>
      </w:r>
      <w:r w:rsidRPr="00BE38CC">
        <w:rPr>
          <w:rFonts w:ascii="Garamond" w:eastAsia="Times New Roman" w:hAnsi="Garamond" w:cs="Garamond"/>
        </w:rPr>
        <w:t xml:space="preserve">crore from </w:t>
      </w:r>
      <w:r w:rsidRPr="00BE38CC">
        <w:rPr>
          <w:rFonts w:ascii="Rupee Foradian" w:eastAsia="Times New Roman" w:hAnsi="Rupee Foradian"/>
          <w:bCs/>
          <w:szCs w:val="20"/>
          <w:lang w:eastAsia="en-GB" w:bidi="bn-IN"/>
        </w:rPr>
        <w:t>`</w:t>
      </w:r>
      <w:r w:rsidRPr="00BE38CC">
        <w:rPr>
          <w:rFonts w:ascii="Garamond" w:eastAsia="Times New Roman" w:hAnsi="Garamond"/>
          <w:bCs/>
          <w:szCs w:val="20"/>
          <w:lang w:eastAsia="en-GB" w:bidi="bn-IN"/>
        </w:rPr>
        <w:t xml:space="preserve"> </w:t>
      </w:r>
      <w:r w:rsidRPr="00BE38CC">
        <w:rPr>
          <w:rFonts w:ascii="Garamond" w:eastAsia="Times New Roman" w:hAnsi="Garamond" w:cs="Helvetica"/>
          <w:bCs/>
          <w:szCs w:val="20"/>
          <w:lang w:eastAsia="en-GB" w:bidi="bn-IN"/>
        </w:rPr>
        <w:t xml:space="preserve">1,51,40,453 </w:t>
      </w:r>
      <w:r w:rsidRPr="00BE38CC">
        <w:rPr>
          <w:rFonts w:ascii="Garamond" w:eastAsia="Times New Roman" w:hAnsi="Garamond" w:cs="Garamond"/>
        </w:rPr>
        <w:t xml:space="preserve">crore during the same period </w:t>
      </w:r>
      <w:r w:rsidRPr="00BE38CC">
        <w:rPr>
          <w:rFonts w:ascii="Garamond" w:eastAsia="Times New Roman" w:hAnsi="Garamond"/>
        </w:rPr>
        <w:t xml:space="preserve">witnessing a loss </w:t>
      </w:r>
      <w:r w:rsidRPr="00BE38CC">
        <w:rPr>
          <w:rFonts w:ascii="Garamond" w:eastAsia="Times New Roman" w:hAnsi="Garamond" w:cs="Garamond"/>
        </w:rPr>
        <w:t>of 3.8</w:t>
      </w:r>
      <w:r w:rsidRPr="00BE38CC">
        <w:rPr>
          <w:rFonts w:ascii="Garamond" w:eastAsia="Times New Roman" w:hAnsi="Garamond"/>
        </w:rPr>
        <w:t xml:space="preserve"> per cent</w:t>
      </w:r>
      <w:r w:rsidRPr="00BE38CC">
        <w:rPr>
          <w:rFonts w:ascii="Garamond" w:eastAsia="Times New Roman" w:hAnsi="Garamond" w:cs="Garamond"/>
        </w:rPr>
        <w:t xml:space="preserve">. </w:t>
      </w:r>
      <w:r>
        <w:rPr>
          <w:rFonts w:ascii="Garamond" w:eastAsia="Times New Roman" w:hAnsi="Garamond" w:cs="Garamond"/>
        </w:rPr>
        <w:t xml:space="preserve">Monthly turnover of BSE during fell by 33.3 per cent from </w:t>
      </w:r>
      <w:r w:rsidRPr="00BE38CC">
        <w:rPr>
          <w:rFonts w:ascii="Rupee Foradian" w:eastAsia="Times New Roman" w:hAnsi="Rupee Foradian"/>
          <w:bCs/>
          <w:szCs w:val="20"/>
          <w:lang w:eastAsia="en-GB" w:bidi="bn-IN"/>
        </w:rPr>
        <w:t>`</w:t>
      </w:r>
      <w:r w:rsidRPr="00BE38CC">
        <w:rPr>
          <w:rFonts w:ascii="Garamond" w:eastAsia="Times New Roman" w:hAnsi="Garamond"/>
          <w:bCs/>
          <w:szCs w:val="20"/>
          <w:lang w:eastAsia="en-GB" w:bidi="bn-IN"/>
        </w:rPr>
        <w:t xml:space="preserve"> </w:t>
      </w:r>
      <w:r>
        <w:rPr>
          <w:rFonts w:ascii="Garamond" w:eastAsia="Times New Roman" w:hAnsi="Garamond"/>
          <w:bCs/>
          <w:szCs w:val="20"/>
          <w:lang w:eastAsia="en-GB" w:bidi="bn-IN"/>
        </w:rPr>
        <w:t xml:space="preserve">1,22,537 crore in January 2018 to </w:t>
      </w:r>
      <w:r w:rsidRPr="00BE38CC">
        <w:rPr>
          <w:rFonts w:ascii="Garamond" w:eastAsia="Times New Roman" w:hAnsi="Garamond" w:cs="Garamond"/>
        </w:rPr>
        <w:t xml:space="preserve"> </w:t>
      </w:r>
      <w:r w:rsidRPr="00BE38CC">
        <w:rPr>
          <w:rFonts w:ascii="Rupee Foradian" w:eastAsia="Times New Roman" w:hAnsi="Rupee Foradian"/>
          <w:bCs/>
          <w:szCs w:val="20"/>
          <w:lang w:eastAsia="en-GB" w:bidi="bn-IN"/>
        </w:rPr>
        <w:t>`</w:t>
      </w:r>
      <w:r w:rsidRPr="00BE38CC">
        <w:rPr>
          <w:rFonts w:ascii="Garamond" w:eastAsia="Times New Roman" w:hAnsi="Garamond"/>
          <w:bCs/>
          <w:szCs w:val="20"/>
          <w:lang w:eastAsia="en-GB" w:bidi="bn-IN"/>
        </w:rPr>
        <w:t xml:space="preserve"> </w:t>
      </w:r>
      <w:r>
        <w:rPr>
          <w:rFonts w:ascii="Garamond" w:eastAsia="Times New Roman" w:hAnsi="Garamond"/>
          <w:bCs/>
          <w:szCs w:val="20"/>
          <w:lang w:eastAsia="en-GB" w:bidi="bn-IN"/>
        </w:rPr>
        <w:t>81,758 crore in</w:t>
      </w:r>
      <w:r w:rsidRPr="00BE38CC">
        <w:rPr>
          <w:rFonts w:ascii="Garamond" w:eastAsia="Times New Roman" w:hAnsi="Garamond" w:cs="Garamond"/>
        </w:rPr>
        <w:t xml:space="preserve"> </w:t>
      </w:r>
      <w:r>
        <w:rPr>
          <w:rFonts w:ascii="Garamond" w:eastAsia="Times New Roman" w:hAnsi="Garamond" w:cs="Garamond"/>
        </w:rPr>
        <w:t xml:space="preserve">February 2018. Monthly turnover of NSE too fell by 21.5 per cent from 8,14,839 crore in January 2018 to 6,39,683 </w:t>
      </w:r>
      <w:r w:rsidRPr="00150ECB">
        <w:rPr>
          <w:rFonts w:ascii="Garamond" w:eastAsia="Times New Roman" w:hAnsi="Garamond" w:cs="Garamond"/>
        </w:rPr>
        <w:t>crore in February 2018. The P/E ratios of S&amp;P BSE Sensex and Nifty 50 were 23.7 and 25.7 respectively at the end of February 2018 compared to 25.4 and 27.5 respectively a month ago (</w:t>
      </w:r>
      <w:r w:rsidRPr="00150ECB">
        <w:rPr>
          <w:rFonts w:ascii="Garamond" w:eastAsia="Times New Roman" w:hAnsi="Garamond" w:cs="Garamond"/>
          <w:b/>
          <w:bCs/>
          <w:i/>
          <w:iCs/>
        </w:rPr>
        <w:t>Exhibit 2</w:t>
      </w:r>
      <w:r w:rsidRPr="00150ECB">
        <w:rPr>
          <w:rFonts w:ascii="Garamond" w:eastAsia="Times New Roman" w:hAnsi="Garamond" w:cs="Garamond"/>
        </w:rPr>
        <w:t>).</w:t>
      </w:r>
    </w:p>
    <w:p w:rsidR="00B25DA6" w:rsidRPr="00991592" w:rsidRDefault="00B25DA6" w:rsidP="00B25DA6">
      <w:pPr>
        <w:jc w:val="both"/>
        <w:rPr>
          <w:rFonts w:ascii="Garamond" w:eastAsia="Times New Roman" w:hAnsi="Garamond" w:cs="Garamond"/>
          <w:color w:val="000099"/>
          <w:highlight w:val="lightGray"/>
        </w:rPr>
      </w:pPr>
    </w:p>
    <w:p w:rsidR="00B25DA6" w:rsidRDefault="00B25DA6" w:rsidP="00B25DA6">
      <w:pPr>
        <w:jc w:val="both"/>
        <w:outlineLvl w:val="0"/>
        <w:rPr>
          <w:rFonts w:ascii="Garamond" w:eastAsia="Times New Roman" w:hAnsi="Garamond"/>
          <w:b/>
        </w:rPr>
      </w:pPr>
      <w:r w:rsidRPr="00D33D6A">
        <w:rPr>
          <w:rFonts w:ascii="Garamond" w:eastAsia="Times New Roman" w:hAnsi="Garamond"/>
          <w:b/>
          <w:bCs/>
        </w:rPr>
        <w:t xml:space="preserve">Exhibit </w:t>
      </w:r>
      <w:r w:rsidRPr="00D33D6A">
        <w:rPr>
          <w:rFonts w:ascii="Garamond" w:eastAsia="Times New Roman" w:hAnsi="Garamond"/>
          <w:b/>
        </w:rPr>
        <w:t>2: The Basic Indicators in Cash Segment</w:t>
      </w:r>
    </w:p>
    <w:tbl>
      <w:tblPr>
        <w:tblW w:w="7825" w:type="dxa"/>
        <w:jc w:val="center"/>
        <w:tblCellMar>
          <w:left w:w="58" w:type="dxa"/>
          <w:right w:w="58" w:type="dxa"/>
        </w:tblCellMar>
        <w:tblLook w:val="04A0" w:firstRow="1" w:lastRow="0" w:firstColumn="1" w:lastColumn="0" w:noHBand="0" w:noVBand="1"/>
      </w:tblPr>
      <w:tblGrid>
        <w:gridCol w:w="1480"/>
        <w:gridCol w:w="1026"/>
        <w:gridCol w:w="1020"/>
        <w:gridCol w:w="1016"/>
        <w:gridCol w:w="1016"/>
        <w:gridCol w:w="2267"/>
      </w:tblGrid>
      <w:tr w:rsidR="00B25DA6" w:rsidRPr="0003213F" w:rsidTr="007C138F">
        <w:trPr>
          <w:trHeight w:val="56"/>
          <w:jc w:val="center"/>
        </w:trPr>
        <w:tc>
          <w:tcPr>
            <w:tcW w:w="1480" w:type="dxa"/>
            <w:tcBorders>
              <w:top w:val="single" w:sz="4" w:space="0" w:color="auto"/>
              <w:left w:val="single" w:sz="4" w:space="0" w:color="auto"/>
              <w:bottom w:val="nil"/>
              <w:right w:val="single" w:sz="4" w:space="0" w:color="auto"/>
            </w:tcBorders>
            <w:shd w:val="clear" w:color="000000" w:fill="8DB4E2"/>
            <w:noWrap/>
            <w:hideMark/>
          </w:tcPr>
          <w:p w:rsidR="00B25DA6" w:rsidRPr="0003213F" w:rsidRDefault="00B25DA6" w:rsidP="007C138F">
            <w:pPr>
              <w:jc w:val="center"/>
              <w:rPr>
                <w:rFonts w:ascii="Garamond" w:eastAsia="Times New Roman" w:hAnsi="Garamond"/>
                <w:b/>
                <w:bCs/>
                <w:sz w:val="20"/>
                <w:szCs w:val="20"/>
                <w:lang w:eastAsia="en-GB"/>
              </w:rPr>
            </w:pPr>
            <w:r w:rsidRPr="0003213F">
              <w:rPr>
                <w:rFonts w:ascii="Garamond" w:eastAsia="Times New Roman" w:hAnsi="Garamond"/>
                <w:b/>
                <w:bCs/>
                <w:sz w:val="20"/>
                <w:szCs w:val="20"/>
                <w:lang w:eastAsia="en-GB"/>
              </w:rPr>
              <w:t> </w:t>
            </w:r>
          </w:p>
        </w:tc>
        <w:tc>
          <w:tcPr>
            <w:tcW w:w="1026" w:type="dxa"/>
            <w:tcBorders>
              <w:top w:val="single" w:sz="4" w:space="0" w:color="auto"/>
              <w:left w:val="nil"/>
              <w:bottom w:val="single" w:sz="4" w:space="0" w:color="auto"/>
              <w:right w:val="single" w:sz="4" w:space="0" w:color="auto"/>
            </w:tcBorders>
            <w:shd w:val="clear" w:color="000000" w:fill="8DB4E2"/>
            <w:hideMark/>
          </w:tcPr>
          <w:p w:rsidR="00B25DA6" w:rsidRPr="0003213F" w:rsidRDefault="00B25DA6" w:rsidP="007C138F">
            <w:pPr>
              <w:jc w:val="center"/>
              <w:rPr>
                <w:rFonts w:ascii="Garamond" w:eastAsia="Times New Roman" w:hAnsi="Garamond"/>
                <w:b/>
                <w:bCs/>
                <w:sz w:val="20"/>
                <w:szCs w:val="20"/>
                <w:lang w:eastAsia="en-GB"/>
              </w:rPr>
            </w:pPr>
            <w:r w:rsidRPr="0003213F">
              <w:rPr>
                <w:rFonts w:ascii="Garamond" w:eastAsia="Times New Roman" w:hAnsi="Garamond"/>
                <w:b/>
                <w:bCs/>
                <w:sz w:val="20"/>
                <w:szCs w:val="20"/>
                <w:lang w:eastAsia="en-GB"/>
              </w:rPr>
              <w:t>2017-18$</w:t>
            </w:r>
          </w:p>
        </w:tc>
        <w:tc>
          <w:tcPr>
            <w:tcW w:w="1020" w:type="dxa"/>
            <w:tcBorders>
              <w:top w:val="single" w:sz="4" w:space="0" w:color="auto"/>
              <w:left w:val="nil"/>
              <w:bottom w:val="single" w:sz="4" w:space="0" w:color="auto"/>
              <w:right w:val="single" w:sz="4" w:space="0" w:color="auto"/>
            </w:tcBorders>
            <w:shd w:val="clear" w:color="000000" w:fill="8DB4E2"/>
            <w:hideMark/>
          </w:tcPr>
          <w:p w:rsidR="00B25DA6" w:rsidRPr="0003213F" w:rsidRDefault="00B25DA6" w:rsidP="007C138F">
            <w:pPr>
              <w:jc w:val="center"/>
              <w:rPr>
                <w:rFonts w:ascii="Garamond" w:eastAsia="Times New Roman" w:hAnsi="Garamond"/>
                <w:b/>
                <w:bCs/>
                <w:sz w:val="20"/>
                <w:szCs w:val="20"/>
                <w:lang w:eastAsia="en-GB"/>
              </w:rPr>
            </w:pPr>
            <w:r w:rsidRPr="0003213F">
              <w:rPr>
                <w:rFonts w:ascii="Garamond" w:eastAsia="Times New Roman" w:hAnsi="Garamond"/>
                <w:b/>
                <w:bCs/>
                <w:sz w:val="20"/>
                <w:szCs w:val="20"/>
                <w:lang w:eastAsia="en-GB"/>
              </w:rPr>
              <w:t>2016-17</w:t>
            </w:r>
          </w:p>
        </w:tc>
        <w:tc>
          <w:tcPr>
            <w:tcW w:w="1016" w:type="dxa"/>
            <w:tcBorders>
              <w:top w:val="single" w:sz="4" w:space="0" w:color="auto"/>
              <w:left w:val="nil"/>
              <w:bottom w:val="single" w:sz="4" w:space="0" w:color="auto"/>
              <w:right w:val="single" w:sz="4" w:space="0" w:color="auto"/>
            </w:tcBorders>
            <w:shd w:val="clear" w:color="000000" w:fill="8DB4E2"/>
            <w:hideMark/>
          </w:tcPr>
          <w:p w:rsidR="00B25DA6" w:rsidRPr="0003213F" w:rsidRDefault="00B25DA6" w:rsidP="007C138F">
            <w:pPr>
              <w:jc w:val="center"/>
              <w:rPr>
                <w:rFonts w:ascii="Garamond" w:eastAsia="Times New Roman" w:hAnsi="Garamond"/>
                <w:b/>
                <w:bCs/>
                <w:sz w:val="20"/>
                <w:szCs w:val="20"/>
                <w:lang w:eastAsia="en-GB"/>
              </w:rPr>
            </w:pPr>
            <w:r w:rsidRPr="0003213F">
              <w:rPr>
                <w:rFonts w:ascii="Garamond" w:eastAsia="Times New Roman" w:hAnsi="Garamond"/>
                <w:b/>
                <w:bCs/>
                <w:sz w:val="20"/>
                <w:szCs w:val="20"/>
                <w:lang w:eastAsia="en-GB"/>
              </w:rPr>
              <w:t>Feb-18</w:t>
            </w:r>
          </w:p>
        </w:tc>
        <w:tc>
          <w:tcPr>
            <w:tcW w:w="1016" w:type="dxa"/>
            <w:tcBorders>
              <w:top w:val="single" w:sz="4" w:space="0" w:color="auto"/>
              <w:left w:val="nil"/>
              <w:bottom w:val="single" w:sz="4" w:space="0" w:color="auto"/>
              <w:right w:val="single" w:sz="4" w:space="0" w:color="auto"/>
            </w:tcBorders>
            <w:shd w:val="clear" w:color="000000" w:fill="8DB4E2"/>
            <w:hideMark/>
          </w:tcPr>
          <w:p w:rsidR="00B25DA6" w:rsidRPr="0003213F" w:rsidRDefault="00B25DA6" w:rsidP="007C138F">
            <w:pPr>
              <w:jc w:val="center"/>
              <w:rPr>
                <w:rFonts w:ascii="Garamond" w:eastAsia="Times New Roman" w:hAnsi="Garamond"/>
                <w:b/>
                <w:bCs/>
                <w:sz w:val="20"/>
                <w:szCs w:val="20"/>
                <w:lang w:eastAsia="en-GB"/>
              </w:rPr>
            </w:pPr>
            <w:r w:rsidRPr="0003213F">
              <w:rPr>
                <w:rFonts w:ascii="Garamond" w:eastAsia="Times New Roman" w:hAnsi="Garamond"/>
                <w:b/>
                <w:bCs/>
                <w:sz w:val="20"/>
                <w:szCs w:val="20"/>
                <w:lang w:eastAsia="en-GB"/>
              </w:rPr>
              <w:t>Jan-18</w:t>
            </w:r>
          </w:p>
        </w:tc>
        <w:tc>
          <w:tcPr>
            <w:tcW w:w="2267" w:type="dxa"/>
            <w:tcBorders>
              <w:top w:val="single" w:sz="4" w:space="0" w:color="auto"/>
              <w:left w:val="nil"/>
              <w:bottom w:val="single" w:sz="4" w:space="0" w:color="auto"/>
              <w:right w:val="single" w:sz="4" w:space="0" w:color="auto"/>
            </w:tcBorders>
            <w:shd w:val="clear" w:color="000000" w:fill="8DB4E2"/>
            <w:hideMark/>
          </w:tcPr>
          <w:p w:rsidR="00B25DA6" w:rsidRPr="0003213F" w:rsidRDefault="00B25DA6" w:rsidP="007C138F">
            <w:pPr>
              <w:jc w:val="center"/>
              <w:rPr>
                <w:rFonts w:ascii="Garamond" w:eastAsia="Times New Roman" w:hAnsi="Garamond"/>
                <w:b/>
                <w:bCs/>
                <w:sz w:val="20"/>
                <w:szCs w:val="20"/>
                <w:lang w:eastAsia="en-GB"/>
              </w:rPr>
            </w:pPr>
            <w:r w:rsidRPr="0003213F">
              <w:rPr>
                <w:rFonts w:ascii="Garamond" w:eastAsia="Times New Roman" w:hAnsi="Garamond"/>
                <w:b/>
                <w:bCs/>
                <w:sz w:val="20"/>
                <w:szCs w:val="20"/>
                <w:lang w:eastAsia="en-GB"/>
              </w:rPr>
              <w:t>Percentage change over previous month</w:t>
            </w:r>
          </w:p>
        </w:tc>
      </w:tr>
      <w:tr w:rsidR="00B25DA6" w:rsidRPr="0003213F" w:rsidTr="007C138F">
        <w:trPr>
          <w:trHeight w:val="34"/>
          <w:jc w:val="center"/>
        </w:trPr>
        <w:tc>
          <w:tcPr>
            <w:tcW w:w="1480" w:type="dxa"/>
            <w:tcBorders>
              <w:top w:val="single" w:sz="4" w:space="0" w:color="auto"/>
              <w:left w:val="single" w:sz="4" w:space="0" w:color="auto"/>
              <w:bottom w:val="single" w:sz="4" w:space="0" w:color="auto"/>
              <w:right w:val="single" w:sz="4" w:space="0" w:color="auto"/>
            </w:tcBorders>
            <w:shd w:val="clear" w:color="000000" w:fill="C5D9F1"/>
            <w:noWrap/>
            <w:hideMark/>
          </w:tcPr>
          <w:p w:rsidR="00B25DA6" w:rsidRPr="0003213F" w:rsidRDefault="00B25DA6" w:rsidP="007C138F">
            <w:pPr>
              <w:jc w:val="center"/>
              <w:rPr>
                <w:rFonts w:ascii="Garamond" w:eastAsia="Times New Roman" w:hAnsi="Garamond"/>
                <w:i/>
                <w:iCs/>
                <w:sz w:val="20"/>
                <w:szCs w:val="20"/>
                <w:lang w:eastAsia="en-GB"/>
              </w:rPr>
            </w:pPr>
            <w:r w:rsidRPr="0003213F">
              <w:rPr>
                <w:rFonts w:ascii="Garamond" w:eastAsia="Times New Roman" w:hAnsi="Garamond"/>
                <w:i/>
                <w:iCs/>
                <w:sz w:val="20"/>
                <w:szCs w:val="20"/>
                <w:lang w:eastAsia="en-GB"/>
              </w:rPr>
              <w:t>1</w:t>
            </w:r>
          </w:p>
        </w:tc>
        <w:tc>
          <w:tcPr>
            <w:tcW w:w="1026" w:type="dxa"/>
            <w:tcBorders>
              <w:top w:val="nil"/>
              <w:left w:val="nil"/>
              <w:bottom w:val="single" w:sz="4" w:space="0" w:color="auto"/>
              <w:right w:val="single" w:sz="4" w:space="0" w:color="auto"/>
            </w:tcBorders>
            <w:shd w:val="clear" w:color="000000" w:fill="C5D9F1"/>
            <w:hideMark/>
          </w:tcPr>
          <w:p w:rsidR="00B25DA6" w:rsidRPr="0003213F" w:rsidRDefault="00B25DA6" w:rsidP="007C138F">
            <w:pPr>
              <w:jc w:val="center"/>
              <w:rPr>
                <w:rFonts w:ascii="Garamond" w:eastAsia="Times New Roman" w:hAnsi="Garamond"/>
                <w:i/>
                <w:iCs/>
                <w:sz w:val="20"/>
                <w:szCs w:val="20"/>
                <w:lang w:eastAsia="en-GB"/>
              </w:rPr>
            </w:pPr>
            <w:r w:rsidRPr="0003213F">
              <w:rPr>
                <w:rFonts w:ascii="Garamond" w:eastAsia="Times New Roman" w:hAnsi="Garamond"/>
                <w:i/>
                <w:iCs/>
                <w:sz w:val="20"/>
                <w:szCs w:val="20"/>
                <w:lang w:eastAsia="en-GB"/>
              </w:rPr>
              <w:t>2</w:t>
            </w:r>
          </w:p>
        </w:tc>
        <w:tc>
          <w:tcPr>
            <w:tcW w:w="1020" w:type="dxa"/>
            <w:tcBorders>
              <w:top w:val="nil"/>
              <w:left w:val="nil"/>
              <w:bottom w:val="single" w:sz="4" w:space="0" w:color="auto"/>
              <w:right w:val="single" w:sz="4" w:space="0" w:color="auto"/>
            </w:tcBorders>
            <w:shd w:val="clear" w:color="000000" w:fill="C5D9F1"/>
            <w:noWrap/>
            <w:hideMark/>
          </w:tcPr>
          <w:p w:rsidR="00B25DA6" w:rsidRPr="0003213F" w:rsidRDefault="00B25DA6" w:rsidP="007C138F">
            <w:pPr>
              <w:jc w:val="center"/>
              <w:rPr>
                <w:rFonts w:ascii="Garamond" w:eastAsia="Times New Roman" w:hAnsi="Garamond"/>
                <w:i/>
                <w:iCs/>
                <w:sz w:val="20"/>
                <w:szCs w:val="20"/>
                <w:lang w:eastAsia="en-GB"/>
              </w:rPr>
            </w:pPr>
            <w:r w:rsidRPr="0003213F">
              <w:rPr>
                <w:rFonts w:ascii="Garamond" w:eastAsia="Times New Roman" w:hAnsi="Garamond"/>
                <w:i/>
                <w:iCs/>
                <w:sz w:val="20"/>
                <w:szCs w:val="20"/>
                <w:lang w:eastAsia="en-GB"/>
              </w:rPr>
              <w:t>3</w:t>
            </w:r>
          </w:p>
        </w:tc>
        <w:tc>
          <w:tcPr>
            <w:tcW w:w="1016" w:type="dxa"/>
            <w:tcBorders>
              <w:top w:val="nil"/>
              <w:left w:val="nil"/>
              <w:bottom w:val="single" w:sz="4" w:space="0" w:color="auto"/>
              <w:right w:val="single" w:sz="4" w:space="0" w:color="auto"/>
            </w:tcBorders>
            <w:shd w:val="clear" w:color="000000" w:fill="C5D9F1"/>
            <w:noWrap/>
            <w:hideMark/>
          </w:tcPr>
          <w:p w:rsidR="00B25DA6" w:rsidRPr="0003213F" w:rsidRDefault="00B25DA6" w:rsidP="007C138F">
            <w:pPr>
              <w:jc w:val="center"/>
              <w:rPr>
                <w:rFonts w:ascii="Garamond" w:eastAsia="Times New Roman" w:hAnsi="Garamond"/>
                <w:i/>
                <w:iCs/>
                <w:sz w:val="20"/>
                <w:szCs w:val="20"/>
                <w:lang w:eastAsia="en-GB"/>
              </w:rPr>
            </w:pPr>
            <w:r w:rsidRPr="0003213F">
              <w:rPr>
                <w:rFonts w:ascii="Garamond" w:eastAsia="Times New Roman" w:hAnsi="Garamond"/>
                <w:i/>
                <w:iCs/>
                <w:sz w:val="20"/>
                <w:szCs w:val="20"/>
                <w:lang w:eastAsia="en-GB"/>
              </w:rPr>
              <w:t>4</w:t>
            </w:r>
          </w:p>
        </w:tc>
        <w:tc>
          <w:tcPr>
            <w:tcW w:w="1016" w:type="dxa"/>
            <w:tcBorders>
              <w:top w:val="nil"/>
              <w:left w:val="nil"/>
              <w:bottom w:val="single" w:sz="4" w:space="0" w:color="auto"/>
              <w:right w:val="single" w:sz="4" w:space="0" w:color="auto"/>
            </w:tcBorders>
            <w:shd w:val="clear" w:color="000000" w:fill="C5D9F1"/>
            <w:hideMark/>
          </w:tcPr>
          <w:p w:rsidR="00B25DA6" w:rsidRPr="0003213F" w:rsidRDefault="00B25DA6" w:rsidP="007C138F">
            <w:pPr>
              <w:jc w:val="center"/>
              <w:rPr>
                <w:rFonts w:ascii="Garamond" w:eastAsia="Times New Roman" w:hAnsi="Garamond"/>
                <w:i/>
                <w:iCs/>
                <w:sz w:val="20"/>
                <w:szCs w:val="20"/>
                <w:lang w:eastAsia="en-GB"/>
              </w:rPr>
            </w:pPr>
            <w:r w:rsidRPr="0003213F">
              <w:rPr>
                <w:rFonts w:ascii="Garamond" w:eastAsia="Times New Roman" w:hAnsi="Garamond"/>
                <w:i/>
                <w:iCs/>
                <w:sz w:val="20"/>
                <w:szCs w:val="20"/>
                <w:lang w:eastAsia="en-GB"/>
              </w:rPr>
              <w:t>5</w:t>
            </w:r>
          </w:p>
        </w:tc>
        <w:tc>
          <w:tcPr>
            <w:tcW w:w="2267" w:type="dxa"/>
            <w:tcBorders>
              <w:top w:val="nil"/>
              <w:left w:val="nil"/>
              <w:bottom w:val="single" w:sz="4" w:space="0" w:color="auto"/>
              <w:right w:val="single" w:sz="4" w:space="0" w:color="auto"/>
            </w:tcBorders>
            <w:shd w:val="clear" w:color="000000" w:fill="C5D9F1"/>
            <w:noWrap/>
            <w:hideMark/>
          </w:tcPr>
          <w:p w:rsidR="00B25DA6" w:rsidRPr="0003213F" w:rsidRDefault="00B25DA6" w:rsidP="007C138F">
            <w:pPr>
              <w:jc w:val="center"/>
              <w:rPr>
                <w:rFonts w:ascii="Garamond" w:eastAsia="Times New Roman" w:hAnsi="Garamond"/>
                <w:i/>
                <w:iCs/>
                <w:sz w:val="20"/>
                <w:szCs w:val="20"/>
                <w:lang w:eastAsia="en-GB"/>
              </w:rPr>
            </w:pPr>
            <w:r w:rsidRPr="0003213F">
              <w:rPr>
                <w:rFonts w:ascii="Garamond" w:eastAsia="Times New Roman" w:hAnsi="Garamond"/>
                <w:i/>
                <w:iCs/>
                <w:sz w:val="20"/>
                <w:szCs w:val="20"/>
                <w:lang w:eastAsia="en-GB"/>
              </w:rPr>
              <w:t>6</w:t>
            </w:r>
          </w:p>
        </w:tc>
      </w:tr>
      <w:tr w:rsidR="00B25DA6" w:rsidRPr="0003213F" w:rsidTr="007C138F">
        <w:trPr>
          <w:trHeight w:val="172"/>
          <w:jc w:val="center"/>
        </w:trPr>
        <w:tc>
          <w:tcPr>
            <w:tcW w:w="7825"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B25DA6" w:rsidRPr="0003213F" w:rsidRDefault="00B25DA6" w:rsidP="007C138F">
            <w:pPr>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A. Indices</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S&amp;P BSE Sensex</w:t>
            </w:r>
          </w:p>
        </w:tc>
        <w:tc>
          <w:tcPr>
            <w:tcW w:w="1026" w:type="dxa"/>
            <w:tcBorders>
              <w:top w:val="nil"/>
              <w:left w:val="single" w:sz="4" w:space="0" w:color="auto"/>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34,184</w:t>
            </w:r>
          </w:p>
        </w:tc>
        <w:tc>
          <w:tcPr>
            <w:tcW w:w="1020"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29,621</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34,184.0</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35,965.0</w:t>
            </w:r>
          </w:p>
        </w:tc>
        <w:tc>
          <w:tcPr>
            <w:tcW w:w="2267"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-5.0</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Nifty 50</w:t>
            </w:r>
          </w:p>
        </w:tc>
        <w:tc>
          <w:tcPr>
            <w:tcW w:w="1026" w:type="dxa"/>
            <w:tcBorders>
              <w:top w:val="nil"/>
              <w:left w:val="single" w:sz="4" w:space="0" w:color="auto"/>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10,493</w:t>
            </w:r>
          </w:p>
        </w:tc>
        <w:tc>
          <w:tcPr>
            <w:tcW w:w="1020"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9,174</w:t>
            </w:r>
          </w:p>
        </w:tc>
        <w:tc>
          <w:tcPr>
            <w:tcW w:w="1016"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10,492.9</w:t>
            </w:r>
          </w:p>
        </w:tc>
        <w:tc>
          <w:tcPr>
            <w:tcW w:w="1016"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11,027.7</w:t>
            </w:r>
          </w:p>
        </w:tc>
        <w:tc>
          <w:tcPr>
            <w:tcW w:w="2267"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-4.9</w:t>
            </w:r>
          </w:p>
        </w:tc>
      </w:tr>
      <w:tr w:rsidR="00B25DA6" w:rsidRPr="0003213F" w:rsidTr="007C138F">
        <w:trPr>
          <w:trHeight w:val="164"/>
          <w:jc w:val="center"/>
        </w:trPr>
        <w:tc>
          <w:tcPr>
            <w:tcW w:w="7825"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B25DA6" w:rsidRPr="0003213F" w:rsidRDefault="00B25DA6" w:rsidP="007C138F">
            <w:pPr>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B. Market Capitalisation</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BSE</w:t>
            </w:r>
          </w:p>
        </w:tc>
        <w:tc>
          <w:tcPr>
            <w:tcW w:w="1026" w:type="dxa"/>
            <w:tcBorders>
              <w:top w:val="nil"/>
              <w:left w:val="single" w:sz="4" w:space="0" w:color="auto"/>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1,47,65,583</w:t>
            </w:r>
          </w:p>
        </w:tc>
        <w:tc>
          <w:tcPr>
            <w:tcW w:w="1020"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1,21,54,525</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1,47,65,583</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1,53,20,978</w:t>
            </w:r>
          </w:p>
        </w:tc>
        <w:tc>
          <w:tcPr>
            <w:tcW w:w="2267"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-3.6</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NSE</w:t>
            </w:r>
          </w:p>
        </w:tc>
        <w:tc>
          <w:tcPr>
            <w:tcW w:w="1026" w:type="dxa"/>
            <w:tcBorders>
              <w:top w:val="nil"/>
              <w:left w:val="single" w:sz="4" w:space="0" w:color="auto"/>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1,45,64,091</w:t>
            </w:r>
          </w:p>
        </w:tc>
        <w:tc>
          <w:tcPr>
            <w:tcW w:w="1020"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1,19,78,421</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1,45,64,091</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1,51,40,453</w:t>
            </w:r>
          </w:p>
        </w:tc>
        <w:tc>
          <w:tcPr>
            <w:tcW w:w="2267"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-3.8</w:t>
            </w:r>
          </w:p>
        </w:tc>
      </w:tr>
      <w:tr w:rsidR="00B25DA6" w:rsidRPr="0003213F" w:rsidTr="007C138F">
        <w:trPr>
          <w:trHeight w:val="164"/>
          <w:jc w:val="center"/>
        </w:trPr>
        <w:tc>
          <w:tcPr>
            <w:tcW w:w="7825"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B25DA6" w:rsidRPr="0003213F" w:rsidRDefault="00B25DA6" w:rsidP="007C138F">
            <w:pPr>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C. Gross Turnover</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BSE</w:t>
            </w:r>
          </w:p>
        </w:tc>
        <w:tc>
          <w:tcPr>
            <w:tcW w:w="1026" w:type="dxa"/>
            <w:tcBorders>
              <w:top w:val="nil"/>
              <w:left w:val="single" w:sz="4" w:space="0" w:color="auto"/>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10,04,610</w:t>
            </w:r>
          </w:p>
        </w:tc>
        <w:tc>
          <w:tcPr>
            <w:tcW w:w="1020"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9,98,261</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81,758</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1,22,537</w:t>
            </w:r>
          </w:p>
        </w:tc>
        <w:tc>
          <w:tcPr>
            <w:tcW w:w="2267"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-33.3</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lastRenderedPageBreak/>
              <w:t>NSE</w:t>
            </w:r>
          </w:p>
        </w:tc>
        <w:tc>
          <w:tcPr>
            <w:tcW w:w="1026" w:type="dxa"/>
            <w:tcBorders>
              <w:top w:val="nil"/>
              <w:left w:val="single" w:sz="4" w:space="0" w:color="auto"/>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66,39,974</w:t>
            </w:r>
          </w:p>
        </w:tc>
        <w:tc>
          <w:tcPr>
            <w:tcW w:w="1020"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50,55,913</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6,39,683</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8,14,839</w:t>
            </w:r>
          </w:p>
        </w:tc>
        <w:tc>
          <w:tcPr>
            <w:tcW w:w="2267"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-21.5</w:t>
            </w:r>
          </w:p>
        </w:tc>
      </w:tr>
      <w:tr w:rsidR="00B25DA6" w:rsidRPr="0003213F" w:rsidTr="007C138F">
        <w:trPr>
          <w:trHeight w:val="172"/>
          <w:jc w:val="center"/>
        </w:trPr>
        <w:tc>
          <w:tcPr>
            <w:tcW w:w="7825"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B25DA6" w:rsidRPr="0003213F" w:rsidRDefault="00B25DA6" w:rsidP="007C138F">
            <w:pPr>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D. P/E Ratio</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S&amp;P BSE Sensex</w:t>
            </w:r>
          </w:p>
        </w:tc>
        <w:tc>
          <w:tcPr>
            <w:tcW w:w="1026" w:type="dxa"/>
            <w:tcBorders>
              <w:top w:val="nil"/>
              <w:left w:val="single" w:sz="4" w:space="0" w:color="auto"/>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23.7</w:t>
            </w:r>
          </w:p>
        </w:tc>
        <w:tc>
          <w:tcPr>
            <w:tcW w:w="1020"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22.6</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23.7</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25.4</w:t>
            </w:r>
          </w:p>
        </w:tc>
        <w:tc>
          <w:tcPr>
            <w:tcW w:w="2267"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-6.8</w:t>
            </w:r>
          </w:p>
        </w:tc>
      </w:tr>
      <w:tr w:rsidR="00B25DA6" w:rsidRPr="0003213F" w:rsidTr="007C138F">
        <w:trPr>
          <w:trHeight w:val="172"/>
          <w:jc w:val="center"/>
        </w:trPr>
        <w:tc>
          <w:tcPr>
            <w:tcW w:w="1480" w:type="dxa"/>
            <w:tcBorders>
              <w:top w:val="nil"/>
              <w:left w:val="single" w:sz="4" w:space="0" w:color="auto"/>
              <w:bottom w:val="single" w:sz="4" w:space="0" w:color="auto"/>
              <w:right w:val="single" w:sz="4" w:space="0" w:color="auto"/>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Nifty 50</w:t>
            </w:r>
          </w:p>
        </w:tc>
        <w:tc>
          <w:tcPr>
            <w:tcW w:w="1026"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25.7</w:t>
            </w:r>
          </w:p>
        </w:tc>
        <w:tc>
          <w:tcPr>
            <w:tcW w:w="1020"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23.3</w:t>
            </w:r>
          </w:p>
        </w:tc>
        <w:tc>
          <w:tcPr>
            <w:tcW w:w="1016"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25.7</w:t>
            </w:r>
          </w:p>
        </w:tc>
        <w:tc>
          <w:tcPr>
            <w:tcW w:w="1016"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27.5</w:t>
            </w:r>
          </w:p>
        </w:tc>
        <w:tc>
          <w:tcPr>
            <w:tcW w:w="2267"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-6.6</w:t>
            </w:r>
          </w:p>
        </w:tc>
      </w:tr>
      <w:tr w:rsidR="00B25DA6" w:rsidRPr="0003213F" w:rsidTr="007C138F">
        <w:trPr>
          <w:trHeight w:val="172"/>
          <w:jc w:val="center"/>
        </w:trPr>
        <w:tc>
          <w:tcPr>
            <w:tcW w:w="7825"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B25DA6" w:rsidRPr="0003213F" w:rsidRDefault="00B25DA6" w:rsidP="007C138F">
            <w:pPr>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E. No. of Listed Companies</w:t>
            </w:r>
          </w:p>
        </w:tc>
      </w:tr>
      <w:tr w:rsidR="00B25DA6" w:rsidRPr="0003213F" w:rsidTr="007C138F">
        <w:trPr>
          <w:trHeight w:val="172"/>
          <w:jc w:val="center"/>
        </w:trPr>
        <w:tc>
          <w:tcPr>
            <w:tcW w:w="1480" w:type="dxa"/>
            <w:tcBorders>
              <w:top w:val="nil"/>
              <w:left w:val="single" w:sz="4" w:space="0" w:color="auto"/>
              <w:bottom w:val="nil"/>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BSE</w:t>
            </w:r>
          </w:p>
        </w:tc>
        <w:tc>
          <w:tcPr>
            <w:tcW w:w="1026" w:type="dxa"/>
            <w:tcBorders>
              <w:top w:val="nil"/>
              <w:left w:val="single" w:sz="4" w:space="0" w:color="auto"/>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5,637</w:t>
            </w:r>
          </w:p>
        </w:tc>
        <w:tc>
          <w:tcPr>
            <w:tcW w:w="1020"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5,834</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5,637</w:t>
            </w:r>
          </w:p>
        </w:tc>
        <w:tc>
          <w:tcPr>
            <w:tcW w:w="1016"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5,613</w:t>
            </w:r>
          </w:p>
        </w:tc>
        <w:tc>
          <w:tcPr>
            <w:tcW w:w="2267" w:type="dxa"/>
            <w:tcBorders>
              <w:top w:val="nil"/>
              <w:left w:val="nil"/>
              <w:bottom w:val="nil"/>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0.4</w:t>
            </w:r>
          </w:p>
        </w:tc>
      </w:tr>
      <w:tr w:rsidR="00B25DA6" w:rsidRPr="0003213F" w:rsidTr="007C138F">
        <w:trPr>
          <w:trHeight w:val="172"/>
          <w:jc w:val="center"/>
        </w:trPr>
        <w:tc>
          <w:tcPr>
            <w:tcW w:w="1480" w:type="dxa"/>
            <w:tcBorders>
              <w:top w:val="nil"/>
              <w:left w:val="single" w:sz="4" w:space="0" w:color="auto"/>
              <w:bottom w:val="single" w:sz="4" w:space="0" w:color="auto"/>
              <w:right w:val="nil"/>
            </w:tcBorders>
            <w:shd w:val="clear" w:color="000000" w:fill="C5D9F1"/>
            <w:noWrap/>
            <w:hideMark/>
          </w:tcPr>
          <w:p w:rsidR="00B25DA6" w:rsidRPr="0003213F" w:rsidRDefault="00B25DA6" w:rsidP="007C138F">
            <w:pPr>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NSE</w:t>
            </w:r>
          </w:p>
        </w:tc>
        <w:tc>
          <w:tcPr>
            <w:tcW w:w="1026" w:type="dxa"/>
            <w:tcBorders>
              <w:top w:val="nil"/>
              <w:left w:val="single" w:sz="4" w:space="0" w:color="auto"/>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1,916</w:t>
            </w:r>
          </w:p>
        </w:tc>
        <w:tc>
          <w:tcPr>
            <w:tcW w:w="1020"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b/>
                <w:bCs/>
                <w:color w:val="000000"/>
                <w:sz w:val="20"/>
                <w:szCs w:val="20"/>
                <w:lang w:eastAsia="en-GB"/>
              </w:rPr>
            </w:pPr>
            <w:r w:rsidRPr="0003213F">
              <w:rPr>
                <w:rFonts w:ascii="Garamond" w:eastAsia="Times New Roman" w:hAnsi="Garamond"/>
                <w:b/>
                <w:bCs/>
                <w:color w:val="000000"/>
                <w:sz w:val="20"/>
                <w:szCs w:val="20"/>
                <w:lang w:eastAsia="en-GB"/>
              </w:rPr>
              <w:t>1,817</w:t>
            </w:r>
          </w:p>
        </w:tc>
        <w:tc>
          <w:tcPr>
            <w:tcW w:w="1016"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1,916</w:t>
            </w:r>
          </w:p>
        </w:tc>
        <w:tc>
          <w:tcPr>
            <w:tcW w:w="1016"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1,906</w:t>
            </w:r>
          </w:p>
        </w:tc>
        <w:tc>
          <w:tcPr>
            <w:tcW w:w="2267" w:type="dxa"/>
            <w:tcBorders>
              <w:top w:val="nil"/>
              <w:left w:val="nil"/>
              <w:bottom w:val="single" w:sz="4" w:space="0" w:color="auto"/>
              <w:right w:val="single" w:sz="4" w:space="0" w:color="auto"/>
            </w:tcBorders>
            <w:shd w:val="clear" w:color="auto" w:fill="auto"/>
            <w:noWrap/>
            <w:hideMark/>
          </w:tcPr>
          <w:p w:rsidR="00B25DA6" w:rsidRPr="0003213F" w:rsidRDefault="00B25DA6" w:rsidP="007C138F">
            <w:pPr>
              <w:jc w:val="right"/>
              <w:rPr>
                <w:rFonts w:ascii="Garamond" w:eastAsia="Times New Roman" w:hAnsi="Garamond"/>
                <w:color w:val="000000"/>
                <w:sz w:val="20"/>
                <w:szCs w:val="20"/>
                <w:lang w:eastAsia="en-GB"/>
              </w:rPr>
            </w:pPr>
            <w:r w:rsidRPr="0003213F">
              <w:rPr>
                <w:rFonts w:ascii="Garamond" w:eastAsia="Times New Roman" w:hAnsi="Garamond"/>
                <w:color w:val="000000"/>
                <w:sz w:val="20"/>
                <w:szCs w:val="20"/>
                <w:lang w:eastAsia="en-GB"/>
              </w:rPr>
              <w:t>0.5</w:t>
            </w:r>
          </w:p>
        </w:tc>
      </w:tr>
    </w:tbl>
    <w:p w:rsidR="00B25DA6" w:rsidRPr="00D33D6A" w:rsidRDefault="00B25DA6" w:rsidP="00B25DA6">
      <w:pPr>
        <w:rPr>
          <w:rFonts w:ascii="Garamond" w:hAnsi="Garamond"/>
          <w:b/>
          <w:i/>
          <w:sz w:val="20"/>
          <w:szCs w:val="20"/>
        </w:rPr>
      </w:pPr>
      <w:r w:rsidRPr="00D33D6A">
        <w:rPr>
          <w:rFonts w:ascii="Garamond" w:hAnsi="Garamond"/>
          <w:b/>
          <w:i/>
          <w:sz w:val="20"/>
          <w:szCs w:val="20"/>
        </w:rPr>
        <w:t xml:space="preserve"> Note:</w:t>
      </w:r>
      <w:r w:rsidRPr="00D33D6A">
        <w:rPr>
          <w:rFonts w:ascii="Garamond" w:hAnsi="Garamond"/>
          <w:i/>
          <w:sz w:val="20"/>
          <w:szCs w:val="20"/>
        </w:rPr>
        <w:t xml:space="preserve"> $ denotes as at the end of </w:t>
      </w:r>
      <w:r>
        <w:rPr>
          <w:rFonts w:ascii="Garamond" w:hAnsi="Garamond"/>
          <w:i/>
          <w:sz w:val="20"/>
          <w:szCs w:val="20"/>
        </w:rPr>
        <w:t>February</w:t>
      </w:r>
      <w:r w:rsidRPr="00D33D6A">
        <w:rPr>
          <w:rFonts w:ascii="Garamond" w:hAnsi="Garamond"/>
          <w:i/>
          <w:sz w:val="20"/>
          <w:szCs w:val="20"/>
        </w:rPr>
        <w:t xml:space="preserve"> 2018</w:t>
      </w:r>
    </w:p>
    <w:p w:rsidR="00B25DA6" w:rsidRPr="00D33D6A" w:rsidRDefault="00B25DA6" w:rsidP="00B25DA6">
      <w:pPr>
        <w:rPr>
          <w:rFonts w:ascii="Garamond" w:hAnsi="Garamond"/>
          <w:b/>
          <w:i/>
          <w:sz w:val="20"/>
          <w:szCs w:val="20"/>
        </w:rPr>
      </w:pPr>
      <w:r w:rsidRPr="00D33D6A">
        <w:rPr>
          <w:rFonts w:ascii="Garamond" w:hAnsi="Garamond"/>
          <w:b/>
          <w:i/>
          <w:sz w:val="20"/>
          <w:szCs w:val="20"/>
        </w:rPr>
        <w:t xml:space="preserve">Source: </w:t>
      </w:r>
      <w:r>
        <w:rPr>
          <w:rFonts w:ascii="Garamond" w:hAnsi="Garamond"/>
          <w:i/>
          <w:sz w:val="20"/>
          <w:szCs w:val="20"/>
        </w:rPr>
        <w:t>BSE, NSE</w:t>
      </w:r>
    </w:p>
    <w:p w:rsidR="00B25DA6" w:rsidRDefault="00B25DA6" w:rsidP="00B25DA6">
      <w:pPr>
        <w:jc w:val="center"/>
        <w:outlineLvl w:val="0"/>
        <w:rPr>
          <w:rFonts w:ascii="Garamond" w:hAnsi="Garamond"/>
          <w:b/>
        </w:rPr>
      </w:pPr>
      <w:r w:rsidRPr="00D33D6A">
        <w:rPr>
          <w:rFonts w:ascii="Garamond" w:hAnsi="Garamond"/>
          <w:b/>
        </w:rPr>
        <w:t xml:space="preserve">Figure </w:t>
      </w:r>
      <w:r w:rsidRPr="00D33D6A">
        <w:rPr>
          <w:rFonts w:ascii="Garamond" w:hAnsi="Garamond"/>
          <w:b/>
        </w:rPr>
        <w:fldChar w:fldCharType="begin"/>
      </w:r>
      <w:r w:rsidRPr="00D33D6A">
        <w:rPr>
          <w:rFonts w:ascii="Garamond" w:hAnsi="Garamond"/>
          <w:b/>
        </w:rPr>
        <w:instrText xml:space="preserve"> SEQ Figure \* ARABIC </w:instrText>
      </w:r>
      <w:r w:rsidRPr="00D33D6A">
        <w:rPr>
          <w:rFonts w:ascii="Garamond" w:hAnsi="Garamond"/>
          <w:b/>
        </w:rPr>
        <w:fldChar w:fldCharType="separate"/>
      </w:r>
      <w:r w:rsidRPr="00D33D6A">
        <w:rPr>
          <w:rFonts w:ascii="Garamond" w:hAnsi="Garamond"/>
          <w:b/>
          <w:noProof/>
        </w:rPr>
        <w:t>2</w:t>
      </w:r>
      <w:r w:rsidRPr="00D33D6A">
        <w:rPr>
          <w:rFonts w:ascii="Garamond" w:hAnsi="Garamond"/>
          <w:b/>
        </w:rPr>
        <w:fldChar w:fldCharType="end"/>
      </w:r>
      <w:r w:rsidRPr="00D33D6A">
        <w:rPr>
          <w:rFonts w:ascii="Garamond" w:hAnsi="Garamond"/>
          <w:b/>
        </w:rPr>
        <w:t>: Trends in Average Daily Values of Sensex and BSE Turnover</w:t>
      </w:r>
    </w:p>
    <w:p w:rsidR="00B25DA6" w:rsidRPr="00D33D6A" w:rsidRDefault="00B25DA6" w:rsidP="00B25DA6">
      <w:pPr>
        <w:jc w:val="center"/>
        <w:outlineLvl w:val="0"/>
        <w:rPr>
          <w:rFonts w:ascii="Garamond" w:hAnsi="Garamond"/>
          <w:b/>
        </w:rPr>
      </w:pPr>
    </w:p>
    <w:p w:rsidR="00B25DA6" w:rsidRPr="00991592" w:rsidRDefault="00B25DA6" w:rsidP="00B25DA6">
      <w:pPr>
        <w:jc w:val="center"/>
        <w:rPr>
          <w:rFonts w:ascii="Garamond" w:eastAsia="Times New Roman" w:hAnsi="Garamond" w:cstheme="minorBidi"/>
          <w:color w:val="000099"/>
          <w:szCs w:val="30"/>
          <w:cs/>
          <w:lang w:bidi="bn-IN"/>
        </w:rPr>
      </w:pPr>
      <w:r>
        <w:rPr>
          <w:noProof/>
          <w:lang w:val="en-IN" w:eastAsia="en-IN"/>
        </w:rPr>
        <w:drawing>
          <wp:inline distT="0" distB="0" distL="0" distR="0" wp14:anchorId="37C2AC4D" wp14:editId="4258D76B">
            <wp:extent cx="5731510" cy="3784600"/>
            <wp:effectExtent l="0" t="0" r="2540"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5DA6" w:rsidRDefault="00B25DA6" w:rsidP="00B25DA6">
      <w:pPr>
        <w:rPr>
          <w:rFonts w:ascii="Garamond" w:eastAsia="Times New Roman" w:hAnsi="Garamond"/>
          <w:color w:val="000099"/>
        </w:rPr>
      </w:pPr>
      <w:r w:rsidRPr="00991592">
        <w:rPr>
          <w:rFonts w:ascii="Garamond" w:eastAsia="Times New Roman" w:hAnsi="Garamond"/>
          <w:color w:val="000099"/>
        </w:rPr>
        <w:tab/>
      </w:r>
    </w:p>
    <w:p w:rsidR="00B25DA6" w:rsidRPr="00991592" w:rsidRDefault="00B25DA6" w:rsidP="00B25DA6">
      <w:pPr>
        <w:rPr>
          <w:rFonts w:ascii="Garamond" w:eastAsia="Times New Roman" w:hAnsi="Garamond"/>
          <w:color w:val="000099"/>
        </w:rPr>
      </w:pPr>
    </w:p>
    <w:p w:rsidR="00B25DA6" w:rsidRDefault="00B25DA6" w:rsidP="00B25DA6">
      <w:pPr>
        <w:jc w:val="center"/>
        <w:outlineLvl w:val="0"/>
        <w:rPr>
          <w:rFonts w:ascii="Garamond" w:hAnsi="Garamond"/>
          <w:b/>
          <w:bCs/>
        </w:rPr>
      </w:pPr>
      <w:r w:rsidRPr="00D33D6A">
        <w:rPr>
          <w:rFonts w:ascii="Garamond" w:hAnsi="Garamond"/>
          <w:b/>
          <w:bCs/>
        </w:rPr>
        <w:t xml:space="preserve">Figure </w:t>
      </w:r>
      <w:r w:rsidRPr="00D33D6A">
        <w:rPr>
          <w:rFonts w:ascii="Garamond" w:hAnsi="Garamond"/>
          <w:b/>
          <w:bCs/>
        </w:rPr>
        <w:fldChar w:fldCharType="begin"/>
      </w:r>
      <w:r w:rsidRPr="00D33D6A">
        <w:rPr>
          <w:rFonts w:ascii="Garamond" w:hAnsi="Garamond"/>
          <w:b/>
          <w:bCs/>
        </w:rPr>
        <w:instrText xml:space="preserve"> SEQ Figure \* ARABIC </w:instrText>
      </w:r>
      <w:r w:rsidRPr="00D33D6A">
        <w:rPr>
          <w:rFonts w:ascii="Garamond" w:hAnsi="Garamond"/>
          <w:b/>
          <w:bCs/>
        </w:rPr>
        <w:fldChar w:fldCharType="separate"/>
      </w:r>
      <w:r w:rsidRPr="00D33D6A">
        <w:rPr>
          <w:rFonts w:ascii="Garamond" w:hAnsi="Garamond"/>
          <w:b/>
          <w:bCs/>
          <w:noProof/>
        </w:rPr>
        <w:t>3</w:t>
      </w:r>
      <w:r w:rsidRPr="00D33D6A">
        <w:rPr>
          <w:rFonts w:ascii="Garamond" w:hAnsi="Garamond"/>
          <w:b/>
          <w:bCs/>
        </w:rPr>
        <w:fldChar w:fldCharType="end"/>
      </w:r>
      <w:r w:rsidRPr="00D33D6A">
        <w:rPr>
          <w:rFonts w:ascii="Garamond" w:hAnsi="Garamond"/>
          <w:b/>
          <w:bCs/>
        </w:rPr>
        <w:t>: Trends in Average Daily Values of Nifty and NSE Turnover</w:t>
      </w:r>
    </w:p>
    <w:p w:rsidR="00B25DA6" w:rsidRPr="00D33D6A" w:rsidRDefault="00B25DA6" w:rsidP="00B25DA6">
      <w:pPr>
        <w:jc w:val="center"/>
        <w:outlineLvl w:val="0"/>
        <w:rPr>
          <w:rFonts w:ascii="Garamond" w:hAnsi="Garamond"/>
          <w:b/>
          <w:bCs/>
        </w:rPr>
      </w:pPr>
    </w:p>
    <w:p w:rsidR="00B25DA6" w:rsidRPr="00991592" w:rsidRDefault="00B25DA6" w:rsidP="00B25DA6">
      <w:pPr>
        <w:jc w:val="center"/>
        <w:rPr>
          <w:rFonts w:ascii="Garamond" w:hAnsi="Garamond"/>
          <w:b/>
          <w:bCs/>
          <w:color w:val="000099"/>
        </w:rPr>
      </w:pPr>
      <w:r>
        <w:rPr>
          <w:noProof/>
          <w:lang w:val="en-IN" w:eastAsia="en-IN"/>
        </w:rPr>
        <w:lastRenderedPageBreak/>
        <w:drawing>
          <wp:inline distT="0" distB="0" distL="0" distR="0" wp14:anchorId="654D0EB8" wp14:editId="583A836E">
            <wp:extent cx="5731510" cy="3835400"/>
            <wp:effectExtent l="0" t="0" r="254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5DA6" w:rsidRPr="00991592" w:rsidRDefault="00B25DA6" w:rsidP="00B25DA6">
      <w:pPr>
        <w:jc w:val="both"/>
        <w:rPr>
          <w:rFonts w:ascii="Garamond" w:eastAsia="Times New Roman" w:hAnsi="Garamond"/>
          <w:bCs/>
          <w:color w:val="000099"/>
        </w:rPr>
      </w:pPr>
    </w:p>
    <w:p w:rsidR="00B25DA6" w:rsidRPr="00112378" w:rsidRDefault="00B25DA6" w:rsidP="00B25DA6">
      <w:pPr>
        <w:jc w:val="both"/>
        <w:rPr>
          <w:rFonts w:ascii="Garamond" w:eastAsia="Times New Roman" w:hAnsi="Garamond"/>
          <w:bCs/>
        </w:rPr>
      </w:pPr>
      <w:r w:rsidRPr="00112378">
        <w:rPr>
          <w:rFonts w:ascii="Garamond" w:eastAsia="Times New Roman" w:hAnsi="Garamond"/>
          <w:bCs/>
        </w:rPr>
        <w:t>Indian securities market witnessed a negative trend during the month under review. Among BSE indices, in February 2018, S&amp;P BSE Bankex index fell by 8.6 per cent, followed by S&amp;P BSE PSU index (8.6 per cent) and S&amp;P BSE Capital Goods (6.3 per cent). As regards NSE indices, Nifty PSU Bank index fell by 16.4 per cent followed by Nifty Bank index (8.3 per cent) and Nifty Midcap 100 index (5.4 per cent). Among BSE indices the S&amp;P BSE Small Cap index recorded the highest daily volatility (1.6 per cent), followed by S&amp;P BSE Capital Goods index (1.5 per cent) and S&amp;P BSE Metal index (1.5 per cent). At NSE during the same period, daily volatility of Nifty Small 100 index was 2.0 per cent, followed by Nifty PSU Bank index (1.9 per cent) and Nifty Midcap 50 index (1.7 per cent) (</w:t>
      </w:r>
      <w:r w:rsidRPr="00112378">
        <w:rPr>
          <w:rFonts w:ascii="Garamond" w:eastAsia="Times New Roman" w:hAnsi="Garamond"/>
          <w:b/>
          <w:i/>
          <w:iCs/>
        </w:rPr>
        <w:t>Exhibit 3</w:t>
      </w:r>
      <w:r w:rsidRPr="00112378">
        <w:rPr>
          <w:rFonts w:ascii="Garamond" w:eastAsia="Times New Roman" w:hAnsi="Garamond"/>
          <w:bCs/>
        </w:rPr>
        <w:t>).</w:t>
      </w:r>
    </w:p>
    <w:p w:rsidR="00B25DA6" w:rsidRPr="00112378" w:rsidRDefault="00B25DA6" w:rsidP="00B25DA6">
      <w:pPr>
        <w:rPr>
          <w:rFonts w:ascii="Garamond" w:eastAsia="Times New Roman" w:hAnsi="Garamond"/>
          <w:b/>
          <w:bCs/>
          <w:highlight w:val="lightGray"/>
        </w:rPr>
      </w:pPr>
    </w:p>
    <w:p w:rsidR="00B25DA6" w:rsidRPr="00824C4A" w:rsidRDefault="00B25DA6" w:rsidP="00B25DA6">
      <w:pPr>
        <w:jc w:val="both"/>
        <w:rPr>
          <w:rFonts w:ascii="Garamond" w:hAnsi="Garamond"/>
          <w:b/>
        </w:rPr>
      </w:pPr>
      <w:r w:rsidRPr="00824C4A">
        <w:rPr>
          <w:rFonts w:ascii="Garamond" w:eastAsia="Times New Roman" w:hAnsi="Garamond"/>
          <w:b/>
          <w:bCs/>
        </w:rPr>
        <w:t xml:space="preserve">Exhibit </w:t>
      </w:r>
      <w:r w:rsidRPr="00824C4A">
        <w:rPr>
          <w:rFonts w:ascii="Garamond" w:hAnsi="Garamond"/>
          <w:b/>
        </w:rPr>
        <w:t>3: Performance of Indices at BSE and NSE during January 2018 (Per cent)</w:t>
      </w:r>
    </w:p>
    <w:tbl>
      <w:tblPr>
        <w:tblW w:w="8905" w:type="dxa"/>
        <w:tblCellMar>
          <w:left w:w="58" w:type="dxa"/>
          <w:right w:w="58" w:type="dxa"/>
        </w:tblCellMar>
        <w:tblLook w:val="04A0" w:firstRow="1" w:lastRow="0" w:firstColumn="1" w:lastColumn="0" w:noHBand="0" w:noVBand="1"/>
      </w:tblPr>
      <w:tblGrid>
        <w:gridCol w:w="2515"/>
        <w:gridCol w:w="1523"/>
        <w:gridCol w:w="907"/>
        <w:gridCol w:w="1530"/>
        <w:gridCol w:w="1523"/>
        <w:gridCol w:w="907"/>
      </w:tblGrid>
      <w:tr w:rsidR="00B25DA6" w:rsidRPr="00D33D6A" w:rsidTr="007C138F">
        <w:trPr>
          <w:trHeight w:val="202"/>
        </w:trPr>
        <w:tc>
          <w:tcPr>
            <w:tcW w:w="4945" w:type="dxa"/>
            <w:gridSpan w:val="3"/>
            <w:tcBorders>
              <w:top w:val="single" w:sz="4" w:space="0" w:color="auto"/>
              <w:left w:val="single" w:sz="4" w:space="0" w:color="auto"/>
              <w:bottom w:val="single" w:sz="4" w:space="0" w:color="auto"/>
              <w:right w:val="single" w:sz="4" w:space="0" w:color="000000"/>
            </w:tcBorders>
            <w:shd w:val="clear" w:color="000000" w:fill="8DB4E2"/>
            <w:vAlign w:val="center"/>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BSE</w:t>
            </w:r>
          </w:p>
        </w:tc>
        <w:tc>
          <w:tcPr>
            <w:tcW w:w="3960" w:type="dxa"/>
            <w:gridSpan w:val="3"/>
            <w:tcBorders>
              <w:top w:val="single" w:sz="4" w:space="0" w:color="auto"/>
              <w:left w:val="nil"/>
              <w:bottom w:val="single" w:sz="4" w:space="0" w:color="auto"/>
              <w:right w:val="single" w:sz="4" w:space="0" w:color="000000"/>
            </w:tcBorders>
            <w:shd w:val="clear" w:color="000000" w:fill="8DB4E2"/>
            <w:noWrap/>
            <w:vAlign w:val="bottom"/>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NSE</w:t>
            </w:r>
          </w:p>
        </w:tc>
      </w:tr>
      <w:tr w:rsidR="00B25DA6" w:rsidRPr="00D33D6A" w:rsidTr="007C138F">
        <w:trPr>
          <w:trHeight w:val="405"/>
        </w:trPr>
        <w:tc>
          <w:tcPr>
            <w:tcW w:w="2515" w:type="dxa"/>
            <w:tcBorders>
              <w:top w:val="nil"/>
              <w:left w:val="single" w:sz="4" w:space="0" w:color="auto"/>
              <w:bottom w:val="nil"/>
              <w:right w:val="single" w:sz="4" w:space="0" w:color="auto"/>
            </w:tcBorders>
            <w:shd w:val="clear" w:color="000000" w:fill="8DB4E2"/>
            <w:vAlign w:val="center"/>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Index</w:t>
            </w:r>
          </w:p>
        </w:tc>
        <w:tc>
          <w:tcPr>
            <w:tcW w:w="1523" w:type="dxa"/>
            <w:tcBorders>
              <w:top w:val="nil"/>
              <w:left w:val="nil"/>
              <w:bottom w:val="nil"/>
              <w:right w:val="single" w:sz="4" w:space="0" w:color="auto"/>
            </w:tcBorders>
            <w:shd w:val="clear" w:color="000000" w:fill="8DB4E2"/>
            <w:vAlign w:val="center"/>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 xml:space="preserve"> Change over Previous month</w:t>
            </w:r>
          </w:p>
        </w:tc>
        <w:tc>
          <w:tcPr>
            <w:tcW w:w="907" w:type="dxa"/>
            <w:tcBorders>
              <w:top w:val="nil"/>
              <w:left w:val="nil"/>
              <w:bottom w:val="nil"/>
              <w:right w:val="nil"/>
            </w:tcBorders>
            <w:shd w:val="clear" w:color="000000" w:fill="8DB4E2"/>
            <w:vAlign w:val="center"/>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Volatility</w:t>
            </w:r>
          </w:p>
        </w:tc>
        <w:tc>
          <w:tcPr>
            <w:tcW w:w="1530" w:type="dxa"/>
            <w:tcBorders>
              <w:top w:val="nil"/>
              <w:left w:val="single" w:sz="4" w:space="0" w:color="auto"/>
              <w:bottom w:val="nil"/>
              <w:right w:val="single" w:sz="4" w:space="0" w:color="auto"/>
            </w:tcBorders>
            <w:shd w:val="clear" w:color="000000" w:fill="8DB4E2"/>
            <w:vAlign w:val="center"/>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Index</w:t>
            </w:r>
          </w:p>
        </w:tc>
        <w:tc>
          <w:tcPr>
            <w:tcW w:w="1523" w:type="dxa"/>
            <w:tcBorders>
              <w:top w:val="nil"/>
              <w:left w:val="nil"/>
              <w:bottom w:val="nil"/>
              <w:right w:val="single" w:sz="4" w:space="0" w:color="auto"/>
            </w:tcBorders>
            <w:shd w:val="clear" w:color="000000" w:fill="8DB4E2"/>
            <w:vAlign w:val="center"/>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 xml:space="preserve"> Change over Previous month</w:t>
            </w:r>
          </w:p>
        </w:tc>
        <w:tc>
          <w:tcPr>
            <w:tcW w:w="907" w:type="dxa"/>
            <w:tcBorders>
              <w:top w:val="nil"/>
              <w:left w:val="nil"/>
              <w:bottom w:val="nil"/>
              <w:right w:val="single" w:sz="4" w:space="0" w:color="auto"/>
            </w:tcBorders>
            <w:shd w:val="clear" w:color="000000" w:fill="8DB4E2"/>
            <w:vAlign w:val="center"/>
            <w:hideMark/>
          </w:tcPr>
          <w:p w:rsidR="00B25DA6" w:rsidRPr="00D33D6A" w:rsidRDefault="00B25DA6" w:rsidP="007C138F">
            <w:pPr>
              <w:jc w:val="center"/>
              <w:rPr>
                <w:rFonts w:ascii="Garamond" w:eastAsia="Times New Roman" w:hAnsi="Garamond"/>
                <w:b/>
                <w:bCs/>
                <w:color w:val="000000"/>
                <w:sz w:val="20"/>
                <w:szCs w:val="20"/>
                <w:lang w:eastAsia="en-GB"/>
              </w:rPr>
            </w:pPr>
            <w:r w:rsidRPr="00D33D6A">
              <w:rPr>
                <w:rFonts w:ascii="Garamond" w:eastAsia="Times New Roman" w:hAnsi="Garamond"/>
                <w:b/>
                <w:bCs/>
                <w:color w:val="000000"/>
                <w:sz w:val="20"/>
                <w:szCs w:val="20"/>
                <w:lang w:eastAsia="en-GB"/>
              </w:rPr>
              <w:t>Volatility</w:t>
            </w:r>
          </w:p>
        </w:tc>
      </w:tr>
      <w:tr w:rsidR="00B25DA6" w:rsidRPr="00A76D53" w:rsidTr="007C138F">
        <w:trPr>
          <w:trHeight w:val="202"/>
        </w:trPr>
        <w:tc>
          <w:tcPr>
            <w:tcW w:w="2515" w:type="dxa"/>
            <w:tcBorders>
              <w:top w:val="single" w:sz="4" w:space="0" w:color="auto"/>
              <w:left w:val="single" w:sz="4" w:space="0" w:color="auto"/>
              <w:bottom w:val="single" w:sz="4" w:space="0" w:color="auto"/>
              <w:right w:val="single" w:sz="4" w:space="0" w:color="auto"/>
            </w:tcBorders>
            <w:shd w:val="clear" w:color="000000" w:fill="C5D9F1"/>
            <w:noWrap/>
            <w:hideMark/>
          </w:tcPr>
          <w:p w:rsidR="00B25DA6" w:rsidRPr="00D33D6A" w:rsidRDefault="00B25DA6" w:rsidP="007C138F">
            <w:pPr>
              <w:jc w:val="center"/>
              <w:rPr>
                <w:rFonts w:ascii="Garamond" w:eastAsia="Times New Roman" w:hAnsi="Garamond"/>
                <w:bCs/>
                <w:i/>
                <w:color w:val="000000"/>
                <w:sz w:val="20"/>
                <w:szCs w:val="20"/>
                <w:lang w:eastAsia="en-GB"/>
              </w:rPr>
            </w:pPr>
            <w:r w:rsidRPr="00D33D6A">
              <w:rPr>
                <w:rFonts w:ascii="Garamond" w:eastAsia="Times New Roman" w:hAnsi="Garamond"/>
                <w:bCs/>
                <w:i/>
                <w:color w:val="000000"/>
                <w:sz w:val="20"/>
                <w:szCs w:val="20"/>
                <w:lang w:eastAsia="en-GB"/>
              </w:rPr>
              <w:t>1</w:t>
            </w:r>
          </w:p>
        </w:tc>
        <w:tc>
          <w:tcPr>
            <w:tcW w:w="1523" w:type="dxa"/>
            <w:tcBorders>
              <w:top w:val="single" w:sz="4" w:space="0" w:color="auto"/>
              <w:left w:val="nil"/>
              <w:bottom w:val="nil"/>
              <w:right w:val="single" w:sz="4" w:space="0" w:color="auto"/>
            </w:tcBorders>
            <w:shd w:val="clear" w:color="000000" w:fill="C5D9F1"/>
            <w:noWrap/>
            <w:hideMark/>
          </w:tcPr>
          <w:p w:rsidR="00B25DA6" w:rsidRPr="00D33D6A" w:rsidRDefault="00B25DA6" w:rsidP="007C138F">
            <w:pPr>
              <w:jc w:val="center"/>
              <w:rPr>
                <w:rFonts w:ascii="Garamond" w:eastAsia="Times New Roman" w:hAnsi="Garamond"/>
                <w:bCs/>
                <w:i/>
                <w:color w:val="000000"/>
                <w:sz w:val="20"/>
                <w:szCs w:val="20"/>
                <w:lang w:eastAsia="en-GB"/>
              </w:rPr>
            </w:pPr>
            <w:r w:rsidRPr="00D33D6A">
              <w:rPr>
                <w:rFonts w:ascii="Garamond" w:eastAsia="Times New Roman" w:hAnsi="Garamond"/>
                <w:bCs/>
                <w:i/>
                <w:color w:val="000000"/>
                <w:sz w:val="20"/>
                <w:szCs w:val="20"/>
                <w:lang w:eastAsia="en-GB"/>
              </w:rPr>
              <w:t>2</w:t>
            </w:r>
          </w:p>
        </w:tc>
        <w:tc>
          <w:tcPr>
            <w:tcW w:w="907" w:type="dxa"/>
            <w:tcBorders>
              <w:top w:val="single" w:sz="4" w:space="0" w:color="auto"/>
              <w:left w:val="nil"/>
              <w:bottom w:val="nil"/>
              <w:right w:val="nil"/>
            </w:tcBorders>
            <w:shd w:val="clear" w:color="000000" w:fill="C5D9F1"/>
            <w:noWrap/>
            <w:hideMark/>
          </w:tcPr>
          <w:p w:rsidR="00B25DA6" w:rsidRPr="00D33D6A" w:rsidRDefault="00B25DA6" w:rsidP="007C138F">
            <w:pPr>
              <w:jc w:val="center"/>
              <w:rPr>
                <w:rFonts w:ascii="Garamond" w:eastAsia="Times New Roman" w:hAnsi="Garamond"/>
                <w:bCs/>
                <w:i/>
                <w:color w:val="000000"/>
                <w:sz w:val="20"/>
                <w:szCs w:val="20"/>
                <w:lang w:eastAsia="en-GB"/>
              </w:rPr>
            </w:pPr>
            <w:r w:rsidRPr="00D33D6A">
              <w:rPr>
                <w:rFonts w:ascii="Garamond" w:eastAsia="Times New Roman" w:hAnsi="Garamond"/>
                <w:bCs/>
                <w:i/>
                <w:color w:val="000000"/>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000000" w:fill="C5D9F1"/>
            <w:noWrap/>
            <w:hideMark/>
          </w:tcPr>
          <w:p w:rsidR="00B25DA6" w:rsidRPr="00D33D6A" w:rsidRDefault="00B25DA6" w:rsidP="007C138F">
            <w:pPr>
              <w:jc w:val="center"/>
              <w:rPr>
                <w:rFonts w:ascii="Garamond" w:eastAsia="Times New Roman" w:hAnsi="Garamond"/>
                <w:bCs/>
                <w:i/>
                <w:color w:val="000000"/>
                <w:sz w:val="20"/>
                <w:szCs w:val="20"/>
                <w:lang w:eastAsia="en-GB"/>
              </w:rPr>
            </w:pPr>
            <w:r w:rsidRPr="00D33D6A">
              <w:rPr>
                <w:rFonts w:ascii="Garamond" w:eastAsia="Times New Roman" w:hAnsi="Garamond"/>
                <w:bCs/>
                <w:i/>
                <w:color w:val="000000"/>
                <w:sz w:val="20"/>
                <w:szCs w:val="20"/>
                <w:lang w:eastAsia="en-GB"/>
              </w:rPr>
              <w:t>4</w:t>
            </w:r>
          </w:p>
        </w:tc>
        <w:tc>
          <w:tcPr>
            <w:tcW w:w="1523" w:type="dxa"/>
            <w:tcBorders>
              <w:top w:val="single" w:sz="4" w:space="0" w:color="auto"/>
              <w:left w:val="nil"/>
              <w:bottom w:val="nil"/>
              <w:right w:val="single" w:sz="4" w:space="0" w:color="auto"/>
            </w:tcBorders>
            <w:shd w:val="clear" w:color="000000" w:fill="C5D9F1"/>
            <w:noWrap/>
            <w:hideMark/>
          </w:tcPr>
          <w:p w:rsidR="00B25DA6" w:rsidRPr="00D33D6A" w:rsidRDefault="00B25DA6" w:rsidP="007C138F">
            <w:pPr>
              <w:jc w:val="center"/>
              <w:rPr>
                <w:rFonts w:ascii="Garamond" w:eastAsia="Times New Roman" w:hAnsi="Garamond"/>
                <w:bCs/>
                <w:i/>
                <w:color w:val="000000"/>
                <w:sz w:val="20"/>
                <w:szCs w:val="20"/>
                <w:lang w:eastAsia="en-GB"/>
              </w:rPr>
            </w:pPr>
            <w:r w:rsidRPr="00D33D6A">
              <w:rPr>
                <w:rFonts w:ascii="Garamond" w:eastAsia="Times New Roman" w:hAnsi="Garamond"/>
                <w:bCs/>
                <w:i/>
                <w:color w:val="000000"/>
                <w:sz w:val="20"/>
                <w:szCs w:val="20"/>
                <w:lang w:eastAsia="en-GB"/>
              </w:rPr>
              <w:t>5</w:t>
            </w:r>
          </w:p>
        </w:tc>
        <w:tc>
          <w:tcPr>
            <w:tcW w:w="907" w:type="dxa"/>
            <w:tcBorders>
              <w:top w:val="single" w:sz="4" w:space="0" w:color="auto"/>
              <w:left w:val="nil"/>
              <w:bottom w:val="nil"/>
              <w:right w:val="single" w:sz="4" w:space="0" w:color="auto"/>
            </w:tcBorders>
            <w:shd w:val="clear" w:color="000000" w:fill="C5D9F1"/>
            <w:noWrap/>
            <w:hideMark/>
          </w:tcPr>
          <w:p w:rsidR="00B25DA6" w:rsidRPr="00D33D6A" w:rsidRDefault="00B25DA6" w:rsidP="007C138F">
            <w:pPr>
              <w:jc w:val="center"/>
              <w:rPr>
                <w:rFonts w:ascii="Garamond" w:eastAsia="Times New Roman" w:hAnsi="Garamond"/>
                <w:bCs/>
                <w:i/>
                <w:color w:val="000000"/>
                <w:sz w:val="20"/>
                <w:szCs w:val="20"/>
                <w:lang w:eastAsia="en-GB"/>
              </w:rPr>
            </w:pPr>
            <w:r w:rsidRPr="00D33D6A">
              <w:rPr>
                <w:rFonts w:ascii="Garamond" w:eastAsia="Times New Roman" w:hAnsi="Garamond"/>
                <w:bCs/>
                <w:i/>
                <w:color w:val="000000"/>
                <w:sz w:val="20"/>
                <w:szCs w:val="20"/>
                <w:lang w:eastAsia="en-GB"/>
              </w:rPr>
              <w:t>6</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Sensex</w:t>
            </w:r>
          </w:p>
        </w:tc>
        <w:tc>
          <w:tcPr>
            <w:tcW w:w="1523" w:type="dxa"/>
            <w:tcBorders>
              <w:top w:val="single" w:sz="4" w:space="0" w:color="auto"/>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-4.95</w:t>
            </w:r>
          </w:p>
        </w:tc>
        <w:tc>
          <w:tcPr>
            <w:tcW w:w="907" w:type="dxa"/>
            <w:tcBorders>
              <w:top w:val="single" w:sz="4" w:space="0" w:color="auto"/>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0.90</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50</w:t>
            </w:r>
          </w:p>
        </w:tc>
        <w:tc>
          <w:tcPr>
            <w:tcW w:w="1523" w:type="dxa"/>
            <w:tcBorders>
              <w:top w:val="single" w:sz="4" w:space="0" w:color="auto"/>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-4.85</w:t>
            </w:r>
          </w:p>
        </w:tc>
        <w:tc>
          <w:tcPr>
            <w:tcW w:w="907" w:type="dxa"/>
            <w:tcBorders>
              <w:top w:val="single" w:sz="4" w:space="0" w:color="auto"/>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0.90</w:t>
            </w:r>
          </w:p>
        </w:tc>
      </w:tr>
      <w:tr w:rsidR="00B25DA6" w:rsidRPr="00D33D6A" w:rsidTr="007C138F">
        <w:trPr>
          <w:trHeight w:val="250"/>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100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-4.85</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0.93</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Next 50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-3.59</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1.14</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200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-4.59</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0.96</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100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-4.67</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0.91</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500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-4.41</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1.01</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200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-4.68</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0.97</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Large Cap</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-4.68</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0.91</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500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-4.50</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1.01</w:t>
            </w:r>
          </w:p>
        </w:tc>
      </w:tr>
      <w:tr w:rsidR="00B25DA6" w:rsidRPr="00D33D6A" w:rsidTr="007C138F">
        <w:trPr>
          <w:trHeight w:val="60"/>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Small Cap</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-3.15</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1.60</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Midcap 50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-3.01</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1.73</w:t>
            </w:r>
          </w:p>
        </w:tc>
      </w:tr>
      <w:tr w:rsidR="00B25DA6" w:rsidRPr="00D33D6A" w:rsidTr="007C138F">
        <w:trPr>
          <w:trHeight w:val="26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Consumer Durables</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-5.74</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1.27</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Midcap 100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-5.39</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1.39</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Capital Goods</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-6.32</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1.45</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Small 100</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-5.22</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1.98</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Bankex</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-8.62</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1.17</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Bank</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-8.30</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1.15</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Teck</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-1.31</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0.94</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IT</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-1.37</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1.09</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FMCG</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-1.91</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0.70</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FMCG</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-2.26</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0.68</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 xml:space="preserve">S&amp;P BSE Metal </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-1.64</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1.45</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Pharma</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-4.52</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1.53</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PSU</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-8.56</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1.19</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PSU Bank</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-16.37</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1.90</w:t>
            </w:r>
          </w:p>
        </w:tc>
      </w:tr>
      <w:tr w:rsidR="00B25DA6" w:rsidRPr="00D33D6A" w:rsidTr="007C138F">
        <w:trPr>
          <w:trHeight w:val="202"/>
        </w:trPr>
        <w:tc>
          <w:tcPr>
            <w:tcW w:w="2515" w:type="dxa"/>
            <w:tcBorders>
              <w:top w:val="nil"/>
              <w:left w:val="single" w:sz="4" w:space="0" w:color="auto"/>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Power</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-4.15</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1.27</w:t>
            </w:r>
          </w:p>
        </w:tc>
        <w:tc>
          <w:tcPr>
            <w:tcW w:w="1530" w:type="dxa"/>
            <w:tcBorders>
              <w:top w:val="nil"/>
              <w:left w:val="nil"/>
              <w:bottom w:val="nil"/>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Media</w:t>
            </w:r>
          </w:p>
        </w:tc>
        <w:tc>
          <w:tcPr>
            <w:tcW w:w="1523" w:type="dxa"/>
            <w:tcBorders>
              <w:top w:val="nil"/>
              <w:left w:val="single" w:sz="4" w:space="0" w:color="auto"/>
              <w:bottom w:val="nil"/>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-5.08</w:t>
            </w:r>
          </w:p>
        </w:tc>
        <w:tc>
          <w:tcPr>
            <w:tcW w:w="907" w:type="dxa"/>
            <w:tcBorders>
              <w:top w:val="nil"/>
              <w:left w:val="single" w:sz="4" w:space="0" w:color="auto"/>
              <w:bottom w:val="nil"/>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1.41</w:t>
            </w:r>
          </w:p>
        </w:tc>
      </w:tr>
      <w:tr w:rsidR="00B25DA6" w:rsidRPr="00D33D6A" w:rsidTr="007C138F">
        <w:trPr>
          <w:trHeight w:val="202"/>
        </w:trPr>
        <w:tc>
          <w:tcPr>
            <w:tcW w:w="2515" w:type="dxa"/>
            <w:tcBorders>
              <w:top w:val="nil"/>
              <w:left w:val="single" w:sz="4" w:space="0" w:color="auto"/>
              <w:bottom w:val="single" w:sz="4" w:space="0" w:color="auto"/>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S&amp;P BSE Healthcare</w:t>
            </w:r>
          </w:p>
        </w:tc>
        <w:tc>
          <w:tcPr>
            <w:tcW w:w="1523" w:type="dxa"/>
            <w:tcBorders>
              <w:top w:val="nil"/>
              <w:left w:val="single" w:sz="4" w:space="0" w:color="auto"/>
              <w:bottom w:val="single" w:sz="4" w:space="0" w:color="auto"/>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-3.07</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1.26</w:t>
            </w:r>
          </w:p>
        </w:tc>
        <w:tc>
          <w:tcPr>
            <w:tcW w:w="1530" w:type="dxa"/>
            <w:tcBorders>
              <w:top w:val="nil"/>
              <w:left w:val="nil"/>
              <w:bottom w:val="single" w:sz="4" w:space="0" w:color="auto"/>
              <w:right w:val="nil"/>
            </w:tcBorders>
            <w:shd w:val="clear" w:color="auto" w:fill="BDD6EE" w:themeFill="accent1" w:themeFillTint="66"/>
            <w:vAlign w:val="center"/>
            <w:hideMark/>
          </w:tcPr>
          <w:p w:rsidR="00B25DA6" w:rsidRPr="00D33D6A" w:rsidRDefault="00B25DA6" w:rsidP="007C138F">
            <w:pP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Nifty MNC</w:t>
            </w:r>
          </w:p>
        </w:tc>
        <w:tc>
          <w:tcPr>
            <w:tcW w:w="1523" w:type="dxa"/>
            <w:tcBorders>
              <w:top w:val="nil"/>
              <w:left w:val="single" w:sz="4" w:space="0" w:color="auto"/>
              <w:bottom w:val="single" w:sz="4" w:space="0" w:color="auto"/>
              <w:right w:val="nil"/>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-3.40</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B25DA6" w:rsidRPr="00D33D6A" w:rsidRDefault="00B25DA6" w:rsidP="007C138F">
            <w:pPr>
              <w:jc w:val="center"/>
              <w:rPr>
                <w:rFonts w:ascii="Garamond" w:eastAsia="Times New Roman" w:hAnsi="Garamond"/>
                <w:color w:val="000000"/>
                <w:sz w:val="20"/>
                <w:szCs w:val="20"/>
                <w:lang w:eastAsia="en-GB"/>
              </w:rPr>
            </w:pPr>
            <w:r w:rsidRPr="00D33D6A">
              <w:rPr>
                <w:rFonts w:ascii="Garamond" w:eastAsia="Times New Roman" w:hAnsi="Garamond"/>
                <w:color w:val="000000"/>
                <w:sz w:val="20"/>
                <w:szCs w:val="20"/>
                <w:lang w:eastAsia="en-GB"/>
              </w:rPr>
              <w:t>0.97</w:t>
            </w:r>
          </w:p>
        </w:tc>
      </w:tr>
    </w:tbl>
    <w:p w:rsidR="00B25DA6" w:rsidRPr="00824C4A" w:rsidRDefault="00B25DA6" w:rsidP="00B25DA6">
      <w:pPr>
        <w:outlineLvl w:val="0"/>
        <w:rPr>
          <w:rFonts w:ascii="Garamond" w:hAnsi="Garamond"/>
          <w:b/>
          <w:i/>
        </w:rPr>
      </w:pPr>
      <w:r w:rsidRPr="00824C4A">
        <w:rPr>
          <w:rFonts w:ascii="Garamond" w:hAnsi="Garamond"/>
          <w:b/>
          <w:i/>
          <w:sz w:val="20"/>
          <w:szCs w:val="20"/>
        </w:rPr>
        <w:t xml:space="preserve">Source: </w:t>
      </w:r>
      <w:r w:rsidRPr="00824C4A">
        <w:rPr>
          <w:rFonts w:ascii="Garamond" w:hAnsi="Garamond"/>
          <w:i/>
          <w:sz w:val="20"/>
          <w:szCs w:val="20"/>
        </w:rPr>
        <w:t>Bloomberg</w:t>
      </w:r>
    </w:p>
    <w:p w:rsidR="00B25DA6" w:rsidRPr="0003213F" w:rsidRDefault="00B25DA6" w:rsidP="00B25DA6">
      <w:pPr>
        <w:jc w:val="both"/>
        <w:rPr>
          <w:rFonts w:ascii="Garamond" w:eastAsia="Times New Roman" w:hAnsi="Garamond"/>
          <w:highlight w:val="lightGray"/>
          <w:lang w:eastAsia="en-IN"/>
        </w:rPr>
      </w:pPr>
    </w:p>
    <w:p w:rsidR="00B25DA6" w:rsidRPr="0003213F" w:rsidRDefault="00B25DA6" w:rsidP="00B25DA6">
      <w:pPr>
        <w:widowControl w:val="0"/>
        <w:numPr>
          <w:ilvl w:val="0"/>
          <w:numId w:val="3"/>
        </w:numPr>
        <w:contextualSpacing/>
        <w:jc w:val="both"/>
        <w:rPr>
          <w:rFonts w:ascii="Garamond" w:hAnsi="Garamond"/>
          <w:b/>
        </w:rPr>
      </w:pPr>
      <w:r w:rsidRPr="0003213F">
        <w:rPr>
          <w:rFonts w:ascii="Garamond" w:hAnsi="Garamond"/>
          <w:b/>
        </w:rPr>
        <w:t xml:space="preserve">Trends in Depository Accounts </w:t>
      </w:r>
    </w:p>
    <w:p w:rsidR="00B25DA6" w:rsidRPr="0003213F" w:rsidRDefault="00B25DA6" w:rsidP="00B25DA6">
      <w:pPr>
        <w:widowControl w:val="0"/>
        <w:jc w:val="both"/>
        <w:rPr>
          <w:rFonts w:ascii="Garamond" w:hAnsi="Garamond"/>
          <w:b/>
        </w:rPr>
      </w:pPr>
    </w:p>
    <w:p w:rsidR="00B25DA6" w:rsidRPr="00DA0067" w:rsidRDefault="00B25DA6" w:rsidP="00B25DA6">
      <w:pPr>
        <w:jc w:val="both"/>
        <w:rPr>
          <w:rFonts w:ascii="Garamond" w:eastAsia="Times New Roman" w:hAnsi="Garamond"/>
        </w:rPr>
      </w:pPr>
      <w:r w:rsidRPr="0003213F">
        <w:rPr>
          <w:rFonts w:ascii="Garamond" w:eastAsia="Times New Roman" w:hAnsi="Garamond"/>
        </w:rPr>
        <w:t xml:space="preserve">The total number of investor accounts at the end of February 2018 was 170 lakh at NSDL (an increase of 0.8 per cent over January 2018) </w:t>
      </w:r>
      <w:r w:rsidRPr="00DA0067">
        <w:rPr>
          <w:rFonts w:ascii="Garamond" w:eastAsia="Times New Roman" w:hAnsi="Garamond"/>
        </w:rPr>
        <w:t xml:space="preserve">and 147 lakh at CDSL (an increase of 1.7 per cent over January 2018). The number of investor accounts increased by 10.1 per cent at NSDL and by 37.4 per cent at CDSL over the number of investor accounts at the respective depositories in February 2017 </w:t>
      </w:r>
      <w:r w:rsidRPr="00DA0067">
        <w:rPr>
          <w:rFonts w:ascii="Garamond" w:eastAsia="Times New Roman" w:hAnsi="Garamond"/>
          <w:b/>
        </w:rPr>
        <w:t>(</w:t>
      </w:r>
      <w:r w:rsidRPr="00DA0067">
        <w:rPr>
          <w:rFonts w:ascii="Garamond" w:eastAsia="Times New Roman" w:hAnsi="Garamond"/>
          <w:b/>
          <w:i/>
          <w:iCs/>
        </w:rPr>
        <w:t>Table 62</w:t>
      </w:r>
      <w:r w:rsidRPr="00DA0067">
        <w:rPr>
          <w:rFonts w:ascii="Garamond" w:eastAsia="Times New Roman" w:hAnsi="Garamond"/>
          <w:b/>
        </w:rPr>
        <w:t>)</w:t>
      </w:r>
      <w:r w:rsidRPr="00DA0067">
        <w:rPr>
          <w:rFonts w:ascii="Garamond" w:eastAsia="Times New Roman" w:hAnsi="Garamond"/>
        </w:rPr>
        <w:t>.</w:t>
      </w:r>
    </w:p>
    <w:p w:rsidR="00B25DA6" w:rsidRPr="009F27D4" w:rsidRDefault="00B25DA6" w:rsidP="00B25DA6">
      <w:pPr>
        <w:jc w:val="both"/>
        <w:rPr>
          <w:rFonts w:ascii="Garamond" w:eastAsia="Times New Roman" w:hAnsi="Garamond"/>
          <w:highlight w:val="lightGray"/>
        </w:rPr>
      </w:pPr>
    </w:p>
    <w:p w:rsidR="00B25DA6" w:rsidRPr="009F27D4" w:rsidRDefault="00B25DA6" w:rsidP="00B25DA6">
      <w:pPr>
        <w:widowControl w:val="0"/>
        <w:numPr>
          <w:ilvl w:val="0"/>
          <w:numId w:val="3"/>
        </w:numPr>
        <w:contextualSpacing/>
        <w:jc w:val="both"/>
        <w:rPr>
          <w:rFonts w:ascii="Garamond" w:hAnsi="Garamond"/>
          <w:b/>
        </w:rPr>
      </w:pPr>
      <w:r w:rsidRPr="009F27D4">
        <w:rPr>
          <w:rFonts w:ascii="Garamond" w:hAnsi="Garamond"/>
          <w:b/>
        </w:rPr>
        <w:t>Trends in Derivatives Segment</w:t>
      </w:r>
      <w:r w:rsidRPr="009F27D4">
        <w:rPr>
          <w:rFonts w:ascii="Garamond" w:hAnsi="Garamond"/>
          <w:b/>
        </w:rPr>
        <w:tab/>
      </w:r>
    </w:p>
    <w:p w:rsidR="00B25DA6" w:rsidRPr="009F27D4" w:rsidRDefault="00B25DA6" w:rsidP="00B25DA6">
      <w:pPr>
        <w:widowControl w:val="0"/>
        <w:jc w:val="both"/>
        <w:rPr>
          <w:rFonts w:ascii="Garamond" w:eastAsia="Times New Roman" w:hAnsi="Garamond"/>
          <w:highlight w:val="lightGray"/>
        </w:rPr>
      </w:pPr>
    </w:p>
    <w:p w:rsidR="00B25DA6" w:rsidRPr="009F27D4" w:rsidRDefault="00B25DA6" w:rsidP="00B25DA6">
      <w:pPr>
        <w:widowControl w:val="0"/>
        <w:numPr>
          <w:ilvl w:val="0"/>
          <w:numId w:val="9"/>
        </w:numPr>
        <w:contextualSpacing/>
        <w:jc w:val="both"/>
        <w:outlineLvl w:val="0"/>
        <w:rPr>
          <w:rFonts w:ascii="Garamond" w:hAnsi="Garamond"/>
          <w:b/>
        </w:rPr>
      </w:pPr>
      <w:r w:rsidRPr="009F27D4">
        <w:rPr>
          <w:rFonts w:ascii="Garamond" w:hAnsi="Garamond"/>
          <w:b/>
        </w:rPr>
        <w:t>Equity Derivatives</w:t>
      </w:r>
    </w:p>
    <w:p w:rsidR="00B25DA6" w:rsidRPr="00991592" w:rsidRDefault="00B25DA6" w:rsidP="00B25DA6">
      <w:pPr>
        <w:jc w:val="both"/>
        <w:rPr>
          <w:rFonts w:ascii="Garamond" w:eastAsia="Times New Roman" w:hAnsi="Garamond"/>
          <w:color w:val="000099"/>
          <w:highlight w:val="lightGray"/>
        </w:rPr>
      </w:pPr>
      <w:r w:rsidRPr="009F27D4">
        <w:rPr>
          <w:rFonts w:ascii="Garamond" w:eastAsia="Times New Roman" w:hAnsi="Garamond"/>
        </w:rPr>
        <w:t xml:space="preserve">India is one of the most vibrant markets for exchange traded equity derivatives in the world. The total monthly turnover in equity derivatives market at NSE </w:t>
      </w:r>
      <w:r w:rsidRPr="009F27D4">
        <w:rPr>
          <w:rFonts w:ascii="Garamond" w:eastAsia="Times New Roman" w:hAnsi="Garamond" w:cstheme="minorBidi"/>
          <w:szCs w:val="30"/>
          <w:lang w:val="en-US" w:bidi="bn-IN"/>
        </w:rPr>
        <w:t>increased</w:t>
      </w:r>
      <w:r w:rsidRPr="009F27D4">
        <w:rPr>
          <w:rFonts w:ascii="Garamond" w:eastAsia="Times New Roman" w:hAnsi="Garamond"/>
        </w:rPr>
        <w:t xml:space="preserve"> by 0.1 per cent to </w:t>
      </w:r>
      <w:r w:rsidRPr="009F27D4">
        <w:rPr>
          <w:rFonts w:ascii="Rupee Foradian" w:eastAsia="Times New Roman" w:hAnsi="Rupee Foradian"/>
        </w:rPr>
        <w:t>`</w:t>
      </w:r>
      <w:r w:rsidRPr="009F27D4">
        <w:rPr>
          <w:rFonts w:ascii="Garamond" w:eastAsia="Times New Roman" w:hAnsi="Garamond"/>
        </w:rPr>
        <w:t xml:space="preserve"> 1,60,26,618 crore during February 2018 </w:t>
      </w:r>
      <w:r w:rsidRPr="009F27D4">
        <w:rPr>
          <w:rFonts w:ascii="Garamond" w:eastAsia="Times New Roman" w:hAnsi="Garamond" w:cs="Garamond"/>
        </w:rPr>
        <w:t xml:space="preserve">from </w:t>
      </w:r>
      <w:r w:rsidRPr="009F27D4">
        <w:rPr>
          <w:rFonts w:ascii="Rupee Foradian" w:eastAsia="Times New Roman" w:hAnsi="Rupee Foradian"/>
        </w:rPr>
        <w:t>`</w:t>
      </w:r>
      <w:r w:rsidRPr="009F27D4">
        <w:rPr>
          <w:rFonts w:ascii="Garamond" w:eastAsia="Times New Roman" w:hAnsi="Garamond"/>
        </w:rPr>
        <w:t xml:space="preserve"> 1,60,09,779 crore during January 2018 </w:t>
      </w:r>
      <w:r w:rsidRPr="009F27D4">
        <w:rPr>
          <w:rFonts w:ascii="Garamond" w:eastAsia="Times New Roman" w:hAnsi="Garamond" w:cs="Garamond"/>
        </w:rPr>
        <w:t>(</w:t>
      </w:r>
      <w:r w:rsidRPr="009F27D4">
        <w:rPr>
          <w:rFonts w:ascii="Garamond" w:eastAsia="Times New Roman" w:hAnsi="Garamond" w:cs="Garamond"/>
          <w:b/>
          <w:bCs/>
          <w:i/>
          <w:iCs/>
        </w:rPr>
        <w:t>Figure 4</w:t>
      </w:r>
      <w:r w:rsidRPr="009F27D4">
        <w:rPr>
          <w:rFonts w:ascii="Garamond" w:eastAsia="Times New Roman" w:hAnsi="Garamond" w:cs="Garamond"/>
        </w:rPr>
        <w:t xml:space="preserve">). </w:t>
      </w:r>
      <w:r w:rsidRPr="00212E62">
        <w:rPr>
          <w:rFonts w:ascii="Garamond" w:eastAsia="Times New Roman" w:hAnsi="Garamond" w:cs="Garamond"/>
        </w:rPr>
        <w:t>During the month under review options on index accounted for about 82.9 per cent of the total turnover in the F&amp;O segment at NSE.</w:t>
      </w:r>
      <w:r w:rsidRPr="00212E62">
        <w:rPr>
          <w:rFonts w:ascii="Garamond" w:eastAsia="Times New Roman" w:hAnsi="Garamond"/>
        </w:rPr>
        <w:t xml:space="preserve"> In February </w:t>
      </w:r>
      <w:r w:rsidRPr="00212E62">
        <w:rPr>
          <w:rFonts w:ascii="Garamond" w:eastAsia="Times New Roman" w:hAnsi="Garamond" w:cs="Garamond"/>
        </w:rPr>
        <w:t>2018</w:t>
      </w:r>
      <w:r w:rsidRPr="00212E62">
        <w:rPr>
          <w:rFonts w:ascii="Garamond" w:eastAsia="Times New Roman" w:hAnsi="Garamond"/>
        </w:rPr>
        <w:t xml:space="preserve">, monthly turnover of index futures increased by 23.5 per cent whereas that of stock futures fell by 20.3 per cent. Monthly turnover of put options on index fell by 5.0 per cent whereas that of call options on index increased by 12.7 per cent. Monthly turnover of put </w:t>
      </w:r>
      <w:r w:rsidRPr="00D011B0">
        <w:rPr>
          <w:rFonts w:ascii="Garamond" w:eastAsia="Times New Roman" w:hAnsi="Garamond"/>
        </w:rPr>
        <w:t xml:space="preserve">options on stock and call options on stock decreased by 13.8 per cent and 28.1 per cent, respectively. The open interest in value terms in the equity derivative segment of NSE fell by 4.7 per cent to </w:t>
      </w:r>
      <w:r w:rsidRPr="00D011B0">
        <w:rPr>
          <w:rFonts w:ascii="Rupee Foradian" w:eastAsia="Times New Roman" w:hAnsi="Rupee Foradian"/>
        </w:rPr>
        <w:t xml:space="preserve">` </w:t>
      </w:r>
      <w:r w:rsidRPr="00D011B0">
        <w:rPr>
          <w:rFonts w:ascii="Garamond" w:eastAsia="Times New Roman" w:hAnsi="Garamond"/>
        </w:rPr>
        <w:t xml:space="preserve">3,56,734 crore as on February 28, 2018 from </w:t>
      </w:r>
      <w:r w:rsidRPr="00D011B0">
        <w:rPr>
          <w:rFonts w:ascii="Rupee Foradian" w:eastAsia="Times New Roman" w:hAnsi="Rupee Foradian"/>
        </w:rPr>
        <w:t xml:space="preserve">` </w:t>
      </w:r>
      <w:r w:rsidRPr="00D011B0">
        <w:rPr>
          <w:rFonts w:ascii="Garamond" w:eastAsia="Times New Roman" w:hAnsi="Garamond"/>
        </w:rPr>
        <w:t xml:space="preserve">3,74,522 crore as on January 31, 2018 </w:t>
      </w:r>
      <w:r w:rsidRPr="00D011B0">
        <w:rPr>
          <w:rFonts w:ascii="Garamond" w:eastAsia="Times New Roman" w:hAnsi="Garamond"/>
          <w:b/>
        </w:rPr>
        <w:t>(Table 35).</w:t>
      </w:r>
    </w:p>
    <w:p w:rsidR="00B25DA6" w:rsidRPr="009F1EC6" w:rsidRDefault="00B25DA6" w:rsidP="00B25DA6">
      <w:pPr>
        <w:jc w:val="center"/>
        <w:outlineLvl w:val="0"/>
        <w:rPr>
          <w:rFonts w:ascii="Garamond" w:hAnsi="Garamond"/>
          <w:b/>
        </w:rPr>
      </w:pPr>
      <w:r w:rsidRPr="009F1EC6">
        <w:rPr>
          <w:rFonts w:ascii="Garamond" w:hAnsi="Garamond"/>
          <w:b/>
        </w:rPr>
        <w:t xml:space="preserve">Figure </w:t>
      </w:r>
      <w:r w:rsidRPr="009F1EC6">
        <w:rPr>
          <w:rFonts w:ascii="Garamond" w:hAnsi="Garamond"/>
          <w:b/>
        </w:rPr>
        <w:fldChar w:fldCharType="begin"/>
      </w:r>
      <w:r w:rsidRPr="009F1EC6">
        <w:rPr>
          <w:rFonts w:ascii="Garamond" w:hAnsi="Garamond"/>
          <w:b/>
        </w:rPr>
        <w:instrText xml:space="preserve"> SEQ Figure \* ARABIC </w:instrText>
      </w:r>
      <w:r w:rsidRPr="009F1EC6">
        <w:rPr>
          <w:rFonts w:ascii="Garamond" w:hAnsi="Garamond"/>
          <w:b/>
        </w:rPr>
        <w:fldChar w:fldCharType="separate"/>
      </w:r>
      <w:r w:rsidRPr="009F1EC6">
        <w:rPr>
          <w:rFonts w:ascii="Garamond" w:hAnsi="Garamond"/>
          <w:b/>
          <w:noProof/>
        </w:rPr>
        <w:t>4</w:t>
      </w:r>
      <w:r w:rsidRPr="009F1EC6">
        <w:rPr>
          <w:rFonts w:ascii="Garamond" w:hAnsi="Garamond"/>
          <w:b/>
        </w:rPr>
        <w:fldChar w:fldCharType="end"/>
      </w:r>
      <w:r w:rsidRPr="009F1EC6">
        <w:rPr>
          <w:rFonts w:ascii="Garamond" w:hAnsi="Garamond"/>
          <w:b/>
        </w:rPr>
        <w:t>: Trends of Equity Derivatives Segment at NSE (</w:t>
      </w:r>
      <w:r w:rsidRPr="009F1EC6">
        <w:rPr>
          <w:rFonts w:ascii="Rupee Foradian" w:hAnsi="Rupee Foradian" w:cs="Garamond"/>
          <w:b/>
        </w:rPr>
        <w:t>`</w:t>
      </w:r>
      <w:r w:rsidRPr="009F1EC6">
        <w:rPr>
          <w:rFonts w:ascii="Garamond" w:hAnsi="Garamond" w:cs="Garamond"/>
          <w:b/>
        </w:rPr>
        <w:t xml:space="preserve"> </w:t>
      </w:r>
      <w:r w:rsidRPr="009F1EC6">
        <w:rPr>
          <w:rFonts w:ascii="Garamond" w:hAnsi="Garamond"/>
          <w:b/>
        </w:rPr>
        <w:t>crore)</w:t>
      </w:r>
    </w:p>
    <w:p w:rsidR="00B25DA6" w:rsidRPr="00991592" w:rsidRDefault="00B25DA6" w:rsidP="00B25DA6">
      <w:pPr>
        <w:jc w:val="center"/>
        <w:outlineLvl w:val="0"/>
        <w:rPr>
          <w:rFonts w:ascii="Garamond" w:hAnsi="Garamond"/>
          <w:b/>
          <w:color w:val="000099"/>
        </w:rPr>
      </w:pPr>
    </w:p>
    <w:p w:rsidR="00B25DA6" w:rsidRPr="00991592" w:rsidRDefault="00B25DA6" w:rsidP="00B25DA6">
      <w:pPr>
        <w:jc w:val="center"/>
        <w:rPr>
          <w:rFonts w:ascii="Garamond" w:hAnsi="Garamond"/>
          <w:b/>
          <w:color w:val="000099"/>
          <w:highlight w:val="lightGray"/>
        </w:rPr>
      </w:pPr>
      <w:r>
        <w:rPr>
          <w:noProof/>
          <w:lang w:val="en-IN" w:eastAsia="en-IN"/>
        </w:rPr>
        <w:drawing>
          <wp:inline distT="0" distB="0" distL="0" distR="0" wp14:anchorId="57D103F4" wp14:editId="08917E30">
            <wp:extent cx="5544185" cy="3182587"/>
            <wp:effectExtent l="0" t="0" r="1841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DA6" w:rsidRPr="00D011B0" w:rsidRDefault="00B25DA6" w:rsidP="00B25DA6">
      <w:pPr>
        <w:jc w:val="both"/>
        <w:rPr>
          <w:rFonts w:ascii="Garamond" w:eastAsia="Times New Roman" w:hAnsi="Garamond"/>
          <w:highlight w:val="lightGray"/>
        </w:rPr>
      </w:pPr>
    </w:p>
    <w:p w:rsidR="00B25DA6" w:rsidRPr="00D011B0" w:rsidRDefault="00B25DA6" w:rsidP="00B25DA6">
      <w:pPr>
        <w:jc w:val="both"/>
        <w:rPr>
          <w:rFonts w:ascii="Garamond" w:eastAsia="Times New Roman" w:hAnsi="Garamond"/>
        </w:rPr>
      </w:pPr>
      <w:r w:rsidRPr="00D011B0">
        <w:rPr>
          <w:rFonts w:ascii="Garamond" w:eastAsia="Times New Roman" w:hAnsi="Garamond"/>
        </w:rPr>
        <w:t xml:space="preserve">The monthly total turnover in equity derivative segment of BSE was </w:t>
      </w:r>
      <w:r w:rsidRPr="00D011B0">
        <w:rPr>
          <w:rFonts w:ascii="Rupee Foradian" w:eastAsia="Times New Roman" w:hAnsi="Rupee Foradian"/>
        </w:rPr>
        <w:t>`</w:t>
      </w:r>
      <w:r w:rsidRPr="00D011B0">
        <w:rPr>
          <w:rFonts w:ascii="Garamond" w:eastAsia="Times New Roman" w:hAnsi="Garamond"/>
        </w:rPr>
        <w:t xml:space="preserve"> 2.8 crore in February 2018, compared to </w:t>
      </w:r>
      <w:r w:rsidRPr="00D011B0">
        <w:rPr>
          <w:rFonts w:ascii="Rupee Foradian" w:eastAsia="Times New Roman" w:hAnsi="Rupee Foradian"/>
        </w:rPr>
        <w:t>`</w:t>
      </w:r>
      <w:r w:rsidRPr="00D011B0">
        <w:rPr>
          <w:rFonts w:ascii="Garamond" w:eastAsia="Times New Roman" w:hAnsi="Garamond"/>
        </w:rPr>
        <w:t xml:space="preserve"> 4.3 crore in January 2018</w:t>
      </w:r>
      <w:r w:rsidRPr="00D011B0">
        <w:rPr>
          <w:rFonts w:ascii="Garamond" w:eastAsia="Times New Roman" w:hAnsi="Garamond" w:cs="Calibri"/>
        </w:rPr>
        <w:t xml:space="preserve">. </w:t>
      </w:r>
      <w:r w:rsidRPr="00D011B0">
        <w:rPr>
          <w:rFonts w:ascii="Garamond" w:eastAsia="Times New Roman" w:hAnsi="Garamond"/>
        </w:rPr>
        <w:t xml:space="preserve">The open interest in value terms in equity derivatives segment </w:t>
      </w:r>
      <w:r w:rsidRPr="00D011B0">
        <w:rPr>
          <w:rFonts w:ascii="Garamond" w:eastAsia="Times New Roman" w:hAnsi="Garamond"/>
        </w:rPr>
        <w:lastRenderedPageBreak/>
        <w:t xml:space="preserve">of BSE fell to </w:t>
      </w:r>
      <w:r w:rsidRPr="00D011B0">
        <w:rPr>
          <w:rFonts w:ascii="Rupee Foradian" w:eastAsia="Times New Roman" w:hAnsi="Rupee Foradian"/>
        </w:rPr>
        <w:t>`</w:t>
      </w:r>
      <w:r w:rsidRPr="00D011B0">
        <w:rPr>
          <w:rFonts w:ascii="Garamond" w:eastAsia="Times New Roman" w:hAnsi="Garamond"/>
        </w:rPr>
        <w:t xml:space="preserve"> 0.5 crore as on February 28, 2018 </w:t>
      </w:r>
      <w:r w:rsidRPr="00D011B0">
        <w:rPr>
          <w:rFonts w:ascii="Garamond" w:eastAsia="Times New Roman" w:hAnsi="Garamond" w:cs="Calibri"/>
        </w:rPr>
        <w:t xml:space="preserve">from </w:t>
      </w:r>
      <w:r w:rsidRPr="00D011B0">
        <w:rPr>
          <w:rFonts w:ascii="Rupee Foradian" w:eastAsia="Times New Roman" w:hAnsi="Rupee Foradian"/>
        </w:rPr>
        <w:t>`</w:t>
      </w:r>
      <w:r w:rsidRPr="00D011B0">
        <w:rPr>
          <w:rFonts w:ascii="Garamond" w:eastAsia="Times New Roman" w:hAnsi="Garamond"/>
        </w:rPr>
        <w:t xml:space="preserve"> 0.6 crore as on January 31, 2018 </w:t>
      </w:r>
      <w:r w:rsidRPr="00D011B0">
        <w:rPr>
          <w:rFonts w:ascii="Garamond" w:eastAsia="Times New Roman" w:hAnsi="Garamond"/>
          <w:i/>
        </w:rPr>
        <w:t>(</w:t>
      </w:r>
      <w:r w:rsidRPr="00D011B0">
        <w:rPr>
          <w:rFonts w:ascii="Garamond" w:eastAsia="Times New Roman" w:hAnsi="Garamond"/>
          <w:b/>
          <w:bCs/>
          <w:i/>
          <w:iCs/>
        </w:rPr>
        <w:t>Exhibit 4 and Table 34</w:t>
      </w:r>
      <w:r w:rsidRPr="00D011B0">
        <w:rPr>
          <w:rFonts w:ascii="Garamond" w:eastAsia="Times New Roman" w:hAnsi="Garamond"/>
          <w:bCs/>
          <w:i/>
          <w:iCs/>
        </w:rPr>
        <w:t>)</w:t>
      </w:r>
      <w:r w:rsidRPr="00D011B0">
        <w:rPr>
          <w:rFonts w:ascii="Garamond" w:eastAsia="Times New Roman" w:hAnsi="Garamond" w:cs="Calibri"/>
        </w:rPr>
        <w:t>.</w:t>
      </w:r>
    </w:p>
    <w:p w:rsidR="00B25DA6" w:rsidRPr="00991592" w:rsidRDefault="00B25DA6" w:rsidP="00B25DA6">
      <w:pPr>
        <w:jc w:val="both"/>
        <w:rPr>
          <w:rFonts w:ascii="Garamond" w:eastAsia="Times New Roman" w:hAnsi="Garamond" w:cs="Calibri"/>
          <w:color w:val="000099"/>
          <w:highlight w:val="lightGray"/>
        </w:rPr>
      </w:pPr>
    </w:p>
    <w:p w:rsidR="00B25DA6" w:rsidRPr="00C1085F" w:rsidRDefault="00B25DA6" w:rsidP="00B25DA6">
      <w:pPr>
        <w:jc w:val="both"/>
        <w:outlineLvl w:val="0"/>
        <w:rPr>
          <w:rFonts w:ascii="Garamond" w:eastAsia="Times New Roman" w:hAnsi="Garamond"/>
          <w:b/>
          <w:bCs/>
        </w:rPr>
      </w:pPr>
      <w:r w:rsidRPr="00C1085F">
        <w:rPr>
          <w:rFonts w:ascii="Garamond" w:eastAsia="Times New Roman" w:hAnsi="Garamond"/>
          <w:b/>
          <w:bCs/>
        </w:rPr>
        <w:t>Exhibit 4: Trends in Equity Derivatives Market</w:t>
      </w:r>
    </w:p>
    <w:p w:rsidR="00B25DA6" w:rsidRPr="00991592" w:rsidRDefault="00B25DA6" w:rsidP="00B25DA6">
      <w:pPr>
        <w:jc w:val="both"/>
        <w:outlineLvl w:val="0"/>
        <w:rPr>
          <w:rFonts w:ascii="Garamond" w:eastAsia="Times New Roman" w:hAnsi="Garamond"/>
          <w:b/>
          <w:bCs/>
          <w:color w:val="000099"/>
        </w:rPr>
      </w:pPr>
    </w:p>
    <w:tbl>
      <w:tblPr>
        <w:tblW w:w="10566" w:type="dxa"/>
        <w:jc w:val="center"/>
        <w:tblCellMar>
          <w:left w:w="58" w:type="dxa"/>
          <w:right w:w="58" w:type="dxa"/>
        </w:tblCellMar>
        <w:tblLook w:val="04A0" w:firstRow="1" w:lastRow="0" w:firstColumn="1" w:lastColumn="0" w:noHBand="0" w:noVBand="1"/>
      </w:tblPr>
      <w:tblGrid>
        <w:gridCol w:w="1950"/>
        <w:gridCol w:w="1087"/>
        <w:gridCol w:w="1102"/>
        <w:gridCol w:w="1150"/>
        <w:gridCol w:w="747"/>
        <w:gridCol w:w="715"/>
        <w:gridCol w:w="1166"/>
        <w:gridCol w:w="689"/>
        <w:gridCol w:w="747"/>
        <w:gridCol w:w="1222"/>
      </w:tblGrid>
      <w:tr w:rsidR="00B25DA6" w:rsidRPr="00C1085F" w:rsidTr="007C138F">
        <w:trPr>
          <w:trHeight w:val="241"/>
          <w:tblHeader/>
          <w:jc w:val="center"/>
        </w:trPr>
        <w:tc>
          <w:tcPr>
            <w:tcW w:w="195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bookmarkStart w:id="3" w:name="RANGE!A2:J44"/>
            <w:r w:rsidRPr="00C1085F">
              <w:rPr>
                <w:rFonts w:ascii="Garamond" w:eastAsia="Times New Roman" w:hAnsi="Garamond"/>
                <w:b/>
                <w:bCs/>
                <w:sz w:val="20"/>
                <w:szCs w:val="20"/>
                <w:lang w:eastAsia="en-GB"/>
              </w:rPr>
              <w:t>Particular</w:t>
            </w:r>
            <w:bookmarkEnd w:id="3"/>
          </w:p>
        </w:tc>
        <w:tc>
          <w:tcPr>
            <w:tcW w:w="3329"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NSE</w:t>
            </w:r>
          </w:p>
        </w:tc>
        <w:tc>
          <w:tcPr>
            <w:tcW w:w="2628"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BSE</w:t>
            </w:r>
          </w:p>
        </w:tc>
        <w:tc>
          <w:tcPr>
            <w:tcW w:w="2658"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MCX-SX</w:t>
            </w:r>
          </w:p>
        </w:tc>
      </w:tr>
      <w:tr w:rsidR="00B25DA6" w:rsidRPr="00C1085F" w:rsidTr="007C138F">
        <w:trPr>
          <w:trHeight w:val="725"/>
          <w:tblHeader/>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25DA6" w:rsidRPr="00C1085F" w:rsidRDefault="00B25DA6" w:rsidP="007C138F">
            <w:pPr>
              <w:rPr>
                <w:rFonts w:ascii="Garamond" w:eastAsia="Times New Roman" w:hAnsi="Garamond"/>
                <w:b/>
                <w:bCs/>
                <w:sz w:val="20"/>
                <w:szCs w:val="20"/>
                <w:lang w:eastAsia="en-GB"/>
              </w:rPr>
            </w:pPr>
          </w:p>
        </w:tc>
        <w:tc>
          <w:tcPr>
            <w:tcW w:w="1081" w:type="dxa"/>
            <w:tcBorders>
              <w:top w:val="nil"/>
              <w:left w:val="nil"/>
              <w:bottom w:val="nil"/>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Jan-18</w:t>
            </w:r>
          </w:p>
        </w:tc>
        <w:tc>
          <w:tcPr>
            <w:tcW w:w="1096" w:type="dxa"/>
            <w:tcBorders>
              <w:top w:val="nil"/>
              <w:left w:val="nil"/>
              <w:bottom w:val="nil"/>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Feb-18</w:t>
            </w:r>
          </w:p>
        </w:tc>
        <w:tc>
          <w:tcPr>
            <w:tcW w:w="1150" w:type="dxa"/>
            <w:tcBorders>
              <w:top w:val="nil"/>
              <w:left w:val="nil"/>
              <w:bottom w:val="nil"/>
              <w:right w:val="single" w:sz="4" w:space="0" w:color="auto"/>
            </w:tcBorders>
            <w:shd w:val="clear" w:color="000000" w:fill="8DB4E2"/>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Percentage Change Over Month</w:t>
            </w:r>
          </w:p>
        </w:tc>
        <w:tc>
          <w:tcPr>
            <w:tcW w:w="747" w:type="dxa"/>
            <w:tcBorders>
              <w:top w:val="nil"/>
              <w:left w:val="nil"/>
              <w:bottom w:val="nil"/>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Jan-18</w:t>
            </w:r>
          </w:p>
        </w:tc>
        <w:tc>
          <w:tcPr>
            <w:tcW w:w="715" w:type="dxa"/>
            <w:tcBorders>
              <w:top w:val="nil"/>
              <w:left w:val="nil"/>
              <w:bottom w:val="nil"/>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Feb-18</w:t>
            </w:r>
          </w:p>
        </w:tc>
        <w:tc>
          <w:tcPr>
            <w:tcW w:w="1165" w:type="dxa"/>
            <w:tcBorders>
              <w:top w:val="nil"/>
              <w:left w:val="nil"/>
              <w:bottom w:val="nil"/>
              <w:right w:val="single" w:sz="4" w:space="0" w:color="auto"/>
            </w:tcBorders>
            <w:shd w:val="clear" w:color="000000" w:fill="8DB4E2"/>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Percentage Change Over Month</w:t>
            </w:r>
          </w:p>
        </w:tc>
        <w:tc>
          <w:tcPr>
            <w:tcW w:w="689" w:type="dxa"/>
            <w:tcBorders>
              <w:top w:val="nil"/>
              <w:left w:val="nil"/>
              <w:bottom w:val="nil"/>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Jan-18</w:t>
            </w:r>
          </w:p>
        </w:tc>
        <w:tc>
          <w:tcPr>
            <w:tcW w:w="747" w:type="dxa"/>
            <w:tcBorders>
              <w:top w:val="nil"/>
              <w:left w:val="nil"/>
              <w:bottom w:val="nil"/>
              <w:right w:val="single" w:sz="4" w:space="0" w:color="auto"/>
            </w:tcBorders>
            <w:shd w:val="clear" w:color="000000" w:fill="8DB4E2"/>
            <w:noWrap/>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Feb-18</w:t>
            </w:r>
          </w:p>
        </w:tc>
        <w:tc>
          <w:tcPr>
            <w:tcW w:w="1221" w:type="dxa"/>
            <w:tcBorders>
              <w:top w:val="nil"/>
              <w:left w:val="nil"/>
              <w:bottom w:val="nil"/>
              <w:right w:val="single" w:sz="4" w:space="0" w:color="auto"/>
            </w:tcBorders>
            <w:shd w:val="clear" w:color="000000" w:fill="8DB4E2"/>
            <w:vAlign w:val="center"/>
            <w:hideMark/>
          </w:tcPr>
          <w:p w:rsidR="00B25DA6" w:rsidRPr="00C1085F" w:rsidRDefault="00B25DA6" w:rsidP="007C138F">
            <w:pPr>
              <w:jc w:val="center"/>
              <w:rPr>
                <w:rFonts w:ascii="Garamond" w:eastAsia="Times New Roman" w:hAnsi="Garamond"/>
                <w:b/>
                <w:bCs/>
                <w:sz w:val="20"/>
                <w:szCs w:val="20"/>
                <w:lang w:eastAsia="en-GB"/>
              </w:rPr>
            </w:pPr>
            <w:r w:rsidRPr="00C1085F">
              <w:rPr>
                <w:rFonts w:ascii="Garamond" w:eastAsia="Times New Roman" w:hAnsi="Garamond"/>
                <w:b/>
                <w:bCs/>
                <w:sz w:val="20"/>
                <w:szCs w:val="20"/>
                <w:lang w:eastAsia="en-GB"/>
              </w:rPr>
              <w:t>Percentage Change Over Month</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1</w:t>
            </w:r>
          </w:p>
        </w:tc>
        <w:tc>
          <w:tcPr>
            <w:tcW w:w="1081" w:type="dxa"/>
            <w:tcBorders>
              <w:top w:val="single" w:sz="4" w:space="0" w:color="auto"/>
              <w:left w:val="nil"/>
              <w:bottom w:val="single" w:sz="4" w:space="0" w:color="auto"/>
              <w:right w:val="single" w:sz="4" w:space="0" w:color="auto"/>
            </w:tcBorders>
            <w:shd w:val="clear" w:color="000000" w:fill="C5D9F1"/>
            <w:noWrap/>
            <w:vAlign w:val="bottom"/>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2</w:t>
            </w:r>
          </w:p>
        </w:tc>
        <w:tc>
          <w:tcPr>
            <w:tcW w:w="1096" w:type="dxa"/>
            <w:tcBorders>
              <w:top w:val="single" w:sz="4" w:space="0" w:color="auto"/>
              <w:left w:val="nil"/>
              <w:bottom w:val="single" w:sz="4" w:space="0" w:color="auto"/>
              <w:right w:val="single" w:sz="4" w:space="0" w:color="auto"/>
            </w:tcBorders>
            <w:shd w:val="clear" w:color="000000" w:fill="C5D9F1"/>
            <w:noWrap/>
            <w:vAlign w:val="bottom"/>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3</w:t>
            </w:r>
          </w:p>
        </w:tc>
        <w:tc>
          <w:tcPr>
            <w:tcW w:w="1150" w:type="dxa"/>
            <w:tcBorders>
              <w:top w:val="single" w:sz="4" w:space="0" w:color="auto"/>
              <w:left w:val="nil"/>
              <w:bottom w:val="single" w:sz="4" w:space="0" w:color="auto"/>
              <w:right w:val="single" w:sz="4" w:space="0" w:color="auto"/>
            </w:tcBorders>
            <w:shd w:val="clear" w:color="000000" w:fill="C5D9F1"/>
            <w:noWrap/>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4</w:t>
            </w:r>
          </w:p>
        </w:tc>
        <w:tc>
          <w:tcPr>
            <w:tcW w:w="747" w:type="dxa"/>
            <w:tcBorders>
              <w:top w:val="single" w:sz="4" w:space="0" w:color="auto"/>
              <w:left w:val="nil"/>
              <w:bottom w:val="single" w:sz="4" w:space="0" w:color="auto"/>
              <w:right w:val="single" w:sz="4" w:space="0" w:color="auto"/>
            </w:tcBorders>
            <w:shd w:val="clear" w:color="000000" w:fill="C5D9F1"/>
            <w:noWrap/>
            <w:vAlign w:val="bottom"/>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5</w:t>
            </w:r>
          </w:p>
        </w:tc>
        <w:tc>
          <w:tcPr>
            <w:tcW w:w="715" w:type="dxa"/>
            <w:tcBorders>
              <w:top w:val="single" w:sz="4" w:space="0" w:color="auto"/>
              <w:left w:val="nil"/>
              <w:bottom w:val="single" w:sz="4" w:space="0" w:color="auto"/>
              <w:right w:val="single" w:sz="4" w:space="0" w:color="auto"/>
            </w:tcBorders>
            <w:shd w:val="clear" w:color="000000" w:fill="C5D9F1"/>
            <w:noWrap/>
            <w:vAlign w:val="bottom"/>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6</w:t>
            </w:r>
          </w:p>
        </w:tc>
        <w:tc>
          <w:tcPr>
            <w:tcW w:w="1165" w:type="dxa"/>
            <w:tcBorders>
              <w:top w:val="single" w:sz="4" w:space="0" w:color="auto"/>
              <w:left w:val="nil"/>
              <w:bottom w:val="single" w:sz="4" w:space="0" w:color="auto"/>
              <w:right w:val="single" w:sz="4" w:space="0" w:color="auto"/>
            </w:tcBorders>
            <w:shd w:val="clear" w:color="000000" w:fill="C5D9F1"/>
            <w:noWrap/>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7</w:t>
            </w:r>
          </w:p>
        </w:tc>
        <w:tc>
          <w:tcPr>
            <w:tcW w:w="689" w:type="dxa"/>
            <w:tcBorders>
              <w:top w:val="single" w:sz="4" w:space="0" w:color="auto"/>
              <w:left w:val="nil"/>
              <w:bottom w:val="single" w:sz="4" w:space="0" w:color="auto"/>
              <w:right w:val="single" w:sz="4" w:space="0" w:color="auto"/>
            </w:tcBorders>
            <w:shd w:val="clear" w:color="000000" w:fill="C5D9F1"/>
            <w:noWrap/>
            <w:vAlign w:val="bottom"/>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8</w:t>
            </w:r>
          </w:p>
        </w:tc>
        <w:tc>
          <w:tcPr>
            <w:tcW w:w="747" w:type="dxa"/>
            <w:tcBorders>
              <w:top w:val="single" w:sz="4" w:space="0" w:color="auto"/>
              <w:left w:val="nil"/>
              <w:bottom w:val="single" w:sz="4" w:space="0" w:color="auto"/>
              <w:right w:val="single" w:sz="4" w:space="0" w:color="auto"/>
            </w:tcBorders>
            <w:shd w:val="clear" w:color="000000" w:fill="C5D9F1"/>
            <w:noWrap/>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9</w:t>
            </w:r>
          </w:p>
        </w:tc>
        <w:tc>
          <w:tcPr>
            <w:tcW w:w="1221" w:type="dxa"/>
            <w:tcBorders>
              <w:top w:val="single" w:sz="4" w:space="0" w:color="auto"/>
              <w:left w:val="nil"/>
              <w:bottom w:val="single" w:sz="4" w:space="0" w:color="auto"/>
              <w:right w:val="single" w:sz="4" w:space="0" w:color="auto"/>
            </w:tcBorders>
            <w:shd w:val="clear" w:color="000000" w:fill="C5D9F1"/>
            <w:noWrap/>
            <w:vAlign w:val="bottom"/>
            <w:hideMark/>
          </w:tcPr>
          <w:p w:rsidR="00B25DA6" w:rsidRPr="00C1085F" w:rsidRDefault="00B25DA6" w:rsidP="007C138F">
            <w:pPr>
              <w:jc w:val="center"/>
              <w:rPr>
                <w:rFonts w:ascii="Garamond" w:eastAsia="Times New Roman" w:hAnsi="Garamond"/>
                <w:i/>
                <w:iCs/>
                <w:sz w:val="20"/>
                <w:szCs w:val="20"/>
                <w:lang w:eastAsia="en-GB"/>
              </w:rPr>
            </w:pPr>
            <w:r w:rsidRPr="00C1085F">
              <w:rPr>
                <w:rFonts w:ascii="Garamond" w:eastAsia="Times New Roman" w:hAnsi="Garamond"/>
                <w:i/>
                <w:iCs/>
                <w:sz w:val="20"/>
                <w:szCs w:val="20"/>
                <w:lang w:eastAsia="en-GB"/>
              </w:rPr>
              <w:t>10</w:t>
            </w:r>
          </w:p>
        </w:tc>
      </w:tr>
      <w:tr w:rsidR="00B25DA6" w:rsidRPr="00C1085F" w:rsidTr="007C138F">
        <w:trPr>
          <w:trHeight w:val="241"/>
          <w:jc w:val="center"/>
        </w:trPr>
        <w:tc>
          <w:tcPr>
            <w:tcW w:w="10566" w:type="dxa"/>
            <w:gridSpan w:val="10"/>
            <w:tcBorders>
              <w:top w:val="single" w:sz="4" w:space="0" w:color="auto"/>
              <w:left w:val="single" w:sz="4" w:space="0" w:color="auto"/>
              <w:bottom w:val="single" w:sz="4" w:space="0" w:color="auto"/>
              <w:right w:val="single" w:sz="4" w:space="0" w:color="000000"/>
            </w:tcBorders>
            <w:shd w:val="clear" w:color="000000" w:fill="FFFFCC"/>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 xml:space="preserve">A. Turnover  </w:t>
            </w:r>
            <w:r w:rsidRPr="00C1085F">
              <w:rPr>
                <w:rFonts w:ascii="Rupee" w:eastAsia="Times New Roman" w:hAnsi="Rupee"/>
                <w:b/>
                <w:bCs/>
                <w:sz w:val="20"/>
                <w:szCs w:val="20"/>
                <w:lang w:eastAsia="en-GB"/>
              </w:rPr>
              <w:t>(</w:t>
            </w:r>
            <w:r w:rsidRPr="00C1085F">
              <w:rPr>
                <w:rFonts w:ascii="Rupee Foradian" w:eastAsia="Times New Roman" w:hAnsi="Rupee Foradian"/>
                <w:b/>
                <w:bCs/>
                <w:sz w:val="20"/>
                <w:szCs w:val="20"/>
                <w:lang w:eastAsia="en-GB"/>
              </w:rPr>
              <w:t>`</w:t>
            </w:r>
            <w:r w:rsidRPr="00C1085F">
              <w:rPr>
                <w:rFonts w:ascii="Rupee" w:eastAsia="Times New Roman" w:hAnsi="Rupee"/>
                <w:b/>
                <w:bCs/>
                <w:sz w:val="20"/>
                <w:szCs w:val="20"/>
                <w:lang w:eastAsia="en-GB"/>
              </w:rPr>
              <w:t xml:space="preserve"> </w:t>
            </w:r>
            <w:r w:rsidRPr="00C1085F">
              <w:rPr>
                <w:rFonts w:ascii="Garamond" w:eastAsia="Times New Roman" w:hAnsi="Garamond"/>
                <w:b/>
                <w:bCs/>
                <w:sz w:val="20"/>
                <w:szCs w:val="20"/>
                <w:lang w:eastAsia="en-GB"/>
              </w:rPr>
              <w:t>crore)</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 Index  Futures</w:t>
            </w:r>
          </w:p>
        </w:tc>
        <w:tc>
          <w:tcPr>
            <w:tcW w:w="108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4,50,375</w:t>
            </w:r>
          </w:p>
        </w:tc>
        <w:tc>
          <w:tcPr>
            <w:tcW w:w="1096"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5,56,256</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23.5</w:t>
            </w:r>
          </w:p>
        </w:tc>
        <w:tc>
          <w:tcPr>
            <w:tcW w:w="747" w:type="dxa"/>
            <w:tcBorders>
              <w:top w:val="nil"/>
              <w:left w:val="single" w:sz="4" w:space="0" w:color="auto"/>
              <w:bottom w:val="nil"/>
              <w:right w:val="nil"/>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single" w:sz="4" w:space="0" w:color="auto"/>
              <w:bottom w:val="nil"/>
              <w:right w:val="single" w:sz="4" w:space="0" w:color="auto"/>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 Options on Index</w:t>
            </w:r>
          </w:p>
        </w:tc>
        <w:tc>
          <w:tcPr>
            <w:tcW w:w="108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p>
        </w:tc>
        <w:tc>
          <w:tcPr>
            <w:tcW w:w="747" w:type="dxa"/>
            <w:tcBorders>
              <w:top w:val="nil"/>
              <w:left w:val="single" w:sz="4" w:space="0" w:color="auto"/>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62,07,912</w:t>
            </w:r>
          </w:p>
        </w:tc>
        <w:tc>
          <w:tcPr>
            <w:tcW w:w="1096"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58,97,471</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-5.0</w:t>
            </w:r>
          </w:p>
        </w:tc>
        <w:tc>
          <w:tcPr>
            <w:tcW w:w="747" w:type="dxa"/>
            <w:tcBorders>
              <w:top w:val="nil"/>
              <w:left w:val="single" w:sz="4" w:space="0" w:color="auto"/>
              <w:bottom w:val="nil"/>
              <w:right w:val="nil"/>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single" w:sz="4" w:space="0" w:color="auto"/>
              <w:bottom w:val="nil"/>
              <w:right w:val="single" w:sz="4" w:space="0" w:color="auto"/>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65,60,595</w:t>
            </w:r>
          </w:p>
        </w:tc>
        <w:tc>
          <w:tcPr>
            <w:tcW w:w="1096"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73,91,333</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12.7</w:t>
            </w:r>
          </w:p>
        </w:tc>
        <w:tc>
          <w:tcPr>
            <w:tcW w:w="747" w:type="dxa"/>
            <w:tcBorders>
              <w:top w:val="nil"/>
              <w:left w:val="single" w:sz="4" w:space="0" w:color="auto"/>
              <w:bottom w:val="nil"/>
              <w:right w:val="nil"/>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single" w:sz="4" w:space="0" w:color="auto"/>
              <w:bottom w:val="nil"/>
              <w:right w:val="single" w:sz="4" w:space="0" w:color="auto"/>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(iii) Stock Futures</w:t>
            </w:r>
          </w:p>
        </w:tc>
        <w:tc>
          <w:tcPr>
            <w:tcW w:w="108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16,98,947</w:t>
            </w:r>
          </w:p>
        </w:tc>
        <w:tc>
          <w:tcPr>
            <w:tcW w:w="1096"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13,54,152</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-20.3</w:t>
            </w:r>
          </w:p>
        </w:tc>
        <w:tc>
          <w:tcPr>
            <w:tcW w:w="747" w:type="dxa"/>
            <w:tcBorders>
              <w:top w:val="nil"/>
              <w:left w:val="single" w:sz="4" w:space="0" w:color="auto"/>
              <w:bottom w:val="nil"/>
              <w:right w:val="nil"/>
            </w:tcBorders>
            <w:shd w:val="clear" w:color="auto" w:fill="auto"/>
            <w:noWrap/>
            <w:vAlign w:val="bottom"/>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4.3</w:t>
            </w:r>
          </w:p>
        </w:tc>
        <w:tc>
          <w:tcPr>
            <w:tcW w:w="715" w:type="dxa"/>
            <w:tcBorders>
              <w:top w:val="nil"/>
              <w:left w:val="single" w:sz="4" w:space="0" w:color="auto"/>
              <w:bottom w:val="nil"/>
              <w:right w:val="single" w:sz="4" w:space="0" w:color="auto"/>
            </w:tcBorders>
            <w:shd w:val="clear" w:color="auto" w:fill="auto"/>
            <w:vAlign w:val="center"/>
            <w:hideMark/>
          </w:tcPr>
          <w:p w:rsidR="00B25DA6" w:rsidRPr="00C1085F" w:rsidRDefault="00B25DA6" w:rsidP="007C138F">
            <w:pPr>
              <w:jc w:val="right"/>
              <w:rPr>
                <w:rFonts w:ascii="Calibri" w:eastAsia="Times New Roman" w:hAnsi="Calibri" w:cs="Calibri"/>
                <w:color w:val="000000"/>
                <w:sz w:val="20"/>
                <w:szCs w:val="20"/>
                <w:lang w:eastAsia="en-GB"/>
              </w:rPr>
            </w:pPr>
            <w:r w:rsidRPr="00C1085F">
              <w:rPr>
                <w:rFonts w:ascii="Calibri" w:eastAsia="Times New Roman" w:hAnsi="Calibri" w:cs="Calibri"/>
                <w:color w:val="000000"/>
                <w:sz w:val="20"/>
                <w:szCs w:val="20"/>
                <w:lang w:eastAsia="en-GB"/>
              </w:rPr>
              <w:t>2.8</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-34.3</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(iv) Options on Stock</w:t>
            </w:r>
          </w:p>
        </w:tc>
        <w:tc>
          <w:tcPr>
            <w:tcW w:w="108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single" w:sz="4" w:space="0" w:color="auto"/>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2,94,253</w:t>
            </w:r>
          </w:p>
        </w:tc>
        <w:tc>
          <w:tcPr>
            <w:tcW w:w="1096"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2,53,726</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-13.8</w:t>
            </w:r>
          </w:p>
        </w:tc>
        <w:tc>
          <w:tcPr>
            <w:tcW w:w="747" w:type="dxa"/>
            <w:tcBorders>
              <w:top w:val="nil"/>
              <w:left w:val="single" w:sz="4" w:space="0" w:color="auto"/>
              <w:bottom w:val="nil"/>
              <w:right w:val="nil"/>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single" w:sz="4" w:space="0" w:color="auto"/>
              <w:bottom w:val="nil"/>
              <w:right w:val="single" w:sz="4" w:space="0" w:color="auto"/>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7,97,697</w:t>
            </w:r>
          </w:p>
        </w:tc>
        <w:tc>
          <w:tcPr>
            <w:tcW w:w="1096"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5,73,680</w:t>
            </w:r>
          </w:p>
        </w:tc>
        <w:tc>
          <w:tcPr>
            <w:tcW w:w="1150"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-28.1</w:t>
            </w:r>
          </w:p>
        </w:tc>
        <w:tc>
          <w:tcPr>
            <w:tcW w:w="747" w:type="dxa"/>
            <w:tcBorders>
              <w:top w:val="nil"/>
              <w:left w:val="single" w:sz="4" w:space="0" w:color="auto"/>
              <w:bottom w:val="nil"/>
              <w:right w:val="nil"/>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single" w:sz="4" w:space="0" w:color="auto"/>
              <w:bottom w:val="nil"/>
              <w:right w:val="single" w:sz="4" w:space="0" w:color="auto"/>
            </w:tcBorders>
            <w:shd w:val="clear" w:color="auto" w:fill="auto"/>
            <w:noWrap/>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single" w:sz="4" w:space="0" w:color="auto"/>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 xml:space="preserve">         Total</w:t>
            </w:r>
          </w:p>
        </w:tc>
        <w:tc>
          <w:tcPr>
            <w:tcW w:w="1081"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1,60,09,779</w:t>
            </w:r>
          </w:p>
        </w:tc>
        <w:tc>
          <w:tcPr>
            <w:tcW w:w="1096"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1,60,26,618</w:t>
            </w:r>
          </w:p>
        </w:tc>
        <w:tc>
          <w:tcPr>
            <w:tcW w:w="1150"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0.1</w:t>
            </w:r>
          </w:p>
        </w:tc>
        <w:tc>
          <w:tcPr>
            <w:tcW w:w="747"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4.3</w:t>
            </w:r>
          </w:p>
        </w:tc>
        <w:tc>
          <w:tcPr>
            <w:tcW w:w="715"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2.8</w:t>
            </w:r>
          </w:p>
        </w:tc>
        <w:tc>
          <w:tcPr>
            <w:tcW w:w="1165"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-34.3</w:t>
            </w:r>
          </w:p>
        </w:tc>
        <w:tc>
          <w:tcPr>
            <w:tcW w:w="689" w:type="dxa"/>
            <w:tcBorders>
              <w:top w:val="nil"/>
              <w:left w:val="nil"/>
              <w:bottom w:val="single" w:sz="4" w:space="0" w:color="auto"/>
              <w:right w:val="nil"/>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w:t>
            </w:r>
          </w:p>
        </w:tc>
        <w:tc>
          <w:tcPr>
            <w:tcW w:w="747" w:type="dxa"/>
            <w:tcBorders>
              <w:top w:val="nil"/>
              <w:left w:val="single" w:sz="4" w:space="0" w:color="auto"/>
              <w:bottom w:val="single" w:sz="4" w:space="0" w:color="auto"/>
              <w:right w:val="nil"/>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w:t>
            </w:r>
          </w:p>
        </w:tc>
        <w:tc>
          <w:tcPr>
            <w:tcW w:w="1221"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Na</w:t>
            </w:r>
          </w:p>
        </w:tc>
      </w:tr>
      <w:tr w:rsidR="00B25DA6" w:rsidRPr="00C1085F" w:rsidTr="007C138F">
        <w:trPr>
          <w:trHeight w:val="241"/>
          <w:jc w:val="center"/>
        </w:trPr>
        <w:tc>
          <w:tcPr>
            <w:tcW w:w="10566" w:type="dxa"/>
            <w:gridSpan w:val="10"/>
            <w:tcBorders>
              <w:top w:val="single" w:sz="4" w:space="0" w:color="auto"/>
              <w:left w:val="single" w:sz="4" w:space="0" w:color="auto"/>
              <w:bottom w:val="single" w:sz="4" w:space="0" w:color="auto"/>
              <w:right w:val="single" w:sz="4" w:space="0" w:color="000000"/>
            </w:tcBorders>
            <w:shd w:val="clear" w:color="000000" w:fill="FFFFCC"/>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 xml:space="preserve">B. No. of Contracts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 Index  Futures</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50,31,029</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64,20,118</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27.6</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 Options on Index</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6,67,10,823</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6,55,22,364</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-1.8</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6,74,78,633</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7,84,18,384</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16.2</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(iii) Stock Futures</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2,19,68,814</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1,90,92,878</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-13.1</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62</w:t>
            </w:r>
          </w:p>
        </w:tc>
        <w:tc>
          <w:tcPr>
            <w:tcW w:w="715"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40</w:t>
            </w:r>
          </w:p>
        </w:tc>
        <w:tc>
          <w:tcPr>
            <w:tcW w:w="116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-35.5</w:t>
            </w:r>
          </w:p>
        </w:tc>
        <w:tc>
          <w:tcPr>
            <w:tcW w:w="689"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(iv) Options on Stock</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38,45,878</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36,06,307</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-6.2</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single" w:sz="4" w:space="0" w:color="auto"/>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96,90,224</w:t>
            </w:r>
          </w:p>
        </w:tc>
        <w:tc>
          <w:tcPr>
            <w:tcW w:w="1096" w:type="dxa"/>
            <w:tcBorders>
              <w:top w:val="nil"/>
              <w:left w:val="nil"/>
              <w:bottom w:val="single" w:sz="4" w:space="0" w:color="auto"/>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73,75,204</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-23.9</w:t>
            </w:r>
          </w:p>
        </w:tc>
        <w:tc>
          <w:tcPr>
            <w:tcW w:w="747"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single" w:sz="4" w:space="0" w:color="auto"/>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 xml:space="preserve">         Total</w:t>
            </w:r>
          </w:p>
        </w:tc>
        <w:tc>
          <w:tcPr>
            <w:tcW w:w="1081"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17,47,25,401</w:t>
            </w:r>
          </w:p>
        </w:tc>
        <w:tc>
          <w:tcPr>
            <w:tcW w:w="1096"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18,04,35,255</w:t>
            </w:r>
          </w:p>
        </w:tc>
        <w:tc>
          <w:tcPr>
            <w:tcW w:w="1150"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3.3</w:t>
            </w:r>
          </w:p>
        </w:tc>
        <w:tc>
          <w:tcPr>
            <w:tcW w:w="747"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62</w:t>
            </w:r>
          </w:p>
        </w:tc>
        <w:tc>
          <w:tcPr>
            <w:tcW w:w="715"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40</w:t>
            </w:r>
          </w:p>
        </w:tc>
        <w:tc>
          <w:tcPr>
            <w:tcW w:w="1165"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-35.5</w:t>
            </w:r>
          </w:p>
        </w:tc>
        <w:tc>
          <w:tcPr>
            <w:tcW w:w="689"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w:t>
            </w:r>
          </w:p>
        </w:tc>
        <w:tc>
          <w:tcPr>
            <w:tcW w:w="747"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w:t>
            </w:r>
          </w:p>
        </w:tc>
        <w:tc>
          <w:tcPr>
            <w:tcW w:w="1221"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Na</w:t>
            </w:r>
          </w:p>
        </w:tc>
      </w:tr>
      <w:tr w:rsidR="00B25DA6" w:rsidRPr="00C1085F" w:rsidTr="007C138F">
        <w:trPr>
          <w:trHeight w:val="241"/>
          <w:jc w:val="center"/>
        </w:trPr>
        <w:tc>
          <w:tcPr>
            <w:tcW w:w="10566" w:type="dxa"/>
            <w:gridSpan w:val="10"/>
            <w:tcBorders>
              <w:top w:val="single" w:sz="4" w:space="0" w:color="auto"/>
              <w:left w:val="single" w:sz="4" w:space="0" w:color="auto"/>
              <w:bottom w:val="single" w:sz="4" w:space="0" w:color="auto"/>
              <w:right w:val="single" w:sz="4" w:space="0" w:color="000000"/>
            </w:tcBorders>
            <w:shd w:val="clear" w:color="000000" w:fill="FFFFCC"/>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 xml:space="preserve">C.  Open Interest in terms of Value ( </w:t>
            </w:r>
            <w:r w:rsidRPr="00C1085F">
              <w:rPr>
                <w:rFonts w:ascii="Rupee Foradian" w:eastAsia="Times New Roman" w:hAnsi="Rupee Foradian"/>
                <w:b/>
                <w:bCs/>
                <w:sz w:val="20"/>
                <w:szCs w:val="20"/>
                <w:lang w:eastAsia="en-GB"/>
              </w:rPr>
              <w:t>`</w:t>
            </w:r>
            <w:r w:rsidRPr="00C1085F">
              <w:rPr>
                <w:rFonts w:ascii="Garamond" w:eastAsia="Times New Roman" w:hAnsi="Garamond"/>
                <w:b/>
                <w:bCs/>
                <w:sz w:val="20"/>
                <w:szCs w:val="20"/>
                <w:lang w:eastAsia="en-GB"/>
              </w:rPr>
              <w:t xml:space="preserve"> crore)</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 Index  Futures</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34,326</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28,848</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-16.0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 Options on Index</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99,893</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99,684</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-0.2</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82,236</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81,865</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-0.5</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(iii) Stock Futures</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1,31,981</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1,23,366</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-6.5</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0.6</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0.5</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-5.4</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(iv) Options on Stock</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8,892</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8,483</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-4.6</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single" w:sz="4" w:space="0" w:color="auto"/>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17,194</w:t>
            </w:r>
          </w:p>
        </w:tc>
        <w:tc>
          <w:tcPr>
            <w:tcW w:w="1096" w:type="dxa"/>
            <w:tcBorders>
              <w:top w:val="nil"/>
              <w:left w:val="nil"/>
              <w:bottom w:val="single" w:sz="4" w:space="0" w:color="auto"/>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14,488</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-15.7</w:t>
            </w:r>
          </w:p>
        </w:tc>
        <w:tc>
          <w:tcPr>
            <w:tcW w:w="747"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715"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 xml:space="preserve">         Total</w:t>
            </w:r>
          </w:p>
        </w:tc>
        <w:tc>
          <w:tcPr>
            <w:tcW w:w="1081"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3,74,522</w:t>
            </w:r>
          </w:p>
        </w:tc>
        <w:tc>
          <w:tcPr>
            <w:tcW w:w="1096"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3,56,734</w:t>
            </w:r>
          </w:p>
        </w:tc>
        <w:tc>
          <w:tcPr>
            <w:tcW w:w="1150"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-4.7</w:t>
            </w:r>
          </w:p>
        </w:tc>
        <w:tc>
          <w:tcPr>
            <w:tcW w:w="747"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0.6</w:t>
            </w:r>
          </w:p>
        </w:tc>
        <w:tc>
          <w:tcPr>
            <w:tcW w:w="715"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0.5</w:t>
            </w:r>
          </w:p>
        </w:tc>
        <w:tc>
          <w:tcPr>
            <w:tcW w:w="1165"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-5.4</w:t>
            </w:r>
          </w:p>
        </w:tc>
        <w:tc>
          <w:tcPr>
            <w:tcW w:w="689" w:type="dxa"/>
            <w:tcBorders>
              <w:top w:val="single" w:sz="4" w:space="0" w:color="auto"/>
              <w:left w:val="nil"/>
              <w:bottom w:val="single" w:sz="4" w:space="0" w:color="auto"/>
              <w:right w:val="nil"/>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0.0</w:t>
            </w:r>
          </w:p>
        </w:tc>
        <w:tc>
          <w:tcPr>
            <w:tcW w:w="74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0.0</w:t>
            </w:r>
          </w:p>
        </w:tc>
        <w:tc>
          <w:tcPr>
            <w:tcW w:w="1221"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Na</w:t>
            </w:r>
          </w:p>
        </w:tc>
      </w:tr>
      <w:tr w:rsidR="00B25DA6" w:rsidRPr="00C1085F" w:rsidTr="007C138F">
        <w:trPr>
          <w:trHeight w:val="241"/>
          <w:jc w:val="center"/>
        </w:trPr>
        <w:tc>
          <w:tcPr>
            <w:tcW w:w="10566" w:type="dxa"/>
            <w:gridSpan w:val="10"/>
            <w:tcBorders>
              <w:top w:val="single" w:sz="4" w:space="0" w:color="auto"/>
              <w:left w:val="single" w:sz="4" w:space="0" w:color="auto"/>
              <w:bottom w:val="single" w:sz="4" w:space="0" w:color="auto"/>
              <w:right w:val="single" w:sz="4" w:space="0" w:color="000000"/>
            </w:tcBorders>
            <w:shd w:val="clear" w:color="000000" w:fill="FFFFCC"/>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D.  Open Interest in terms of No of Contracts</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 Index  Futures</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3,97,066</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3,53,161</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-11.1</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 Options on Index</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11,52,654</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11,98,193</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4.0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9,36,455</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9,64,432</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3.0</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 xml:space="preserve">  (iii) Stock Futures</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18,08,675</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17,83,034</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-1.4</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8</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8</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0.0</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sz w:val="20"/>
                <w:szCs w:val="20"/>
                <w:lang w:eastAsia="en-GB"/>
              </w:rPr>
            </w:pPr>
            <w:r w:rsidRPr="00C1085F">
              <w:rPr>
                <w:rFonts w:ascii="Garamond" w:eastAsia="Times New Roman" w:hAnsi="Garamond"/>
                <w:sz w:val="20"/>
                <w:szCs w:val="20"/>
                <w:lang w:eastAsia="en-GB"/>
              </w:rPr>
              <w:t>(iv) Options on Stock</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 </w:t>
            </w:r>
          </w:p>
        </w:tc>
      </w:tr>
      <w:tr w:rsidR="00B25DA6" w:rsidRPr="00C1085F" w:rsidTr="007C138F">
        <w:trPr>
          <w:trHeight w:val="241"/>
          <w:jc w:val="center"/>
        </w:trPr>
        <w:tc>
          <w:tcPr>
            <w:tcW w:w="1950" w:type="dxa"/>
            <w:tcBorders>
              <w:top w:val="nil"/>
              <w:left w:val="single" w:sz="4" w:space="0" w:color="auto"/>
              <w:bottom w:val="nil"/>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Put</w:t>
            </w:r>
          </w:p>
        </w:tc>
        <w:tc>
          <w:tcPr>
            <w:tcW w:w="1081"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1,15,772</w:t>
            </w:r>
          </w:p>
        </w:tc>
        <w:tc>
          <w:tcPr>
            <w:tcW w:w="1096"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1,24,501</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7.5</w:t>
            </w:r>
          </w:p>
        </w:tc>
        <w:tc>
          <w:tcPr>
            <w:tcW w:w="747"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i/>
                <w:iCs/>
                <w:sz w:val="20"/>
                <w:szCs w:val="20"/>
                <w:lang w:eastAsia="en-GB"/>
              </w:rPr>
            </w:pPr>
            <w:r w:rsidRPr="00C1085F">
              <w:rPr>
                <w:rFonts w:ascii="Garamond" w:eastAsia="Times New Roman" w:hAnsi="Garamond"/>
                <w:i/>
                <w:iCs/>
                <w:sz w:val="20"/>
                <w:szCs w:val="20"/>
                <w:lang w:eastAsia="en-GB"/>
              </w:rPr>
              <w:t xml:space="preserve">          Call</w:t>
            </w:r>
          </w:p>
        </w:tc>
        <w:tc>
          <w:tcPr>
            <w:tcW w:w="1081" w:type="dxa"/>
            <w:tcBorders>
              <w:top w:val="nil"/>
              <w:left w:val="nil"/>
              <w:bottom w:val="single" w:sz="4" w:space="0" w:color="auto"/>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2,28,617</w:t>
            </w:r>
          </w:p>
        </w:tc>
        <w:tc>
          <w:tcPr>
            <w:tcW w:w="1096" w:type="dxa"/>
            <w:tcBorders>
              <w:top w:val="nil"/>
              <w:left w:val="nil"/>
              <w:bottom w:val="single" w:sz="4" w:space="0" w:color="auto"/>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2,09,468</w:t>
            </w:r>
          </w:p>
        </w:tc>
        <w:tc>
          <w:tcPr>
            <w:tcW w:w="1150" w:type="dxa"/>
            <w:tcBorders>
              <w:top w:val="nil"/>
              <w:left w:val="nil"/>
              <w:bottom w:val="nil"/>
              <w:right w:val="single" w:sz="4" w:space="0" w:color="auto"/>
            </w:tcBorders>
            <w:shd w:val="clear" w:color="000000" w:fill="F2F2F2"/>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-8.4</w:t>
            </w:r>
          </w:p>
        </w:tc>
        <w:tc>
          <w:tcPr>
            <w:tcW w:w="747"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15" w:type="dxa"/>
            <w:tcBorders>
              <w:top w:val="nil"/>
              <w:left w:val="nil"/>
              <w:bottom w:val="single" w:sz="4" w:space="0" w:color="auto"/>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165"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c>
          <w:tcPr>
            <w:tcW w:w="689" w:type="dxa"/>
            <w:tcBorders>
              <w:top w:val="nil"/>
              <w:left w:val="nil"/>
              <w:bottom w:val="nil"/>
              <w:right w:val="nil"/>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747" w:type="dxa"/>
            <w:tcBorders>
              <w:top w:val="nil"/>
              <w:left w:val="single" w:sz="4" w:space="0" w:color="auto"/>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0</w:t>
            </w:r>
          </w:p>
        </w:tc>
        <w:tc>
          <w:tcPr>
            <w:tcW w:w="1221" w:type="dxa"/>
            <w:tcBorders>
              <w:top w:val="nil"/>
              <w:left w:val="nil"/>
              <w:bottom w:val="nil"/>
              <w:right w:val="single" w:sz="4" w:space="0" w:color="auto"/>
            </w:tcBorders>
            <w:shd w:val="clear" w:color="auto" w:fill="auto"/>
            <w:noWrap/>
            <w:vAlign w:val="center"/>
            <w:hideMark/>
          </w:tcPr>
          <w:p w:rsidR="00B25DA6" w:rsidRPr="00C1085F" w:rsidRDefault="00B25DA6" w:rsidP="007C138F">
            <w:pPr>
              <w:jc w:val="right"/>
              <w:rPr>
                <w:rFonts w:ascii="Garamond" w:eastAsia="Times New Roman" w:hAnsi="Garamond"/>
                <w:sz w:val="20"/>
                <w:szCs w:val="20"/>
                <w:lang w:eastAsia="en-GB"/>
              </w:rPr>
            </w:pPr>
            <w:r w:rsidRPr="00C1085F">
              <w:rPr>
                <w:rFonts w:ascii="Garamond" w:eastAsia="Times New Roman" w:hAnsi="Garamond"/>
                <w:sz w:val="20"/>
                <w:szCs w:val="20"/>
                <w:lang w:eastAsia="en-GB"/>
              </w:rPr>
              <w:t>Na</w:t>
            </w:r>
          </w:p>
        </w:tc>
      </w:tr>
      <w:tr w:rsidR="00B25DA6" w:rsidRPr="00C1085F" w:rsidTr="007C138F">
        <w:trPr>
          <w:trHeight w:val="241"/>
          <w:jc w:val="center"/>
        </w:trPr>
        <w:tc>
          <w:tcPr>
            <w:tcW w:w="1950" w:type="dxa"/>
            <w:tcBorders>
              <w:top w:val="nil"/>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rPr>
                <w:rFonts w:ascii="Garamond" w:eastAsia="Times New Roman" w:hAnsi="Garamond"/>
                <w:b/>
                <w:bCs/>
                <w:sz w:val="20"/>
                <w:szCs w:val="20"/>
                <w:lang w:eastAsia="en-GB"/>
              </w:rPr>
            </w:pPr>
            <w:r w:rsidRPr="00C1085F">
              <w:rPr>
                <w:rFonts w:ascii="Garamond" w:eastAsia="Times New Roman" w:hAnsi="Garamond"/>
                <w:b/>
                <w:bCs/>
                <w:sz w:val="20"/>
                <w:szCs w:val="20"/>
                <w:lang w:eastAsia="en-GB"/>
              </w:rPr>
              <w:t xml:space="preserve">         Total</w:t>
            </w:r>
          </w:p>
        </w:tc>
        <w:tc>
          <w:tcPr>
            <w:tcW w:w="1081"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46,39,23</w:t>
            </w:r>
          </w:p>
        </w:tc>
        <w:tc>
          <w:tcPr>
            <w:tcW w:w="1096"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46,32,789</w:t>
            </w:r>
          </w:p>
        </w:tc>
        <w:tc>
          <w:tcPr>
            <w:tcW w:w="1150"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-0.1</w:t>
            </w:r>
          </w:p>
        </w:tc>
        <w:tc>
          <w:tcPr>
            <w:tcW w:w="747"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8</w:t>
            </w:r>
          </w:p>
        </w:tc>
        <w:tc>
          <w:tcPr>
            <w:tcW w:w="715" w:type="dxa"/>
            <w:tcBorders>
              <w:top w:val="nil"/>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8</w:t>
            </w:r>
          </w:p>
        </w:tc>
        <w:tc>
          <w:tcPr>
            <w:tcW w:w="1165"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0.0</w:t>
            </w:r>
          </w:p>
        </w:tc>
        <w:tc>
          <w:tcPr>
            <w:tcW w:w="689" w:type="dxa"/>
            <w:tcBorders>
              <w:top w:val="single" w:sz="4" w:space="0" w:color="auto"/>
              <w:left w:val="nil"/>
              <w:bottom w:val="single" w:sz="4" w:space="0" w:color="auto"/>
              <w:right w:val="nil"/>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w:t>
            </w:r>
          </w:p>
        </w:tc>
        <w:tc>
          <w:tcPr>
            <w:tcW w:w="74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0</w:t>
            </w:r>
          </w:p>
        </w:tc>
        <w:tc>
          <w:tcPr>
            <w:tcW w:w="1221" w:type="dxa"/>
            <w:tcBorders>
              <w:top w:val="single" w:sz="4" w:space="0" w:color="auto"/>
              <w:left w:val="nil"/>
              <w:bottom w:val="single" w:sz="4" w:space="0" w:color="auto"/>
              <w:right w:val="single" w:sz="4" w:space="0" w:color="auto"/>
            </w:tcBorders>
            <w:shd w:val="clear" w:color="000000" w:fill="C5D9F1"/>
            <w:noWrap/>
            <w:vAlign w:val="center"/>
            <w:hideMark/>
          </w:tcPr>
          <w:p w:rsidR="00B25DA6" w:rsidRPr="00C1085F" w:rsidRDefault="00B25DA6" w:rsidP="007C138F">
            <w:pPr>
              <w:jc w:val="right"/>
              <w:rPr>
                <w:rFonts w:ascii="Garamond" w:eastAsia="Times New Roman" w:hAnsi="Garamond"/>
                <w:b/>
                <w:bCs/>
                <w:sz w:val="20"/>
                <w:szCs w:val="20"/>
                <w:lang w:eastAsia="en-GB"/>
              </w:rPr>
            </w:pPr>
            <w:r w:rsidRPr="00C1085F">
              <w:rPr>
                <w:rFonts w:ascii="Garamond" w:eastAsia="Times New Roman" w:hAnsi="Garamond"/>
                <w:b/>
                <w:bCs/>
                <w:sz w:val="20"/>
                <w:szCs w:val="20"/>
                <w:lang w:eastAsia="en-GB"/>
              </w:rPr>
              <w:t>Na</w:t>
            </w:r>
          </w:p>
        </w:tc>
      </w:tr>
    </w:tbl>
    <w:p w:rsidR="00B25DA6" w:rsidRPr="00991592" w:rsidRDefault="00B25DA6" w:rsidP="00B25DA6">
      <w:pPr>
        <w:widowControl w:val="0"/>
        <w:jc w:val="both"/>
        <w:rPr>
          <w:rFonts w:ascii="Garamond" w:hAnsi="Garamond"/>
          <w:b/>
          <w:color w:val="000099"/>
          <w:highlight w:val="lightGray"/>
        </w:rPr>
      </w:pPr>
    </w:p>
    <w:p w:rsidR="00B25DA6" w:rsidRPr="00112378" w:rsidRDefault="00B25DA6" w:rsidP="00B25DA6">
      <w:pPr>
        <w:widowControl w:val="0"/>
        <w:numPr>
          <w:ilvl w:val="0"/>
          <w:numId w:val="9"/>
        </w:numPr>
        <w:contextualSpacing/>
        <w:jc w:val="both"/>
        <w:outlineLvl w:val="0"/>
        <w:rPr>
          <w:rFonts w:ascii="Garamond" w:hAnsi="Garamond"/>
          <w:b/>
        </w:rPr>
      </w:pPr>
      <w:r w:rsidRPr="00112378">
        <w:rPr>
          <w:rFonts w:ascii="Garamond" w:hAnsi="Garamond"/>
          <w:b/>
        </w:rPr>
        <w:t>VIX Futures at NSE</w:t>
      </w:r>
    </w:p>
    <w:p w:rsidR="00B25DA6" w:rsidRPr="00991592" w:rsidRDefault="00B25DA6" w:rsidP="00B25DA6">
      <w:pPr>
        <w:jc w:val="both"/>
        <w:rPr>
          <w:rFonts w:ascii="Garamond" w:eastAsia="Times New Roman" w:hAnsi="Garamond"/>
          <w:color w:val="000099"/>
          <w:highlight w:val="lightGray"/>
        </w:rPr>
      </w:pPr>
    </w:p>
    <w:p w:rsidR="00B25DA6" w:rsidRPr="009F1EC6" w:rsidRDefault="00B25DA6" w:rsidP="00B25DA6">
      <w:pPr>
        <w:jc w:val="both"/>
        <w:rPr>
          <w:rFonts w:ascii="Garamond" w:eastAsia="Times New Roman" w:hAnsi="Garamond"/>
        </w:rPr>
      </w:pPr>
      <w:r w:rsidRPr="009F1EC6">
        <w:rPr>
          <w:rFonts w:ascii="Garamond" w:eastAsia="Times New Roman" w:hAnsi="Garamond"/>
        </w:rPr>
        <w:lastRenderedPageBreak/>
        <w:t xml:space="preserve">NSE introduced futures contracts on India VIX in the Futures &amp; Options segment of NSE w.e.f.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rsidR="00B25DA6" w:rsidRPr="009F1EC6" w:rsidRDefault="00B25DA6" w:rsidP="00B25DA6">
      <w:pPr>
        <w:jc w:val="both"/>
        <w:rPr>
          <w:rFonts w:ascii="Garamond" w:eastAsia="Times New Roman" w:hAnsi="Garamond"/>
        </w:rPr>
      </w:pPr>
    </w:p>
    <w:p w:rsidR="00B25DA6" w:rsidRPr="009F1EC6" w:rsidRDefault="00B25DA6" w:rsidP="00B25DA6">
      <w:pPr>
        <w:jc w:val="both"/>
        <w:rPr>
          <w:rFonts w:ascii="Garamond" w:eastAsia="Times New Roman" w:hAnsi="Garamond"/>
        </w:rPr>
      </w:pPr>
      <w:r w:rsidRPr="009F1EC6">
        <w:rPr>
          <w:rFonts w:ascii="Garamond" w:eastAsia="Times New Roman" w:hAnsi="Garamond"/>
        </w:rPr>
        <w:t xml:space="preserve">India VIX closed at </w:t>
      </w:r>
      <w:r>
        <w:rPr>
          <w:rFonts w:ascii="Garamond" w:eastAsia="Times New Roman" w:hAnsi="Garamond"/>
        </w:rPr>
        <w:t>13</w:t>
      </w:r>
      <w:r w:rsidRPr="009F1EC6">
        <w:rPr>
          <w:rFonts w:ascii="Garamond" w:eastAsia="Times New Roman" w:hAnsi="Garamond"/>
        </w:rPr>
        <w:t>.</w:t>
      </w:r>
      <w:r>
        <w:rPr>
          <w:rFonts w:ascii="Garamond" w:eastAsia="Times New Roman" w:hAnsi="Garamond"/>
        </w:rPr>
        <w:t>81</w:t>
      </w:r>
      <w:r w:rsidRPr="009F1EC6">
        <w:rPr>
          <w:rFonts w:ascii="Garamond" w:eastAsia="Times New Roman" w:hAnsi="Garamond"/>
        </w:rPr>
        <w:t xml:space="preserve"> at the end of </w:t>
      </w:r>
      <w:r>
        <w:rPr>
          <w:rFonts w:ascii="Garamond" w:eastAsia="Times New Roman" w:hAnsi="Garamond"/>
        </w:rPr>
        <w:t>February</w:t>
      </w:r>
      <w:r w:rsidRPr="009F1EC6">
        <w:rPr>
          <w:rFonts w:ascii="Garamond" w:eastAsia="Times New Roman" w:hAnsi="Garamond"/>
        </w:rPr>
        <w:t xml:space="preserve"> 2018, lower than 15.93 registered at the end of January 2018</w:t>
      </w:r>
      <w:r w:rsidRPr="009F1EC6">
        <w:rPr>
          <w:rFonts w:ascii="Garamond" w:eastAsia="Times New Roman" w:hAnsi="Garamond" w:cs="Garamond"/>
        </w:rPr>
        <w:t xml:space="preserve"> (</w:t>
      </w:r>
      <w:r w:rsidRPr="009F1EC6">
        <w:rPr>
          <w:rFonts w:ascii="Garamond" w:eastAsia="Times New Roman" w:hAnsi="Garamond" w:cs="Garamond"/>
          <w:b/>
          <w:bCs/>
          <w:i/>
          <w:iCs/>
        </w:rPr>
        <w:t>Figure 5</w:t>
      </w:r>
      <w:r w:rsidRPr="009F1EC6">
        <w:rPr>
          <w:rFonts w:ascii="Garamond" w:eastAsia="Times New Roman" w:hAnsi="Garamond" w:cs="Garamond"/>
        </w:rPr>
        <w:t>). T</w:t>
      </w:r>
      <w:r w:rsidRPr="009F1EC6">
        <w:rPr>
          <w:rFonts w:ascii="Garamond" w:eastAsia="Times New Roman" w:hAnsi="Garamond"/>
        </w:rPr>
        <w:t>here was no trade in VIX futures contract in the current financial year</w:t>
      </w:r>
      <w:r w:rsidRPr="009F1EC6">
        <w:rPr>
          <w:rFonts w:ascii="Garamond" w:eastAsia="Times New Roman" w:hAnsi="Garamond" w:cs="Garamond"/>
        </w:rPr>
        <w:t>. The open int</w:t>
      </w:r>
      <w:r w:rsidRPr="009F1EC6">
        <w:rPr>
          <w:rFonts w:ascii="Garamond" w:eastAsia="Times New Roman" w:hAnsi="Garamond"/>
        </w:rPr>
        <w:t>erest in India VIX contracts was zero at the end of February 2018.</w:t>
      </w:r>
    </w:p>
    <w:p w:rsidR="00B25DA6" w:rsidRPr="00991592" w:rsidRDefault="00B25DA6" w:rsidP="00B25DA6">
      <w:pPr>
        <w:jc w:val="center"/>
        <w:outlineLvl w:val="0"/>
        <w:rPr>
          <w:rFonts w:ascii="Garamond" w:hAnsi="Garamond"/>
          <w:b/>
          <w:color w:val="000099"/>
        </w:rPr>
      </w:pPr>
    </w:p>
    <w:p w:rsidR="00B25DA6" w:rsidRDefault="00B25DA6" w:rsidP="00B25DA6">
      <w:pPr>
        <w:jc w:val="center"/>
        <w:outlineLvl w:val="0"/>
        <w:rPr>
          <w:rFonts w:ascii="Garamond" w:hAnsi="Garamond"/>
          <w:b/>
        </w:rPr>
      </w:pPr>
      <w:r w:rsidRPr="009F1EC6">
        <w:rPr>
          <w:rFonts w:ascii="Garamond" w:hAnsi="Garamond"/>
          <w:b/>
        </w:rPr>
        <w:t xml:space="preserve">Figure </w:t>
      </w:r>
      <w:r w:rsidRPr="009F1EC6">
        <w:rPr>
          <w:rFonts w:ascii="Garamond" w:hAnsi="Garamond"/>
          <w:b/>
        </w:rPr>
        <w:fldChar w:fldCharType="begin"/>
      </w:r>
      <w:r w:rsidRPr="009F1EC6">
        <w:rPr>
          <w:rFonts w:ascii="Garamond" w:hAnsi="Garamond"/>
          <w:b/>
        </w:rPr>
        <w:instrText xml:space="preserve"> SEQ Figure \* ARABIC </w:instrText>
      </w:r>
      <w:r w:rsidRPr="009F1EC6">
        <w:rPr>
          <w:rFonts w:ascii="Garamond" w:hAnsi="Garamond"/>
          <w:b/>
        </w:rPr>
        <w:fldChar w:fldCharType="separate"/>
      </w:r>
      <w:r w:rsidRPr="009F1EC6">
        <w:rPr>
          <w:rFonts w:ascii="Garamond" w:hAnsi="Garamond"/>
          <w:b/>
          <w:noProof/>
        </w:rPr>
        <w:t>5</w:t>
      </w:r>
      <w:r w:rsidRPr="009F1EC6">
        <w:rPr>
          <w:rFonts w:ascii="Garamond" w:hAnsi="Garamond"/>
          <w:b/>
        </w:rPr>
        <w:fldChar w:fldCharType="end"/>
      </w:r>
      <w:r w:rsidRPr="009F1EC6">
        <w:rPr>
          <w:rFonts w:ascii="Garamond" w:hAnsi="Garamond"/>
          <w:b/>
        </w:rPr>
        <w:t>: Trends in VIX futures at NSE</w:t>
      </w:r>
    </w:p>
    <w:p w:rsidR="00B25DA6" w:rsidRDefault="00B25DA6" w:rsidP="00B25DA6">
      <w:pPr>
        <w:jc w:val="center"/>
        <w:outlineLvl w:val="0"/>
        <w:rPr>
          <w:rFonts w:ascii="Garamond" w:hAnsi="Garamond"/>
          <w:b/>
        </w:rPr>
      </w:pPr>
      <w:r>
        <w:rPr>
          <w:noProof/>
          <w:lang w:val="en-IN" w:eastAsia="en-IN"/>
        </w:rPr>
        <w:drawing>
          <wp:anchor distT="0" distB="0" distL="114300" distR="114300" simplePos="0" relativeHeight="251659264" behindDoc="0" locked="0" layoutInCell="1" allowOverlap="1" wp14:anchorId="6675139F" wp14:editId="347EB798">
            <wp:simplePos x="0" y="0"/>
            <wp:positionH relativeFrom="column">
              <wp:posOffset>0</wp:posOffset>
            </wp:positionH>
            <wp:positionV relativeFrom="paragraph">
              <wp:posOffset>-1270</wp:posOffset>
            </wp:positionV>
            <wp:extent cx="5581650" cy="2368550"/>
            <wp:effectExtent l="0" t="0" r="0" b="1270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Default="00B25DA6" w:rsidP="00B25DA6">
      <w:pPr>
        <w:jc w:val="center"/>
        <w:outlineLvl w:val="0"/>
        <w:rPr>
          <w:rFonts w:ascii="Garamond" w:hAnsi="Garamond"/>
          <w:b/>
        </w:rPr>
      </w:pPr>
    </w:p>
    <w:p w:rsidR="00B25DA6" w:rsidRPr="00991592" w:rsidRDefault="00B25DA6" w:rsidP="00B25DA6">
      <w:pPr>
        <w:jc w:val="center"/>
        <w:outlineLvl w:val="0"/>
        <w:rPr>
          <w:rFonts w:ascii="Garamond" w:hAnsi="Garamond"/>
          <w:b/>
          <w:color w:val="000099"/>
          <w:highlight w:val="lightGray"/>
        </w:rPr>
      </w:pPr>
    </w:p>
    <w:p w:rsidR="00B25DA6" w:rsidRPr="00CD05C0" w:rsidRDefault="00B25DA6" w:rsidP="00B25DA6">
      <w:pPr>
        <w:widowControl w:val="0"/>
        <w:numPr>
          <w:ilvl w:val="0"/>
          <w:numId w:val="9"/>
        </w:numPr>
        <w:contextualSpacing/>
        <w:jc w:val="both"/>
        <w:outlineLvl w:val="0"/>
        <w:rPr>
          <w:rFonts w:ascii="Garamond" w:hAnsi="Garamond"/>
          <w:b/>
        </w:rPr>
      </w:pPr>
      <w:r w:rsidRPr="00CD05C0">
        <w:rPr>
          <w:rFonts w:ascii="Garamond" w:hAnsi="Garamond"/>
          <w:b/>
        </w:rPr>
        <w:t>Currency Derivatives at NSE, BSE and MSEI</w:t>
      </w:r>
    </w:p>
    <w:p w:rsidR="00B25DA6" w:rsidRPr="00CD05C0" w:rsidRDefault="00B25DA6" w:rsidP="00B25DA6">
      <w:pPr>
        <w:widowControl w:val="0"/>
        <w:contextualSpacing/>
        <w:jc w:val="both"/>
        <w:outlineLvl w:val="0"/>
        <w:rPr>
          <w:rFonts w:ascii="Garamond" w:hAnsi="Garamond"/>
          <w:b/>
        </w:rPr>
      </w:pPr>
    </w:p>
    <w:p w:rsidR="00B25DA6" w:rsidRPr="00CD05C0" w:rsidRDefault="00B25DA6" w:rsidP="00B25DA6">
      <w:pPr>
        <w:jc w:val="both"/>
        <w:rPr>
          <w:rFonts w:ascii="Garamond" w:eastAsia="Times New Roman" w:hAnsi="Garamond"/>
        </w:rPr>
      </w:pPr>
      <w:r w:rsidRPr="00CD05C0">
        <w:rPr>
          <w:rFonts w:ascii="Garamond" w:eastAsia="Times New Roman" w:hAnsi="Garamond"/>
        </w:rPr>
        <w:t xml:space="preserve">The monthly turnover of currency derivatives at NSE during February 2018 rose by 20.1 per cent to </w:t>
      </w:r>
      <w:r w:rsidRPr="00CD05C0">
        <w:rPr>
          <w:rFonts w:ascii="Rupee Foradian" w:eastAsia="Times New Roman" w:hAnsi="Rupee Foradian"/>
        </w:rPr>
        <w:t xml:space="preserve">` </w:t>
      </w:r>
      <w:r w:rsidRPr="00CD05C0">
        <w:rPr>
          <w:rFonts w:ascii="Garamond" w:eastAsia="Times New Roman" w:hAnsi="Garamond"/>
        </w:rPr>
        <w:t xml:space="preserve">5,06,671 crore </w:t>
      </w:r>
      <w:r w:rsidRPr="00CD05C0">
        <w:rPr>
          <w:rFonts w:ascii="Garamond" w:eastAsia="Times New Roman" w:hAnsi="Garamond" w:cs="Garamond"/>
        </w:rPr>
        <w:t xml:space="preserve">from </w:t>
      </w:r>
      <w:r w:rsidRPr="00CD05C0">
        <w:rPr>
          <w:rFonts w:ascii="Rupee Foradian" w:eastAsia="Times New Roman" w:hAnsi="Rupee Foradian"/>
        </w:rPr>
        <w:t xml:space="preserve">` </w:t>
      </w:r>
      <w:r w:rsidRPr="00CD05C0">
        <w:rPr>
          <w:rFonts w:ascii="Garamond" w:eastAsia="Times New Roman" w:hAnsi="Garamond"/>
        </w:rPr>
        <w:t xml:space="preserve">4,81,163 crore </w:t>
      </w:r>
      <w:r w:rsidRPr="00CD05C0">
        <w:rPr>
          <w:rFonts w:ascii="Garamond" w:eastAsia="Times New Roman" w:hAnsi="Garamond" w:cs="Garamond"/>
        </w:rPr>
        <w:t>in January 2018. During the same time the</w:t>
      </w:r>
      <w:r w:rsidRPr="00CD05C0">
        <w:rPr>
          <w:rFonts w:ascii="Garamond" w:hAnsi="Garamond"/>
        </w:rPr>
        <w:t xml:space="preserve"> </w:t>
      </w:r>
      <w:r w:rsidRPr="00CD05C0">
        <w:rPr>
          <w:rFonts w:ascii="Garamond" w:eastAsia="Times New Roman" w:hAnsi="Garamond" w:cs="Garamond"/>
        </w:rPr>
        <w:t xml:space="preserve">monthly turnover of currency derivatives at BSE also fell </w:t>
      </w:r>
      <w:r w:rsidRPr="00CD05C0">
        <w:rPr>
          <w:rFonts w:ascii="Garamond" w:eastAsia="Times New Roman" w:hAnsi="Garamond"/>
        </w:rPr>
        <w:t xml:space="preserve">by 22.1 per cent to </w:t>
      </w:r>
      <w:r w:rsidRPr="00CD05C0">
        <w:rPr>
          <w:rFonts w:ascii="Rupee Foradian" w:eastAsia="Times New Roman" w:hAnsi="Rupee Foradian"/>
        </w:rPr>
        <w:t>`</w:t>
      </w:r>
      <w:r w:rsidRPr="00CD05C0">
        <w:rPr>
          <w:rFonts w:ascii="Garamond" w:eastAsia="Times New Roman" w:hAnsi="Garamond"/>
        </w:rPr>
        <w:t xml:space="preserve"> 4,21,034</w:t>
      </w:r>
      <w:r w:rsidRPr="00CD05C0">
        <w:rPr>
          <w:rFonts w:ascii="Garamond" w:eastAsia="Times New Roman" w:hAnsi="Garamond" w:cs="Calibri"/>
          <w:sz w:val="18"/>
          <w:szCs w:val="18"/>
          <w:lang w:eastAsia="en-IN" w:bidi="hi-IN"/>
        </w:rPr>
        <w:t xml:space="preserve"> </w:t>
      </w:r>
      <w:r w:rsidRPr="00CD05C0">
        <w:rPr>
          <w:rFonts w:ascii="Garamond" w:eastAsia="Times New Roman" w:hAnsi="Garamond"/>
        </w:rPr>
        <w:t xml:space="preserve">crore </w:t>
      </w:r>
      <w:r w:rsidRPr="00CD05C0">
        <w:rPr>
          <w:rFonts w:ascii="Garamond" w:eastAsia="Times New Roman" w:hAnsi="Garamond" w:cs="Garamond"/>
        </w:rPr>
        <w:t xml:space="preserve">from </w:t>
      </w:r>
      <w:r w:rsidRPr="00CD05C0">
        <w:rPr>
          <w:rFonts w:ascii="Rupee Foradian" w:eastAsia="Times New Roman" w:hAnsi="Rupee Foradian"/>
        </w:rPr>
        <w:t>`</w:t>
      </w:r>
      <w:r w:rsidRPr="00CD05C0">
        <w:rPr>
          <w:rFonts w:ascii="Garamond" w:eastAsia="Times New Roman" w:hAnsi="Garamond"/>
        </w:rPr>
        <w:t xml:space="preserve"> 5,40,691</w:t>
      </w:r>
      <w:r w:rsidRPr="00CD05C0">
        <w:rPr>
          <w:rFonts w:ascii="Garamond" w:eastAsia="Times New Roman" w:hAnsi="Garamond" w:cs="Calibri"/>
          <w:sz w:val="18"/>
          <w:szCs w:val="18"/>
          <w:lang w:eastAsia="en-IN" w:bidi="hi-IN"/>
        </w:rPr>
        <w:t xml:space="preserve"> </w:t>
      </w:r>
      <w:r w:rsidRPr="00CD05C0">
        <w:rPr>
          <w:rFonts w:ascii="Garamond" w:eastAsia="Times New Roman" w:hAnsi="Garamond"/>
        </w:rPr>
        <w:t xml:space="preserve">crore and </w:t>
      </w:r>
      <w:r w:rsidRPr="00CD05C0">
        <w:rPr>
          <w:rFonts w:ascii="Garamond" w:eastAsia="Times New Roman" w:hAnsi="Garamond" w:cs="Garamond"/>
        </w:rPr>
        <w:t>the monthly turnover of currency derivatives at MSEI fell by 6</w:t>
      </w:r>
      <w:r w:rsidRPr="00CD05C0">
        <w:rPr>
          <w:rFonts w:ascii="Garamond" w:eastAsia="Times New Roman" w:hAnsi="Garamond"/>
        </w:rPr>
        <w:t xml:space="preserve">.1 per cent to </w:t>
      </w:r>
      <w:r w:rsidRPr="00CD05C0">
        <w:rPr>
          <w:rFonts w:ascii="Rupee Foradian" w:eastAsia="Times New Roman" w:hAnsi="Rupee Foradian"/>
        </w:rPr>
        <w:t>`</w:t>
      </w:r>
      <w:r w:rsidRPr="00CD05C0">
        <w:rPr>
          <w:rFonts w:ascii="Garamond" w:eastAsia="Times New Roman" w:hAnsi="Garamond"/>
        </w:rPr>
        <w:t xml:space="preserve"> 9,928 crore </w:t>
      </w:r>
      <w:r w:rsidRPr="00CD05C0">
        <w:rPr>
          <w:rFonts w:ascii="Garamond" w:eastAsia="Times New Roman" w:hAnsi="Garamond" w:cs="Garamond"/>
        </w:rPr>
        <w:t xml:space="preserve">from </w:t>
      </w:r>
      <w:r w:rsidRPr="00CD05C0">
        <w:rPr>
          <w:rFonts w:ascii="Rupee Foradian" w:eastAsia="Times New Roman" w:hAnsi="Rupee Foradian"/>
        </w:rPr>
        <w:t>`</w:t>
      </w:r>
      <w:r w:rsidRPr="00CD05C0">
        <w:rPr>
          <w:rFonts w:ascii="Garamond" w:eastAsia="Times New Roman" w:hAnsi="Garamond"/>
        </w:rPr>
        <w:t xml:space="preserve"> 10,573 crore</w:t>
      </w:r>
      <w:r w:rsidRPr="00CD05C0">
        <w:rPr>
          <w:rFonts w:ascii="Garamond" w:eastAsia="Times New Roman" w:hAnsi="Garamond" w:cs="Garamond"/>
        </w:rPr>
        <w:t xml:space="preserve"> (</w:t>
      </w:r>
      <w:r w:rsidRPr="00CD05C0">
        <w:rPr>
          <w:rFonts w:ascii="Garamond" w:eastAsia="Times New Roman" w:hAnsi="Garamond" w:cs="Garamond"/>
          <w:b/>
          <w:bCs/>
          <w:i/>
          <w:iCs/>
        </w:rPr>
        <w:t>Figure 6</w:t>
      </w:r>
      <w:r w:rsidRPr="00CD05C0">
        <w:rPr>
          <w:rFonts w:ascii="Garamond" w:eastAsia="Times New Roman" w:hAnsi="Garamond" w:cs="Garamond"/>
          <w:b/>
        </w:rPr>
        <w:t xml:space="preserve"> </w:t>
      </w:r>
      <w:r w:rsidRPr="00CD05C0">
        <w:rPr>
          <w:rFonts w:ascii="Garamond" w:eastAsia="Times New Roman" w:hAnsi="Garamond" w:cs="Garamond"/>
          <w:b/>
          <w:bCs/>
          <w:i/>
          <w:iCs/>
        </w:rPr>
        <w:t>and</w:t>
      </w:r>
      <w:r w:rsidRPr="00CD05C0">
        <w:rPr>
          <w:rFonts w:ascii="Garamond" w:eastAsia="Times New Roman" w:hAnsi="Garamond"/>
          <w:b/>
          <w:i/>
          <w:iCs/>
        </w:rPr>
        <w:t xml:space="preserve"> Tables 41, 42 and 43</w:t>
      </w:r>
      <w:r w:rsidRPr="00CD05C0">
        <w:rPr>
          <w:rFonts w:ascii="Garamond" w:eastAsia="Times New Roman" w:hAnsi="Garamond"/>
        </w:rPr>
        <w:t>).</w:t>
      </w:r>
    </w:p>
    <w:p w:rsidR="00B25DA6" w:rsidRPr="00CD05C0" w:rsidRDefault="00B25DA6" w:rsidP="00B25DA6">
      <w:pPr>
        <w:jc w:val="both"/>
        <w:rPr>
          <w:rFonts w:ascii="Garamond" w:eastAsia="Times New Roman" w:hAnsi="Garamond" w:cs="Calibri"/>
          <w:sz w:val="18"/>
          <w:szCs w:val="18"/>
          <w:lang w:eastAsia="en-IN" w:bidi="hi-IN"/>
        </w:rPr>
      </w:pPr>
    </w:p>
    <w:p w:rsidR="00B25DA6" w:rsidRPr="00CD05C0" w:rsidRDefault="00B25DA6" w:rsidP="00B25DA6">
      <w:pPr>
        <w:keepNext/>
        <w:jc w:val="center"/>
        <w:outlineLvl w:val="0"/>
        <w:rPr>
          <w:rFonts w:ascii="Garamond" w:hAnsi="Garamond"/>
          <w:b/>
          <w:bCs/>
        </w:rPr>
      </w:pPr>
      <w:r w:rsidRPr="00CD05C0">
        <w:rPr>
          <w:rFonts w:ascii="Garamond" w:hAnsi="Garamond"/>
          <w:b/>
          <w:bCs/>
        </w:rPr>
        <w:lastRenderedPageBreak/>
        <w:t>Figure 6: Trends of Currency Derivatives at NSE, MSEI and BSE (</w:t>
      </w:r>
      <w:r w:rsidRPr="00CD05C0">
        <w:rPr>
          <w:rFonts w:ascii="Rupee Foradian" w:eastAsia="Times New Roman" w:hAnsi="Rupee Foradian" w:cs="Helvetica"/>
          <w:b/>
          <w:bCs/>
        </w:rPr>
        <w:t>`</w:t>
      </w:r>
      <w:r w:rsidRPr="00CD05C0">
        <w:rPr>
          <w:rFonts w:ascii="Garamond" w:eastAsia="Times New Roman" w:hAnsi="Garamond" w:cs="Helvetica"/>
          <w:b/>
          <w:bCs/>
        </w:rPr>
        <w:t xml:space="preserve"> crore</w:t>
      </w:r>
      <w:r w:rsidRPr="00CD05C0">
        <w:rPr>
          <w:rFonts w:ascii="Garamond" w:hAnsi="Garamond"/>
          <w:b/>
          <w:bCs/>
        </w:rPr>
        <w:t>)</w:t>
      </w:r>
    </w:p>
    <w:p w:rsidR="00B25DA6" w:rsidRPr="00991592" w:rsidRDefault="00B25DA6" w:rsidP="00B25DA6">
      <w:pPr>
        <w:rPr>
          <w:rFonts w:ascii="Garamond" w:hAnsi="Garamond"/>
          <w:color w:val="000099"/>
          <w:highlight w:val="lightGray"/>
        </w:rPr>
      </w:pPr>
      <w:r>
        <w:rPr>
          <w:noProof/>
          <w:lang w:val="en-IN" w:eastAsia="en-IN"/>
        </w:rPr>
        <w:drawing>
          <wp:inline distT="0" distB="0" distL="0" distR="0" wp14:anchorId="7C560D38" wp14:editId="0C4616BB">
            <wp:extent cx="5731510" cy="2641600"/>
            <wp:effectExtent l="0" t="0" r="254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5DA6" w:rsidRPr="00991592" w:rsidRDefault="00B25DA6" w:rsidP="00B25DA6">
      <w:pPr>
        <w:jc w:val="both"/>
        <w:rPr>
          <w:rFonts w:ascii="Garamond" w:hAnsi="Garamond"/>
          <w:color w:val="000099"/>
          <w:highlight w:val="lightGray"/>
        </w:rPr>
      </w:pPr>
    </w:p>
    <w:p w:rsidR="00B25DA6" w:rsidRPr="008F1B97" w:rsidRDefault="00B25DA6" w:rsidP="00B25DA6">
      <w:pPr>
        <w:widowControl w:val="0"/>
        <w:numPr>
          <w:ilvl w:val="0"/>
          <w:numId w:val="9"/>
        </w:numPr>
        <w:contextualSpacing/>
        <w:jc w:val="both"/>
        <w:outlineLvl w:val="0"/>
        <w:rPr>
          <w:rFonts w:ascii="Garamond" w:hAnsi="Garamond"/>
          <w:b/>
        </w:rPr>
      </w:pPr>
      <w:r w:rsidRPr="008F1B97">
        <w:rPr>
          <w:rFonts w:ascii="Garamond" w:hAnsi="Garamond"/>
          <w:b/>
        </w:rPr>
        <w:t>Interest Rate Futures at NSE, BSE and MSEI</w:t>
      </w:r>
    </w:p>
    <w:p w:rsidR="00B25DA6" w:rsidRPr="008F1B97" w:rsidRDefault="00B25DA6" w:rsidP="00B25DA6">
      <w:pPr>
        <w:keepNext/>
        <w:jc w:val="both"/>
        <w:rPr>
          <w:rFonts w:ascii="Garamond" w:eastAsia="Times New Roman" w:hAnsi="Garamond"/>
          <w:highlight w:val="lightGray"/>
        </w:rPr>
      </w:pPr>
    </w:p>
    <w:p w:rsidR="00B25DA6" w:rsidRPr="008F1B97" w:rsidRDefault="00B25DA6" w:rsidP="00B25DA6">
      <w:pPr>
        <w:keepNext/>
        <w:jc w:val="both"/>
        <w:rPr>
          <w:rFonts w:ascii="Garamond" w:eastAsia="Times New Roman" w:hAnsi="Garamond"/>
        </w:rPr>
      </w:pPr>
      <w:r w:rsidRPr="008F1B97">
        <w:rPr>
          <w:rFonts w:ascii="Garamond" w:eastAsia="Times New Roman" w:hAnsi="Garamond"/>
        </w:rPr>
        <w:t xml:space="preserve">During February 2018, the monthly turnover of interest rate futures at NSE fell by 26.1 per cent to </w:t>
      </w:r>
      <w:r w:rsidRPr="008F1B97">
        <w:rPr>
          <w:rFonts w:ascii="Rupee Foradian" w:eastAsia="Times New Roman" w:hAnsi="Rupee Foradian"/>
        </w:rPr>
        <w:t>`</w:t>
      </w:r>
      <w:r w:rsidRPr="008F1B97">
        <w:rPr>
          <w:rFonts w:ascii="Garamond" w:eastAsia="Times New Roman" w:hAnsi="Garamond"/>
        </w:rPr>
        <w:t xml:space="preserve"> 23,711 crore </w:t>
      </w:r>
      <w:r w:rsidRPr="008F1B97">
        <w:rPr>
          <w:rFonts w:ascii="Garamond" w:eastAsia="Times New Roman" w:hAnsi="Garamond" w:cs="Garamond"/>
        </w:rPr>
        <w:t xml:space="preserve">from </w:t>
      </w:r>
      <w:r w:rsidRPr="008F1B97">
        <w:rPr>
          <w:rFonts w:ascii="Rupee Foradian" w:eastAsia="Times New Roman" w:hAnsi="Rupee Foradian"/>
        </w:rPr>
        <w:t>`</w:t>
      </w:r>
      <w:r w:rsidRPr="008F1B97">
        <w:rPr>
          <w:rFonts w:ascii="Garamond" w:eastAsia="Times New Roman" w:hAnsi="Garamond"/>
        </w:rPr>
        <w:t xml:space="preserve"> 32,065 crore in January 2018</w:t>
      </w:r>
      <w:r w:rsidRPr="008F1B97">
        <w:rPr>
          <w:rFonts w:ascii="Garamond" w:eastAsia="Times New Roman" w:hAnsi="Garamond" w:cs="Garamond"/>
        </w:rPr>
        <w:t xml:space="preserve">. The monthly turnover of interest rate futures at BSE, increased </w:t>
      </w:r>
      <w:r w:rsidRPr="008F1B97">
        <w:rPr>
          <w:rFonts w:ascii="Garamond" w:eastAsia="Times New Roman" w:hAnsi="Garamond"/>
        </w:rPr>
        <w:t xml:space="preserve">by 42.5 per cent to </w:t>
      </w:r>
      <w:r w:rsidRPr="008F1B97">
        <w:rPr>
          <w:rFonts w:ascii="Rupee Foradian" w:eastAsia="Times New Roman" w:hAnsi="Rupee Foradian"/>
        </w:rPr>
        <w:t xml:space="preserve">` </w:t>
      </w:r>
      <w:r w:rsidRPr="008F1B97">
        <w:rPr>
          <w:rFonts w:ascii="Garamond" w:eastAsia="Times New Roman" w:hAnsi="Garamond"/>
        </w:rPr>
        <w:t xml:space="preserve">23,671 crore in February 2018 </w:t>
      </w:r>
      <w:r w:rsidRPr="008F1B97">
        <w:rPr>
          <w:rFonts w:ascii="Garamond" w:eastAsia="Times New Roman" w:hAnsi="Garamond" w:cs="Garamond"/>
        </w:rPr>
        <w:t xml:space="preserve">from </w:t>
      </w:r>
      <w:r w:rsidRPr="008F1B97">
        <w:rPr>
          <w:rFonts w:ascii="Rupee Foradian" w:eastAsia="Times New Roman" w:hAnsi="Rupee Foradian"/>
        </w:rPr>
        <w:t xml:space="preserve">` </w:t>
      </w:r>
      <w:r w:rsidRPr="008F1B97">
        <w:rPr>
          <w:rFonts w:ascii="Garamond" w:eastAsia="Times New Roman" w:hAnsi="Garamond"/>
        </w:rPr>
        <w:t>16,608 crore in January 2018</w:t>
      </w:r>
      <w:r w:rsidRPr="008F1B97">
        <w:rPr>
          <w:rFonts w:ascii="Garamond" w:eastAsia="Times New Roman" w:hAnsi="Garamond" w:cs="Garamond"/>
        </w:rPr>
        <w:t>. The monthly turnover in interest rate futures at MSEI was nil during the month under review. (</w:t>
      </w:r>
      <w:r w:rsidRPr="008F1B97">
        <w:rPr>
          <w:rFonts w:ascii="Garamond" w:eastAsia="Times New Roman" w:hAnsi="Garamond" w:cs="Garamond"/>
          <w:b/>
          <w:bCs/>
          <w:i/>
          <w:iCs/>
        </w:rPr>
        <w:t>Figure 7</w:t>
      </w:r>
      <w:r w:rsidRPr="008F1B97">
        <w:rPr>
          <w:rFonts w:ascii="Garamond" w:eastAsia="Times New Roman" w:hAnsi="Garamond" w:cs="Garamond"/>
          <w:b/>
        </w:rPr>
        <w:t xml:space="preserve"> </w:t>
      </w:r>
      <w:r w:rsidRPr="008F1B97">
        <w:rPr>
          <w:rFonts w:ascii="Garamond" w:eastAsia="Times New Roman" w:hAnsi="Garamond" w:cs="Garamond"/>
          <w:b/>
          <w:bCs/>
          <w:i/>
          <w:iCs/>
        </w:rPr>
        <w:t>and</w:t>
      </w:r>
      <w:r w:rsidRPr="008F1B97">
        <w:rPr>
          <w:rFonts w:ascii="Garamond" w:eastAsia="Times New Roman" w:hAnsi="Garamond"/>
          <w:b/>
          <w:i/>
          <w:iCs/>
        </w:rPr>
        <w:t xml:space="preserve"> Table 51</w:t>
      </w:r>
      <w:r w:rsidRPr="008F1B97">
        <w:rPr>
          <w:rFonts w:ascii="Garamond" w:eastAsia="Times New Roman" w:hAnsi="Garamond"/>
        </w:rPr>
        <w:t>).</w:t>
      </w:r>
    </w:p>
    <w:p w:rsidR="00B25DA6" w:rsidRPr="008F1B97" w:rsidRDefault="00B25DA6" w:rsidP="00B25DA6">
      <w:pPr>
        <w:rPr>
          <w:rFonts w:ascii="Garamond" w:hAnsi="Garamond"/>
          <w:sz w:val="16"/>
          <w:szCs w:val="16"/>
          <w:highlight w:val="lightGray"/>
        </w:rPr>
      </w:pPr>
    </w:p>
    <w:p w:rsidR="00B25DA6" w:rsidRPr="008F1B97" w:rsidRDefault="00B25DA6" w:rsidP="00B25DA6">
      <w:pPr>
        <w:rPr>
          <w:rFonts w:ascii="Garamond" w:hAnsi="Garamond"/>
          <w:sz w:val="16"/>
          <w:szCs w:val="16"/>
          <w:highlight w:val="lightGray"/>
        </w:rPr>
      </w:pPr>
    </w:p>
    <w:p w:rsidR="00B25DA6" w:rsidRPr="008F1B97" w:rsidRDefault="00B25DA6" w:rsidP="00B25DA6">
      <w:pPr>
        <w:jc w:val="center"/>
        <w:outlineLvl w:val="0"/>
        <w:rPr>
          <w:rFonts w:ascii="Garamond" w:hAnsi="Garamond"/>
          <w:b/>
        </w:rPr>
      </w:pPr>
      <w:r w:rsidRPr="008F1B97">
        <w:rPr>
          <w:rFonts w:ascii="Garamond" w:hAnsi="Garamond"/>
          <w:b/>
        </w:rPr>
        <w:t>Figure 7: Trends of Interest Rate Futures at NSE, BSE and MSEI (</w:t>
      </w:r>
      <w:r w:rsidRPr="008F1B97">
        <w:rPr>
          <w:rFonts w:ascii="Rupee Foradian" w:eastAsia="Times New Roman" w:hAnsi="Rupee Foradian"/>
          <w:bCs/>
          <w:szCs w:val="20"/>
          <w:lang w:eastAsia="en-GB" w:bidi="bn-IN"/>
        </w:rPr>
        <w:t>`</w:t>
      </w:r>
      <w:r w:rsidRPr="008F1B97">
        <w:rPr>
          <w:rFonts w:ascii="Garamond" w:eastAsia="Times New Roman" w:hAnsi="Garamond"/>
          <w:bCs/>
          <w:szCs w:val="20"/>
          <w:lang w:eastAsia="en-GB" w:bidi="bn-IN"/>
        </w:rPr>
        <w:t xml:space="preserve"> </w:t>
      </w:r>
      <w:r w:rsidRPr="008F1B97">
        <w:rPr>
          <w:rFonts w:ascii="Garamond" w:hAnsi="Garamond"/>
          <w:b/>
        </w:rPr>
        <w:t>crore)</w:t>
      </w:r>
    </w:p>
    <w:p w:rsidR="00B25DA6" w:rsidRPr="00991592" w:rsidRDefault="00B25DA6" w:rsidP="00B25DA6">
      <w:pPr>
        <w:jc w:val="center"/>
        <w:rPr>
          <w:rFonts w:ascii="Garamond" w:hAnsi="Garamond"/>
          <w:b/>
          <w:color w:val="000099"/>
        </w:rPr>
      </w:pPr>
      <w:r>
        <w:rPr>
          <w:noProof/>
          <w:lang w:val="en-IN" w:eastAsia="en-IN"/>
        </w:rPr>
        <w:drawing>
          <wp:inline distT="0" distB="0" distL="0" distR="0" wp14:anchorId="77E2C14C" wp14:editId="511E77BF">
            <wp:extent cx="5377815" cy="2717800"/>
            <wp:effectExtent l="0" t="0" r="13335"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5DA6" w:rsidRPr="00AE226D" w:rsidRDefault="00B25DA6" w:rsidP="00B25DA6">
      <w:pPr>
        <w:pStyle w:val="ListParagraph"/>
        <w:widowControl w:val="0"/>
        <w:numPr>
          <w:ilvl w:val="0"/>
          <w:numId w:val="20"/>
        </w:numPr>
        <w:spacing w:after="0" w:line="240" w:lineRule="auto"/>
        <w:jc w:val="both"/>
        <w:rPr>
          <w:rFonts w:ascii="Garamond" w:eastAsia="Times New Roman" w:hAnsi="Garamond"/>
          <w:b/>
          <w:color w:val="0F0684"/>
          <w:sz w:val="24"/>
          <w:szCs w:val="24"/>
        </w:rPr>
      </w:pPr>
      <w:r w:rsidRPr="00AE226D">
        <w:rPr>
          <w:rFonts w:ascii="Garamond" w:hAnsi="Garamond"/>
          <w:b/>
          <w:color w:val="0F0684"/>
          <w:sz w:val="24"/>
          <w:szCs w:val="24"/>
        </w:rPr>
        <w:t xml:space="preserve">Commodities </w:t>
      </w:r>
      <w:r>
        <w:rPr>
          <w:rFonts w:ascii="Garamond" w:hAnsi="Garamond"/>
          <w:b/>
          <w:color w:val="0F0684"/>
          <w:sz w:val="24"/>
          <w:szCs w:val="24"/>
        </w:rPr>
        <w:t>Derivatives</w:t>
      </w:r>
      <w:r w:rsidRPr="00AE226D">
        <w:rPr>
          <w:rFonts w:ascii="Garamond" w:hAnsi="Garamond"/>
          <w:b/>
          <w:color w:val="0F0684"/>
          <w:sz w:val="24"/>
          <w:szCs w:val="24"/>
        </w:rPr>
        <w:t xml:space="preserve"> Markets</w:t>
      </w:r>
    </w:p>
    <w:p w:rsidR="00B25DA6" w:rsidRPr="002F7F08" w:rsidRDefault="00B25DA6" w:rsidP="00B25DA6">
      <w:pPr>
        <w:pStyle w:val="ListParagraph"/>
        <w:spacing w:after="0" w:line="48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B25DA6" w:rsidRDefault="00B25DA6" w:rsidP="00B25DA6">
      <w:pPr>
        <w:pStyle w:val="ListParagraph"/>
        <w:spacing w:after="0" w:line="240" w:lineRule="auto"/>
        <w:jc w:val="both"/>
        <w:rPr>
          <w:rFonts w:ascii="Garamond" w:eastAsia="Times New Roman" w:hAnsi="Garamond"/>
          <w:color w:val="000000"/>
          <w:sz w:val="24"/>
          <w:szCs w:val="24"/>
        </w:rPr>
      </w:pPr>
      <w:r w:rsidRPr="00D2057B">
        <w:rPr>
          <w:rFonts w:ascii="Garamond" w:eastAsia="Times New Roman" w:hAnsi="Garamond"/>
          <w:color w:val="000000"/>
          <w:sz w:val="24"/>
          <w:szCs w:val="24"/>
        </w:rPr>
        <w:t xml:space="preserve">At the end of </w:t>
      </w:r>
      <w:r>
        <w:rPr>
          <w:rFonts w:ascii="Garamond" w:eastAsia="Times New Roman" w:hAnsi="Garamond"/>
          <w:color w:val="000000"/>
          <w:sz w:val="24"/>
          <w:szCs w:val="24"/>
        </w:rPr>
        <w:t>February</w:t>
      </w:r>
      <w:r w:rsidRPr="00D2057B">
        <w:rPr>
          <w:rFonts w:ascii="Garamond" w:eastAsia="Times New Roman" w:hAnsi="Garamond"/>
          <w:color w:val="000000"/>
          <w:sz w:val="24"/>
          <w:szCs w:val="24"/>
        </w:rPr>
        <w:t xml:space="preserve"> 2018, MCX Comdex closed at 365</w:t>
      </w:r>
      <w:r>
        <w:rPr>
          <w:rFonts w:ascii="Garamond" w:eastAsia="Times New Roman" w:hAnsi="Garamond"/>
          <w:color w:val="000000"/>
          <w:sz w:val="24"/>
          <w:szCs w:val="24"/>
        </w:rPr>
        <w:t>9</w:t>
      </w:r>
      <w:r w:rsidRPr="00D2057B">
        <w:rPr>
          <w:rFonts w:ascii="Garamond" w:eastAsia="Times New Roman" w:hAnsi="Garamond"/>
          <w:color w:val="000000"/>
          <w:sz w:val="24"/>
          <w:szCs w:val="24"/>
        </w:rPr>
        <w:t>.</w:t>
      </w:r>
      <w:r>
        <w:rPr>
          <w:rFonts w:ascii="Garamond" w:eastAsia="Times New Roman" w:hAnsi="Garamond"/>
          <w:color w:val="000000"/>
          <w:sz w:val="24"/>
          <w:szCs w:val="24"/>
        </w:rPr>
        <w:t>05</w:t>
      </w:r>
      <w:r w:rsidRPr="00D2057B">
        <w:rPr>
          <w:rFonts w:ascii="Garamond" w:eastAsia="Times New Roman" w:hAnsi="Garamond"/>
          <w:color w:val="000000"/>
          <w:sz w:val="24"/>
          <w:szCs w:val="24"/>
        </w:rPr>
        <w:t xml:space="preserve">, registering an increase of </w:t>
      </w:r>
      <w:r>
        <w:rPr>
          <w:rFonts w:ascii="Garamond" w:eastAsia="Times New Roman" w:hAnsi="Garamond"/>
          <w:color w:val="000000"/>
          <w:sz w:val="24"/>
          <w:szCs w:val="24"/>
        </w:rPr>
        <w:t>0.24</w:t>
      </w:r>
      <w:r w:rsidRPr="00D2057B">
        <w:rPr>
          <w:rFonts w:ascii="Garamond" w:eastAsia="Times New Roman" w:hAnsi="Garamond"/>
          <w:color w:val="000000"/>
          <w:sz w:val="24"/>
          <w:szCs w:val="24"/>
        </w:rPr>
        <w:t xml:space="preserve"> percent over the closing value of 3</w:t>
      </w:r>
      <w:r>
        <w:rPr>
          <w:rFonts w:ascii="Garamond" w:eastAsia="Times New Roman" w:hAnsi="Garamond"/>
          <w:color w:val="000000"/>
          <w:sz w:val="24"/>
          <w:szCs w:val="24"/>
        </w:rPr>
        <w:t>650.19</w:t>
      </w:r>
      <w:r w:rsidRPr="00D2057B">
        <w:rPr>
          <w:rFonts w:ascii="Garamond" w:eastAsia="Times New Roman" w:hAnsi="Garamond"/>
          <w:color w:val="000000"/>
          <w:sz w:val="24"/>
          <w:szCs w:val="24"/>
        </w:rPr>
        <w:t xml:space="preserve"> at the end of </w:t>
      </w:r>
      <w:r>
        <w:rPr>
          <w:rFonts w:ascii="Garamond" w:eastAsia="Times New Roman" w:hAnsi="Garamond"/>
          <w:color w:val="000000"/>
          <w:sz w:val="24"/>
          <w:szCs w:val="24"/>
        </w:rPr>
        <w:t>January</w:t>
      </w:r>
      <w:r w:rsidRPr="00D2057B">
        <w:rPr>
          <w:rFonts w:ascii="Garamond" w:eastAsia="Times New Roman" w:hAnsi="Garamond"/>
          <w:color w:val="000000"/>
          <w:sz w:val="24"/>
          <w:szCs w:val="24"/>
        </w:rPr>
        <w:t xml:space="preserve"> 201</w:t>
      </w:r>
      <w:r>
        <w:rPr>
          <w:rFonts w:ascii="Garamond" w:eastAsia="Times New Roman" w:hAnsi="Garamond"/>
          <w:color w:val="000000"/>
          <w:sz w:val="24"/>
          <w:szCs w:val="24"/>
        </w:rPr>
        <w:t>8</w:t>
      </w:r>
      <w:r w:rsidRPr="00D2057B">
        <w:rPr>
          <w:rFonts w:ascii="Garamond" w:eastAsia="Times New Roman" w:hAnsi="Garamond"/>
          <w:color w:val="000000"/>
          <w:sz w:val="24"/>
          <w:szCs w:val="24"/>
        </w:rPr>
        <w:t>.  On the other hand, NCDEX Dhaanya closed at 31</w:t>
      </w:r>
      <w:r>
        <w:rPr>
          <w:rFonts w:ascii="Garamond" w:eastAsia="Times New Roman" w:hAnsi="Garamond"/>
          <w:color w:val="000000"/>
          <w:sz w:val="24"/>
          <w:szCs w:val="24"/>
        </w:rPr>
        <w:t>14.64</w:t>
      </w:r>
      <w:r w:rsidRPr="00D2057B">
        <w:rPr>
          <w:rFonts w:ascii="Garamond" w:eastAsia="Times New Roman" w:hAnsi="Garamond"/>
          <w:color w:val="000000"/>
          <w:sz w:val="24"/>
          <w:szCs w:val="24"/>
        </w:rPr>
        <w:t xml:space="preserve">, recording a </w:t>
      </w:r>
      <w:r>
        <w:rPr>
          <w:rFonts w:ascii="Garamond" w:eastAsia="Times New Roman" w:hAnsi="Garamond"/>
          <w:color w:val="000000"/>
          <w:sz w:val="24"/>
          <w:szCs w:val="24"/>
        </w:rPr>
        <w:t>de</w:t>
      </w:r>
      <w:r w:rsidRPr="00D2057B">
        <w:rPr>
          <w:rFonts w:ascii="Garamond" w:eastAsia="Times New Roman" w:hAnsi="Garamond"/>
          <w:color w:val="000000"/>
          <w:sz w:val="24"/>
          <w:szCs w:val="24"/>
        </w:rPr>
        <w:t xml:space="preserve">crease of </w:t>
      </w:r>
      <w:r>
        <w:rPr>
          <w:rFonts w:ascii="Garamond" w:eastAsia="Times New Roman" w:hAnsi="Garamond"/>
          <w:color w:val="000000"/>
          <w:sz w:val="24"/>
          <w:szCs w:val="24"/>
        </w:rPr>
        <w:t>0.98</w:t>
      </w:r>
      <w:r w:rsidRPr="00D2057B">
        <w:rPr>
          <w:rFonts w:ascii="Garamond" w:eastAsia="Times New Roman" w:hAnsi="Garamond"/>
          <w:color w:val="000000"/>
          <w:sz w:val="24"/>
          <w:szCs w:val="24"/>
        </w:rPr>
        <w:t xml:space="preserve"> percent over the closing </w:t>
      </w:r>
      <w:r w:rsidRPr="00D2057B">
        <w:rPr>
          <w:rFonts w:ascii="Garamond" w:eastAsia="Times New Roman" w:hAnsi="Garamond"/>
          <w:color w:val="000000"/>
          <w:sz w:val="24"/>
          <w:szCs w:val="24"/>
        </w:rPr>
        <w:lastRenderedPageBreak/>
        <w:t>values of 3</w:t>
      </w:r>
      <w:r>
        <w:rPr>
          <w:rFonts w:ascii="Garamond" w:eastAsia="Times New Roman" w:hAnsi="Garamond"/>
          <w:color w:val="000000"/>
          <w:sz w:val="24"/>
          <w:szCs w:val="24"/>
        </w:rPr>
        <w:t>145.61</w:t>
      </w:r>
      <w:r w:rsidRPr="00D2057B">
        <w:rPr>
          <w:rFonts w:ascii="Garamond" w:eastAsia="Times New Roman" w:hAnsi="Garamond"/>
          <w:color w:val="000000"/>
          <w:sz w:val="24"/>
          <w:szCs w:val="24"/>
        </w:rPr>
        <w:t xml:space="preserve"> at the end of </w:t>
      </w:r>
      <w:r>
        <w:rPr>
          <w:rFonts w:ascii="Garamond" w:eastAsia="Times New Roman" w:hAnsi="Garamond"/>
          <w:color w:val="000000"/>
          <w:sz w:val="24"/>
          <w:szCs w:val="24"/>
        </w:rPr>
        <w:t>January</w:t>
      </w:r>
      <w:r w:rsidRPr="00D2057B">
        <w:rPr>
          <w:rFonts w:ascii="Garamond" w:eastAsia="Times New Roman" w:hAnsi="Garamond"/>
          <w:color w:val="000000"/>
          <w:sz w:val="24"/>
          <w:szCs w:val="24"/>
        </w:rPr>
        <w:t xml:space="preserve"> 201</w:t>
      </w:r>
      <w:r>
        <w:rPr>
          <w:rFonts w:ascii="Garamond" w:eastAsia="Times New Roman" w:hAnsi="Garamond"/>
          <w:color w:val="000000"/>
          <w:sz w:val="24"/>
          <w:szCs w:val="24"/>
        </w:rPr>
        <w:t xml:space="preserve">8 </w:t>
      </w:r>
      <w:r w:rsidRPr="00774574">
        <w:rPr>
          <w:rFonts w:ascii="Garamond" w:eastAsia="Times New Roman" w:hAnsi="Garamond"/>
          <w:b/>
          <w:color w:val="000000"/>
          <w:sz w:val="24"/>
          <w:szCs w:val="24"/>
        </w:rPr>
        <w:t>(Figure 8)</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MCXCOMDEX</w:t>
      </w:r>
      <w:r w:rsidRPr="00AC5C7C">
        <w:rPr>
          <w:rFonts w:ascii="Garamond" w:eastAsia="Times New Roman" w:hAnsi="Garamond"/>
          <w:color w:val="000000"/>
          <w:sz w:val="24"/>
          <w:szCs w:val="24"/>
        </w:rPr>
        <w:t xml:space="preserve"> 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3729.64</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February 02, 2018</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3519.12</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February 09, 2018</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lowest intra-day level during the month. NCDEX Dhaanya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an intra-day high of </w:t>
      </w:r>
      <w:r>
        <w:rPr>
          <w:rFonts w:ascii="Garamond" w:eastAsia="Times New Roman" w:hAnsi="Garamond"/>
          <w:color w:val="000000"/>
          <w:sz w:val="24"/>
          <w:szCs w:val="24"/>
        </w:rPr>
        <w:t>3205.12</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February 19, 2018</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3068.44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February 26, 2018 </w:t>
      </w:r>
      <w:r w:rsidRPr="00774574">
        <w:rPr>
          <w:rFonts w:ascii="Garamond" w:eastAsia="Times New Roman" w:hAnsi="Garamond"/>
          <w:b/>
          <w:color w:val="000000"/>
          <w:sz w:val="24"/>
          <w:szCs w:val="24"/>
        </w:rPr>
        <w:t>(Details in Table 6</w:t>
      </w:r>
      <w:r>
        <w:rPr>
          <w:rFonts w:ascii="Garamond" w:eastAsia="Times New Roman" w:hAnsi="Garamond"/>
          <w:b/>
          <w:color w:val="000000"/>
          <w:sz w:val="24"/>
          <w:szCs w:val="24"/>
        </w:rPr>
        <w:t>6</w:t>
      </w:r>
      <w:r w:rsidRPr="001F0D6D">
        <w:rPr>
          <w:rFonts w:ascii="Garamond" w:eastAsia="Times New Roman" w:hAnsi="Garamond"/>
          <w:b/>
          <w:color w:val="000000"/>
          <w:sz w:val="24"/>
          <w:szCs w:val="24"/>
        </w:rPr>
        <w:t>)</w:t>
      </w:r>
      <w:r w:rsidRPr="001F0D6D">
        <w:rPr>
          <w:rFonts w:ascii="Garamond" w:eastAsia="Times New Roman" w:hAnsi="Garamond"/>
          <w:color w:val="000000"/>
          <w:sz w:val="24"/>
          <w:szCs w:val="24"/>
        </w:rPr>
        <w:t xml:space="preserve">. </w:t>
      </w:r>
    </w:p>
    <w:p w:rsidR="00B25DA6" w:rsidRDefault="00B25DA6" w:rsidP="00B25DA6">
      <w:pPr>
        <w:pStyle w:val="ListParagraph"/>
        <w:spacing w:after="0" w:line="240" w:lineRule="auto"/>
        <w:jc w:val="both"/>
        <w:rPr>
          <w:rFonts w:ascii="Garamond" w:eastAsia="Times New Roman" w:hAnsi="Garamond"/>
          <w:color w:val="000000"/>
          <w:sz w:val="24"/>
          <w:szCs w:val="24"/>
        </w:rPr>
      </w:pPr>
    </w:p>
    <w:p w:rsidR="00B25DA6" w:rsidRDefault="00B25DA6" w:rsidP="00B25DA6">
      <w:pPr>
        <w:pStyle w:val="ListParagraph"/>
        <w:jc w:val="both"/>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 xml:space="preserve">Movement of Commodity </w:t>
      </w:r>
      <w:r>
        <w:rPr>
          <w:rFonts w:ascii="Garamond" w:hAnsi="Garamond"/>
          <w:b/>
          <w:color w:val="365F91"/>
          <w:sz w:val="24"/>
          <w:szCs w:val="24"/>
        </w:rPr>
        <w:t>Derivatives</w:t>
      </w:r>
      <w:r w:rsidRPr="00AD314C">
        <w:rPr>
          <w:rFonts w:ascii="Garamond" w:hAnsi="Garamond"/>
          <w:b/>
          <w:color w:val="365F91"/>
          <w:sz w:val="24"/>
          <w:szCs w:val="24"/>
        </w:rPr>
        <w:t xml:space="preserve"> Market Indices</w:t>
      </w:r>
    </w:p>
    <w:p w:rsidR="00B25DA6" w:rsidRDefault="00B25DA6" w:rsidP="00B25DA6">
      <w:pPr>
        <w:pStyle w:val="ListParagraph"/>
        <w:jc w:val="both"/>
        <w:rPr>
          <w:noProof/>
          <w:lang w:val="en-IN" w:eastAsia="en-IN"/>
        </w:rPr>
      </w:pPr>
    </w:p>
    <w:p w:rsidR="00B25DA6" w:rsidRDefault="00B25DA6" w:rsidP="00B25DA6">
      <w:pPr>
        <w:pStyle w:val="ListParagraph"/>
        <w:jc w:val="both"/>
        <w:rPr>
          <w:rFonts w:ascii="Garamond" w:hAnsi="Garamond"/>
          <w:b/>
          <w:color w:val="365F91"/>
          <w:sz w:val="24"/>
          <w:szCs w:val="24"/>
        </w:rPr>
      </w:pPr>
      <w:r>
        <w:rPr>
          <w:noProof/>
          <w:lang w:val="en-IN" w:eastAsia="en-IN"/>
        </w:rPr>
        <w:drawing>
          <wp:inline distT="0" distB="0" distL="0" distR="0" wp14:anchorId="3126C54F" wp14:editId="376C3912">
            <wp:extent cx="5362575" cy="2592070"/>
            <wp:effectExtent l="0" t="0" r="9525"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5DA6" w:rsidRPr="00350CF9" w:rsidRDefault="00B25DA6" w:rsidP="00B25DA6">
      <w:pPr>
        <w:pStyle w:val="ListParagraph"/>
        <w:jc w:val="both"/>
        <w:rPr>
          <w:rFonts w:ascii="Garamond" w:hAnsi="Garamond" w:cs="Arial"/>
          <w:b/>
          <w:bCs/>
        </w:rPr>
      </w:pPr>
      <w:r w:rsidRPr="00350CF9">
        <w:rPr>
          <w:rFonts w:ascii="Garamond" w:hAnsi="Garamond" w:cs="Arial"/>
          <w:b/>
          <w:bCs/>
        </w:rPr>
        <w:t>Source: MCX and NCDEX</w:t>
      </w:r>
    </w:p>
    <w:p w:rsidR="00B25DA6" w:rsidRDefault="00B25DA6" w:rsidP="00B25DA6">
      <w:pPr>
        <w:pStyle w:val="ListParagraph"/>
        <w:spacing w:after="0" w:line="240" w:lineRule="auto"/>
        <w:jc w:val="both"/>
        <w:rPr>
          <w:rFonts w:ascii="Garamond" w:hAnsi="Garamond" w:cs="Arial"/>
          <w:bCs/>
          <w:sz w:val="24"/>
          <w:szCs w:val="24"/>
        </w:rPr>
      </w:pPr>
    </w:p>
    <w:p w:rsidR="00B25DA6" w:rsidRDefault="00B25DA6" w:rsidP="00B25DA6">
      <w:pPr>
        <w:pStyle w:val="ListParagraph"/>
        <w:spacing w:after="0" w:line="240" w:lineRule="auto"/>
        <w:jc w:val="both"/>
        <w:rPr>
          <w:rFonts w:ascii="Palatino Linotype" w:hAnsi="Palatino Linotype"/>
          <w:sz w:val="24"/>
          <w:szCs w:val="24"/>
        </w:rPr>
      </w:pPr>
      <w:r w:rsidRPr="00D2057B">
        <w:rPr>
          <w:rFonts w:ascii="Garamond" w:eastAsia="Times New Roman" w:hAnsi="Garamond"/>
          <w:color w:val="000000"/>
          <w:sz w:val="24"/>
          <w:szCs w:val="24"/>
        </w:rPr>
        <w:t xml:space="preserve">Among the three component indices of MCX Comdex, Metal </w:t>
      </w:r>
      <w:r>
        <w:rPr>
          <w:rFonts w:ascii="Garamond" w:eastAsia="Times New Roman" w:hAnsi="Garamond"/>
          <w:color w:val="000000"/>
          <w:sz w:val="24"/>
          <w:szCs w:val="24"/>
        </w:rPr>
        <w:t xml:space="preserve">and Agri. </w:t>
      </w:r>
      <w:r w:rsidRPr="00D2057B">
        <w:rPr>
          <w:rFonts w:ascii="Garamond" w:eastAsia="Times New Roman" w:hAnsi="Garamond"/>
          <w:color w:val="000000"/>
          <w:sz w:val="24"/>
          <w:szCs w:val="24"/>
        </w:rPr>
        <w:t xml:space="preserve">indices </w:t>
      </w:r>
      <w:r>
        <w:rPr>
          <w:rFonts w:ascii="Garamond" w:eastAsia="Times New Roman" w:hAnsi="Garamond"/>
          <w:color w:val="000000"/>
          <w:sz w:val="24"/>
          <w:szCs w:val="24"/>
        </w:rPr>
        <w:t>increased by 0.9</w:t>
      </w:r>
      <w:r w:rsidRPr="00D2057B">
        <w:rPr>
          <w:rFonts w:ascii="Garamond" w:eastAsia="Times New Roman" w:hAnsi="Garamond"/>
          <w:color w:val="000000"/>
          <w:sz w:val="24"/>
          <w:szCs w:val="24"/>
        </w:rPr>
        <w:t xml:space="preserve"> percent and </w:t>
      </w:r>
      <w:r>
        <w:rPr>
          <w:rFonts w:ascii="Garamond" w:eastAsia="Times New Roman" w:hAnsi="Garamond"/>
          <w:color w:val="000000"/>
          <w:sz w:val="24"/>
          <w:szCs w:val="24"/>
        </w:rPr>
        <w:t>0.01</w:t>
      </w:r>
      <w:r w:rsidRPr="00D2057B">
        <w:rPr>
          <w:rFonts w:ascii="Garamond" w:eastAsia="Times New Roman" w:hAnsi="Garamond"/>
          <w:color w:val="000000"/>
          <w:sz w:val="24"/>
          <w:szCs w:val="24"/>
        </w:rPr>
        <w:t xml:space="preserve"> percent, respectively while </w:t>
      </w:r>
      <w:r>
        <w:rPr>
          <w:rFonts w:ascii="Garamond" w:eastAsia="Times New Roman" w:hAnsi="Garamond"/>
          <w:color w:val="000000"/>
          <w:sz w:val="24"/>
          <w:szCs w:val="24"/>
        </w:rPr>
        <w:t>Energy Index declined</w:t>
      </w:r>
      <w:r w:rsidRPr="00D2057B">
        <w:rPr>
          <w:rFonts w:ascii="Garamond" w:eastAsia="Times New Roman" w:hAnsi="Garamond"/>
          <w:color w:val="000000"/>
          <w:sz w:val="24"/>
          <w:szCs w:val="24"/>
        </w:rPr>
        <w:t xml:space="preserve"> by 0.</w:t>
      </w:r>
      <w:r>
        <w:rPr>
          <w:rFonts w:ascii="Garamond" w:eastAsia="Times New Roman" w:hAnsi="Garamond"/>
          <w:color w:val="000000"/>
          <w:sz w:val="24"/>
          <w:szCs w:val="24"/>
        </w:rPr>
        <w:t>8</w:t>
      </w:r>
      <w:r w:rsidRPr="00D2057B">
        <w:rPr>
          <w:rFonts w:ascii="Garamond" w:eastAsia="Times New Roman" w:hAnsi="Garamond"/>
          <w:color w:val="000000"/>
          <w:sz w:val="24"/>
          <w:szCs w:val="24"/>
        </w:rPr>
        <w:t xml:space="preserve"> percent.  MCX Energy index (composed of only Crude Oil and Natural Gas) increased due to gain of</w:t>
      </w:r>
      <w:r>
        <w:rPr>
          <w:rFonts w:ascii="Garamond" w:eastAsia="Times New Roman" w:hAnsi="Garamond"/>
          <w:color w:val="000000"/>
          <w:sz w:val="24"/>
          <w:szCs w:val="24"/>
        </w:rPr>
        <w:t xml:space="preserve"> 7.7</w:t>
      </w:r>
      <w:r w:rsidRPr="00D2057B">
        <w:rPr>
          <w:rFonts w:ascii="Garamond" w:eastAsia="Times New Roman" w:hAnsi="Garamond"/>
          <w:color w:val="000000"/>
          <w:sz w:val="24"/>
          <w:szCs w:val="24"/>
        </w:rPr>
        <w:t xml:space="preserve"> percent in </w:t>
      </w:r>
      <w:r>
        <w:rPr>
          <w:rFonts w:ascii="Garamond" w:eastAsia="Times New Roman" w:hAnsi="Garamond"/>
          <w:color w:val="000000"/>
          <w:sz w:val="24"/>
          <w:szCs w:val="24"/>
        </w:rPr>
        <w:t>Natural Gas</w:t>
      </w:r>
      <w:r w:rsidRPr="00D2057B">
        <w:rPr>
          <w:rFonts w:ascii="Garamond" w:eastAsia="Times New Roman" w:hAnsi="Garamond"/>
          <w:color w:val="000000"/>
          <w:sz w:val="24"/>
          <w:szCs w:val="24"/>
        </w:rPr>
        <w:t xml:space="preserve"> futures</w:t>
      </w:r>
      <w:r>
        <w:rPr>
          <w:rFonts w:ascii="Garamond" w:eastAsia="Times New Roman" w:hAnsi="Garamond"/>
          <w:color w:val="000000"/>
          <w:sz w:val="24"/>
          <w:szCs w:val="24"/>
        </w:rPr>
        <w:t xml:space="preserve"> prices</w:t>
      </w:r>
      <w:r w:rsidRPr="00D2057B">
        <w:rPr>
          <w:rFonts w:ascii="Garamond" w:eastAsia="Times New Roman" w:hAnsi="Garamond"/>
          <w:color w:val="000000"/>
          <w:sz w:val="24"/>
          <w:szCs w:val="24"/>
        </w:rPr>
        <w:t xml:space="preserve">, while the gain in </w:t>
      </w:r>
      <w:r>
        <w:rPr>
          <w:rFonts w:ascii="Garamond" w:eastAsia="Times New Roman" w:hAnsi="Garamond"/>
          <w:color w:val="000000"/>
          <w:sz w:val="24"/>
          <w:szCs w:val="24"/>
        </w:rPr>
        <w:t>M</w:t>
      </w:r>
      <w:r w:rsidRPr="00D2057B">
        <w:rPr>
          <w:rFonts w:ascii="Garamond" w:eastAsia="Times New Roman" w:hAnsi="Garamond"/>
          <w:color w:val="000000"/>
          <w:sz w:val="24"/>
          <w:szCs w:val="24"/>
        </w:rPr>
        <w:t xml:space="preserve">etal index </w:t>
      </w:r>
      <w:r>
        <w:rPr>
          <w:rFonts w:ascii="Garamond" w:eastAsia="Times New Roman" w:hAnsi="Garamond"/>
          <w:color w:val="000000"/>
          <w:sz w:val="24"/>
          <w:szCs w:val="24"/>
        </w:rPr>
        <w:t>was</w:t>
      </w:r>
      <w:r w:rsidRPr="00D2057B">
        <w:rPr>
          <w:rFonts w:ascii="Garamond" w:eastAsia="Times New Roman" w:hAnsi="Garamond"/>
          <w:color w:val="000000"/>
          <w:sz w:val="24"/>
          <w:szCs w:val="24"/>
        </w:rPr>
        <w:t xml:space="preserve"> due to surge 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Nickel and </w:t>
      </w:r>
      <w:r>
        <w:rPr>
          <w:rFonts w:ascii="Garamond" w:eastAsia="Times New Roman" w:hAnsi="Garamond"/>
          <w:color w:val="000000"/>
          <w:sz w:val="24"/>
          <w:szCs w:val="24"/>
        </w:rPr>
        <w:t>Copper</w:t>
      </w:r>
      <w:r w:rsidRPr="00D2057B">
        <w:rPr>
          <w:rFonts w:ascii="Garamond" w:eastAsia="Times New Roman" w:hAnsi="Garamond"/>
          <w:color w:val="000000"/>
          <w:sz w:val="24"/>
          <w:szCs w:val="24"/>
        </w:rPr>
        <w:t>.  The downtrend of MCX Agri</w:t>
      </w:r>
      <w:r>
        <w:rPr>
          <w:rFonts w:ascii="Garamond" w:eastAsia="Times New Roman" w:hAnsi="Garamond"/>
          <w:color w:val="000000"/>
          <w:sz w:val="24"/>
          <w:szCs w:val="24"/>
        </w:rPr>
        <w:t>.</w:t>
      </w:r>
      <w:r w:rsidRPr="00D2057B">
        <w:rPr>
          <w:rFonts w:ascii="Garamond" w:eastAsia="Times New Roman" w:hAnsi="Garamond"/>
          <w:color w:val="000000"/>
          <w:sz w:val="24"/>
          <w:szCs w:val="24"/>
        </w:rPr>
        <w:t xml:space="preserve"> Index was driven by decline in Mentha Oil futures</w:t>
      </w:r>
      <w:r>
        <w:rPr>
          <w:rFonts w:ascii="Garamond" w:eastAsia="Times New Roman" w:hAnsi="Garamond"/>
          <w:color w:val="000000"/>
          <w:sz w:val="24"/>
          <w:szCs w:val="24"/>
        </w:rPr>
        <w:t xml:space="preserve"> prices by 26.6 percent and Cardamom by 7.8 percent.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A decline of 0.98 percent for </w:t>
      </w:r>
      <w:r w:rsidRPr="00D2057B">
        <w:rPr>
          <w:rFonts w:ascii="Garamond" w:eastAsia="Times New Roman" w:hAnsi="Garamond"/>
          <w:color w:val="000000"/>
          <w:sz w:val="24"/>
          <w:szCs w:val="24"/>
        </w:rPr>
        <w:t xml:space="preserve">Dhaanya index </w:t>
      </w:r>
      <w:r>
        <w:rPr>
          <w:rFonts w:ascii="Garamond" w:eastAsia="Times New Roman" w:hAnsi="Garamond"/>
          <w:color w:val="000000"/>
          <w:sz w:val="24"/>
          <w:szCs w:val="24"/>
        </w:rPr>
        <w:t>may be attributed to the de</w:t>
      </w:r>
      <w:r w:rsidRPr="00D2057B">
        <w:rPr>
          <w:rFonts w:ascii="Garamond" w:eastAsia="Times New Roman" w:hAnsi="Garamond"/>
          <w:color w:val="000000"/>
          <w:sz w:val="24"/>
          <w:szCs w:val="24"/>
        </w:rPr>
        <w:t xml:space="preserve">crease 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w:t>
      </w:r>
      <w:r>
        <w:rPr>
          <w:rFonts w:ascii="Garamond" w:eastAsia="Times New Roman" w:hAnsi="Garamond"/>
          <w:color w:val="000000"/>
          <w:sz w:val="24"/>
          <w:szCs w:val="24"/>
        </w:rPr>
        <w:t>Cotton Seed Oilcake</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10.2</w:t>
      </w:r>
      <w:r w:rsidRPr="00D2057B">
        <w:rPr>
          <w:rFonts w:ascii="Garamond" w:eastAsia="Times New Roman" w:hAnsi="Garamond"/>
          <w:color w:val="000000"/>
          <w:sz w:val="24"/>
          <w:szCs w:val="24"/>
        </w:rPr>
        <w:t xml:space="preserve"> percent), </w:t>
      </w:r>
      <w:r>
        <w:rPr>
          <w:rFonts w:ascii="Garamond" w:eastAsia="Times New Roman" w:hAnsi="Garamond"/>
          <w:color w:val="000000"/>
          <w:sz w:val="24"/>
          <w:szCs w:val="24"/>
        </w:rPr>
        <w:t xml:space="preserve">Jeera (9.9 percent), Turmeric (9.1 percent), </w:t>
      </w:r>
      <w:r w:rsidRPr="00D2057B">
        <w:rPr>
          <w:rFonts w:ascii="Garamond" w:eastAsia="Times New Roman" w:hAnsi="Garamond"/>
          <w:color w:val="000000"/>
          <w:sz w:val="24"/>
          <w:szCs w:val="24"/>
        </w:rPr>
        <w:t>Guar gum (</w:t>
      </w:r>
      <w:r>
        <w:rPr>
          <w:rFonts w:ascii="Garamond" w:eastAsia="Times New Roman" w:hAnsi="Garamond"/>
          <w:color w:val="000000"/>
          <w:sz w:val="24"/>
          <w:szCs w:val="24"/>
        </w:rPr>
        <w:t>7.7</w:t>
      </w:r>
      <w:r w:rsidRPr="00D2057B">
        <w:rPr>
          <w:rFonts w:ascii="Garamond" w:eastAsia="Times New Roman" w:hAnsi="Garamond"/>
          <w:color w:val="000000"/>
          <w:sz w:val="24"/>
          <w:szCs w:val="24"/>
        </w:rPr>
        <w:t xml:space="preserve"> percent), Coriander (</w:t>
      </w:r>
      <w:r>
        <w:rPr>
          <w:rFonts w:ascii="Garamond" w:eastAsia="Times New Roman" w:hAnsi="Garamond"/>
          <w:color w:val="000000"/>
          <w:sz w:val="24"/>
          <w:szCs w:val="24"/>
        </w:rPr>
        <w:t>7</w:t>
      </w:r>
      <w:r w:rsidRPr="00D2057B">
        <w:rPr>
          <w:rFonts w:ascii="Garamond" w:eastAsia="Times New Roman" w:hAnsi="Garamond"/>
          <w:color w:val="000000"/>
          <w:sz w:val="24"/>
          <w:szCs w:val="24"/>
        </w:rPr>
        <w:t>.2 percent), Guar seed (</w:t>
      </w:r>
      <w:r>
        <w:rPr>
          <w:rFonts w:ascii="Garamond" w:eastAsia="Times New Roman" w:hAnsi="Garamond"/>
          <w:color w:val="000000"/>
          <w:sz w:val="24"/>
          <w:szCs w:val="24"/>
        </w:rPr>
        <w:t>7.0</w:t>
      </w:r>
      <w:r w:rsidRPr="00D2057B">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Chana</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4.6</w:t>
      </w:r>
      <w:r w:rsidRPr="00D2057B">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and Castor Seed (3.3 percent)</w:t>
      </w:r>
      <w:r w:rsidRPr="00D2057B">
        <w:rPr>
          <w:rFonts w:ascii="Garamond" w:eastAsia="Times New Roman" w:hAnsi="Garamond"/>
          <w:color w:val="000000"/>
          <w:sz w:val="24"/>
          <w:szCs w:val="24"/>
        </w:rPr>
        <w:t>.  However, there was a</w:t>
      </w:r>
      <w:r>
        <w:rPr>
          <w:rFonts w:ascii="Garamond" w:eastAsia="Times New Roman" w:hAnsi="Garamond"/>
          <w:color w:val="000000"/>
          <w:sz w:val="24"/>
          <w:szCs w:val="24"/>
        </w:rPr>
        <w:t>n increase</w:t>
      </w:r>
      <w:r w:rsidRPr="00D2057B">
        <w:rPr>
          <w:rFonts w:ascii="Garamond" w:eastAsia="Times New Roman" w:hAnsi="Garamond"/>
          <w:color w:val="000000"/>
          <w:sz w:val="24"/>
          <w:szCs w:val="24"/>
        </w:rPr>
        <w:t xml:space="preserve"> of </w:t>
      </w:r>
      <w:r>
        <w:rPr>
          <w:rFonts w:ascii="Garamond" w:eastAsia="Times New Roman" w:hAnsi="Garamond"/>
          <w:color w:val="000000"/>
          <w:sz w:val="24"/>
          <w:szCs w:val="24"/>
        </w:rPr>
        <w:t>6.0</w:t>
      </w:r>
      <w:r w:rsidRPr="00D2057B">
        <w:rPr>
          <w:rFonts w:ascii="Garamond" w:eastAsia="Times New Roman" w:hAnsi="Garamond"/>
          <w:color w:val="000000"/>
          <w:sz w:val="24"/>
          <w:szCs w:val="24"/>
        </w:rPr>
        <w:t xml:space="preserve"> percent in </w:t>
      </w:r>
      <w:r>
        <w:rPr>
          <w:rFonts w:ascii="Garamond" w:eastAsia="Times New Roman" w:hAnsi="Garamond"/>
          <w:color w:val="000000"/>
          <w:sz w:val="24"/>
          <w:szCs w:val="24"/>
        </w:rPr>
        <w:t>Wheat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f</w:t>
      </w:r>
      <w:r w:rsidRPr="00D2057B">
        <w:rPr>
          <w:rFonts w:ascii="Garamond" w:eastAsia="Times New Roman" w:hAnsi="Garamond"/>
          <w:color w:val="000000"/>
          <w:sz w:val="24"/>
          <w:szCs w:val="24"/>
        </w:rPr>
        <w:t xml:space="preserve">utures, followed by </w:t>
      </w:r>
      <w:r>
        <w:rPr>
          <w:rFonts w:ascii="Garamond" w:eastAsia="Times New Roman" w:hAnsi="Garamond"/>
          <w:color w:val="000000"/>
          <w:sz w:val="24"/>
          <w:szCs w:val="24"/>
        </w:rPr>
        <w:t>Soybean</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3.2</w:t>
      </w:r>
      <w:r w:rsidRPr="00D2057B">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and </w:t>
      </w:r>
      <w:r>
        <w:rPr>
          <w:rFonts w:ascii="Garamond" w:eastAsia="Times New Roman" w:hAnsi="Garamond"/>
          <w:color w:val="000000"/>
          <w:sz w:val="24"/>
          <w:szCs w:val="24"/>
        </w:rPr>
        <w:t>Refined Soy Oil</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1.4</w:t>
      </w:r>
      <w:r w:rsidRPr="00D2057B">
        <w:rPr>
          <w:rFonts w:ascii="Garamond" w:eastAsia="Times New Roman" w:hAnsi="Garamond"/>
          <w:color w:val="000000"/>
          <w:sz w:val="24"/>
          <w:szCs w:val="24"/>
        </w:rPr>
        <w:t xml:space="preserve"> percent), during the month. </w:t>
      </w:r>
      <w:r>
        <w:rPr>
          <w:rFonts w:ascii="Palatino Linotype" w:hAnsi="Palatino Linotype"/>
          <w:sz w:val="24"/>
          <w:szCs w:val="24"/>
        </w:rPr>
        <w:t xml:space="preserve"> </w:t>
      </w:r>
    </w:p>
    <w:p w:rsidR="00B25DA6" w:rsidRDefault="00B25DA6" w:rsidP="00B25DA6">
      <w:pPr>
        <w:pStyle w:val="ListParagraph"/>
        <w:spacing w:after="0" w:line="240" w:lineRule="auto"/>
        <w:jc w:val="both"/>
        <w:rPr>
          <w:rFonts w:ascii="Garamond" w:hAnsi="Garamond" w:cs="Arial"/>
          <w:bCs/>
          <w:sz w:val="24"/>
          <w:szCs w:val="24"/>
        </w:rPr>
      </w:pPr>
    </w:p>
    <w:p w:rsidR="00B25DA6" w:rsidRDefault="00B25DA6" w:rsidP="00B25DA6">
      <w:pPr>
        <w:pStyle w:val="ListParagraph"/>
        <w:spacing w:after="0" w:line="240" w:lineRule="auto"/>
        <w:jc w:val="both"/>
        <w:rPr>
          <w:rFonts w:ascii="Garamond" w:hAnsi="Garamond" w:cs="Arial"/>
          <w:bCs/>
          <w:sz w:val="24"/>
          <w:szCs w:val="24"/>
        </w:rPr>
      </w:pPr>
      <w:r>
        <w:rPr>
          <w:rFonts w:ascii="Garamond" w:hAnsi="Garamond" w:cs="Arial"/>
          <w:bCs/>
          <w:sz w:val="24"/>
          <w:szCs w:val="24"/>
        </w:rPr>
        <w:t>Daily volatility during February 2018 of MCXCOMDEX and NCDEX Dhaanya indices was recorded at 0.79 percent and 0.82</w:t>
      </w:r>
      <w:r w:rsidRPr="00C64E7D">
        <w:rPr>
          <w:rFonts w:ascii="Garamond" w:hAnsi="Garamond" w:cs="Arial"/>
          <w:bCs/>
          <w:sz w:val="24"/>
          <w:szCs w:val="24"/>
        </w:rPr>
        <w:t xml:space="preserve"> percent respectively</w:t>
      </w:r>
      <w:r w:rsidRPr="00151B1F">
        <w:rPr>
          <w:rFonts w:ascii="Garamond" w:hAnsi="Garamond" w:cs="Arial"/>
          <w:bCs/>
          <w:sz w:val="24"/>
          <w:szCs w:val="24"/>
        </w:rPr>
        <w:t xml:space="preserve">. </w:t>
      </w:r>
      <w:r>
        <w:rPr>
          <w:rFonts w:ascii="Garamond" w:hAnsi="Garamond" w:cs="Arial"/>
          <w:bCs/>
          <w:sz w:val="24"/>
          <w:szCs w:val="24"/>
        </w:rPr>
        <w:t xml:space="preserve">Among the </w:t>
      </w:r>
      <w:r w:rsidRPr="008A566D">
        <w:rPr>
          <w:rFonts w:ascii="Garamond" w:hAnsi="Garamond" w:cs="Arial"/>
          <w:bCs/>
          <w:sz w:val="24"/>
          <w:szCs w:val="24"/>
        </w:rPr>
        <w:t>component</w:t>
      </w:r>
      <w:r>
        <w:rPr>
          <w:rFonts w:ascii="Garamond" w:hAnsi="Garamond" w:cs="Arial"/>
          <w:bCs/>
          <w:sz w:val="24"/>
          <w:szCs w:val="24"/>
        </w:rPr>
        <w:t xml:space="preserve"> indices of MCXCOMDEX, MCX Energy recorded highest volatility of 1.40 percent, followed by MCX Metal (0.86 percent) and MCX Agri. (0.53 percent).  </w:t>
      </w:r>
      <w:r w:rsidRPr="00151B1F">
        <w:rPr>
          <w:rFonts w:ascii="Garamond" w:hAnsi="Garamond" w:cs="Arial"/>
          <w:bCs/>
          <w:sz w:val="24"/>
          <w:szCs w:val="24"/>
        </w:rPr>
        <w:t xml:space="preserve">The </w:t>
      </w:r>
      <w:r>
        <w:rPr>
          <w:rFonts w:ascii="Garamond" w:hAnsi="Garamond" w:cs="Arial"/>
          <w:bCs/>
          <w:sz w:val="24"/>
          <w:szCs w:val="24"/>
        </w:rPr>
        <w:t xml:space="preserve">daily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9 </w:t>
      </w:r>
      <w:r w:rsidRPr="00151B1F">
        <w:rPr>
          <w:rFonts w:ascii="Garamond" w:hAnsi="Garamond" w:cs="Arial"/>
          <w:bCs/>
          <w:sz w:val="24"/>
          <w:szCs w:val="24"/>
        </w:rPr>
        <w:t>below:</w:t>
      </w:r>
      <w:r>
        <w:rPr>
          <w:rFonts w:ascii="Garamond" w:hAnsi="Garamond" w:cs="Arial"/>
          <w:bCs/>
          <w:sz w:val="24"/>
          <w:szCs w:val="24"/>
        </w:rPr>
        <w:t xml:space="preserve"> </w:t>
      </w:r>
    </w:p>
    <w:p w:rsidR="00B25DA6" w:rsidRDefault="00B25DA6" w:rsidP="00B25DA6">
      <w:pPr>
        <w:pStyle w:val="ListParagraph"/>
        <w:ind w:left="567"/>
        <w:rPr>
          <w:rFonts w:ascii="Garamond" w:hAnsi="Garamond"/>
          <w:b/>
          <w:color w:val="365F91"/>
          <w:sz w:val="24"/>
          <w:szCs w:val="24"/>
        </w:rPr>
      </w:pPr>
    </w:p>
    <w:p w:rsidR="00B25DA6" w:rsidRDefault="00B25DA6" w:rsidP="00B25DA6">
      <w:pPr>
        <w:pStyle w:val="ListParagraph"/>
        <w:ind w:left="567"/>
        <w:rPr>
          <w:rFonts w:ascii="Garamond" w:hAnsi="Garamond"/>
          <w:b/>
          <w:color w:val="365F91"/>
          <w:sz w:val="24"/>
          <w:szCs w:val="24"/>
        </w:rPr>
      </w:pPr>
    </w:p>
    <w:p w:rsidR="00B25DA6" w:rsidRDefault="00B25DA6" w:rsidP="00B25DA6">
      <w:pPr>
        <w:pStyle w:val="ListParagraph"/>
        <w:ind w:left="567"/>
        <w:rPr>
          <w:rFonts w:ascii="Garamond" w:hAnsi="Garamond"/>
          <w:b/>
          <w:color w:val="365F91"/>
          <w:sz w:val="24"/>
          <w:szCs w:val="24"/>
        </w:rPr>
      </w:pPr>
    </w:p>
    <w:p w:rsidR="004A0A89" w:rsidRDefault="004A0A89" w:rsidP="00B25DA6">
      <w:pPr>
        <w:pStyle w:val="ListParagraph"/>
        <w:ind w:left="567"/>
        <w:rPr>
          <w:rFonts w:ascii="Garamond" w:hAnsi="Garamond"/>
          <w:b/>
          <w:color w:val="365F91"/>
          <w:sz w:val="24"/>
          <w:szCs w:val="24"/>
        </w:rPr>
      </w:pPr>
    </w:p>
    <w:p w:rsidR="004A0A89" w:rsidRDefault="004A0A89" w:rsidP="00B25DA6">
      <w:pPr>
        <w:pStyle w:val="ListParagraph"/>
        <w:ind w:left="567"/>
        <w:rPr>
          <w:rFonts w:ascii="Garamond" w:hAnsi="Garamond"/>
          <w:b/>
          <w:color w:val="365F91"/>
          <w:sz w:val="24"/>
          <w:szCs w:val="24"/>
        </w:rPr>
      </w:pPr>
    </w:p>
    <w:p w:rsidR="004A0A89" w:rsidRDefault="004A0A89" w:rsidP="00B25DA6">
      <w:pPr>
        <w:pStyle w:val="ListParagraph"/>
        <w:ind w:left="567"/>
        <w:rPr>
          <w:rFonts w:ascii="Garamond" w:hAnsi="Garamond"/>
          <w:b/>
          <w:color w:val="365F91"/>
          <w:sz w:val="24"/>
          <w:szCs w:val="24"/>
        </w:rPr>
      </w:pPr>
    </w:p>
    <w:p w:rsidR="004A0A89" w:rsidRDefault="004A0A89" w:rsidP="00B25DA6">
      <w:pPr>
        <w:pStyle w:val="ListParagraph"/>
        <w:ind w:left="567"/>
        <w:rPr>
          <w:rFonts w:ascii="Garamond" w:hAnsi="Garamond"/>
          <w:b/>
          <w:color w:val="365F91"/>
          <w:sz w:val="24"/>
          <w:szCs w:val="24"/>
        </w:rPr>
      </w:pPr>
    </w:p>
    <w:p w:rsidR="00B25DA6" w:rsidRDefault="00B25DA6" w:rsidP="00B25DA6">
      <w:pPr>
        <w:pStyle w:val="ListParagraph"/>
        <w:ind w:left="567"/>
        <w:rPr>
          <w:rFonts w:ascii="Garamond" w:hAnsi="Garamond"/>
          <w:b/>
          <w:color w:val="365F91"/>
          <w:sz w:val="24"/>
          <w:szCs w:val="24"/>
        </w:rPr>
      </w:pPr>
      <w:r>
        <w:rPr>
          <w:rFonts w:ascii="Garamond" w:hAnsi="Garamond"/>
          <w:b/>
          <w:color w:val="365F91"/>
          <w:sz w:val="24"/>
          <w:szCs w:val="24"/>
        </w:rPr>
        <w:lastRenderedPageBreak/>
        <w:t>Figure 9 : Variation (point-to-point) and daily volatility of India commodity indices</w:t>
      </w:r>
      <w:r w:rsidRPr="00E673B7">
        <w:rPr>
          <w:rFonts w:ascii="Garamond" w:hAnsi="Garamond"/>
          <w:b/>
          <w:color w:val="365F91"/>
          <w:sz w:val="24"/>
          <w:szCs w:val="24"/>
        </w:rPr>
        <w:t xml:space="preserve"> (Percent)</w:t>
      </w:r>
    </w:p>
    <w:p w:rsidR="00B25DA6" w:rsidRDefault="00B25DA6" w:rsidP="00B25DA6">
      <w:pPr>
        <w:pStyle w:val="ListParagraph"/>
        <w:ind w:left="567"/>
        <w:rPr>
          <w:rFonts w:ascii="Garamond" w:hAnsi="Garamond"/>
          <w:b/>
          <w:color w:val="365F91"/>
          <w:sz w:val="24"/>
          <w:szCs w:val="24"/>
        </w:rPr>
      </w:pPr>
      <w:r>
        <w:rPr>
          <w:noProof/>
          <w:lang w:val="en-IN" w:eastAsia="en-IN"/>
        </w:rPr>
        <w:drawing>
          <wp:inline distT="0" distB="0" distL="0" distR="0" wp14:anchorId="4DD64B6B" wp14:editId="31182695">
            <wp:extent cx="5887085" cy="2369489"/>
            <wp:effectExtent l="0" t="0" r="1841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5DA6" w:rsidRPr="00350CF9" w:rsidRDefault="00B25DA6" w:rsidP="00B25DA6">
      <w:pPr>
        <w:pStyle w:val="ListParagraph"/>
        <w:rPr>
          <w:rFonts w:ascii="Garamond" w:hAnsi="Garamond" w:cs="Arial"/>
          <w:b/>
          <w:bCs/>
          <w:sz w:val="18"/>
          <w:szCs w:val="18"/>
        </w:rPr>
      </w:pPr>
      <w:r w:rsidRPr="00350CF9">
        <w:rPr>
          <w:rFonts w:ascii="Garamond" w:hAnsi="Garamond" w:cs="Arial"/>
          <w:b/>
          <w:bCs/>
          <w:sz w:val="18"/>
          <w:szCs w:val="18"/>
        </w:rPr>
        <w:t>Source: MCX and NCDEX</w:t>
      </w:r>
    </w:p>
    <w:p w:rsidR="00B25DA6" w:rsidRDefault="00B25DA6" w:rsidP="00B25DA6">
      <w:pPr>
        <w:pStyle w:val="ListParagraph"/>
        <w:shd w:val="clear" w:color="auto" w:fill="FFFFFF" w:themeFill="background1"/>
        <w:spacing w:after="0" w:line="240" w:lineRule="auto"/>
        <w:jc w:val="both"/>
        <w:rPr>
          <w:rFonts w:ascii="Garamond" w:hAnsi="Garamond" w:cs="Arial"/>
          <w:bCs/>
          <w:sz w:val="24"/>
          <w:szCs w:val="24"/>
        </w:rPr>
      </w:pPr>
    </w:p>
    <w:p w:rsidR="00B25DA6" w:rsidRPr="00702ADB" w:rsidRDefault="00B25DA6" w:rsidP="00B25DA6">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rsidR="00B25DA6" w:rsidRDefault="00B25DA6" w:rsidP="00B25DA6">
      <w:pPr>
        <w:pStyle w:val="ListParagraph"/>
        <w:shd w:val="clear" w:color="auto" w:fill="FFFFFF" w:themeFill="background1"/>
        <w:spacing w:after="0" w:line="240" w:lineRule="auto"/>
        <w:jc w:val="both"/>
        <w:rPr>
          <w:rFonts w:ascii="Garamond" w:hAnsi="Garamond" w:cs="Arial"/>
          <w:bCs/>
          <w:sz w:val="24"/>
          <w:szCs w:val="24"/>
        </w:rPr>
      </w:pPr>
      <w:r w:rsidRPr="00E40A27">
        <w:rPr>
          <w:rFonts w:ascii="Garamond" w:hAnsi="Garamond" w:cs="Arial"/>
          <w:bCs/>
          <w:sz w:val="24"/>
          <w:szCs w:val="24"/>
        </w:rPr>
        <w:t xml:space="preserve">During </w:t>
      </w:r>
      <w:r>
        <w:rPr>
          <w:rFonts w:ascii="Garamond" w:hAnsi="Garamond" w:cs="Arial"/>
          <w:bCs/>
          <w:sz w:val="24"/>
          <w:szCs w:val="24"/>
        </w:rPr>
        <w:t>February</w:t>
      </w:r>
      <w:r w:rsidRPr="00E40A27">
        <w:rPr>
          <w:rFonts w:ascii="Garamond" w:hAnsi="Garamond" w:cs="Arial"/>
          <w:bCs/>
          <w:sz w:val="24"/>
          <w:szCs w:val="24"/>
        </w:rPr>
        <w:t xml:space="preserve"> 201</w:t>
      </w:r>
      <w:r>
        <w:rPr>
          <w:rFonts w:ascii="Garamond" w:hAnsi="Garamond" w:cs="Arial"/>
          <w:bCs/>
          <w:sz w:val="24"/>
          <w:szCs w:val="24"/>
        </w:rPr>
        <w:t>8</w:t>
      </w:r>
      <w:r w:rsidRPr="00E40A27">
        <w:rPr>
          <w:rFonts w:ascii="Garamond" w:hAnsi="Garamond" w:cs="Arial"/>
          <w:bCs/>
          <w:sz w:val="24"/>
          <w:szCs w:val="24"/>
        </w:rPr>
        <w:t xml:space="preserve">, </w:t>
      </w:r>
      <w:r>
        <w:rPr>
          <w:rFonts w:ascii="Garamond" w:hAnsi="Garamond" w:cs="Arial"/>
          <w:bCs/>
          <w:sz w:val="24"/>
          <w:szCs w:val="24"/>
        </w:rPr>
        <w:t>among the four national commodity derivative e</w:t>
      </w:r>
      <w:r w:rsidRPr="00E40A27">
        <w:rPr>
          <w:rFonts w:ascii="Garamond" w:hAnsi="Garamond" w:cs="Arial"/>
          <w:bCs/>
          <w:sz w:val="24"/>
          <w:szCs w:val="24"/>
        </w:rPr>
        <w:t>xchanges</w:t>
      </w:r>
      <w:r>
        <w:rPr>
          <w:rFonts w:ascii="Garamond" w:hAnsi="Garamond" w:cs="Arial"/>
          <w:bCs/>
          <w:sz w:val="24"/>
          <w:szCs w:val="24"/>
        </w:rPr>
        <w:t xml:space="preserve">, MCX and ICEX recorded an increase in turnover, whereas, NCDEX and NMCE have recorded a decrease. </w:t>
      </w:r>
    </w:p>
    <w:p w:rsidR="00B25DA6" w:rsidRDefault="00B25DA6" w:rsidP="00B25DA6">
      <w:pPr>
        <w:pStyle w:val="ListParagraph"/>
        <w:spacing w:after="0" w:line="240" w:lineRule="auto"/>
        <w:jc w:val="both"/>
        <w:rPr>
          <w:rFonts w:ascii="Garamond" w:hAnsi="Garamond" w:cs="Arial"/>
          <w:bCs/>
          <w:sz w:val="24"/>
          <w:szCs w:val="24"/>
        </w:rPr>
      </w:pPr>
    </w:p>
    <w:p w:rsidR="00B25DA6" w:rsidRDefault="00B25DA6" w:rsidP="00B25DA6">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total turnover at all the </w:t>
      </w:r>
      <w:r>
        <w:rPr>
          <w:rFonts w:ascii="Garamond" w:hAnsi="Garamond" w:cs="Arial"/>
          <w:bCs/>
          <w:sz w:val="24"/>
          <w:szCs w:val="24"/>
        </w:rPr>
        <w:t>four</w:t>
      </w:r>
      <w:r w:rsidRPr="00570F43">
        <w:rPr>
          <w:rFonts w:ascii="Garamond" w:hAnsi="Garamond" w:cs="Arial"/>
          <w:bCs/>
          <w:sz w:val="24"/>
          <w:szCs w:val="24"/>
        </w:rPr>
        <w:t xml:space="preserve"> national exchanges </w:t>
      </w:r>
      <w:r>
        <w:rPr>
          <w:rFonts w:ascii="Garamond" w:hAnsi="Garamond" w:cs="Arial"/>
          <w:bCs/>
          <w:sz w:val="24"/>
          <w:szCs w:val="24"/>
        </w:rPr>
        <w:t xml:space="preserve">was recorded at </w:t>
      </w:r>
      <w:r w:rsidRPr="00570F43">
        <w:rPr>
          <w:rFonts w:ascii="Rupee Foradian" w:hAnsi="Rupee Foradian" w:cs="Tahoma"/>
          <w:bCs/>
          <w:sz w:val="24"/>
          <w:szCs w:val="24"/>
        </w:rPr>
        <w:t>`</w:t>
      </w:r>
      <w:r w:rsidRPr="008563E6">
        <w:rPr>
          <w:rFonts w:ascii="Garamond" w:hAnsi="Garamond" w:cs="Arial"/>
          <w:bCs/>
          <w:sz w:val="24"/>
          <w:szCs w:val="24"/>
        </w:rPr>
        <w:t>5</w:t>
      </w:r>
      <w:r>
        <w:rPr>
          <w:rFonts w:ascii="Garamond" w:hAnsi="Garamond" w:cs="Arial"/>
          <w:bCs/>
          <w:sz w:val="24"/>
          <w:szCs w:val="24"/>
        </w:rPr>
        <w:t>,58,307</w:t>
      </w:r>
      <w:r w:rsidRPr="00570F43">
        <w:rPr>
          <w:rFonts w:ascii="Garamond" w:hAnsi="Garamond" w:cs="Arial"/>
          <w:bCs/>
          <w:sz w:val="24"/>
          <w:szCs w:val="24"/>
        </w:rPr>
        <w:t xml:space="preserve"> crore</w:t>
      </w:r>
      <w:r>
        <w:rPr>
          <w:rFonts w:ascii="Garamond" w:hAnsi="Garamond" w:cs="Arial"/>
          <w:bCs/>
          <w:sz w:val="24"/>
          <w:szCs w:val="24"/>
        </w:rPr>
        <w:t xml:space="preserve">, a decrease of 1.6 percent over the turnover of </w:t>
      </w:r>
      <w:r>
        <w:rPr>
          <w:rFonts w:ascii="Tahoma" w:hAnsi="Tahoma" w:cs="Tahoma"/>
          <w:bCs/>
          <w:sz w:val="24"/>
          <w:szCs w:val="24"/>
        </w:rPr>
        <w:t>₹</w:t>
      </w:r>
      <w:r>
        <w:rPr>
          <w:rFonts w:ascii="Garamond" w:hAnsi="Garamond" w:cs="Arial"/>
          <w:bCs/>
          <w:sz w:val="24"/>
          <w:szCs w:val="24"/>
        </w:rPr>
        <w:t xml:space="preserve">5,67,217 crore during the previous month. The </w:t>
      </w:r>
      <w:r w:rsidRPr="00570F43">
        <w:rPr>
          <w:rFonts w:ascii="Garamond" w:hAnsi="Garamond" w:cs="Arial"/>
          <w:bCs/>
          <w:sz w:val="24"/>
          <w:szCs w:val="24"/>
        </w:rPr>
        <w:t xml:space="preserve">agricultural </w:t>
      </w:r>
      <w:r>
        <w:rPr>
          <w:rFonts w:ascii="Garamond" w:hAnsi="Garamond" w:cs="Arial"/>
          <w:bCs/>
          <w:sz w:val="24"/>
          <w:szCs w:val="24"/>
        </w:rPr>
        <w:t xml:space="preserve">segment </w:t>
      </w:r>
      <w:r w:rsidRPr="00570F43">
        <w:rPr>
          <w:rFonts w:ascii="Garamond" w:hAnsi="Garamond" w:cs="Arial"/>
          <w:bCs/>
          <w:sz w:val="24"/>
          <w:szCs w:val="24"/>
        </w:rPr>
        <w:t xml:space="preserve">contributed </w:t>
      </w:r>
      <w:r w:rsidRPr="00570F43">
        <w:rPr>
          <w:rFonts w:ascii="Rupee Foradian" w:hAnsi="Rupee Foradian" w:cs="Arial"/>
          <w:bCs/>
          <w:sz w:val="24"/>
          <w:szCs w:val="24"/>
        </w:rPr>
        <w:t>`</w:t>
      </w:r>
      <w:r w:rsidRPr="00823A20">
        <w:rPr>
          <w:rFonts w:ascii="Garamond" w:hAnsi="Garamond" w:cs="Arial"/>
          <w:bCs/>
          <w:sz w:val="24"/>
          <w:szCs w:val="24"/>
        </w:rPr>
        <w:t>6</w:t>
      </w:r>
      <w:r>
        <w:rPr>
          <w:rFonts w:ascii="Garamond" w:hAnsi="Garamond" w:cs="Arial"/>
          <w:bCs/>
          <w:sz w:val="24"/>
          <w:szCs w:val="24"/>
        </w:rPr>
        <w:t xml:space="preserve">9,522 </w:t>
      </w:r>
      <w:r w:rsidRPr="00570F43">
        <w:rPr>
          <w:rFonts w:ascii="Garamond" w:hAnsi="Garamond" w:cs="Arial"/>
          <w:bCs/>
          <w:sz w:val="24"/>
          <w:szCs w:val="24"/>
        </w:rPr>
        <w:t>crore (</w:t>
      </w:r>
      <w:r>
        <w:rPr>
          <w:rFonts w:ascii="Garamond" w:hAnsi="Garamond" w:cs="Arial"/>
          <w:bCs/>
          <w:sz w:val="24"/>
          <w:szCs w:val="24"/>
        </w:rPr>
        <w:t>12.5</w:t>
      </w:r>
      <w:r w:rsidRPr="00570F43">
        <w:rPr>
          <w:rFonts w:ascii="Garamond" w:hAnsi="Garamond" w:cs="Arial"/>
          <w:bCs/>
          <w:sz w:val="24"/>
          <w:szCs w:val="24"/>
        </w:rPr>
        <w:t xml:space="preserve"> percent) while that of the non-agricultural </w:t>
      </w:r>
      <w:r>
        <w:rPr>
          <w:rFonts w:ascii="Garamond" w:hAnsi="Garamond" w:cs="Arial"/>
          <w:bCs/>
          <w:sz w:val="24"/>
          <w:szCs w:val="24"/>
        </w:rPr>
        <w:t xml:space="preserve">segment </w:t>
      </w:r>
      <w:r w:rsidRPr="00570F43">
        <w:rPr>
          <w:rFonts w:ascii="Garamond" w:hAnsi="Garamond" w:cs="Arial"/>
          <w:bCs/>
          <w:sz w:val="24"/>
          <w:szCs w:val="24"/>
        </w:rPr>
        <w:t xml:space="preserve">contributed </w:t>
      </w:r>
      <w:r w:rsidRPr="00570F43">
        <w:rPr>
          <w:rFonts w:ascii="Rupee Foradian" w:hAnsi="Rupee Foradian" w:cs="Tahoma"/>
          <w:bCs/>
          <w:sz w:val="24"/>
          <w:szCs w:val="24"/>
        </w:rPr>
        <w:t>`</w:t>
      </w:r>
      <w:r w:rsidRPr="00823A20">
        <w:rPr>
          <w:rFonts w:ascii="Garamond" w:hAnsi="Garamond" w:cs="Arial"/>
          <w:bCs/>
          <w:sz w:val="24"/>
          <w:szCs w:val="24"/>
        </w:rPr>
        <w:t>4,88</w:t>
      </w:r>
      <w:r>
        <w:rPr>
          <w:rFonts w:ascii="Garamond" w:hAnsi="Garamond" w:cs="Arial"/>
          <w:bCs/>
          <w:sz w:val="24"/>
          <w:szCs w:val="24"/>
        </w:rPr>
        <w:t>,785</w:t>
      </w:r>
      <w:r w:rsidRPr="00570F43">
        <w:rPr>
          <w:rFonts w:ascii="Garamond" w:hAnsi="Garamond" w:cs="Arial"/>
          <w:bCs/>
          <w:sz w:val="24"/>
          <w:szCs w:val="24"/>
        </w:rPr>
        <w:t xml:space="preserve"> crore (</w:t>
      </w:r>
      <w:r>
        <w:rPr>
          <w:rFonts w:ascii="Garamond" w:hAnsi="Garamond" w:cs="Arial"/>
          <w:bCs/>
          <w:sz w:val="24"/>
          <w:szCs w:val="24"/>
        </w:rPr>
        <w:t>87.5</w:t>
      </w:r>
      <w:r w:rsidRPr="00570F43">
        <w:rPr>
          <w:rFonts w:ascii="Garamond" w:hAnsi="Garamond" w:cs="Arial"/>
          <w:bCs/>
          <w:sz w:val="24"/>
          <w:szCs w:val="24"/>
        </w:rPr>
        <w:t xml:space="preserve"> percent) to the total turnover</w:t>
      </w:r>
      <w:r>
        <w:rPr>
          <w:rFonts w:ascii="Garamond" w:hAnsi="Garamond" w:cs="Arial"/>
          <w:bCs/>
          <w:sz w:val="24"/>
          <w:szCs w:val="24"/>
        </w:rPr>
        <w:t xml:space="preserve"> during the month.</w:t>
      </w:r>
      <w:r w:rsidRPr="00570F43">
        <w:rPr>
          <w:rFonts w:ascii="Garamond" w:hAnsi="Garamond" w:cs="Arial"/>
          <w:bCs/>
          <w:sz w:val="24"/>
          <w:szCs w:val="24"/>
        </w:rPr>
        <w:t xml:space="preserve"> </w:t>
      </w:r>
      <w:r>
        <w:rPr>
          <w:rFonts w:ascii="Garamond" w:hAnsi="Garamond" w:cs="Arial"/>
          <w:bCs/>
          <w:sz w:val="24"/>
          <w:szCs w:val="24"/>
        </w:rPr>
        <w:t>Among</w:t>
      </w:r>
      <w:r w:rsidRPr="00570F43">
        <w:rPr>
          <w:rFonts w:ascii="Garamond" w:hAnsi="Garamond" w:cs="Arial"/>
          <w:bCs/>
          <w:sz w:val="24"/>
          <w:szCs w:val="24"/>
        </w:rPr>
        <w:t xml:space="preserve">, the non-agricultural </w:t>
      </w:r>
      <w:r>
        <w:rPr>
          <w:rFonts w:ascii="Garamond" w:hAnsi="Garamond" w:cs="Arial"/>
          <w:bCs/>
          <w:sz w:val="24"/>
          <w:szCs w:val="24"/>
        </w:rPr>
        <w:t xml:space="preserve">commodities segments, </w:t>
      </w:r>
      <w:r w:rsidRPr="00570F43">
        <w:rPr>
          <w:rFonts w:ascii="Garamond" w:hAnsi="Garamond" w:cs="Arial"/>
          <w:bCs/>
          <w:sz w:val="24"/>
          <w:szCs w:val="24"/>
        </w:rPr>
        <w:t xml:space="preserve">Bullion, Metals and Energy are traded </w:t>
      </w:r>
      <w:r>
        <w:rPr>
          <w:rFonts w:ascii="Garamond" w:hAnsi="Garamond" w:cs="Arial"/>
          <w:bCs/>
          <w:sz w:val="24"/>
          <w:szCs w:val="24"/>
        </w:rPr>
        <w:t>at MCX, whereas, diamond contracts are traded at ICEX.</w:t>
      </w:r>
      <w:r w:rsidRPr="00560523">
        <w:rPr>
          <w:rFonts w:ascii="Garamond" w:hAnsi="Garamond" w:cs="Arial"/>
          <w:bCs/>
          <w:sz w:val="24"/>
          <w:szCs w:val="24"/>
        </w:rPr>
        <w:t xml:space="preserve"> </w:t>
      </w:r>
    </w:p>
    <w:p w:rsidR="00B25DA6" w:rsidRPr="00570F43" w:rsidRDefault="00B25DA6" w:rsidP="00B25DA6">
      <w:pPr>
        <w:pStyle w:val="ListParagraph"/>
        <w:shd w:val="clear" w:color="auto" w:fill="FFFFFF" w:themeFill="background1"/>
        <w:spacing w:after="0" w:line="240" w:lineRule="auto"/>
        <w:jc w:val="both"/>
        <w:rPr>
          <w:rFonts w:ascii="Garamond" w:hAnsi="Garamond" w:cs="Arial"/>
          <w:bCs/>
          <w:sz w:val="24"/>
          <w:szCs w:val="24"/>
        </w:rPr>
      </w:pPr>
    </w:p>
    <w:p w:rsidR="00B25DA6" w:rsidRDefault="00B25DA6" w:rsidP="00B25DA6">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w:t>
      </w:r>
      <w:r>
        <w:rPr>
          <w:rFonts w:ascii="Garamond" w:hAnsi="Garamond" w:cs="Arial"/>
          <w:bCs/>
          <w:sz w:val="24"/>
          <w:szCs w:val="24"/>
        </w:rPr>
        <w:t xml:space="preserve">total </w:t>
      </w:r>
      <w:r w:rsidRPr="00570F43">
        <w:rPr>
          <w:rFonts w:ascii="Garamond" w:hAnsi="Garamond" w:cs="Arial"/>
          <w:bCs/>
          <w:sz w:val="24"/>
          <w:szCs w:val="24"/>
        </w:rPr>
        <w:t>turnover at MCX</w:t>
      </w:r>
      <w:r>
        <w:rPr>
          <w:rFonts w:ascii="Garamond" w:hAnsi="Garamond" w:cs="Arial"/>
          <w:bCs/>
          <w:sz w:val="24"/>
          <w:szCs w:val="24"/>
        </w:rPr>
        <w:t xml:space="preserve"> (futures+ options)</w:t>
      </w:r>
      <w:r w:rsidRPr="00570F43">
        <w:rPr>
          <w:rFonts w:ascii="Garamond" w:hAnsi="Garamond" w:cs="Arial"/>
          <w:bCs/>
          <w:sz w:val="24"/>
          <w:szCs w:val="24"/>
        </w:rPr>
        <w:t xml:space="preserve"> </w:t>
      </w:r>
      <w:r>
        <w:rPr>
          <w:rFonts w:ascii="Garamond" w:hAnsi="Garamond" w:cs="Arial"/>
          <w:bCs/>
          <w:sz w:val="24"/>
          <w:szCs w:val="24"/>
        </w:rPr>
        <w:t>in</w:t>
      </w:r>
      <w:r w:rsidRPr="00570F43">
        <w:rPr>
          <w:rFonts w:ascii="Garamond" w:hAnsi="Garamond" w:cs="Arial"/>
          <w:bCs/>
          <w:sz w:val="24"/>
          <w:szCs w:val="24"/>
        </w:rPr>
        <w:t xml:space="preserve">creased </w:t>
      </w:r>
      <w:r>
        <w:rPr>
          <w:rFonts w:ascii="Garamond" w:hAnsi="Garamond" w:cs="Arial"/>
          <w:bCs/>
          <w:sz w:val="24"/>
          <w:szCs w:val="24"/>
        </w:rPr>
        <w:t xml:space="preserve">by 0.81 percent during February 2018 </w:t>
      </w:r>
      <w:r w:rsidRPr="00570F43">
        <w:rPr>
          <w:rFonts w:ascii="Garamond" w:hAnsi="Garamond" w:cs="Arial"/>
          <w:bCs/>
          <w:sz w:val="24"/>
          <w:szCs w:val="24"/>
        </w:rPr>
        <w:t xml:space="preserve">to </w:t>
      </w:r>
      <w:r w:rsidRPr="00570F43">
        <w:rPr>
          <w:rFonts w:ascii="Rupee Foradian" w:hAnsi="Rupee Foradian" w:cs="Arial"/>
          <w:bCs/>
          <w:sz w:val="24"/>
          <w:szCs w:val="24"/>
        </w:rPr>
        <w:t>`</w:t>
      </w:r>
      <w:r w:rsidRPr="008C4FDF">
        <w:rPr>
          <w:rFonts w:ascii="Garamond" w:hAnsi="Garamond" w:cs="Arial"/>
          <w:bCs/>
          <w:sz w:val="24"/>
          <w:szCs w:val="24"/>
        </w:rPr>
        <w:t>4,9</w:t>
      </w:r>
      <w:r>
        <w:rPr>
          <w:rFonts w:ascii="Garamond" w:hAnsi="Garamond" w:cs="Arial"/>
          <w:bCs/>
          <w:sz w:val="24"/>
          <w:szCs w:val="24"/>
        </w:rPr>
        <w:t>7,572</w:t>
      </w:r>
      <w:r w:rsidRPr="00570F43">
        <w:rPr>
          <w:rFonts w:ascii="Garamond" w:hAnsi="Garamond" w:cs="Arial"/>
          <w:bCs/>
          <w:sz w:val="24"/>
          <w:szCs w:val="24"/>
        </w:rPr>
        <w:t xml:space="preserve"> crore, over </w:t>
      </w:r>
      <w:r>
        <w:rPr>
          <w:rFonts w:ascii="Garamond" w:hAnsi="Garamond" w:cs="Arial"/>
          <w:bCs/>
          <w:sz w:val="24"/>
          <w:szCs w:val="24"/>
        </w:rPr>
        <w:t xml:space="preserve">total turnover of </w:t>
      </w:r>
      <w:r w:rsidRPr="00570F43">
        <w:rPr>
          <w:rFonts w:ascii="Rupee Foradian" w:hAnsi="Rupee Foradian" w:cs="Arial"/>
          <w:bCs/>
          <w:sz w:val="24"/>
          <w:szCs w:val="24"/>
        </w:rPr>
        <w:t>`</w:t>
      </w:r>
      <w:r w:rsidRPr="00205DD9">
        <w:rPr>
          <w:rFonts w:ascii="Garamond" w:hAnsi="Garamond" w:cs="Arial"/>
          <w:bCs/>
          <w:sz w:val="24"/>
          <w:szCs w:val="24"/>
        </w:rPr>
        <w:t>4,93,563</w:t>
      </w:r>
      <w:r w:rsidRPr="00570F43">
        <w:rPr>
          <w:rFonts w:ascii="Garamond" w:hAnsi="Garamond" w:cs="Arial"/>
          <w:bCs/>
          <w:sz w:val="24"/>
          <w:szCs w:val="24"/>
        </w:rPr>
        <w:t xml:space="preserve"> crore recorded </w:t>
      </w:r>
      <w:r>
        <w:rPr>
          <w:rFonts w:ascii="Garamond" w:hAnsi="Garamond" w:cs="Arial"/>
          <w:bCs/>
          <w:sz w:val="24"/>
          <w:szCs w:val="24"/>
        </w:rPr>
        <w:t>in</w:t>
      </w:r>
      <w:r w:rsidRPr="00570F43">
        <w:rPr>
          <w:rFonts w:ascii="Garamond" w:hAnsi="Garamond" w:cs="Arial"/>
          <w:bCs/>
          <w:sz w:val="24"/>
          <w:szCs w:val="24"/>
        </w:rPr>
        <w:t xml:space="preserve"> </w:t>
      </w:r>
      <w:r>
        <w:rPr>
          <w:rFonts w:ascii="Garamond" w:hAnsi="Garamond" w:cs="Arial"/>
          <w:bCs/>
          <w:sz w:val="24"/>
          <w:szCs w:val="24"/>
        </w:rPr>
        <w:t>January</w:t>
      </w:r>
      <w:r w:rsidRPr="00570F43">
        <w:rPr>
          <w:rFonts w:ascii="Garamond" w:hAnsi="Garamond" w:cs="Arial"/>
          <w:bCs/>
          <w:sz w:val="24"/>
          <w:szCs w:val="24"/>
        </w:rPr>
        <w:t xml:space="preserve"> 201</w:t>
      </w:r>
      <w:r>
        <w:rPr>
          <w:rFonts w:ascii="Garamond" w:hAnsi="Garamond" w:cs="Arial"/>
          <w:bCs/>
          <w:sz w:val="24"/>
          <w:szCs w:val="24"/>
        </w:rPr>
        <w:t>8</w:t>
      </w:r>
      <w:r w:rsidRPr="00570F43">
        <w:rPr>
          <w:rFonts w:ascii="Garamond" w:hAnsi="Garamond" w:cs="Arial"/>
          <w:bCs/>
          <w:sz w:val="24"/>
          <w:szCs w:val="24"/>
        </w:rPr>
        <w:t>.</w:t>
      </w:r>
      <w:r>
        <w:rPr>
          <w:rFonts w:ascii="Garamond" w:hAnsi="Garamond" w:cs="Arial"/>
          <w:bCs/>
          <w:sz w:val="24"/>
          <w:szCs w:val="24"/>
        </w:rPr>
        <w:t xml:space="preserve"> The total turnover in MCX Gold contracts, both call and put options taken together was ₹507 crore in February 2018, a decrease of 70.28 percent over </w:t>
      </w:r>
      <w:r>
        <w:rPr>
          <w:rFonts w:ascii="Tahoma" w:hAnsi="Tahoma" w:cs="Tahoma"/>
          <w:bCs/>
          <w:sz w:val="24"/>
          <w:szCs w:val="24"/>
        </w:rPr>
        <w:t>₹</w:t>
      </w:r>
      <w:r w:rsidRPr="00823A20">
        <w:rPr>
          <w:rFonts w:ascii="Garamond" w:hAnsi="Garamond" w:cs="Arial"/>
          <w:bCs/>
          <w:sz w:val="24"/>
          <w:szCs w:val="24"/>
        </w:rPr>
        <w:t>1,7</w:t>
      </w:r>
      <w:r>
        <w:rPr>
          <w:rFonts w:ascii="Garamond" w:hAnsi="Garamond" w:cs="Arial"/>
          <w:bCs/>
          <w:sz w:val="24"/>
          <w:szCs w:val="24"/>
        </w:rPr>
        <w:t>0</w:t>
      </w:r>
      <w:r w:rsidRPr="00823A20">
        <w:rPr>
          <w:rFonts w:ascii="Garamond" w:hAnsi="Garamond" w:cs="Arial"/>
          <w:bCs/>
          <w:sz w:val="24"/>
          <w:szCs w:val="24"/>
        </w:rPr>
        <w:t>5</w:t>
      </w:r>
      <w:r>
        <w:rPr>
          <w:rFonts w:ascii="Garamond" w:hAnsi="Garamond" w:cs="Arial"/>
          <w:bCs/>
          <w:sz w:val="24"/>
          <w:szCs w:val="24"/>
        </w:rPr>
        <w:t xml:space="preserve"> crore recorded in January 2018. </w:t>
      </w:r>
      <w:r w:rsidRPr="00570F43">
        <w:rPr>
          <w:rFonts w:ascii="Garamond" w:hAnsi="Garamond" w:cs="Arial"/>
          <w:bCs/>
          <w:sz w:val="24"/>
          <w:szCs w:val="24"/>
        </w:rPr>
        <w:t xml:space="preserve">The contribution to the total turnover at MCX from </w:t>
      </w:r>
      <w:r>
        <w:rPr>
          <w:rFonts w:ascii="Garamond" w:hAnsi="Garamond" w:cs="Arial"/>
          <w:bCs/>
          <w:sz w:val="24"/>
          <w:szCs w:val="24"/>
        </w:rPr>
        <w:t>M</w:t>
      </w:r>
      <w:r w:rsidRPr="00570F43">
        <w:rPr>
          <w:rFonts w:ascii="Garamond" w:hAnsi="Garamond" w:cs="Arial"/>
          <w:bCs/>
          <w:sz w:val="24"/>
          <w:szCs w:val="24"/>
        </w:rPr>
        <w:t>etal</w:t>
      </w:r>
      <w:r w:rsidRPr="00E40A27">
        <w:rPr>
          <w:rFonts w:ascii="Garamond" w:hAnsi="Garamond" w:cs="Arial"/>
          <w:bCs/>
          <w:sz w:val="24"/>
          <w:szCs w:val="24"/>
        </w:rPr>
        <w:t xml:space="preserve"> segment was at </w:t>
      </w:r>
      <w:r>
        <w:rPr>
          <w:rFonts w:ascii="Garamond" w:hAnsi="Garamond" w:cs="Arial"/>
          <w:bCs/>
          <w:sz w:val="24"/>
          <w:szCs w:val="24"/>
        </w:rPr>
        <w:t>40.12</w:t>
      </w:r>
      <w:r w:rsidRPr="00E40A27">
        <w:rPr>
          <w:rFonts w:ascii="Garamond" w:hAnsi="Garamond" w:cs="Arial"/>
          <w:bCs/>
          <w:sz w:val="24"/>
          <w:szCs w:val="24"/>
        </w:rPr>
        <w:t xml:space="preserve"> percent followed by </w:t>
      </w:r>
      <w:r>
        <w:rPr>
          <w:rFonts w:ascii="Garamond" w:hAnsi="Garamond" w:cs="Arial"/>
          <w:bCs/>
          <w:sz w:val="24"/>
          <w:szCs w:val="24"/>
        </w:rPr>
        <w:t>Energy</w:t>
      </w:r>
      <w:r w:rsidRPr="00E40A27">
        <w:rPr>
          <w:rFonts w:ascii="Garamond" w:hAnsi="Garamond" w:cs="Arial"/>
          <w:bCs/>
          <w:sz w:val="24"/>
          <w:szCs w:val="24"/>
        </w:rPr>
        <w:t xml:space="preserve"> segment at </w:t>
      </w:r>
      <w:r>
        <w:rPr>
          <w:rFonts w:ascii="Garamond" w:hAnsi="Garamond" w:cs="Arial"/>
          <w:bCs/>
          <w:sz w:val="24"/>
          <w:szCs w:val="24"/>
        </w:rPr>
        <w:t>35.23</w:t>
      </w:r>
      <w:r w:rsidRPr="00E40A27">
        <w:rPr>
          <w:rFonts w:ascii="Garamond" w:hAnsi="Garamond" w:cs="Arial"/>
          <w:bCs/>
          <w:sz w:val="24"/>
          <w:szCs w:val="24"/>
        </w:rPr>
        <w:t xml:space="preserve"> percent, </w:t>
      </w:r>
      <w:r>
        <w:rPr>
          <w:rFonts w:ascii="Garamond" w:hAnsi="Garamond" w:cs="Arial"/>
          <w:bCs/>
          <w:sz w:val="24"/>
          <w:szCs w:val="24"/>
        </w:rPr>
        <w:t>B</w:t>
      </w:r>
      <w:r w:rsidRPr="00E40A27">
        <w:rPr>
          <w:rFonts w:ascii="Garamond" w:hAnsi="Garamond" w:cs="Arial"/>
          <w:bCs/>
          <w:sz w:val="24"/>
          <w:szCs w:val="24"/>
        </w:rPr>
        <w:t xml:space="preserve">ullion segment with </w:t>
      </w:r>
      <w:r>
        <w:rPr>
          <w:rFonts w:ascii="Garamond" w:hAnsi="Garamond" w:cs="Arial"/>
          <w:bCs/>
          <w:sz w:val="24"/>
          <w:szCs w:val="24"/>
        </w:rPr>
        <w:t>22.68</w:t>
      </w:r>
      <w:r w:rsidRPr="00E40A27">
        <w:rPr>
          <w:rFonts w:ascii="Garamond" w:hAnsi="Garamond" w:cs="Arial"/>
          <w:bCs/>
          <w:sz w:val="24"/>
          <w:szCs w:val="24"/>
        </w:rPr>
        <w:t xml:space="preserve"> percent</w:t>
      </w:r>
      <w:r>
        <w:rPr>
          <w:rFonts w:ascii="Garamond" w:hAnsi="Garamond" w:cs="Arial"/>
          <w:bCs/>
          <w:sz w:val="24"/>
          <w:szCs w:val="24"/>
        </w:rPr>
        <w:t xml:space="preserve"> </w:t>
      </w:r>
      <w:r w:rsidRPr="00E40A27">
        <w:rPr>
          <w:rFonts w:ascii="Garamond" w:hAnsi="Garamond" w:cs="Arial"/>
          <w:bCs/>
          <w:sz w:val="24"/>
          <w:szCs w:val="24"/>
        </w:rPr>
        <w:t xml:space="preserve">and </w:t>
      </w:r>
      <w:r>
        <w:rPr>
          <w:rFonts w:ascii="Garamond" w:hAnsi="Garamond" w:cs="Arial"/>
          <w:bCs/>
          <w:sz w:val="24"/>
          <w:szCs w:val="24"/>
        </w:rPr>
        <w:t>a</w:t>
      </w:r>
      <w:r w:rsidRPr="00E40A27">
        <w:rPr>
          <w:rFonts w:ascii="Garamond" w:hAnsi="Garamond" w:cs="Arial"/>
          <w:bCs/>
          <w:sz w:val="24"/>
          <w:szCs w:val="24"/>
        </w:rPr>
        <w:t xml:space="preserve">gricultural </w:t>
      </w:r>
      <w:r>
        <w:rPr>
          <w:rFonts w:ascii="Garamond" w:hAnsi="Garamond" w:cs="Arial"/>
          <w:bCs/>
          <w:sz w:val="24"/>
          <w:szCs w:val="24"/>
        </w:rPr>
        <w:t>c</w:t>
      </w:r>
      <w:r w:rsidRPr="00E40A27">
        <w:rPr>
          <w:rFonts w:ascii="Garamond" w:hAnsi="Garamond" w:cs="Arial"/>
          <w:bCs/>
          <w:sz w:val="24"/>
          <w:szCs w:val="24"/>
        </w:rPr>
        <w:t xml:space="preserve">ommodities had a share of </w:t>
      </w:r>
      <w:r>
        <w:rPr>
          <w:rFonts w:ascii="Garamond" w:hAnsi="Garamond" w:cs="Arial"/>
          <w:bCs/>
          <w:sz w:val="24"/>
          <w:szCs w:val="24"/>
        </w:rPr>
        <w:t>1.87</w:t>
      </w:r>
      <w:r w:rsidRPr="00E40A27">
        <w:rPr>
          <w:rFonts w:ascii="Garamond" w:hAnsi="Garamond" w:cs="Arial"/>
          <w:bCs/>
          <w:sz w:val="24"/>
          <w:szCs w:val="24"/>
        </w:rPr>
        <w:t xml:space="preserve"> percent.</w:t>
      </w:r>
      <w:r>
        <w:rPr>
          <w:rFonts w:ascii="Garamond" w:hAnsi="Garamond" w:cs="Arial"/>
          <w:bCs/>
          <w:sz w:val="24"/>
          <w:szCs w:val="24"/>
        </w:rPr>
        <w:t xml:space="preserve">  Gold Options contributed 0.10 percent to the total turnover. </w:t>
      </w:r>
    </w:p>
    <w:p w:rsidR="00B25DA6" w:rsidRPr="00E40A27" w:rsidRDefault="00B25DA6" w:rsidP="00B25DA6">
      <w:pPr>
        <w:pStyle w:val="ListParagraph"/>
        <w:shd w:val="clear" w:color="auto" w:fill="FFFFFF" w:themeFill="background1"/>
        <w:spacing w:after="0" w:line="240" w:lineRule="auto"/>
        <w:jc w:val="both"/>
        <w:rPr>
          <w:rFonts w:ascii="Garamond" w:hAnsi="Garamond" w:cs="Arial"/>
          <w:bCs/>
          <w:sz w:val="24"/>
          <w:szCs w:val="24"/>
        </w:rPr>
      </w:pPr>
    </w:p>
    <w:p w:rsidR="00B25DA6" w:rsidRDefault="00B25DA6" w:rsidP="00B25DA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turnover at NCDEX </w:t>
      </w:r>
      <w:r>
        <w:rPr>
          <w:rFonts w:ascii="Garamond" w:hAnsi="Garamond" w:cs="Arial"/>
          <w:bCs/>
          <w:sz w:val="24"/>
          <w:szCs w:val="24"/>
        </w:rPr>
        <w:t xml:space="preserve">(futures +options) </w:t>
      </w:r>
      <w:r w:rsidRPr="00E40A27">
        <w:rPr>
          <w:rFonts w:ascii="Garamond" w:hAnsi="Garamond" w:cs="Arial"/>
          <w:bCs/>
          <w:sz w:val="24"/>
          <w:szCs w:val="24"/>
        </w:rPr>
        <w:t xml:space="preserve">has </w:t>
      </w:r>
      <w:r>
        <w:rPr>
          <w:rFonts w:ascii="Garamond" w:hAnsi="Garamond" w:cs="Arial"/>
          <w:bCs/>
          <w:sz w:val="24"/>
          <w:szCs w:val="24"/>
        </w:rPr>
        <w:t>dec</w:t>
      </w:r>
      <w:r w:rsidRPr="00E40A27">
        <w:rPr>
          <w:rFonts w:ascii="Garamond" w:hAnsi="Garamond" w:cs="Arial"/>
          <w:bCs/>
          <w:sz w:val="24"/>
          <w:szCs w:val="24"/>
        </w:rPr>
        <w:t xml:space="preserve">reased </w:t>
      </w:r>
      <w:r>
        <w:rPr>
          <w:rFonts w:ascii="Garamond" w:hAnsi="Garamond" w:cs="Arial"/>
          <w:bCs/>
          <w:sz w:val="24"/>
          <w:szCs w:val="24"/>
        </w:rPr>
        <w:t xml:space="preserve">by 17.95 percent to </w:t>
      </w:r>
      <w:r w:rsidRPr="00E40A27">
        <w:rPr>
          <w:rFonts w:ascii="Rupee Foradian" w:hAnsi="Rupee Foradian" w:cs="Arial"/>
          <w:bCs/>
          <w:sz w:val="24"/>
          <w:szCs w:val="24"/>
        </w:rPr>
        <w:t>`</w:t>
      </w:r>
      <w:r>
        <w:rPr>
          <w:rFonts w:ascii="Garamond" w:hAnsi="Garamond" w:cs="Arial"/>
          <w:bCs/>
          <w:sz w:val="24"/>
          <w:szCs w:val="24"/>
        </w:rPr>
        <w:t xml:space="preserve">57,321 </w:t>
      </w:r>
      <w:r w:rsidRPr="00E40A27">
        <w:rPr>
          <w:rFonts w:ascii="Garamond" w:hAnsi="Garamond" w:cs="Arial"/>
          <w:bCs/>
          <w:sz w:val="24"/>
          <w:szCs w:val="24"/>
        </w:rPr>
        <w:t xml:space="preserve">crore </w:t>
      </w:r>
      <w:r>
        <w:rPr>
          <w:rFonts w:ascii="Garamond" w:hAnsi="Garamond" w:cs="Arial"/>
          <w:bCs/>
          <w:sz w:val="24"/>
          <w:szCs w:val="24"/>
        </w:rPr>
        <w:t xml:space="preserve">during February 2018, </w:t>
      </w:r>
      <w:r w:rsidRPr="00E40A27">
        <w:rPr>
          <w:rFonts w:ascii="Garamond" w:hAnsi="Garamond" w:cs="Arial"/>
          <w:bCs/>
          <w:sz w:val="24"/>
          <w:szCs w:val="24"/>
        </w:rPr>
        <w:t xml:space="preserve">from </w:t>
      </w:r>
      <w:r w:rsidRPr="00E40A27">
        <w:rPr>
          <w:rFonts w:ascii="Rupee Foradian" w:hAnsi="Rupee Foradian" w:cs="Arial"/>
          <w:bCs/>
          <w:sz w:val="24"/>
          <w:szCs w:val="24"/>
        </w:rPr>
        <w:t>`</w:t>
      </w:r>
      <w:r>
        <w:rPr>
          <w:rFonts w:ascii="Garamond" w:hAnsi="Garamond" w:cs="Arial"/>
          <w:bCs/>
          <w:sz w:val="24"/>
          <w:szCs w:val="24"/>
        </w:rPr>
        <w:t>69,857</w:t>
      </w:r>
      <w:r w:rsidRPr="00E40A27">
        <w:rPr>
          <w:rFonts w:ascii="Garamond" w:hAnsi="Garamond" w:cs="Arial"/>
          <w:bCs/>
          <w:sz w:val="24"/>
          <w:szCs w:val="24"/>
        </w:rPr>
        <w:t xml:space="preserve"> crore in</w:t>
      </w:r>
      <w:r>
        <w:rPr>
          <w:rFonts w:ascii="Garamond" w:hAnsi="Garamond" w:cs="Arial"/>
          <w:bCs/>
          <w:sz w:val="24"/>
          <w:szCs w:val="24"/>
        </w:rPr>
        <w:t xml:space="preserve"> January</w:t>
      </w:r>
      <w:r w:rsidRPr="00E40A27">
        <w:rPr>
          <w:rFonts w:ascii="Garamond" w:hAnsi="Garamond" w:cs="Arial"/>
          <w:bCs/>
          <w:sz w:val="24"/>
          <w:szCs w:val="24"/>
        </w:rPr>
        <w:t xml:space="preserve"> 201</w:t>
      </w:r>
      <w:r>
        <w:rPr>
          <w:rFonts w:ascii="Garamond" w:hAnsi="Garamond" w:cs="Arial"/>
          <w:bCs/>
          <w:sz w:val="24"/>
          <w:szCs w:val="24"/>
        </w:rPr>
        <w:t xml:space="preserve">8. The total turnover in NCDEX, Guar Seed options contracts, both call and put options taken together decreased to ₹127 crore in February 2018, a decrease of 3.51 percent over ₹131 crore recorded in January 2018.   </w:t>
      </w:r>
    </w:p>
    <w:p w:rsidR="00B25DA6" w:rsidRDefault="00B25DA6" w:rsidP="00B25DA6">
      <w:pPr>
        <w:pStyle w:val="ListParagraph"/>
        <w:spacing w:after="0" w:line="240" w:lineRule="auto"/>
        <w:jc w:val="both"/>
        <w:rPr>
          <w:rFonts w:ascii="Garamond" w:hAnsi="Garamond" w:cs="Arial"/>
          <w:bCs/>
          <w:sz w:val="24"/>
          <w:szCs w:val="24"/>
        </w:rPr>
      </w:pPr>
    </w:p>
    <w:p w:rsidR="00B25DA6" w:rsidRPr="00E40A27" w:rsidRDefault="00B25DA6" w:rsidP="00B25DA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lastRenderedPageBreak/>
        <w:t xml:space="preserve">The total turnover at NMCE </w:t>
      </w:r>
      <w:r>
        <w:rPr>
          <w:rFonts w:ascii="Garamond" w:hAnsi="Garamond" w:cs="Arial"/>
          <w:bCs/>
          <w:sz w:val="24"/>
          <w:szCs w:val="24"/>
        </w:rPr>
        <w:t>de</w:t>
      </w:r>
      <w:r w:rsidRPr="00E40A27">
        <w:rPr>
          <w:rFonts w:ascii="Garamond" w:hAnsi="Garamond" w:cs="Arial"/>
          <w:bCs/>
          <w:sz w:val="24"/>
          <w:szCs w:val="24"/>
        </w:rPr>
        <w:t xml:space="preserve">creased </w:t>
      </w:r>
      <w:r>
        <w:rPr>
          <w:rFonts w:ascii="Garamond" w:hAnsi="Garamond" w:cs="Arial"/>
          <w:bCs/>
          <w:sz w:val="24"/>
          <w:szCs w:val="24"/>
        </w:rPr>
        <w:t xml:space="preserve">by 14.67 percent to </w:t>
      </w:r>
      <w:r w:rsidRPr="00E40A27">
        <w:rPr>
          <w:rFonts w:ascii="Rupee Foradian" w:hAnsi="Rupee Foradian" w:cs="Arial"/>
          <w:bCs/>
          <w:sz w:val="24"/>
          <w:szCs w:val="24"/>
        </w:rPr>
        <w:t>`</w:t>
      </w:r>
      <w:r w:rsidRPr="00171FBE">
        <w:rPr>
          <w:rFonts w:ascii="Garamond" w:hAnsi="Garamond" w:cs="Arial"/>
          <w:bCs/>
          <w:sz w:val="24"/>
          <w:szCs w:val="24"/>
        </w:rPr>
        <w:t>2,905</w:t>
      </w:r>
      <w:r>
        <w:rPr>
          <w:rFonts w:ascii="Garamond" w:hAnsi="Garamond" w:cs="Arial"/>
          <w:bCs/>
          <w:sz w:val="24"/>
          <w:szCs w:val="24"/>
        </w:rPr>
        <w:t xml:space="preserve"> </w:t>
      </w:r>
      <w:r w:rsidRPr="00E40A27">
        <w:rPr>
          <w:rFonts w:ascii="Garamond" w:hAnsi="Garamond" w:cs="Arial"/>
          <w:bCs/>
          <w:sz w:val="24"/>
          <w:szCs w:val="24"/>
        </w:rPr>
        <w:t xml:space="preserve">crore </w:t>
      </w:r>
      <w:r>
        <w:rPr>
          <w:rFonts w:ascii="Garamond" w:hAnsi="Garamond" w:cs="Arial"/>
          <w:bCs/>
          <w:sz w:val="24"/>
          <w:szCs w:val="24"/>
        </w:rPr>
        <w:t xml:space="preserve">during February 2018 </w:t>
      </w:r>
      <w:r w:rsidRPr="00E40A27">
        <w:rPr>
          <w:rFonts w:ascii="Garamond" w:hAnsi="Garamond" w:cs="Arial"/>
          <w:bCs/>
          <w:sz w:val="24"/>
          <w:szCs w:val="24"/>
        </w:rPr>
        <w:t xml:space="preserve">from </w:t>
      </w:r>
      <w:r w:rsidRPr="00E40A27">
        <w:rPr>
          <w:rFonts w:ascii="Rupee Foradian" w:hAnsi="Rupee Foradian" w:cs="Arial"/>
          <w:bCs/>
          <w:sz w:val="24"/>
          <w:szCs w:val="24"/>
        </w:rPr>
        <w:t>`</w:t>
      </w:r>
      <w:r w:rsidRPr="00171FBE">
        <w:rPr>
          <w:rFonts w:ascii="Garamond" w:hAnsi="Garamond" w:cs="Arial"/>
          <w:bCs/>
          <w:sz w:val="24"/>
          <w:szCs w:val="24"/>
        </w:rPr>
        <w:t>3,405</w:t>
      </w:r>
      <w:r>
        <w:rPr>
          <w:rFonts w:ascii="Garamond" w:hAnsi="Garamond" w:cs="Arial"/>
          <w:bCs/>
          <w:sz w:val="24"/>
          <w:szCs w:val="24"/>
        </w:rPr>
        <w:t xml:space="preserve"> </w:t>
      </w:r>
      <w:r w:rsidRPr="00E40A27">
        <w:rPr>
          <w:rFonts w:ascii="Garamond" w:hAnsi="Garamond" w:cs="Arial"/>
          <w:bCs/>
          <w:sz w:val="24"/>
          <w:szCs w:val="24"/>
        </w:rPr>
        <w:t xml:space="preserve">crore in </w:t>
      </w:r>
      <w:r>
        <w:rPr>
          <w:rFonts w:ascii="Garamond" w:hAnsi="Garamond" w:cs="Arial"/>
          <w:bCs/>
          <w:sz w:val="24"/>
          <w:szCs w:val="24"/>
        </w:rPr>
        <w:t xml:space="preserve">the previous month.  </w:t>
      </w:r>
      <w:r w:rsidRPr="00E40A27">
        <w:rPr>
          <w:rFonts w:ascii="Garamond" w:hAnsi="Garamond" w:cs="Arial"/>
          <w:bCs/>
          <w:sz w:val="24"/>
          <w:szCs w:val="24"/>
        </w:rPr>
        <w:t xml:space="preserve">The entire turnover at NCDEX and NMCE </w:t>
      </w:r>
      <w:r>
        <w:rPr>
          <w:rFonts w:ascii="Garamond" w:hAnsi="Garamond" w:cs="Arial"/>
          <w:bCs/>
          <w:sz w:val="24"/>
          <w:szCs w:val="24"/>
        </w:rPr>
        <w:t>was</w:t>
      </w:r>
      <w:r w:rsidRPr="00E40A27">
        <w:rPr>
          <w:rFonts w:ascii="Garamond" w:hAnsi="Garamond" w:cs="Arial"/>
          <w:bCs/>
          <w:sz w:val="24"/>
          <w:szCs w:val="24"/>
        </w:rPr>
        <w:t xml:space="preserve"> contributed by the agricultural commodities segment. </w:t>
      </w:r>
    </w:p>
    <w:p w:rsidR="00B25DA6" w:rsidRDefault="00B25DA6" w:rsidP="00B25DA6">
      <w:pPr>
        <w:pStyle w:val="ListParagraph"/>
        <w:spacing w:after="0" w:line="240" w:lineRule="auto"/>
        <w:jc w:val="both"/>
        <w:rPr>
          <w:rFonts w:ascii="Garamond" w:hAnsi="Garamond" w:cs="Arial"/>
          <w:bCs/>
          <w:sz w:val="24"/>
          <w:szCs w:val="24"/>
        </w:rPr>
      </w:pPr>
    </w:p>
    <w:p w:rsidR="00B25DA6" w:rsidRDefault="00B25DA6" w:rsidP="00B25DA6">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The turnover at ICEX in diamond contracts has increased by 29.70 percent to ₹509.18 crore in February 2018 from ₹392.57 crore during last month. Presently, only diamond futures contracts are being traded at ICEX. </w:t>
      </w:r>
    </w:p>
    <w:p w:rsidR="00B25DA6" w:rsidRDefault="00B25DA6" w:rsidP="00B25DA6">
      <w:pPr>
        <w:pStyle w:val="ListParagraph"/>
        <w:spacing w:after="0" w:line="240" w:lineRule="auto"/>
        <w:jc w:val="both"/>
        <w:rPr>
          <w:rFonts w:ascii="Garamond" w:hAnsi="Garamond" w:cs="Arial"/>
          <w:bCs/>
          <w:sz w:val="24"/>
          <w:szCs w:val="24"/>
        </w:rPr>
      </w:pPr>
    </w:p>
    <w:p w:rsidR="00B25DA6" w:rsidRPr="00E40A27" w:rsidRDefault="00B25DA6" w:rsidP="00B25DA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The total turnover of agricultural commodities was the highest at NCDEX (</w:t>
      </w:r>
      <w:r w:rsidRPr="00E40A27">
        <w:rPr>
          <w:rFonts w:ascii="Rupee Foradian" w:hAnsi="Rupee Foradian" w:cs="Arial"/>
          <w:bCs/>
          <w:sz w:val="24"/>
          <w:szCs w:val="24"/>
        </w:rPr>
        <w:t>`</w:t>
      </w:r>
      <w:r w:rsidRPr="002327FC">
        <w:rPr>
          <w:rFonts w:ascii="Garamond" w:hAnsi="Garamond" w:cs="Arial"/>
          <w:bCs/>
          <w:sz w:val="24"/>
          <w:szCs w:val="24"/>
        </w:rPr>
        <w:t>57</w:t>
      </w:r>
      <w:r>
        <w:rPr>
          <w:rFonts w:ascii="Garamond" w:hAnsi="Garamond" w:cs="Arial"/>
          <w:bCs/>
          <w:sz w:val="24"/>
          <w:szCs w:val="24"/>
        </w:rPr>
        <w:t xml:space="preserve">,321 </w:t>
      </w:r>
      <w:r w:rsidRPr="00E40A27">
        <w:rPr>
          <w:rFonts w:ascii="Garamond" w:hAnsi="Garamond" w:cs="Arial"/>
          <w:bCs/>
          <w:sz w:val="24"/>
          <w:szCs w:val="24"/>
        </w:rPr>
        <w:t>crore) followed by MCX (</w:t>
      </w:r>
      <w:r w:rsidRPr="00E40A27">
        <w:rPr>
          <w:rFonts w:ascii="Rupee Foradian" w:hAnsi="Rupee Foradian" w:cs="Arial"/>
          <w:bCs/>
          <w:sz w:val="24"/>
          <w:szCs w:val="24"/>
        </w:rPr>
        <w:t>`</w:t>
      </w:r>
      <w:r w:rsidRPr="00171FBE">
        <w:rPr>
          <w:rFonts w:ascii="Garamond" w:hAnsi="Garamond" w:cs="Arial"/>
          <w:bCs/>
          <w:sz w:val="24"/>
          <w:szCs w:val="24"/>
        </w:rPr>
        <w:t>9,296</w:t>
      </w:r>
      <w:r>
        <w:rPr>
          <w:rFonts w:ascii="Garamond" w:hAnsi="Garamond" w:cs="Arial"/>
          <w:bCs/>
          <w:sz w:val="24"/>
          <w:szCs w:val="24"/>
        </w:rPr>
        <w:t xml:space="preserve"> </w:t>
      </w:r>
      <w:r w:rsidRPr="00E40A27">
        <w:rPr>
          <w:rFonts w:ascii="Garamond" w:hAnsi="Garamond" w:cs="Arial"/>
          <w:bCs/>
          <w:sz w:val="24"/>
          <w:szCs w:val="24"/>
        </w:rPr>
        <w:t>crore) and NMCE (</w:t>
      </w:r>
      <w:r w:rsidRPr="00E40A27">
        <w:rPr>
          <w:rFonts w:ascii="Rupee Foradian" w:hAnsi="Rupee Foradian" w:cs="Arial"/>
          <w:bCs/>
          <w:sz w:val="24"/>
          <w:szCs w:val="24"/>
        </w:rPr>
        <w:t>`</w:t>
      </w:r>
      <w:r w:rsidRPr="00171FBE">
        <w:rPr>
          <w:rFonts w:ascii="Garamond" w:hAnsi="Garamond" w:cs="Arial"/>
          <w:bCs/>
          <w:sz w:val="24"/>
          <w:szCs w:val="24"/>
        </w:rPr>
        <w:t>2,905</w:t>
      </w:r>
      <w:r w:rsidRPr="00E40A27">
        <w:rPr>
          <w:rFonts w:ascii="Garamond" w:hAnsi="Garamond" w:cs="Arial"/>
          <w:bCs/>
          <w:sz w:val="24"/>
          <w:szCs w:val="24"/>
        </w:rPr>
        <w:t xml:space="preserve"> crore)</w:t>
      </w:r>
      <w:r>
        <w:rPr>
          <w:rFonts w:ascii="Garamond" w:hAnsi="Garamond" w:cs="Arial"/>
          <w:bCs/>
          <w:sz w:val="24"/>
          <w:szCs w:val="24"/>
        </w:rPr>
        <w:t xml:space="preserve">. The turnover of agricultural and non- agricultural commodities at national exchanges is shown in </w:t>
      </w:r>
      <w:r w:rsidRPr="00E40A27">
        <w:rPr>
          <w:rFonts w:ascii="Garamond" w:hAnsi="Garamond" w:cs="Arial"/>
          <w:bCs/>
          <w:sz w:val="24"/>
          <w:szCs w:val="24"/>
        </w:rPr>
        <w:t>Figure</w:t>
      </w:r>
      <w:r>
        <w:rPr>
          <w:rFonts w:ascii="Garamond" w:hAnsi="Garamond" w:cs="Arial"/>
          <w:bCs/>
          <w:sz w:val="24"/>
          <w:szCs w:val="24"/>
        </w:rPr>
        <w:t>s</w:t>
      </w:r>
      <w:r w:rsidRPr="00E40A27">
        <w:rPr>
          <w:rFonts w:ascii="Garamond" w:hAnsi="Garamond" w:cs="Arial"/>
          <w:bCs/>
          <w:sz w:val="24"/>
          <w:szCs w:val="24"/>
        </w:rPr>
        <w:t xml:space="preserve"> </w:t>
      </w:r>
      <w:r>
        <w:rPr>
          <w:rFonts w:ascii="Garamond" w:hAnsi="Garamond" w:cs="Arial"/>
          <w:bCs/>
          <w:sz w:val="24"/>
          <w:szCs w:val="24"/>
        </w:rPr>
        <w:t xml:space="preserve">10, 11 and the details in Tables 67 to 72. </w:t>
      </w:r>
    </w:p>
    <w:p w:rsidR="00B25DA6" w:rsidRDefault="00B25DA6" w:rsidP="00B25DA6">
      <w:pPr>
        <w:pStyle w:val="ListParagraph"/>
        <w:spacing w:after="0" w:line="240" w:lineRule="auto"/>
        <w:jc w:val="both"/>
        <w:rPr>
          <w:rFonts w:ascii="Garamond" w:hAnsi="Garamond" w:cs="Arial"/>
          <w:bCs/>
          <w:sz w:val="24"/>
          <w:szCs w:val="24"/>
        </w:rPr>
      </w:pPr>
    </w:p>
    <w:p w:rsidR="00B25DA6" w:rsidRDefault="00B25DA6" w:rsidP="00B25DA6">
      <w:pPr>
        <w:pStyle w:val="ListParagraph"/>
        <w:spacing w:after="0" w:line="240" w:lineRule="auto"/>
        <w:jc w:val="both"/>
        <w:rPr>
          <w:rFonts w:ascii="Garamond" w:hAnsi="Garamond" w:cs="Arial"/>
          <w:bCs/>
          <w:sz w:val="24"/>
          <w:szCs w:val="24"/>
        </w:rPr>
      </w:pPr>
      <w:r>
        <w:rPr>
          <w:rFonts w:ascii="Garamond" w:hAnsi="Garamond" w:cs="Arial"/>
          <w:bCs/>
          <w:sz w:val="24"/>
          <w:szCs w:val="24"/>
        </w:rPr>
        <w:t>The recognition of Hapur Commodity Exchange</w:t>
      </w:r>
      <w:r w:rsidRPr="00E40A27">
        <w:rPr>
          <w:rFonts w:ascii="Garamond" w:hAnsi="Garamond" w:cs="Arial"/>
          <w:bCs/>
          <w:sz w:val="24"/>
          <w:szCs w:val="24"/>
        </w:rPr>
        <w:t xml:space="preserve"> (</w:t>
      </w:r>
      <w:r>
        <w:rPr>
          <w:rFonts w:ascii="Garamond" w:hAnsi="Garamond" w:cs="Arial"/>
          <w:bCs/>
          <w:sz w:val="24"/>
          <w:szCs w:val="24"/>
        </w:rPr>
        <w:t>HCE</w:t>
      </w:r>
      <w:r w:rsidRPr="00E40A27">
        <w:rPr>
          <w:rFonts w:ascii="Garamond" w:hAnsi="Garamond" w:cs="Arial"/>
          <w:bCs/>
          <w:sz w:val="24"/>
          <w:szCs w:val="24"/>
        </w:rPr>
        <w:t>), Hapur,</w:t>
      </w:r>
      <w:r>
        <w:rPr>
          <w:rFonts w:ascii="Garamond" w:hAnsi="Garamond" w:cs="Arial"/>
          <w:bCs/>
          <w:sz w:val="24"/>
          <w:szCs w:val="24"/>
        </w:rPr>
        <w:t xml:space="preserve"> in respect of Rape/Mustard Seed contract</w:t>
      </w:r>
      <w:r w:rsidRPr="00E40A27">
        <w:rPr>
          <w:rFonts w:ascii="Garamond" w:hAnsi="Garamond" w:cs="Arial"/>
          <w:bCs/>
          <w:sz w:val="24"/>
          <w:szCs w:val="24"/>
        </w:rPr>
        <w:t xml:space="preserve"> </w:t>
      </w:r>
      <w:r>
        <w:rPr>
          <w:rFonts w:ascii="Garamond" w:hAnsi="Garamond" w:cs="Arial"/>
          <w:bCs/>
          <w:sz w:val="24"/>
          <w:szCs w:val="24"/>
        </w:rPr>
        <w:t>has expired on 28</w:t>
      </w:r>
      <w:r w:rsidRPr="00171FBE">
        <w:rPr>
          <w:rFonts w:ascii="Garamond" w:hAnsi="Garamond" w:cs="Arial"/>
          <w:bCs/>
          <w:sz w:val="24"/>
          <w:szCs w:val="24"/>
          <w:vertAlign w:val="superscript"/>
        </w:rPr>
        <w:t>th</w:t>
      </w:r>
      <w:r>
        <w:rPr>
          <w:rFonts w:ascii="Garamond" w:hAnsi="Garamond" w:cs="Arial"/>
          <w:bCs/>
          <w:sz w:val="24"/>
          <w:szCs w:val="24"/>
        </w:rPr>
        <w:t xml:space="preserve"> February, 2018. The exchange has opted </w:t>
      </w:r>
      <w:r w:rsidRPr="00A04614">
        <w:rPr>
          <w:rFonts w:ascii="Garamond" w:hAnsi="Garamond" w:cs="Arial"/>
          <w:bCs/>
          <w:sz w:val="24"/>
          <w:szCs w:val="24"/>
        </w:rPr>
        <w:t>for voluntary exit</w:t>
      </w:r>
      <w:r>
        <w:rPr>
          <w:rFonts w:ascii="Garamond" w:hAnsi="Garamond" w:cs="Arial"/>
          <w:bCs/>
          <w:sz w:val="24"/>
          <w:szCs w:val="24"/>
        </w:rPr>
        <w:t xml:space="preserve"> from the commodity derivative markets</w:t>
      </w:r>
      <w:r w:rsidRPr="00A04614">
        <w:rPr>
          <w:rFonts w:ascii="Garamond" w:hAnsi="Garamond" w:cs="Arial"/>
          <w:bCs/>
          <w:sz w:val="24"/>
          <w:szCs w:val="24"/>
        </w:rPr>
        <w:t xml:space="preserve">. </w:t>
      </w:r>
    </w:p>
    <w:p w:rsidR="00B25DA6" w:rsidRDefault="00B25DA6" w:rsidP="00B25DA6">
      <w:pPr>
        <w:spacing w:after="160" w:line="259" w:lineRule="auto"/>
        <w:ind w:left="709"/>
        <w:rPr>
          <w:rFonts w:ascii="Garamond" w:hAnsi="Garamond"/>
          <w:b/>
          <w:color w:val="365F91"/>
        </w:rPr>
      </w:pPr>
    </w:p>
    <w:p w:rsidR="00B25DA6" w:rsidRDefault="00B25DA6" w:rsidP="00B25DA6">
      <w:pPr>
        <w:spacing w:after="160" w:line="259" w:lineRule="auto"/>
        <w:ind w:left="709"/>
        <w:rPr>
          <w:rFonts w:ascii="Garamond" w:hAnsi="Garamond"/>
          <w:b/>
          <w:color w:val="365F91"/>
        </w:rPr>
      </w:pPr>
      <w:r w:rsidRPr="003B4EBE">
        <w:rPr>
          <w:rFonts w:ascii="Garamond" w:hAnsi="Garamond"/>
          <w:b/>
          <w:color w:val="365F91"/>
        </w:rPr>
        <w:t xml:space="preserve">Figure </w:t>
      </w:r>
      <w:r>
        <w:rPr>
          <w:rFonts w:ascii="Garamond" w:hAnsi="Garamond"/>
          <w:b/>
          <w:color w:val="365F91"/>
        </w:rPr>
        <w:t>10</w:t>
      </w:r>
      <w:r w:rsidRPr="003B4EBE">
        <w:rPr>
          <w:rFonts w:ascii="Garamond" w:hAnsi="Garamond"/>
          <w:b/>
          <w:color w:val="365F91"/>
        </w:rPr>
        <w:t xml:space="preserve">: </w:t>
      </w:r>
      <w:r>
        <w:rPr>
          <w:rFonts w:ascii="Garamond" w:hAnsi="Garamond"/>
          <w:b/>
          <w:color w:val="365F91"/>
        </w:rPr>
        <w:t>Trends in Turnover</w:t>
      </w:r>
      <w:r w:rsidRPr="00AD314C">
        <w:rPr>
          <w:rFonts w:ascii="Garamond" w:hAnsi="Garamond"/>
          <w:b/>
          <w:color w:val="365F91"/>
        </w:rPr>
        <w:t xml:space="preserve"> of Agricultural Commodities </w:t>
      </w:r>
      <w:r>
        <w:rPr>
          <w:rFonts w:ascii="Garamond" w:hAnsi="Garamond"/>
          <w:b/>
          <w:color w:val="365F91"/>
        </w:rPr>
        <w:t>Derivatives</w:t>
      </w:r>
      <w:r w:rsidRPr="00AD314C">
        <w:rPr>
          <w:rFonts w:ascii="Garamond" w:hAnsi="Garamond"/>
          <w:b/>
          <w:color w:val="365F91"/>
        </w:rPr>
        <w:t xml:space="preserve"> (</w:t>
      </w:r>
      <w:r w:rsidRPr="00F3327B">
        <w:rPr>
          <w:rFonts w:ascii="Rupee Foradian" w:hAnsi="Rupee Foradian"/>
          <w:b/>
          <w:color w:val="365F91"/>
        </w:rPr>
        <w:t>`</w:t>
      </w:r>
      <w:r w:rsidRPr="00AD314C">
        <w:rPr>
          <w:rFonts w:ascii="Garamond" w:hAnsi="Garamond"/>
          <w:b/>
          <w:color w:val="365F91"/>
        </w:rPr>
        <w:t>crore)</w:t>
      </w:r>
    </w:p>
    <w:p w:rsidR="00B25DA6" w:rsidRDefault="00B25DA6" w:rsidP="00B25DA6">
      <w:pPr>
        <w:spacing w:after="160" w:line="259" w:lineRule="auto"/>
        <w:rPr>
          <w:rFonts w:ascii="Garamond" w:hAnsi="Garamond"/>
          <w:b/>
          <w:color w:val="365F91"/>
        </w:rPr>
      </w:pPr>
      <w:r>
        <w:rPr>
          <w:noProof/>
          <w:lang w:val="en-IN" w:eastAsia="en-IN"/>
        </w:rPr>
        <w:drawing>
          <wp:inline distT="0" distB="0" distL="0" distR="0" wp14:anchorId="068CEC63" wp14:editId="675545AA">
            <wp:extent cx="5867814" cy="2990215"/>
            <wp:effectExtent l="0" t="0" r="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0A89" w:rsidRDefault="004A0A89">
      <w:pPr>
        <w:rPr>
          <w:rFonts w:ascii="Garamond" w:hAnsi="Garamond"/>
          <w:b/>
          <w:color w:val="365F91"/>
        </w:rPr>
      </w:pPr>
      <w:r>
        <w:rPr>
          <w:rFonts w:ascii="Garamond" w:hAnsi="Garamond"/>
          <w:b/>
          <w:color w:val="365F91"/>
        </w:rPr>
        <w:br w:type="page"/>
      </w:r>
    </w:p>
    <w:p w:rsidR="00B25DA6" w:rsidRDefault="00B25DA6" w:rsidP="00B25DA6">
      <w:pPr>
        <w:spacing w:after="160" w:line="259" w:lineRule="auto"/>
        <w:jc w:val="center"/>
        <w:rPr>
          <w:rFonts w:ascii="Garamond" w:hAnsi="Garamond"/>
          <w:b/>
          <w:color w:val="365F91"/>
        </w:rPr>
      </w:pPr>
      <w:r w:rsidRPr="003B4EBE">
        <w:rPr>
          <w:rFonts w:ascii="Garamond" w:hAnsi="Garamond"/>
          <w:b/>
          <w:color w:val="365F91"/>
        </w:rPr>
        <w:lastRenderedPageBreak/>
        <w:t xml:space="preserve">Figure </w:t>
      </w:r>
      <w:r>
        <w:rPr>
          <w:rFonts w:ascii="Garamond" w:hAnsi="Garamond"/>
          <w:b/>
          <w:color w:val="365F91"/>
        </w:rPr>
        <w:t>11</w:t>
      </w:r>
      <w:r w:rsidRPr="003B4EBE">
        <w:rPr>
          <w:rFonts w:ascii="Garamond" w:hAnsi="Garamond"/>
          <w:b/>
          <w:color w:val="365F91"/>
        </w:rPr>
        <w:t xml:space="preserve">: </w:t>
      </w:r>
      <w:r w:rsidRPr="00AD314C">
        <w:rPr>
          <w:rFonts w:ascii="Garamond" w:hAnsi="Garamond"/>
          <w:b/>
          <w:color w:val="365F91"/>
        </w:rPr>
        <w:t>T</w:t>
      </w:r>
      <w:r>
        <w:rPr>
          <w:rFonts w:ascii="Garamond" w:hAnsi="Garamond"/>
          <w:b/>
          <w:color w:val="365F91"/>
        </w:rPr>
        <w:t>rends in Turnover of non-</w:t>
      </w:r>
      <w:r w:rsidRPr="00AD314C">
        <w:rPr>
          <w:rFonts w:ascii="Garamond" w:hAnsi="Garamond"/>
          <w:b/>
          <w:color w:val="365F91"/>
        </w:rPr>
        <w:t xml:space="preserve">Agricultural Commodities </w:t>
      </w:r>
      <w:r>
        <w:rPr>
          <w:rFonts w:ascii="Garamond" w:hAnsi="Garamond"/>
          <w:b/>
          <w:color w:val="365F91"/>
        </w:rPr>
        <w:t>Derivatives</w:t>
      </w:r>
      <w:r w:rsidRPr="00AD314C">
        <w:rPr>
          <w:rFonts w:ascii="Garamond" w:hAnsi="Garamond"/>
          <w:b/>
          <w:color w:val="365F91"/>
        </w:rPr>
        <w:t xml:space="preserve"> (</w:t>
      </w:r>
      <w:r w:rsidRPr="00F3327B">
        <w:rPr>
          <w:rFonts w:ascii="Rupee Foradian" w:hAnsi="Rupee Foradian"/>
          <w:b/>
          <w:color w:val="365F91"/>
        </w:rPr>
        <w:t>`</w:t>
      </w:r>
      <w:r w:rsidRPr="00AD314C">
        <w:rPr>
          <w:rFonts w:ascii="Garamond" w:hAnsi="Garamond"/>
          <w:b/>
          <w:color w:val="365F91"/>
        </w:rPr>
        <w:t>crore)</w:t>
      </w:r>
    </w:p>
    <w:p w:rsidR="00B25DA6" w:rsidRDefault="00B25DA6" w:rsidP="00B25DA6">
      <w:pPr>
        <w:spacing w:after="160" w:line="259" w:lineRule="auto"/>
        <w:jc w:val="right"/>
        <w:rPr>
          <w:shd w:val="clear" w:color="auto" w:fill="FFFFFF"/>
        </w:rPr>
      </w:pPr>
      <w:r>
        <w:rPr>
          <w:noProof/>
          <w:lang w:val="en-IN" w:eastAsia="en-IN"/>
        </w:rPr>
        <w:drawing>
          <wp:inline distT="0" distB="0" distL="0" distR="0" wp14:anchorId="4D5E7156" wp14:editId="3B2EBD45">
            <wp:extent cx="5812403" cy="3030220"/>
            <wp:effectExtent l="0" t="0" r="1714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5DA6" w:rsidRDefault="00B25DA6" w:rsidP="00B25DA6">
      <w:pPr>
        <w:spacing w:line="480" w:lineRule="auto"/>
        <w:jc w:val="both"/>
        <w:rPr>
          <w:rFonts w:ascii="Garamond" w:hAnsi="Garamond" w:cs="Arial"/>
          <w:b/>
        </w:rPr>
      </w:pPr>
      <w:r>
        <w:rPr>
          <w:rFonts w:ascii="Garamond" w:hAnsi="Garamond" w:cs="Arial"/>
          <w:b/>
        </w:rPr>
        <w:t>B. Commodity price trends</w:t>
      </w:r>
    </w:p>
    <w:p w:rsidR="00B25DA6" w:rsidRPr="00174336" w:rsidRDefault="00B25DA6" w:rsidP="00B25DA6">
      <w:pPr>
        <w:pStyle w:val="ListParagraph"/>
        <w:spacing w:after="0" w:line="240" w:lineRule="auto"/>
        <w:ind w:left="0"/>
        <w:jc w:val="both"/>
        <w:rPr>
          <w:rFonts w:ascii="Garamond" w:hAnsi="Garamond" w:cs="Arial"/>
          <w:bCs/>
          <w:sz w:val="24"/>
          <w:szCs w:val="24"/>
        </w:rPr>
      </w:pPr>
      <w:r w:rsidRPr="00174336">
        <w:rPr>
          <w:rFonts w:ascii="Garamond" w:hAnsi="Garamond" w:cs="Arial"/>
          <w:bCs/>
          <w:sz w:val="24"/>
          <w:szCs w:val="24"/>
        </w:rPr>
        <w:t xml:space="preserve">At the end of </w:t>
      </w:r>
      <w:r>
        <w:rPr>
          <w:rFonts w:ascii="Garamond" w:hAnsi="Garamond" w:cs="Arial"/>
          <w:bCs/>
          <w:sz w:val="24"/>
          <w:szCs w:val="24"/>
        </w:rPr>
        <w:t>February</w:t>
      </w:r>
      <w:r w:rsidRPr="00174336">
        <w:rPr>
          <w:rFonts w:ascii="Garamond" w:hAnsi="Garamond" w:cs="Arial"/>
          <w:bCs/>
          <w:sz w:val="24"/>
          <w:szCs w:val="24"/>
        </w:rPr>
        <w:t xml:space="preserve"> 201</w:t>
      </w:r>
      <w:r>
        <w:rPr>
          <w:rFonts w:ascii="Garamond" w:hAnsi="Garamond" w:cs="Arial"/>
          <w:bCs/>
          <w:sz w:val="24"/>
          <w:szCs w:val="24"/>
        </w:rPr>
        <w:t>8</w:t>
      </w:r>
      <w:r w:rsidRPr="00174336">
        <w:rPr>
          <w:rFonts w:ascii="Garamond" w:hAnsi="Garamond" w:cs="Arial"/>
          <w:bCs/>
          <w:sz w:val="24"/>
          <w:szCs w:val="24"/>
        </w:rPr>
        <w:t xml:space="preserve">, M-o-M returns among the near month contracts of non-agricultural commodities were positive for </w:t>
      </w:r>
      <w:r>
        <w:rPr>
          <w:rFonts w:ascii="Garamond" w:hAnsi="Garamond" w:cs="Arial"/>
          <w:bCs/>
          <w:sz w:val="24"/>
          <w:szCs w:val="24"/>
        </w:rPr>
        <w:t xml:space="preserve">Nickel </w:t>
      </w:r>
      <w:r w:rsidRPr="00174336">
        <w:rPr>
          <w:rFonts w:ascii="Garamond" w:hAnsi="Garamond" w:cs="Arial"/>
          <w:bCs/>
          <w:sz w:val="24"/>
          <w:szCs w:val="24"/>
        </w:rPr>
        <w:t>(</w:t>
      </w:r>
      <w:r>
        <w:rPr>
          <w:rFonts w:ascii="Garamond" w:hAnsi="Garamond" w:cs="Arial"/>
          <w:bCs/>
          <w:sz w:val="24"/>
          <w:szCs w:val="24"/>
        </w:rPr>
        <w:t>3.8</w:t>
      </w:r>
      <w:r w:rsidRPr="00174336">
        <w:rPr>
          <w:rFonts w:ascii="Garamond" w:hAnsi="Garamond" w:cs="Arial"/>
          <w:bCs/>
          <w:sz w:val="24"/>
          <w:szCs w:val="24"/>
        </w:rPr>
        <w:t xml:space="preserve"> percent), followed by </w:t>
      </w:r>
      <w:r>
        <w:rPr>
          <w:rFonts w:ascii="Garamond" w:hAnsi="Garamond" w:cs="Arial"/>
          <w:bCs/>
          <w:sz w:val="24"/>
          <w:szCs w:val="24"/>
        </w:rPr>
        <w:t>Gold and Copper</w:t>
      </w:r>
      <w:r w:rsidRPr="00174336">
        <w:rPr>
          <w:rFonts w:ascii="Garamond" w:hAnsi="Garamond" w:cs="Arial"/>
          <w:bCs/>
          <w:sz w:val="24"/>
          <w:szCs w:val="24"/>
        </w:rPr>
        <w:t xml:space="preserve">, while </w:t>
      </w:r>
      <w:r>
        <w:rPr>
          <w:rFonts w:ascii="Garamond" w:hAnsi="Garamond" w:cs="Arial"/>
          <w:bCs/>
          <w:sz w:val="24"/>
          <w:szCs w:val="24"/>
        </w:rPr>
        <w:t>the returns decreased the most for Natural Gas at 7.7</w:t>
      </w:r>
      <w:r w:rsidRPr="00174336">
        <w:rPr>
          <w:rFonts w:ascii="Garamond" w:hAnsi="Garamond" w:cs="Arial"/>
          <w:bCs/>
          <w:sz w:val="24"/>
          <w:szCs w:val="24"/>
        </w:rPr>
        <w:t xml:space="preserve"> percent</w:t>
      </w:r>
      <w:r>
        <w:rPr>
          <w:rFonts w:ascii="Garamond" w:hAnsi="Garamond" w:cs="Arial"/>
          <w:bCs/>
          <w:sz w:val="24"/>
          <w:szCs w:val="24"/>
        </w:rPr>
        <w:t xml:space="preserve">, followed by Silver, Lead, Aluminum, Zinc and Crude Oil. </w:t>
      </w:r>
      <w:r w:rsidRPr="00174336">
        <w:rPr>
          <w:rFonts w:ascii="Garamond" w:hAnsi="Garamond" w:cs="Arial"/>
          <w:bCs/>
          <w:sz w:val="24"/>
          <w:szCs w:val="24"/>
        </w:rPr>
        <w:t xml:space="preserve">Among Agricultural Commodities, the M-o-M returns were the highest for </w:t>
      </w:r>
      <w:r>
        <w:rPr>
          <w:rFonts w:ascii="Garamond" w:hAnsi="Garamond" w:cs="Arial"/>
          <w:bCs/>
          <w:sz w:val="24"/>
          <w:szCs w:val="24"/>
        </w:rPr>
        <w:t xml:space="preserve">Cotton (6.6 percent), </w:t>
      </w:r>
      <w:r w:rsidRPr="00174336">
        <w:rPr>
          <w:rFonts w:ascii="Garamond" w:hAnsi="Garamond" w:cs="Arial"/>
          <w:bCs/>
          <w:sz w:val="24"/>
          <w:szCs w:val="24"/>
        </w:rPr>
        <w:t xml:space="preserve">followed by </w:t>
      </w:r>
      <w:r>
        <w:rPr>
          <w:rFonts w:ascii="Garamond" w:hAnsi="Garamond" w:cs="Arial"/>
          <w:bCs/>
          <w:sz w:val="24"/>
          <w:szCs w:val="24"/>
        </w:rPr>
        <w:t>Crude Palm Oil, Wheat, Raw Jute, Soybean, Rubber and Refined Soy Oil.</w:t>
      </w:r>
      <w:r w:rsidRPr="00174336">
        <w:rPr>
          <w:rFonts w:ascii="Garamond" w:hAnsi="Garamond" w:cs="Arial"/>
          <w:bCs/>
          <w:sz w:val="24"/>
          <w:szCs w:val="24"/>
        </w:rPr>
        <w:t xml:space="preserve"> </w:t>
      </w:r>
      <w:r>
        <w:rPr>
          <w:rFonts w:ascii="Garamond" w:hAnsi="Garamond" w:cs="Arial"/>
          <w:bCs/>
          <w:sz w:val="24"/>
          <w:szCs w:val="24"/>
        </w:rPr>
        <w:t xml:space="preserve">M-o-M </w:t>
      </w:r>
      <w:r w:rsidRPr="00174336">
        <w:rPr>
          <w:rFonts w:ascii="Garamond" w:hAnsi="Garamond" w:cs="Arial"/>
          <w:bCs/>
          <w:sz w:val="24"/>
          <w:szCs w:val="24"/>
        </w:rPr>
        <w:t xml:space="preserve">returns declined the most for </w:t>
      </w:r>
      <w:r>
        <w:rPr>
          <w:rFonts w:ascii="Garamond" w:hAnsi="Garamond" w:cs="Arial"/>
          <w:bCs/>
          <w:sz w:val="24"/>
          <w:szCs w:val="24"/>
        </w:rPr>
        <w:t>Mentha Oil</w:t>
      </w:r>
      <w:r w:rsidRPr="00174336">
        <w:rPr>
          <w:rFonts w:ascii="Garamond" w:hAnsi="Garamond" w:cs="Arial"/>
          <w:bCs/>
          <w:sz w:val="24"/>
          <w:szCs w:val="24"/>
        </w:rPr>
        <w:t xml:space="preserve"> (</w:t>
      </w:r>
      <w:r>
        <w:rPr>
          <w:rFonts w:ascii="Garamond" w:hAnsi="Garamond" w:cs="Arial"/>
          <w:bCs/>
          <w:sz w:val="24"/>
          <w:szCs w:val="24"/>
        </w:rPr>
        <w:t>26.6</w:t>
      </w:r>
      <w:r w:rsidRPr="00174336">
        <w:rPr>
          <w:rFonts w:ascii="Garamond" w:hAnsi="Garamond" w:cs="Arial"/>
          <w:bCs/>
          <w:sz w:val="24"/>
          <w:szCs w:val="24"/>
        </w:rPr>
        <w:t xml:space="preserve"> percent), followed by </w:t>
      </w:r>
      <w:r>
        <w:rPr>
          <w:rFonts w:ascii="Garamond" w:hAnsi="Garamond" w:cs="Arial"/>
          <w:bCs/>
          <w:sz w:val="24"/>
          <w:szCs w:val="24"/>
        </w:rPr>
        <w:t>Cotton Seed Oilcake, Jeera, Turmeric, Pepper, Cardamom, Guar Gum, Guar Seed, Coriander, Chana, Isabgul Seed, Castor Seed, Rape/Mustard Seed and Barley.</w:t>
      </w:r>
      <w:r w:rsidRPr="00174336">
        <w:rPr>
          <w:rFonts w:ascii="Garamond" w:hAnsi="Garamond" w:cs="Arial"/>
          <w:bCs/>
          <w:sz w:val="24"/>
          <w:szCs w:val="24"/>
        </w:rPr>
        <w:t xml:space="preserve"> </w:t>
      </w:r>
    </w:p>
    <w:p w:rsidR="00B25DA6" w:rsidRDefault="00B25DA6" w:rsidP="00B25DA6">
      <w:pPr>
        <w:pStyle w:val="ListParagraph"/>
        <w:spacing w:after="0" w:line="240" w:lineRule="auto"/>
        <w:ind w:left="0"/>
        <w:jc w:val="both"/>
        <w:rPr>
          <w:rFonts w:ascii="Garamond" w:hAnsi="Garamond" w:cs="Arial"/>
          <w:bCs/>
          <w:color w:val="000000" w:themeColor="text1"/>
          <w:sz w:val="24"/>
          <w:szCs w:val="24"/>
        </w:rPr>
      </w:pPr>
    </w:p>
    <w:p w:rsidR="00B25DA6" w:rsidRPr="00B12046" w:rsidRDefault="00B25DA6" w:rsidP="00B25DA6">
      <w:pPr>
        <w:pStyle w:val="ListParagraph"/>
        <w:spacing w:after="0" w:line="240" w:lineRule="auto"/>
        <w:ind w:left="0"/>
        <w:jc w:val="both"/>
        <w:rPr>
          <w:rFonts w:ascii="Garamond" w:hAnsi="Garamond" w:cs="Arial"/>
          <w:b/>
          <w:bCs/>
          <w:color w:val="000000" w:themeColor="text1"/>
          <w:sz w:val="24"/>
          <w:szCs w:val="24"/>
        </w:rPr>
      </w:pPr>
      <w:r w:rsidRPr="00174336">
        <w:rPr>
          <w:rFonts w:ascii="Garamond" w:hAnsi="Garamond" w:cs="Arial"/>
          <w:bCs/>
          <w:color w:val="000000" w:themeColor="text1"/>
          <w:sz w:val="24"/>
          <w:szCs w:val="24"/>
        </w:rPr>
        <w:t xml:space="preserve">The Y-o-Y returns on futures prices among non-agricultural commodities increased the most for </w:t>
      </w:r>
      <w:r>
        <w:rPr>
          <w:rFonts w:ascii="Garamond" w:hAnsi="Garamond" w:cs="Arial"/>
          <w:bCs/>
          <w:color w:val="000000" w:themeColor="text1"/>
          <w:sz w:val="24"/>
          <w:szCs w:val="24"/>
        </w:rPr>
        <w:t>Nickel</w:t>
      </w:r>
      <w:r w:rsidRPr="00174336">
        <w:rPr>
          <w:rFonts w:ascii="Garamond" w:hAnsi="Garamond" w:cs="Arial"/>
          <w:bCs/>
          <w:color w:val="000000" w:themeColor="text1"/>
          <w:sz w:val="24"/>
          <w:szCs w:val="24"/>
        </w:rPr>
        <w:t xml:space="preserve"> by </w:t>
      </w:r>
      <w:r>
        <w:rPr>
          <w:rFonts w:ascii="Garamond" w:hAnsi="Garamond" w:cs="Arial"/>
          <w:bCs/>
          <w:color w:val="000000" w:themeColor="text1"/>
          <w:sz w:val="24"/>
          <w:szCs w:val="24"/>
        </w:rPr>
        <w:t>23.5</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Zinc, Crude Oil</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Copper, Aluminium, Lead and Gold, </w:t>
      </w:r>
      <w:r w:rsidRPr="00174336">
        <w:rPr>
          <w:rFonts w:ascii="Garamond" w:hAnsi="Garamond" w:cs="Arial"/>
          <w:bCs/>
          <w:color w:val="000000" w:themeColor="text1"/>
          <w:sz w:val="24"/>
          <w:szCs w:val="24"/>
        </w:rPr>
        <w:t xml:space="preserve">while it declined the most for </w:t>
      </w:r>
      <w:r>
        <w:rPr>
          <w:rFonts w:ascii="Garamond" w:hAnsi="Garamond" w:cs="Arial"/>
          <w:bCs/>
          <w:color w:val="000000" w:themeColor="text1"/>
          <w:sz w:val="24"/>
          <w:szCs w:val="24"/>
        </w:rPr>
        <w:t>Silver</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11.6</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 xml:space="preserve">Natural Gas. </w:t>
      </w:r>
      <w:r w:rsidRPr="00174336">
        <w:rPr>
          <w:rFonts w:ascii="Garamond" w:hAnsi="Garamond" w:cs="Arial"/>
          <w:bCs/>
          <w:color w:val="000000" w:themeColor="text1"/>
          <w:sz w:val="24"/>
          <w:szCs w:val="24"/>
        </w:rPr>
        <w:t xml:space="preserve">Among agricultural commodities, Y-o-Y returns increased the most for </w:t>
      </w:r>
      <w:r>
        <w:rPr>
          <w:rFonts w:ascii="Garamond" w:hAnsi="Garamond" w:cs="Arial"/>
          <w:bCs/>
          <w:color w:val="000000" w:themeColor="text1"/>
          <w:sz w:val="24"/>
          <w:szCs w:val="24"/>
        </w:rPr>
        <w:t>Soybean</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29.5</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Mentha Oil, Guar Gum, Guar Seed, Refined Soy Oil,</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Crude Palm Oil, Rape/Mustard Seed, Wheat, Castor Seed and Raw Jute, </w:t>
      </w:r>
      <w:r w:rsidRPr="00174336">
        <w:rPr>
          <w:rFonts w:ascii="Garamond" w:hAnsi="Garamond" w:cs="Arial"/>
          <w:bCs/>
          <w:color w:val="000000" w:themeColor="text1"/>
          <w:sz w:val="24"/>
          <w:szCs w:val="24"/>
        </w:rPr>
        <w:t xml:space="preserve">while Y-o-Y returns declined the most for </w:t>
      </w:r>
      <w:r>
        <w:rPr>
          <w:rFonts w:ascii="Garamond" w:hAnsi="Garamond" w:cs="Arial"/>
          <w:bCs/>
          <w:color w:val="000000" w:themeColor="text1"/>
          <w:sz w:val="24"/>
          <w:szCs w:val="24"/>
        </w:rPr>
        <w:t>P</w:t>
      </w:r>
      <w:r w:rsidRPr="00174336">
        <w:rPr>
          <w:rFonts w:ascii="Garamond" w:hAnsi="Garamond" w:cs="Arial"/>
          <w:bCs/>
          <w:color w:val="000000" w:themeColor="text1"/>
          <w:sz w:val="24"/>
          <w:szCs w:val="24"/>
        </w:rPr>
        <w:t>epper contracts at NMCE (</w:t>
      </w:r>
      <w:r>
        <w:rPr>
          <w:rFonts w:ascii="Garamond" w:hAnsi="Garamond" w:cs="Arial"/>
          <w:bCs/>
          <w:color w:val="000000" w:themeColor="text1"/>
          <w:sz w:val="24"/>
          <w:szCs w:val="24"/>
        </w:rPr>
        <w:t>37.3</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Cotton Seed Oilcake</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Cardamom, Coriander, Isabgul Seed, Rubber, Jeera, Turmeric, Barley and Cotton</w:t>
      </w:r>
      <w:r w:rsidRPr="00174336">
        <w:rPr>
          <w:rFonts w:ascii="Garamond" w:hAnsi="Garamond" w:cs="Arial"/>
          <w:bCs/>
          <w:color w:val="000000" w:themeColor="text1"/>
          <w:sz w:val="24"/>
          <w:szCs w:val="24"/>
        </w:rPr>
        <w:t xml:space="preserve">. </w:t>
      </w:r>
      <w:r w:rsidRPr="00174336">
        <w:rPr>
          <w:rFonts w:ascii="Garamond" w:hAnsi="Garamond" w:cs="Arial"/>
          <w:b/>
          <w:bCs/>
          <w:color w:val="000000" w:themeColor="text1"/>
          <w:sz w:val="24"/>
          <w:szCs w:val="24"/>
        </w:rPr>
        <w:t>(Exhibit 5)</w:t>
      </w:r>
    </w:p>
    <w:p w:rsidR="00B25DA6" w:rsidRDefault="00B25DA6" w:rsidP="00B25DA6">
      <w:pPr>
        <w:jc w:val="both"/>
        <w:rPr>
          <w:rFonts w:ascii="Garamond" w:hAnsi="Garamond" w:cs="Arial"/>
          <w:b/>
        </w:rPr>
      </w:pPr>
    </w:p>
    <w:p w:rsidR="004A0A89" w:rsidRDefault="004A0A89">
      <w:pPr>
        <w:rPr>
          <w:rFonts w:ascii="Garamond" w:hAnsi="Garamond" w:cs="Arial"/>
          <w:b/>
        </w:rPr>
      </w:pPr>
      <w:r>
        <w:rPr>
          <w:rFonts w:ascii="Garamond" w:hAnsi="Garamond" w:cs="Arial"/>
          <w:b/>
        </w:rPr>
        <w:br w:type="page"/>
      </w:r>
    </w:p>
    <w:p w:rsidR="00B25DA6" w:rsidRDefault="00B25DA6" w:rsidP="00B25DA6">
      <w:pPr>
        <w:jc w:val="both"/>
        <w:rPr>
          <w:rFonts w:ascii="Garamond" w:hAnsi="Garamond" w:cs="Arial"/>
          <w:b/>
        </w:rPr>
      </w:pPr>
      <w:r w:rsidRPr="00B12046">
        <w:rPr>
          <w:rFonts w:ascii="Garamond" w:hAnsi="Garamond" w:cs="Arial"/>
          <w:b/>
        </w:rPr>
        <w:lastRenderedPageBreak/>
        <w:t>Exhibit</w:t>
      </w:r>
      <w:r w:rsidRPr="00B12046">
        <w:rPr>
          <w:b/>
          <w:shd w:val="clear" w:color="auto" w:fill="FFFFFF"/>
        </w:rPr>
        <w:t xml:space="preserve"> 5: </w:t>
      </w:r>
      <w:r w:rsidRPr="00B12046">
        <w:rPr>
          <w:rFonts w:ascii="Garamond" w:hAnsi="Garamond" w:cs="Arial"/>
          <w:b/>
        </w:rPr>
        <w:t>Periodic variation (M-o-M and Y-o-Y) in futures closing prices for near month contracts of commodities traded at MCX, NCDEX and NMCE</w:t>
      </w:r>
    </w:p>
    <w:p w:rsidR="00B25DA6" w:rsidRDefault="00B25DA6" w:rsidP="00B25DA6">
      <w:pPr>
        <w:jc w:val="both"/>
        <w:rPr>
          <w:rFonts w:ascii="Garamond" w:hAnsi="Garamond" w:cs="Arial"/>
          <w:b/>
        </w:rPr>
      </w:pPr>
    </w:p>
    <w:tbl>
      <w:tblPr>
        <w:tblStyle w:val="GridTable4-Accent5"/>
        <w:tblW w:w="997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96"/>
        <w:gridCol w:w="1276"/>
        <w:gridCol w:w="992"/>
        <w:gridCol w:w="967"/>
        <w:gridCol w:w="1585"/>
        <w:gridCol w:w="1417"/>
        <w:gridCol w:w="978"/>
        <w:gridCol w:w="1063"/>
      </w:tblGrid>
      <w:tr w:rsidR="00B25DA6" w:rsidRPr="00777FEB" w:rsidTr="007C138F">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rPr>
                <w:rFonts w:ascii="Garamond" w:eastAsia="Times New Roman" w:hAnsi="Garamond" w:cs="Calibri"/>
                <w:color w:val="000000" w:themeColor="text1"/>
                <w:sz w:val="24"/>
                <w:szCs w:val="24"/>
              </w:rPr>
            </w:pPr>
            <w:r w:rsidRPr="00777FEB">
              <w:rPr>
                <w:rFonts w:ascii="Garamond" w:hAnsi="Garamond" w:cs="Arial"/>
                <w:color w:val="000000" w:themeColor="text1"/>
                <w:sz w:val="24"/>
                <w:szCs w:val="24"/>
              </w:rPr>
              <w:t>Commodities traded at MCX and NMCE</w:t>
            </w:r>
          </w:p>
        </w:tc>
        <w:tc>
          <w:tcPr>
            <w:tcW w:w="1276"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777FEB">
              <w:rPr>
                <w:rFonts w:ascii="Garamond" w:hAnsi="Garamond" w:cs="Arial"/>
                <w:color w:val="000000" w:themeColor="text1"/>
                <w:sz w:val="24"/>
                <w:szCs w:val="24"/>
              </w:rPr>
              <w:t xml:space="preserve">Closing value as on </w:t>
            </w:r>
            <w:r>
              <w:rPr>
                <w:rFonts w:ascii="Garamond" w:hAnsi="Garamond" w:cs="Arial"/>
                <w:color w:val="000000" w:themeColor="text1"/>
                <w:sz w:val="24"/>
                <w:szCs w:val="24"/>
              </w:rPr>
              <w:t>28</w:t>
            </w:r>
            <w:r w:rsidRPr="00777FEB">
              <w:rPr>
                <w:rFonts w:ascii="Garamond" w:hAnsi="Garamond" w:cs="Arial"/>
                <w:color w:val="000000" w:themeColor="text1"/>
                <w:sz w:val="24"/>
                <w:szCs w:val="24"/>
              </w:rPr>
              <w:t>/</w:t>
            </w:r>
            <w:r>
              <w:rPr>
                <w:rFonts w:ascii="Garamond" w:hAnsi="Garamond" w:cs="Arial"/>
                <w:color w:val="000000" w:themeColor="text1"/>
                <w:sz w:val="24"/>
                <w:szCs w:val="24"/>
              </w:rPr>
              <w:t>02</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p>
        </w:tc>
        <w:tc>
          <w:tcPr>
            <w:tcW w:w="1959" w:type="dxa"/>
            <w:gridSpan w:val="2"/>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777FEB">
              <w:rPr>
                <w:rFonts w:ascii="Garamond" w:hAnsi="Garamond" w:cs="Arial"/>
                <w:color w:val="000000" w:themeColor="text1"/>
                <w:sz w:val="24"/>
                <w:szCs w:val="24"/>
              </w:rPr>
              <w:t>V</w:t>
            </w:r>
            <w:r>
              <w:rPr>
                <w:rFonts w:ascii="Garamond" w:hAnsi="Garamond" w:cs="Arial"/>
                <w:color w:val="000000" w:themeColor="text1"/>
                <w:sz w:val="24"/>
                <w:szCs w:val="24"/>
              </w:rPr>
              <w:t>ariation in prices as on  28</w:t>
            </w:r>
            <w:r w:rsidRPr="00777FEB">
              <w:rPr>
                <w:rFonts w:ascii="Garamond" w:hAnsi="Garamond" w:cs="Arial"/>
                <w:color w:val="000000" w:themeColor="text1"/>
                <w:sz w:val="24"/>
                <w:szCs w:val="24"/>
              </w:rPr>
              <w:t>/</w:t>
            </w:r>
            <w:r>
              <w:rPr>
                <w:rFonts w:ascii="Garamond" w:hAnsi="Garamond" w:cs="Arial"/>
                <w:color w:val="000000" w:themeColor="text1"/>
                <w:sz w:val="24"/>
                <w:szCs w:val="24"/>
              </w:rPr>
              <w:t>02</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r w:rsidRPr="00777FEB">
              <w:rPr>
                <w:rFonts w:ascii="Garamond" w:hAnsi="Garamond" w:cs="Arial"/>
                <w:color w:val="000000" w:themeColor="text1"/>
                <w:sz w:val="24"/>
                <w:szCs w:val="24"/>
              </w:rPr>
              <w:t xml:space="preserve"> (percent)</w:t>
            </w:r>
          </w:p>
        </w:tc>
        <w:tc>
          <w:tcPr>
            <w:tcW w:w="1585"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themeColor="text1"/>
                <w:sz w:val="24"/>
                <w:szCs w:val="24"/>
              </w:rPr>
            </w:pPr>
            <w:r w:rsidRPr="00777FEB">
              <w:rPr>
                <w:rFonts w:ascii="Garamond" w:hAnsi="Garamond" w:cs="Arial"/>
                <w:color w:val="000000" w:themeColor="text1"/>
                <w:sz w:val="24"/>
                <w:szCs w:val="24"/>
              </w:rPr>
              <w:t>Commodities traded at NCDEX</w:t>
            </w:r>
          </w:p>
        </w:tc>
        <w:tc>
          <w:tcPr>
            <w:tcW w:w="1417"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777FEB">
              <w:rPr>
                <w:rFonts w:ascii="Garamond" w:hAnsi="Garamond" w:cs="Arial"/>
                <w:color w:val="000000" w:themeColor="text1"/>
                <w:sz w:val="24"/>
                <w:szCs w:val="24"/>
              </w:rPr>
              <w:t xml:space="preserve">Closing value as on </w:t>
            </w:r>
            <w:r>
              <w:rPr>
                <w:rFonts w:ascii="Garamond" w:hAnsi="Garamond" w:cs="Arial"/>
                <w:color w:val="000000" w:themeColor="text1"/>
                <w:sz w:val="24"/>
                <w:szCs w:val="24"/>
              </w:rPr>
              <w:t>28</w:t>
            </w:r>
            <w:r w:rsidRPr="00777FEB">
              <w:rPr>
                <w:rFonts w:ascii="Garamond" w:hAnsi="Garamond" w:cs="Arial"/>
                <w:color w:val="000000" w:themeColor="text1"/>
                <w:sz w:val="24"/>
                <w:szCs w:val="24"/>
              </w:rPr>
              <w:t>/</w:t>
            </w:r>
            <w:r>
              <w:rPr>
                <w:rFonts w:ascii="Garamond" w:hAnsi="Garamond" w:cs="Arial"/>
                <w:color w:val="000000" w:themeColor="text1"/>
                <w:sz w:val="24"/>
                <w:szCs w:val="24"/>
              </w:rPr>
              <w:t>02</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p>
        </w:tc>
        <w:tc>
          <w:tcPr>
            <w:tcW w:w="2041" w:type="dxa"/>
            <w:gridSpan w:val="2"/>
            <w:tcBorders>
              <w:lef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777FEB">
              <w:rPr>
                <w:rFonts w:ascii="Garamond" w:hAnsi="Garamond" w:cs="Arial"/>
                <w:color w:val="000000" w:themeColor="text1"/>
                <w:sz w:val="24"/>
                <w:szCs w:val="24"/>
              </w:rPr>
              <w:t xml:space="preserve">Variation in prices as on  </w:t>
            </w:r>
            <w:r>
              <w:rPr>
                <w:rFonts w:ascii="Garamond" w:hAnsi="Garamond" w:cs="Arial"/>
                <w:color w:val="000000" w:themeColor="text1"/>
                <w:sz w:val="24"/>
                <w:szCs w:val="24"/>
              </w:rPr>
              <w:t>28</w:t>
            </w:r>
            <w:r w:rsidRPr="00777FEB">
              <w:rPr>
                <w:rFonts w:ascii="Garamond" w:hAnsi="Garamond" w:cs="Arial"/>
                <w:color w:val="000000" w:themeColor="text1"/>
                <w:sz w:val="24"/>
                <w:szCs w:val="24"/>
              </w:rPr>
              <w:t>/</w:t>
            </w:r>
            <w:r>
              <w:rPr>
                <w:rFonts w:ascii="Garamond" w:hAnsi="Garamond" w:cs="Arial"/>
                <w:color w:val="000000" w:themeColor="text1"/>
                <w:sz w:val="24"/>
                <w:szCs w:val="24"/>
              </w:rPr>
              <w:t>02</w:t>
            </w:r>
            <w:r w:rsidRPr="00777FEB">
              <w:rPr>
                <w:rFonts w:ascii="Garamond" w:hAnsi="Garamond" w:cs="Arial"/>
                <w:color w:val="000000" w:themeColor="text1"/>
                <w:sz w:val="24"/>
                <w:szCs w:val="24"/>
              </w:rPr>
              <w:t>/201</w:t>
            </w:r>
            <w:r>
              <w:rPr>
                <w:rFonts w:ascii="Garamond" w:hAnsi="Garamond" w:cs="Arial"/>
                <w:color w:val="000000" w:themeColor="text1"/>
                <w:sz w:val="24"/>
                <w:szCs w:val="24"/>
              </w:rPr>
              <w:t>8</w:t>
            </w:r>
            <w:r w:rsidRPr="00777FEB">
              <w:rPr>
                <w:rFonts w:ascii="Garamond" w:hAnsi="Garamond" w:cs="Arial"/>
                <w:color w:val="000000" w:themeColor="text1"/>
                <w:sz w:val="24"/>
                <w:szCs w:val="24"/>
              </w:rPr>
              <w:t xml:space="preserve"> (percent)</w:t>
            </w:r>
          </w:p>
        </w:tc>
      </w:tr>
      <w:tr w:rsidR="00B25DA6" w:rsidRPr="00777FEB" w:rsidTr="007C138F">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696"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rPr>
                <w:rFonts w:ascii="Garamond" w:hAnsi="Garamond" w:cs="Calibri"/>
                <w:color w:val="000000" w:themeColor="text1"/>
                <w:sz w:val="24"/>
                <w:szCs w:val="24"/>
              </w:rPr>
            </w:pPr>
          </w:p>
        </w:tc>
        <w:tc>
          <w:tcPr>
            <w:tcW w:w="1276"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92"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967" w:type="dxa"/>
            <w:tcBorders>
              <w:bottom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c>
          <w:tcPr>
            <w:tcW w:w="1585" w:type="dxa"/>
            <w:vMerge/>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p>
        </w:tc>
        <w:tc>
          <w:tcPr>
            <w:tcW w:w="1417"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78"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B25DA6" w:rsidRPr="00777FEB" w:rsidRDefault="00B25DA6" w:rsidP="007C138F">
            <w:pPr>
              <w:ind w:left="-21"/>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1063" w:type="dxa"/>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B25DA6" w:rsidRPr="00777FEB" w:rsidRDefault="00B25DA6" w:rsidP="007C138F">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4931" w:type="dxa"/>
            <w:gridSpan w:val="4"/>
            <w:tcBorders>
              <w:top w:val="single" w:sz="4" w:space="0" w:color="4472C4" w:themeColor="accent5"/>
              <w:left w:val="single" w:sz="4" w:space="0" w:color="4472C4" w:themeColor="accent5"/>
            </w:tcBorders>
            <w:vAlign w:val="center"/>
          </w:tcPr>
          <w:p w:rsidR="00B25DA6" w:rsidRDefault="00B25DA6" w:rsidP="007C138F">
            <w:pPr>
              <w:rPr>
                <w:rFonts w:ascii="Garamond" w:hAnsi="Garamond" w:cs="Calibri"/>
                <w:color w:val="000000"/>
                <w:sz w:val="24"/>
                <w:szCs w:val="24"/>
              </w:rPr>
            </w:pPr>
            <w:r>
              <w:rPr>
                <w:rFonts w:ascii="Garamond" w:hAnsi="Garamond" w:cs="Calibri"/>
                <w:color w:val="000000"/>
                <w:sz w:val="24"/>
                <w:szCs w:val="24"/>
              </w:rPr>
              <w:t>MCX</w:t>
            </w:r>
          </w:p>
        </w:tc>
        <w:tc>
          <w:tcPr>
            <w:tcW w:w="1585" w:type="dxa"/>
            <w:tcBorders>
              <w:top w:val="single" w:sz="4" w:space="0" w:color="4472C4" w:themeColor="accent5"/>
            </w:tcBorders>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p>
        </w:tc>
        <w:tc>
          <w:tcPr>
            <w:tcW w:w="1417" w:type="dxa"/>
            <w:tcBorders>
              <w:top w:val="single" w:sz="4" w:space="0" w:color="4472C4" w:themeColor="accent5"/>
            </w:tcBorders>
            <w:vAlign w:val="center"/>
          </w:tcPr>
          <w:p w:rsidR="00B25DA6"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single" w:sz="4" w:space="0" w:color="4472C4" w:themeColor="accent5"/>
            </w:tcBorders>
            <w:vAlign w:val="center"/>
          </w:tcPr>
          <w:p w:rsidR="00B25DA6"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rPr>
            </w:pPr>
          </w:p>
        </w:tc>
        <w:tc>
          <w:tcPr>
            <w:tcW w:w="1063" w:type="dxa"/>
            <w:tcBorders>
              <w:top w:val="single" w:sz="4" w:space="0" w:color="4472C4" w:themeColor="accent5"/>
              <w:right w:val="single" w:sz="4" w:space="0" w:color="4472C4" w:themeColor="accent5"/>
            </w:tcBorders>
            <w:vAlign w:val="center"/>
          </w:tcPr>
          <w:p w:rsidR="00B25DA6"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4472C4" w:themeColor="accent5"/>
              <w:left w:val="single" w:sz="4" w:space="0" w:color="4472C4" w:themeColor="accent5"/>
            </w:tcBorders>
            <w:vAlign w:val="center"/>
          </w:tcPr>
          <w:p w:rsidR="00B25DA6" w:rsidRPr="00777FEB" w:rsidRDefault="00B25DA6" w:rsidP="007C138F">
            <w:pPr>
              <w:rPr>
                <w:rFonts w:ascii="Garamond" w:eastAsia="Times New Roman" w:hAnsi="Garamond" w:cs="Calibri"/>
                <w:b w:val="0"/>
                <w:color w:val="000000"/>
                <w:sz w:val="24"/>
                <w:szCs w:val="24"/>
              </w:rPr>
            </w:pPr>
            <w:r w:rsidRPr="00777FEB">
              <w:rPr>
                <w:rFonts w:ascii="Garamond" w:hAnsi="Garamond" w:cs="Calibri"/>
                <w:b w:val="0"/>
                <w:color w:val="000000"/>
                <w:sz w:val="24"/>
                <w:szCs w:val="24"/>
              </w:rPr>
              <w:t>Aluminum</w:t>
            </w:r>
          </w:p>
        </w:tc>
        <w:tc>
          <w:tcPr>
            <w:tcW w:w="1276" w:type="dxa"/>
            <w:tcBorders>
              <w:top w:val="single" w:sz="4" w:space="0" w:color="4472C4" w:themeColor="accent5"/>
            </w:tcBorders>
            <w:vAlign w:val="center"/>
          </w:tcPr>
          <w:p w:rsidR="00B25DA6" w:rsidRPr="0019110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139.35</w:t>
            </w:r>
          </w:p>
        </w:tc>
        <w:tc>
          <w:tcPr>
            <w:tcW w:w="992" w:type="dxa"/>
            <w:tcBorders>
              <w:top w:val="single" w:sz="4" w:space="0" w:color="4472C4" w:themeColor="accent5"/>
            </w:tcBorders>
            <w:vAlign w:val="center"/>
          </w:tcPr>
          <w:p w:rsidR="00B25DA6" w:rsidRPr="0019110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-1.6</w:t>
            </w:r>
          </w:p>
        </w:tc>
        <w:tc>
          <w:tcPr>
            <w:tcW w:w="967" w:type="dxa"/>
            <w:tcBorders>
              <w:top w:val="single" w:sz="4" w:space="0" w:color="4472C4" w:themeColor="accent5"/>
            </w:tcBorders>
            <w:vAlign w:val="center"/>
          </w:tcPr>
          <w:p w:rsidR="00B25DA6" w:rsidRPr="0019110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9.0</w:t>
            </w:r>
          </w:p>
        </w:tc>
        <w:tc>
          <w:tcPr>
            <w:tcW w:w="1585" w:type="dxa"/>
            <w:tcBorders>
              <w:top w:val="single" w:sz="4" w:space="0" w:color="4472C4" w:themeColor="accent5"/>
            </w:tcBorders>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4"/>
                <w:szCs w:val="24"/>
              </w:rPr>
            </w:pPr>
            <w:r w:rsidRPr="00777FEB">
              <w:rPr>
                <w:rFonts w:ascii="Garamond" w:hAnsi="Garamond" w:cs="Calibri"/>
                <w:color w:val="000000"/>
                <w:sz w:val="24"/>
                <w:szCs w:val="24"/>
              </w:rPr>
              <w:t>Guar seed</w:t>
            </w:r>
          </w:p>
        </w:tc>
        <w:tc>
          <w:tcPr>
            <w:tcW w:w="1417" w:type="dxa"/>
            <w:tcBorders>
              <w:top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4288.5</w:t>
            </w:r>
          </w:p>
        </w:tc>
        <w:tc>
          <w:tcPr>
            <w:tcW w:w="978" w:type="dxa"/>
            <w:tcBorders>
              <w:top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-7.0</w:t>
            </w:r>
          </w:p>
        </w:tc>
        <w:tc>
          <w:tcPr>
            <w:tcW w:w="1063" w:type="dxa"/>
            <w:tcBorders>
              <w:top w:val="single" w:sz="4" w:space="0" w:color="4472C4" w:themeColor="accent5"/>
              <w:right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14.3</w:t>
            </w: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Copper</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453.6</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0.6</w:t>
            </w:r>
          </w:p>
        </w:tc>
        <w:tc>
          <w:tcPr>
            <w:tcW w:w="96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13.2</w:t>
            </w:r>
          </w:p>
        </w:tc>
        <w:tc>
          <w:tcPr>
            <w:tcW w:w="1585" w:type="dxa"/>
            <w:vAlign w:val="center"/>
          </w:tcPr>
          <w:p w:rsidR="00B25DA6" w:rsidRPr="00777FEB" w:rsidRDefault="00B25DA6" w:rsidP="007C138F">
            <w:pPr>
              <w:ind w:left="176" w:hanging="176"/>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Guar Gum</w:t>
            </w:r>
          </w:p>
        </w:tc>
        <w:tc>
          <w:tcPr>
            <w:tcW w:w="141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9201</w:t>
            </w:r>
          </w:p>
        </w:tc>
        <w:tc>
          <w:tcPr>
            <w:tcW w:w="978"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-7.7</w:t>
            </w:r>
          </w:p>
        </w:tc>
        <w:tc>
          <w:tcPr>
            <w:tcW w:w="1063" w:type="dxa"/>
            <w:tcBorders>
              <w:right w:val="single" w:sz="4" w:space="0" w:color="4472C4" w:themeColor="accent5"/>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16.3</w:t>
            </w: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Crude Oil</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4093</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-0.5</w:t>
            </w:r>
          </w:p>
        </w:tc>
        <w:tc>
          <w:tcPr>
            <w:tcW w:w="96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14.8</w:t>
            </w:r>
          </w:p>
        </w:tc>
        <w:tc>
          <w:tcPr>
            <w:tcW w:w="1585" w:type="dxa"/>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Soybean</w:t>
            </w:r>
          </w:p>
        </w:tc>
        <w:tc>
          <w:tcPr>
            <w:tcW w:w="141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3802</w:t>
            </w:r>
          </w:p>
        </w:tc>
        <w:tc>
          <w:tcPr>
            <w:tcW w:w="978"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3.2</w:t>
            </w:r>
          </w:p>
        </w:tc>
        <w:tc>
          <w:tcPr>
            <w:tcW w:w="1063" w:type="dxa"/>
            <w:tcBorders>
              <w:right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29.5</w:t>
            </w: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Gold</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30379</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0.9</w:t>
            </w:r>
          </w:p>
        </w:tc>
        <w:tc>
          <w:tcPr>
            <w:tcW w:w="96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2.7</w:t>
            </w:r>
          </w:p>
        </w:tc>
        <w:tc>
          <w:tcPr>
            <w:tcW w:w="1585" w:type="dxa"/>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Chana</w:t>
            </w:r>
          </w:p>
        </w:tc>
        <w:tc>
          <w:tcPr>
            <w:tcW w:w="141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3668</w:t>
            </w:r>
          </w:p>
        </w:tc>
        <w:tc>
          <w:tcPr>
            <w:tcW w:w="978"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-4.6</w:t>
            </w:r>
          </w:p>
        </w:tc>
        <w:tc>
          <w:tcPr>
            <w:tcW w:w="1063" w:type="dxa"/>
            <w:tcBorders>
              <w:right w:val="single" w:sz="4" w:space="0" w:color="4472C4" w:themeColor="accent5"/>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NA</w:t>
            </w: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jc w:val="both"/>
              <w:rPr>
                <w:rFonts w:ascii="Garamond" w:hAnsi="Garamond" w:cs="Calibri"/>
                <w:b w:val="0"/>
                <w:color w:val="000000"/>
                <w:sz w:val="24"/>
                <w:szCs w:val="24"/>
              </w:rPr>
            </w:pPr>
            <w:r w:rsidRPr="00777FEB">
              <w:rPr>
                <w:rFonts w:ascii="Garamond" w:hAnsi="Garamond" w:cs="Calibri"/>
                <w:b w:val="0"/>
                <w:color w:val="000000"/>
                <w:sz w:val="24"/>
                <w:szCs w:val="24"/>
              </w:rPr>
              <w:t>Lead</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163.8</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-2.0</w:t>
            </w:r>
          </w:p>
        </w:tc>
        <w:tc>
          <w:tcPr>
            <w:tcW w:w="96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8.8</w:t>
            </w:r>
          </w:p>
        </w:tc>
        <w:tc>
          <w:tcPr>
            <w:tcW w:w="1585" w:type="dxa"/>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Turmeric</w:t>
            </w:r>
          </w:p>
        </w:tc>
        <w:tc>
          <w:tcPr>
            <w:tcW w:w="141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6578</w:t>
            </w:r>
          </w:p>
        </w:tc>
        <w:tc>
          <w:tcPr>
            <w:tcW w:w="978"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-9.1</w:t>
            </w:r>
          </w:p>
        </w:tc>
        <w:tc>
          <w:tcPr>
            <w:tcW w:w="1063" w:type="dxa"/>
            <w:tcBorders>
              <w:right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-4.3</w:t>
            </w: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Natural Gas</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175.9</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-7.7</w:t>
            </w:r>
          </w:p>
        </w:tc>
        <w:tc>
          <w:tcPr>
            <w:tcW w:w="96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-4.9</w:t>
            </w:r>
          </w:p>
        </w:tc>
        <w:tc>
          <w:tcPr>
            <w:tcW w:w="1585" w:type="dxa"/>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RM seed</w:t>
            </w:r>
          </w:p>
        </w:tc>
        <w:tc>
          <w:tcPr>
            <w:tcW w:w="141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4085</w:t>
            </w:r>
          </w:p>
        </w:tc>
        <w:tc>
          <w:tcPr>
            <w:tcW w:w="978"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-1.2</w:t>
            </w:r>
          </w:p>
        </w:tc>
        <w:tc>
          <w:tcPr>
            <w:tcW w:w="1063" w:type="dxa"/>
            <w:tcBorders>
              <w:right w:val="single" w:sz="4" w:space="0" w:color="4472C4" w:themeColor="accent5"/>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6.2</w:t>
            </w: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Nickel</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896.1</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3.8</w:t>
            </w:r>
          </w:p>
        </w:tc>
        <w:tc>
          <w:tcPr>
            <w:tcW w:w="96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23.5</w:t>
            </w:r>
          </w:p>
        </w:tc>
        <w:tc>
          <w:tcPr>
            <w:tcW w:w="1585" w:type="dxa"/>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Ref</w:t>
            </w:r>
            <w:r>
              <w:rPr>
                <w:rFonts w:ascii="Garamond" w:hAnsi="Garamond" w:cs="Calibri"/>
                <w:color w:val="000000"/>
                <w:sz w:val="24"/>
                <w:szCs w:val="24"/>
              </w:rPr>
              <w:t xml:space="preserve">. </w:t>
            </w:r>
            <w:r w:rsidRPr="00777FEB">
              <w:rPr>
                <w:rFonts w:ascii="Garamond" w:hAnsi="Garamond" w:cs="Calibri"/>
                <w:color w:val="000000"/>
                <w:sz w:val="24"/>
                <w:szCs w:val="24"/>
              </w:rPr>
              <w:t>Soy Oil</w:t>
            </w:r>
          </w:p>
        </w:tc>
        <w:tc>
          <w:tcPr>
            <w:tcW w:w="141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755.9</w:t>
            </w:r>
          </w:p>
        </w:tc>
        <w:tc>
          <w:tcPr>
            <w:tcW w:w="978"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1.4</w:t>
            </w:r>
          </w:p>
        </w:tc>
        <w:tc>
          <w:tcPr>
            <w:tcW w:w="1063" w:type="dxa"/>
            <w:tcBorders>
              <w:right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11.9</w:t>
            </w: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Silver</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38246</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-2.7</w:t>
            </w:r>
          </w:p>
        </w:tc>
        <w:tc>
          <w:tcPr>
            <w:tcW w:w="96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-11.6</w:t>
            </w:r>
          </w:p>
        </w:tc>
        <w:tc>
          <w:tcPr>
            <w:tcW w:w="1585" w:type="dxa"/>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Cotton seed oil cake</w:t>
            </w:r>
          </w:p>
        </w:tc>
        <w:tc>
          <w:tcPr>
            <w:tcW w:w="141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1549.5</w:t>
            </w:r>
          </w:p>
        </w:tc>
        <w:tc>
          <w:tcPr>
            <w:tcW w:w="978"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-10.2</w:t>
            </w:r>
          </w:p>
        </w:tc>
        <w:tc>
          <w:tcPr>
            <w:tcW w:w="1063" w:type="dxa"/>
            <w:tcBorders>
              <w:right w:val="single" w:sz="4" w:space="0" w:color="4472C4" w:themeColor="accent5"/>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-31.6</w:t>
            </w: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Zinc</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226.2</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-1.0</w:t>
            </w:r>
          </w:p>
        </w:tc>
        <w:tc>
          <w:tcPr>
            <w:tcW w:w="96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20.4</w:t>
            </w:r>
          </w:p>
        </w:tc>
        <w:tc>
          <w:tcPr>
            <w:tcW w:w="1585" w:type="dxa"/>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Wheat</w:t>
            </w:r>
          </w:p>
        </w:tc>
        <w:tc>
          <w:tcPr>
            <w:tcW w:w="141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1760</w:t>
            </w:r>
          </w:p>
        </w:tc>
        <w:tc>
          <w:tcPr>
            <w:tcW w:w="978"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6.0</w:t>
            </w:r>
          </w:p>
        </w:tc>
        <w:tc>
          <w:tcPr>
            <w:tcW w:w="1063" w:type="dxa"/>
            <w:tcBorders>
              <w:right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5.9</w:t>
            </w: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Cardamom</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1081.7</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-7.8</w:t>
            </w:r>
          </w:p>
        </w:tc>
        <w:tc>
          <w:tcPr>
            <w:tcW w:w="96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-26.3</w:t>
            </w:r>
          </w:p>
        </w:tc>
        <w:tc>
          <w:tcPr>
            <w:tcW w:w="1585" w:type="dxa"/>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Jeera </w:t>
            </w:r>
          </w:p>
        </w:tc>
        <w:tc>
          <w:tcPr>
            <w:tcW w:w="141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14895</w:t>
            </w:r>
          </w:p>
        </w:tc>
        <w:tc>
          <w:tcPr>
            <w:tcW w:w="978"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-9.9</w:t>
            </w:r>
          </w:p>
        </w:tc>
        <w:tc>
          <w:tcPr>
            <w:tcW w:w="1063" w:type="dxa"/>
            <w:tcBorders>
              <w:right w:val="single" w:sz="4" w:space="0" w:color="4472C4" w:themeColor="accent5"/>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-11.8</w:t>
            </w: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Cotton</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20640</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6.6</w:t>
            </w:r>
          </w:p>
        </w:tc>
        <w:tc>
          <w:tcPr>
            <w:tcW w:w="96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-2.0</w:t>
            </w:r>
          </w:p>
        </w:tc>
        <w:tc>
          <w:tcPr>
            <w:tcW w:w="1585" w:type="dxa"/>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Coriander </w:t>
            </w:r>
          </w:p>
        </w:tc>
        <w:tc>
          <w:tcPr>
            <w:tcW w:w="141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5519</w:t>
            </w:r>
          </w:p>
        </w:tc>
        <w:tc>
          <w:tcPr>
            <w:tcW w:w="978"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-7.2</w:t>
            </w:r>
          </w:p>
        </w:tc>
        <w:tc>
          <w:tcPr>
            <w:tcW w:w="1063" w:type="dxa"/>
            <w:tcBorders>
              <w:right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-15.1</w:t>
            </w: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CPO</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597</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6.5</w:t>
            </w:r>
          </w:p>
        </w:tc>
        <w:tc>
          <w:tcPr>
            <w:tcW w:w="96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9.2</w:t>
            </w:r>
          </w:p>
        </w:tc>
        <w:tc>
          <w:tcPr>
            <w:tcW w:w="1585" w:type="dxa"/>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 xml:space="preserve">Barley </w:t>
            </w:r>
          </w:p>
        </w:tc>
        <w:tc>
          <w:tcPr>
            <w:tcW w:w="1417"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1451</w:t>
            </w:r>
          </w:p>
        </w:tc>
        <w:tc>
          <w:tcPr>
            <w:tcW w:w="978"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-1.2</w:t>
            </w:r>
          </w:p>
        </w:tc>
        <w:tc>
          <w:tcPr>
            <w:tcW w:w="1063" w:type="dxa"/>
            <w:tcBorders>
              <w:right w:val="single" w:sz="4" w:space="0" w:color="4472C4" w:themeColor="accent5"/>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-5.3</w:t>
            </w: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color w:val="000000"/>
                <w:sz w:val="24"/>
                <w:szCs w:val="24"/>
              </w:rPr>
              <w:t>Mentha Oil</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1295.4</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-26.6</w:t>
            </w:r>
          </w:p>
        </w:tc>
        <w:tc>
          <w:tcPr>
            <w:tcW w:w="967"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24.1</w:t>
            </w:r>
          </w:p>
        </w:tc>
        <w:tc>
          <w:tcPr>
            <w:tcW w:w="1585" w:type="dxa"/>
            <w:tcBorders>
              <w:bottom w:val="single" w:sz="4" w:space="0" w:color="0070C0"/>
            </w:tcBorders>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777FEB">
              <w:rPr>
                <w:rFonts w:ascii="Garamond" w:hAnsi="Garamond" w:cs="Calibri"/>
                <w:color w:val="000000"/>
                <w:sz w:val="24"/>
                <w:szCs w:val="24"/>
              </w:rPr>
              <w:t>Castor Seed</w:t>
            </w:r>
          </w:p>
        </w:tc>
        <w:tc>
          <w:tcPr>
            <w:tcW w:w="1417" w:type="dxa"/>
            <w:tcBorders>
              <w:bottom w:val="single" w:sz="4" w:space="0" w:color="0070C0"/>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4113</w:t>
            </w:r>
          </w:p>
        </w:tc>
        <w:tc>
          <w:tcPr>
            <w:tcW w:w="978" w:type="dxa"/>
            <w:tcBorders>
              <w:bottom w:val="single" w:sz="4" w:space="0" w:color="0070C0"/>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-3.3</w:t>
            </w:r>
          </w:p>
        </w:tc>
        <w:tc>
          <w:tcPr>
            <w:tcW w:w="1063" w:type="dxa"/>
            <w:tcBorders>
              <w:bottom w:val="single" w:sz="4" w:space="0" w:color="0070C0"/>
              <w:right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3.0</w:t>
            </w:r>
          </w:p>
        </w:tc>
      </w:tr>
      <w:tr w:rsidR="00B25DA6" w:rsidRPr="00777FEB" w:rsidTr="007C138F">
        <w:trPr>
          <w:trHeight w:val="125"/>
        </w:trPr>
        <w:tc>
          <w:tcPr>
            <w:cnfStyle w:val="001000000000" w:firstRow="0" w:lastRow="0" w:firstColumn="1" w:lastColumn="0" w:oddVBand="0" w:evenVBand="0" w:oddHBand="0" w:evenHBand="0" w:firstRowFirstColumn="0" w:firstRowLastColumn="0" w:lastRowFirstColumn="0" w:lastRowLastColumn="0"/>
            <w:tcW w:w="4931" w:type="dxa"/>
            <w:gridSpan w:val="4"/>
            <w:tcBorders>
              <w:left w:val="single" w:sz="4" w:space="0" w:color="4472C4" w:themeColor="accent5"/>
              <w:right w:val="single" w:sz="4" w:space="0" w:color="0070C0"/>
            </w:tcBorders>
            <w:vAlign w:val="center"/>
          </w:tcPr>
          <w:p w:rsidR="00B25DA6" w:rsidRPr="00777FEB" w:rsidRDefault="00B25DA6" w:rsidP="007C138F">
            <w:pPr>
              <w:rPr>
                <w:rFonts w:ascii="Garamond" w:hAnsi="Garamond" w:cs="Arial"/>
                <w:sz w:val="24"/>
                <w:szCs w:val="24"/>
              </w:rPr>
            </w:pPr>
            <w:r>
              <w:rPr>
                <w:rFonts w:ascii="Garamond" w:hAnsi="Garamond" w:cs="Arial"/>
                <w:sz w:val="24"/>
                <w:szCs w:val="24"/>
              </w:rPr>
              <w:t>NMCE</w:t>
            </w:r>
          </w:p>
        </w:tc>
        <w:tc>
          <w:tcPr>
            <w:tcW w:w="1585" w:type="dxa"/>
            <w:tcBorders>
              <w:top w:val="single" w:sz="4" w:space="0" w:color="0070C0"/>
              <w:left w:val="single" w:sz="4" w:space="0" w:color="0070C0"/>
              <w:bottom w:val="nil"/>
              <w:right w:val="nil"/>
            </w:tcBorders>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p>
        </w:tc>
        <w:tc>
          <w:tcPr>
            <w:tcW w:w="1417" w:type="dxa"/>
            <w:tcBorders>
              <w:top w:val="single" w:sz="4" w:space="0" w:color="0070C0"/>
              <w:left w:val="nil"/>
              <w:bottom w:val="nil"/>
              <w:right w:val="nil"/>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single" w:sz="4" w:space="0" w:color="0070C0"/>
              <w:left w:val="nil"/>
              <w:bottom w:val="nil"/>
              <w:right w:val="nil"/>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single" w:sz="4" w:space="0" w:color="0070C0"/>
              <w:left w:val="nil"/>
              <w:bottom w:val="nil"/>
              <w:right w:val="single" w:sz="4" w:space="0" w:color="4472C4" w:themeColor="accent5"/>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eastAsia="Times New Roman" w:hAnsi="Garamond" w:cs="Calibri"/>
                <w:b w:val="0"/>
                <w:color w:val="000000"/>
                <w:sz w:val="24"/>
                <w:szCs w:val="24"/>
              </w:rPr>
            </w:pPr>
            <w:r w:rsidRPr="00777FEB">
              <w:rPr>
                <w:rFonts w:ascii="Garamond" w:hAnsi="Garamond" w:cs="Calibri"/>
                <w:b w:val="0"/>
                <w:color w:val="000000"/>
                <w:sz w:val="24"/>
                <w:szCs w:val="24"/>
              </w:rPr>
              <w:t xml:space="preserve">Castor Seed </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3B3B3B"/>
                <w:sz w:val="24"/>
                <w:szCs w:val="24"/>
              </w:rPr>
            </w:pPr>
            <w:r>
              <w:rPr>
                <w:rFonts w:ascii="Garamond" w:eastAsia="Times New Roman" w:hAnsi="Garamond" w:cs="Arial"/>
                <w:color w:val="3B3B3B"/>
                <w:sz w:val="24"/>
                <w:szCs w:val="24"/>
              </w:rPr>
              <w:t>4115</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-3.1</w:t>
            </w:r>
          </w:p>
        </w:tc>
        <w:tc>
          <w:tcPr>
            <w:tcW w:w="967" w:type="dxa"/>
            <w:tcBorders>
              <w:right w:val="single" w:sz="4" w:space="0" w:color="0070C0"/>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3.3</w:t>
            </w:r>
          </w:p>
        </w:tc>
        <w:tc>
          <w:tcPr>
            <w:tcW w:w="1585" w:type="dxa"/>
            <w:tcBorders>
              <w:top w:val="nil"/>
              <w:left w:val="single" w:sz="4" w:space="0" w:color="0070C0"/>
              <w:bottom w:val="nil"/>
              <w:right w:val="nil"/>
            </w:tcBorders>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iCs/>
                <w:color w:val="000000"/>
                <w:sz w:val="24"/>
                <w:szCs w:val="24"/>
              </w:rPr>
            </w:pPr>
            <w:r w:rsidRPr="00777FEB">
              <w:rPr>
                <w:rFonts w:ascii="Garamond" w:hAnsi="Garamond" w:cs="Calibri"/>
                <w:b w:val="0"/>
                <w:iCs/>
                <w:color w:val="000000"/>
                <w:sz w:val="24"/>
                <w:szCs w:val="24"/>
              </w:rPr>
              <w:t xml:space="preserve">Rubber </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12576</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1.9</w:t>
            </w:r>
          </w:p>
        </w:tc>
        <w:tc>
          <w:tcPr>
            <w:tcW w:w="967" w:type="dxa"/>
            <w:tcBorders>
              <w:right w:val="single" w:sz="4" w:space="0" w:color="0070C0"/>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-12.6</w:t>
            </w:r>
          </w:p>
        </w:tc>
        <w:tc>
          <w:tcPr>
            <w:tcW w:w="1585" w:type="dxa"/>
            <w:tcBorders>
              <w:top w:val="nil"/>
              <w:left w:val="single" w:sz="4" w:space="0" w:color="0070C0"/>
              <w:bottom w:val="nil"/>
              <w:right w:val="nil"/>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417" w:type="dxa"/>
            <w:tcBorders>
              <w:top w:val="nil"/>
              <w:left w:val="nil"/>
              <w:bottom w:val="nil"/>
              <w:right w:val="nil"/>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iCs/>
                <w:color w:val="000000"/>
                <w:sz w:val="24"/>
                <w:szCs w:val="24"/>
              </w:rPr>
            </w:pPr>
            <w:r w:rsidRPr="00777FEB">
              <w:rPr>
                <w:rFonts w:ascii="Garamond" w:hAnsi="Garamond" w:cs="Calibri"/>
                <w:b w:val="0"/>
                <w:iCs/>
                <w:color w:val="000000"/>
                <w:sz w:val="24"/>
                <w:szCs w:val="24"/>
              </w:rPr>
              <w:t>Raw Jute</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4303</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3.5</w:t>
            </w:r>
          </w:p>
        </w:tc>
        <w:tc>
          <w:tcPr>
            <w:tcW w:w="967" w:type="dxa"/>
            <w:tcBorders>
              <w:right w:val="single" w:sz="4" w:space="0" w:color="0070C0"/>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1.1</w:t>
            </w:r>
          </w:p>
        </w:tc>
        <w:tc>
          <w:tcPr>
            <w:tcW w:w="5043" w:type="dxa"/>
            <w:gridSpan w:val="4"/>
            <w:tcBorders>
              <w:top w:val="nil"/>
              <w:left w:val="single" w:sz="4" w:space="0" w:color="0070C0"/>
              <w:bottom w:val="nil"/>
              <w:right w:val="single" w:sz="4" w:space="0" w:color="4472C4" w:themeColor="accent5"/>
            </w:tcBorders>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iCs/>
                <w:color w:val="000000"/>
                <w:sz w:val="24"/>
                <w:szCs w:val="24"/>
              </w:rPr>
            </w:pPr>
            <w:r w:rsidRPr="00777FEB">
              <w:rPr>
                <w:rFonts w:ascii="Garamond" w:hAnsi="Garamond" w:cs="Calibri"/>
                <w:b w:val="0"/>
                <w:iCs/>
                <w:color w:val="000000"/>
                <w:sz w:val="24"/>
                <w:szCs w:val="24"/>
              </w:rPr>
              <w:t>Isabg</w:t>
            </w:r>
            <w:r>
              <w:rPr>
                <w:rFonts w:ascii="Garamond" w:hAnsi="Garamond" w:cs="Calibri"/>
                <w:b w:val="0"/>
                <w:iCs/>
                <w:color w:val="000000"/>
                <w:sz w:val="24"/>
                <w:szCs w:val="24"/>
              </w:rPr>
              <w:t>u</w:t>
            </w:r>
            <w:r w:rsidRPr="00777FEB">
              <w:rPr>
                <w:rFonts w:ascii="Garamond" w:hAnsi="Garamond" w:cs="Calibri"/>
                <w:b w:val="0"/>
                <w:iCs/>
                <w:color w:val="000000"/>
                <w:sz w:val="24"/>
                <w:szCs w:val="24"/>
              </w:rPr>
              <w:t>l Seed</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10191</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-4.2</w:t>
            </w:r>
          </w:p>
        </w:tc>
        <w:tc>
          <w:tcPr>
            <w:tcW w:w="967" w:type="dxa"/>
            <w:tcBorders>
              <w:right w:val="single" w:sz="4" w:space="0" w:color="0070C0"/>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-14.6</w:t>
            </w:r>
          </w:p>
        </w:tc>
        <w:tc>
          <w:tcPr>
            <w:tcW w:w="1585" w:type="dxa"/>
            <w:tcBorders>
              <w:top w:val="nil"/>
              <w:left w:val="single" w:sz="4" w:space="0" w:color="0070C0"/>
              <w:bottom w:val="nil"/>
              <w:right w:val="nil"/>
            </w:tcBorders>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iCs/>
                <w:color w:val="000000"/>
                <w:sz w:val="24"/>
                <w:szCs w:val="24"/>
              </w:rPr>
            </w:pPr>
            <w:r w:rsidRPr="00777FEB">
              <w:rPr>
                <w:rFonts w:ascii="Garamond" w:hAnsi="Garamond" w:cs="Calibri"/>
                <w:b w:val="0"/>
                <w:iCs/>
                <w:color w:val="000000"/>
                <w:sz w:val="24"/>
                <w:szCs w:val="24"/>
              </w:rPr>
              <w:t xml:space="preserve">RM seed </w:t>
            </w:r>
          </w:p>
        </w:tc>
        <w:tc>
          <w:tcPr>
            <w:tcW w:w="1276"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682.1</w:t>
            </w:r>
          </w:p>
        </w:tc>
        <w:tc>
          <w:tcPr>
            <w:tcW w:w="992" w:type="dxa"/>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w:t>
            </w:r>
          </w:p>
        </w:tc>
        <w:tc>
          <w:tcPr>
            <w:tcW w:w="967" w:type="dxa"/>
            <w:tcBorders>
              <w:right w:val="single" w:sz="4" w:space="0" w:color="0070C0"/>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4.5</w:t>
            </w:r>
          </w:p>
        </w:tc>
        <w:tc>
          <w:tcPr>
            <w:tcW w:w="1585" w:type="dxa"/>
            <w:tcBorders>
              <w:top w:val="nil"/>
              <w:left w:val="single" w:sz="4" w:space="0" w:color="0070C0"/>
              <w:bottom w:val="nil"/>
              <w:right w:val="nil"/>
            </w:tcBorders>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B25DA6" w:rsidRPr="00777FEB" w:rsidTr="007C138F">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tcBorders>
            <w:vAlign w:val="center"/>
          </w:tcPr>
          <w:p w:rsidR="00B25DA6" w:rsidRPr="00777FEB" w:rsidRDefault="00B25DA6" w:rsidP="007C138F">
            <w:pPr>
              <w:rPr>
                <w:rFonts w:ascii="Garamond" w:hAnsi="Garamond" w:cs="Calibri"/>
                <w:b w:val="0"/>
                <w:color w:val="000000"/>
                <w:sz w:val="24"/>
                <w:szCs w:val="24"/>
              </w:rPr>
            </w:pPr>
            <w:r w:rsidRPr="00777FEB">
              <w:rPr>
                <w:rFonts w:ascii="Garamond" w:hAnsi="Garamond" w:cs="Calibri"/>
                <w:b w:val="0"/>
                <w:bCs w:val="0"/>
                <w:color w:val="000000"/>
                <w:sz w:val="24"/>
                <w:szCs w:val="24"/>
              </w:rPr>
              <w:t>Guar Seed</w:t>
            </w:r>
          </w:p>
        </w:tc>
        <w:tc>
          <w:tcPr>
            <w:tcW w:w="1276"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4275</w:t>
            </w:r>
          </w:p>
        </w:tc>
        <w:tc>
          <w:tcPr>
            <w:tcW w:w="992" w:type="dxa"/>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-7.7</w:t>
            </w:r>
          </w:p>
        </w:tc>
        <w:tc>
          <w:tcPr>
            <w:tcW w:w="967" w:type="dxa"/>
            <w:tcBorders>
              <w:right w:val="single" w:sz="4" w:space="0" w:color="0070C0"/>
            </w:tcBorders>
            <w:vAlign w:val="center"/>
          </w:tcPr>
          <w:p w:rsidR="00B25DA6" w:rsidRPr="00777FEB" w:rsidRDefault="00B25DA6" w:rsidP="007C138F">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15.2</w:t>
            </w:r>
          </w:p>
        </w:tc>
        <w:tc>
          <w:tcPr>
            <w:tcW w:w="1585" w:type="dxa"/>
            <w:tcBorders>
              <w:top w:val="nil"/>
              <w:left w:val="single" w:sz="4" w:space="0" w:color="0070C0"/>
              <w:bottom w:val="nil"/>
              <w:right w:val="nil"/>
            </w:tcBorders>
            <w:vAlign w:val="center"/>
          </w:tcPr>
          <w:p w:rsidR="00B25DA6" w:rsidRPr="00777FEB" w:rsidRDefault="00B25DA6" w:rsidP="007C138F">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17" w:type="dxa"/>
            <w:tcBorders>
              <w:top w:val="nil"/>
              <w:left w:val="nil"/>
              <w:bottom w:val="nil"/>
              <w:right w:val="nil"/>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78" w:type="dxa"/>
            <w:tcBorders>
              <w:top w:val="nil"/>
              <w:left w:val="nil"/>
              <w:bottom w:val="nil"/>
              <w:right w:val="nil"/>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1063" w:type="dxa"/>
            <w:tcBorders>
              <w:top w:val="nil"/>
              <w:left w:val="nil"/>
              <w:bottom w:val="nil"/>
              <w:right w:val="single" w:sz="4" w:space="0" w:color="4472C4" w:themeColor="accent5"/>
            </w:tcBorders>
            <w:vAlign w:val="center"/>
          </w:tcPr>
          <w:p w:rsidR="00B25DA6" w:rsidRPr="00777FEB" w:rsidRDefault="00B25DA6" w:rsidP="007C138F">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r w:rsidR="00B25DA6" w:rsidRPr="00777FEB" w:rsidTr="007C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4472C4" w:themeColor="accent5"/>
              <w:bottom w:val="single" w:sz="4" w:space="0" w:color="4472C4" w:themeColor="accent5"/>
            </w:tcBorders>
            <w:vAlign w:val="center"/>
          </w:tcPr>
          <w:p w:rsidR="00B25DA6" w:rsidRPr="00777FEB" w:rsidRDefault="00B25DA6" w:rsidP="007C138F">
            <w:pPr>
              <w:rPr>
                <w:rFonts w:ascii="Garamond" w:hAnsi="Garamond" w:cs="Calibri"/>
                <w:b w:val="0"/>
                <w:bCs w:val="0"/>
                <w:iCs/>
                <w:color w:val="000000"/>
                <w:sz w:val="24"/>
                <w:szCs w:val="24"/>
              </w:rPr>
            </w:pPr>
            <w:r w:rsidRPr="00777FEB">
              <w:rPr>
                <w:rFonts w:ascii="Garamond" w:hAnsi="Garamond" w:cs="Calibri"/>
                <w:b w:val="0"/>
                <w:bCs w:val="0"/>
                <w:iCs/>
                <w:color w:val="000000"/>
                <w:sz w:val="24"/>
                <w:szCs w:val="24"/>
              </w:rPr>
              <w:t>Pepper</w:t>
            </w:r>
          </w:p>
        </w:tc>
        <w:tc>
          <w:tcPr>
            <w:tcW w:w="1276" w:type="dxa"/>
            <w:tcBorders>
              <w:bottom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39123</w:t>
            </w:r>
          </w:p>
        </w:tc>
        <w:tc>
          <w:tcPr>
            <w:tcW w:w="992" w:type="dxa"/>
            <w:tcBorders>
              <w:bottom w:val="single" w:sz="4" w:space="0" w:color="4472C4" w:themeColor="accent5"/>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-8.4</w:t>
            </w:r>
          </w:p>
        </w:tc>
        <w:tc>
          <w:tcPr>
            <w:tcW w:w="967" w:type="dxa"/>
            <w:tcBorders>
              <w:bottom w:val="single" w:sz="4" w:space="0" w:color="4472C4" w:themeColor="accent5"/>
              <w:right w:val="single" w:sz="4" w:space="0" w:color="0070C0"/>
            </w:tcBorders>
            <w:vAlign w:val="center"/>
          </w:tcPr>
          <w:p w:rsidR="00B25DA6" w:rsidRPr="00777FEB" w:rsidRDefault="00B25DA6" w:rsidP="007C138F">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-37.3</w:t>
            </w:r>
          </w:p>
        </w:tc>
        <w:tc>
          <w:tcPr>
            <w:tcW w:w="1585" w:type="dxa"/>
            <w:tcBorders>
              <w:top w:val="nil"/>
              <w:left w:val="single" w:sz="4" w:space="0" w:color="0070C0"/>
              <w:bottom w:val="single" w:sz="4" w:space="0" w:color="4472C4" w:themeColor="accent5"/>
              <w:right w:val="nil"/>
            </w:tcBorders>
            <w:vAlign w:val="center"/>
          </w:tcPr>
          <w:p w:rsidR="00B25DA6" w:rsidRPr="00777FEB" w:rsidRDefault="00B25DA6" w:rsidP="007C138F">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17" w:type="dxa"/>
            <w:tcBorders>
              <w:top w:val="nil"/>
              <w:left w:val="nil"/>
              <w:bottom w:val="single" w:sz="4" w:space="0" w:color="4472C4" w:themeColor="accent5"/>
              <w:right w:val="nil"/>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78" w:type="dxa"/>
            <w:tcBorders>
              <w:top w:val="nil"/>
              <w:left w:val="nil"/>
              <w:bottom w:val="single" w:sz="4" w:space="0" w:color="4472C4" w:themeColor="accent5"/>
              <w:right w:val="nil"/>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1063" w:type="dxa"/>
            <w:tcBorders>
              <w:top w:val="nil"/>
              <w:left w:val="nil"/>
              <w:bottom w:val="single" w:sz="4" w:space="0" w:color="4472C4" w:themeColor="accent5"/>
              <w:right w:val="single" w:sz="4" w:space="0" w:color="4472C4" w:themeColor="accent5"/>
            </w:tcBorders>
            <w:vAlign w:val="center"/>
          </w:tcPr>
          <w:p w:rsidR="00B25DA6" w:rsidRPr="00777FEB" w:rsidRDefault="00B25DA6" w:rsidP="007C138F">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bl>
    <w:p w:rsidR="00B25DA6" w:rsidRDefault="00B25DA6" w:rsidP="00B25DA6">
      <w:pPr>
        <w:pStyle w:val="ListParagraph"/>
        <w:spacing w:after="0" w:line="240" w:lineRule="auto"/>
        <w:ind w:left="709" w:hanging="709"/>
        <w:jc w:val="both"/>
        <w:rPr>
          <w:rFonts w:ascii="Garamond" w:hAnsi="Garamond" w:cs="Arial"/>
          <w:bCs/>
          <w:sz w:val="24"/>
          <w:szCs w:val="24"/>
        </w:rPr>
      </w:pPr>
      <w:r>
        <w:rPr>
          <w:rFonts w:ascii="Garamond" w:hAnsi="Garamond" w:cs="Arial"/>
          <w:bCs/>
          <w:sz w:val="24"/>
          <w:szCs w:val="24"/>
        </w:rPr>
        <w:t xml:space="preserve">Notes:  </w:t>
      </w:r>
      <w:r w:rsidRPr="00A45C59">
        <w:rPr>
          <w:rFonts w:ascii="Garamond" w:hAnsi="Garamond" w:cs="Arial"/>
          <w:bCs/>
          <w:sz w:val="24"/>
          <w:szCs w:val="24"/>
        </w:rPr>
        <w:t>Returns are calculated as percentage change in the closi</w:t>
      </w:r>
      <w:r>
        <w:rPr>
          <w:rFonts w:ascii="Garamond" w:hAnsi="Garamond" w:cs="Arial"/>
          <w:bCs/>
          <w:sz w:val="24"/>
          <w:szCs w:val="24"/>
        </w:rPr>
        <w:t>ng prices of near month contracts in the current month over that in the previous month.</w:t>
      </w:r>
    </w:p>
    <w:p w:rsidR="00B25DA6" w:rsidRDefault="00B25DA6" w:rsidP="00B25DA6">
      <w:pPr>
        <w:contextualSpacing/>
        <w:jc w:val="both"/>
        <w:rPr>
          <w:rFonts w:ascii="Garamond" w:hAnsi="Garamond" w:cs="Arial"/>
          <w:b/>
          <w:bCs/>
          <w:color w:val="000000" w:themeColor="text1"/>
          <w:sz w:val="20"/>
          <w:szCs w:val="20"/>
        </w:rPr>
      </w:pPr>
      <w:r w:rsidRPr="005B3C50">
        <w:rPr>
          <w:rFonts w:ascii="Garamond" w:hAnsi="Garamond" w:cs="Arial"/>
          <w:b/>
          <w:bCs/>
          <w:color w:val="000000" w:themeColor="text1"/>
          <w:sz w:val="20"/>
          <w:szCs w:val="20"/>
        </w:rPr>
        <w:t xml:space="preserve">Source:  MCX, NCDEX &amp; NMCE </w:t>
      </w:r>
    </w:p>
    <w:p w:rsidR="00B25DA6" w:rsidRDefault="00B25DA6" w:rsidP="00B25DA6">
      <w:pPr>
        <w:contextualSpacing/>
        <w:jc w:val="center"/>
        <w:rPr>
          <w:rFonts w:ascii="Garamond" w:hAnsi="Garamond" w:cs="Arial"/>
          <w:color w:val="282222"/>
          <w:shd w:val="clear" w:color="auto" w:fill="FFFFFF"/>
        </w:rPr>
      </w:pPr>
    </w:p>
    <w:p w:rsidR="00B25DA6" w:rsidRDefault="00B25DA6" w:rsidP="00B25DA6">
      <w:pPr>
        <w:contextualSpacing/>
        <w:jc w:val="center"/>
        <w:rPr>
          <w:rFonts w:ascii="Garamond" w:hAnsi="Garamond" w:cs="Arial"/>
          <w:color w:val="282222"/>
          <w:shd w:val="clear" w:color="auto" w:fill="FFFFFF"/>
        </w:rPr>
      </w:pPr>
    </w:p>
    <w:p w:rsidR="00B25DA6" w:rsidRDefault="00B25DA6" w:rsidP="00B25DA6">
      <w:pPr>
        <w:contextualSpacing/>
        <w:jc w:val="center"/>
        <w:rPr>
          <w:rFonts w:ascii="Garamond" w:hAnsi="Garamond" w:cs="Arial"/>
          <w:color w:val="282222"/>
          <w:shd w:val="clear" w:color="auto" w:fill="FFFFFF"/>
        </w:rPr>
      </w:pPr>
    </w:p>
    <w:p w:rsidR="00B25DA6" w:rsidRDefault="00B25DA6" w:rsidP="00B25DA6">
      <w:pPr>
        <w:pStyle w:val="ListParagraph"/>
        <w:spacing w:line="240" w:lineRule="auto"/>
        <w:ind w:left="0"/>
        <w:jc w:val="both"/>
        <w:rPr>
          <w:rFonts w:ascii="Garamond" w:eastAsia="Times New Roman" w:hAnsi="Garamond"/>
          <w:b/>
          <w:bCs/>
          <w:color w:val="333333"/>
          <w:sz w:val="24"/>
          <w:szCs w:val="24"/>
          <w:lang w:bidi="hi-IN"/>
        </w:rPr>
      </w:pPr>
      <w:r>
        <w:rPr>
          <w:rFonts w:ascii="Garamond" w:eastAsia="Times New Roman" w:hAnsi="Garamond"/>
          <w:b/>
          <w:color w:val="000000"/>
          <w:sz w:val="24"/>
          <w:szCs w:val="24"/>
        </w:rPr>
        <w:t xml:space="preserve">C. </w:t>
      </w:r>
      <w:r w:rsidRPr="00C07679">
        <w:rPr>
          <w:rFonts w:ascii="Garamond" w:eastAsia="Times New Roman" w:hAnsi="Garamond"/>
          <w:b/>
          <w:color w:val="000000"/>
          <w:sz w:val="24"/>
          <w:szCs w:val="24"/>
        </w:rPr>
        <w:t xml:space="preserve"> Second Advance Estimates of production of food grains for 201</w:t>
      </w:r>
      <w:r>
        <w:rPr>
          <w:rFonts w:ascii="Garamond" w:eastAsia="Times New Roman" w:hAnsi="Garamond"/>
          <w:b/>
          <w:color w:val="000000"/>
          <w:sz w:val="24"/>
          <w:szCs w:val="24"/>
        </w:rPr>
        <w:t>7</w:t>
      </w:r>
      <w:r w:rsidRPr="00C07679">
        <w:rPr>
          <w:rFonts w:ascii="Garamond" w:eastAsia="Times New Roman" w:hAnsi="Garamond"/>
          <w:b/>
          <w:color w:val="000000"/>
          <w:sz w:val="24"/>
          <w:szCs w:val="24"/>
        </w:rPr>
        <w:t>-1</w:t>
      </w:r>
      <w:r>
        <w:rPr>
          <w:rFonts w:ascii="Garamond" w:eastAsia="Times New Roman" w:hAnsi="Garamond"/>
          <w:b/>
          <w:color w:val="000000"/>
          <w:sz w:val="24"/>
          <w:szCs w:val="24"/>
        </w:rPr>
        <w:t>8</w:t>
      </w:r>
      <w:r w:rsidRPr="002846BE">
        <w:rPr>
          <w:rFonts w:ascii="Garamond" w:eastAsia="Times New Roman" w:hAnsi="Garamond"/>
          <w:b/>
          <w:bCs/>
          <w:color w:val="333333"/>
          <w:sz w:val="24"/>
          <w:szCs w:val="24"/>
          <w:lang w:bidi="hi-IN"/>
        </w:rPr>
        <w:t xml:space="preserve"> </w:t>
      </w:r>
    </w:p>
    <w:p w:rsidR="00B25DA6" w:rsidRPr="00C07679" w:rsidRDefault="00B25DA6" w:rsidP="00B25DA6">
      <w:pPr>
        <w:jc w:val="both"/>
        <w:rPr>
          <w:rFonts w:ascii="Garamond" w:hAnsi="Garamond" w:cs="Arial"/>
          <w:bCs/>
          <w:color w:val="000000" w:themeColor="text1"/>
        </w:rPr>
      </w:pPr>
      <w:r w:rsidRPr="00C07679">
        <w:rPr>
          <w:rFonts w:ascii="Garamond" w:hAnsi="Garamond" w:cs="Arial"/>
          <w:bCs/>
          <w:color w:val="000000" w:themeColor="text1"/>
        </w:rPr>
        <w:t>Ministry of Agriculture releases estimates of production of food grains, oil seeds and other commercial crops four times a year.  As per 2</w:t>
      </w:r>
      <w:r w:rsidRPr="006C6E4F">
        <w:rPr>
          <w:rFonts w:ascii="Garamond" w:hAnsi="Garamond" w:cs="Arial"/>
          <w:bCs/>
          <w:color w:val="000000" w:themeColor="text1"/>
          <w:vertAlign w:val="superscript"/>
        </w:rPr>
        <w:t>nd</w:t>
      </w:r>
      <w:r>
        <w:rPr>
          <w:rFonts w:ascii="Garamond" w:hAnsi="Garamond" w:cs="Arial"/>
          <w:bCs/>
          <w:color w:val="000000" w:themeColor="text1"/>
        </w:rPr>
        <w:t xml:space="preserve"> </w:t>
      </w:r>
      <w:r w:rsidRPr="00C07679">
        <w:rPr>
          <w:rFonts w:ascii="Garamond" w:hAnsi="Garamond" w:cs="Arial"/>
          <w:bCs/>
          <w:color w:val="000000" w:themeColor="text1"/>
        </w:rPr>
        <w:t>Advance Estimates</w:t>
      </w:r>
      <w:r>
        <w:rPr>
          <w:rFonts w:ascii="Garamond" w:hAnsi="Garamond" w:cs="Arial"/>
          <w:bCs/>
          <w:color w:val="000000" w:themeColor="text1"/>
        </w:rPr>
        <w:t xml:space="preserve"> released on February 27, 2018</w:t>
      </w:r>
      <w:r w:rsidRPr="00C07679">
        <w:rPr>
          <w:rFonts w:ascii="Garamond" w:hAnsi="Garamond" w:cs="Arial"/>
          <w:bCs/>
          <w:color w:val="000000" w:themeColor="text1"/>
        </w:rPr>
        <w:t xml:space="preserve">, the estimated production of major crops during </w:t>
      </w:r>
      <w:r w:rsidRPr="005A72C2">
        <w:rPr>
          <w:rFonts w:ascii="Garamond" w:hAnsi="Garamond" w:cs="Arial"/>
          <w:bCs/>
          <w:color w:val="000000" w:themeColor="text1"/>
        </w:rPr>
        <w:t>20</w:t>
      </w:r>
      <w:r>
        <w:rPr>
          <w:rFonts w:ascii="Garamond" w:hAnsi="Garamond" w:cs="Arial"/>
          <w:bCs/>
          <w:color w:val="000000" w:themeColor="text1"/>
        </w:rPr>
        <w:t>17-18</w:t>
      </w:r>
      <w:r w:rsidRPr="00C07679">
        <w:rPr>
          <w:rFonts w:ascii="Garamond" w:hAnsi="Garamond" w:cs="Arial"/>
          <w:bCs/>
          <w:color w:val="000000" w:themeColor="text1"/>
        </w:rPr>
        <w:t xml:space="preserve"> is as under:</w:t>
      </w:r>
    </w:p>
    <w:p w:rsidR="00B25DA6" w:rsidRDefault="00B25DA6" w:rsidP="00B25DA6">
      <w:pPr>
        <w:jc w:val="both"/>
        <w:rPr>
          <w:rFonts w:ascii="Garamond" w:hAnsi="Garamond" w:cs="Arial"/>
          <w:bCs/>
          <w:color w:val="000000" w:themeColor="text1"/>
        </w:rPr>
      </w:pPr>
    </w:p>
    <w:p w:rsidR="00B25DA6" w:rsidRDefault="00B25DA6" w:rsidP="00B25DA6">
      <w:pPr>
        <w:jc w:val="both"/>
        <w:rPr>
          <w:rFonts w:ascii="Garamond" w:hAnsi="Garamond" w:cs="Arial"/>
          <w:bCs/>
          <w:color w:val="000000" w:themeColor="text1"/>
        </w:rPr>
      </w:pPr>
      <w:r w:rsidRPr="00212A46">
        <w:rPr>
          <w:rFonts w:ascii="Garamond" w:hAnsi="Garamond" w:cs="Arial"/>
          <w:bCs/>
          <w:color w:val="000000" w:themeColor="text1"/>
        </w:rPr>
        <w:t>As a result of near normal rainfall during monsoon 2017,</w:t>
      </w:r>
      <w:r w:rsidRPr="00C07679">
        <w:rPr>
          <w:rFonts w:ascii="Garamond" w:hAnsi="Garamond" w:cs="Arial"/>
          <w:bCs/>
          <w:color w:val="000000" w:themeColor="text1"/>
        </w:rPr>
        <w:t xml:space="preserve"> and various policy initiatives taken by the Government, the country has witnessed record foodgrain production in the current year. As per Second Advance Estimates for 201</w:t>
      </w:r>
      <w:r>
        <w:rPr>
          <w:rFonts w:ascii="Garamond" w:hAnsi="Garamond" w:cs="Arial"/>
          <w:bCs/>
          <w:color w:val="000000" w:themeColor="text1"/>
        </w:rPr>
        <w:t>7</w:t>
      </w:r>
      <w:r w:rsidRPr="00C07679">
        <w:rPr>
          <w:rFonts w:ascii="Garamond" w:hAnsi="Garamond" w:cs="Arial"/>
          <w:bCs/>
          <w:color w:val="000000" w:themeColor="text1"/>
        </w:rPr>
        <w:t>-1</w:t>
      </w:r>
      <w:r>
        <w:rPr>
          <w:rFonts w:ascii="Garamond" w:hAnsi="Garamond" w:cs="Arial"/>
          <w:bCs/>
          <w:color w:val="000000" w:themeColor="text1"/>
        </w:rPr>
        <w:t>8</w:t>
      </w:r>
      <w:r w:rsidRPr="00C07679">
        <w:rPr>
          <w:rFonts w:ascii="Garamond" w:hAnsi="Garamond" w:cs="Arial"/>
          <w:bCs/>
          <w:color w:val="000000" w:themeColor="text1"/>
        </w:rPr>
        <w:t>, total Foodgrain</w:t>
      </w:r>
      <w:r w:rsidRPr="00212A46">
        <w:rPr>
          <w:rFonts w:ascii="Garamond" w:hAnsi="Garamond" w:cs="Arial"/>
          <w:bCs/>
          <w:color w:val="000000" w:themeColor="text1"/>
        </w:rPr>
        <w:t> </w:t>
      </w:r>
      <w:r w:rsidRPr="00C07679">
        <w:rPr>
          <w:rFonts w:ascii="Garamond" w:hAnsi="Garamond" w:cs="Arial"/>
          <w:bCs/>
          <w:color w:val="000000" w:themeColor="text1"/>
        </w:rPr>
        <w:t>production is estimated at 27</w:t>
      </w:r>
      <w:r>
        <w:rPr>
          <w:rFonts w:ascii="Garamond" w:hAnsi="Garamond" w:cs="Arial"/>
          <w:bCs/>
          <w:color w:val="000000" w:themeColor="text1"/>
        </w:rPr>
        <w:t>7.49</w:t>
      </w:r>
      <w:r w:rsidRPr="00C07679">
        <w:rPr>
          <w:rFonts w:ascii="Garamond" w:hAnsi="Garamond" w:cs="Arial"/>
          <w:bCs/>
          <w:color w:val="000000" w:themeColor="text1"/>
        </w:rPr>
        <w:t xml:space="preserve"> million tonnes which is higher by </w:t>
      </w:r>
      <w:r>
        <w:rPr>
          <w:rFonts w:ascii="Garamond" w:hAnsi="Garamond" w:cs="Arial"/>
          <w:bCs/>
          <w:color w:val="000000" w:themeColor="text1"/>
        </w:rPr>
        <w:t>2.37</w:t>
      </w:r>
      <w:r w:rsidRPr="00C07679">
        <w:rPr>
          <w:rFonts w:ascii="Garamond" w:hAnsi="Garamond" w:cs="Arial"/>
          <w:bCs/>
          <w:color w:val="000000" w:themeColor="text1"/>
        </w:rPr>
        <w:t xml:space="preserve"> million tonnes than the previous record production of 2</w:t>
      </w:r>
      <w:r>
        <w:rPr>
          <w:rFonts w:ascii="Garamond" w:hAnsi="Garamond" w:cs="Arial"/>
          <w:bCs/>
          <w:color w:val="000000" w:themeColor="text1"/>
        </w:rPr>
        <w:t>75.11</w:t>
      </w:r>
      <w:r w:rsidRPr="00C07679">
        <w:rPr>
          <w:rFonts w:ascii="Garamond" w:hAnsi="Garamond" w:cs="Arial"/>
          <w:bCs/>
          <w:color w:val="000000" w:themeColor="text1"/>
        </w:rPr>
        <w:t xml:space="preserve"> million tonnes achieved during 201</w:t>
      </w:r>
      <w:r>
        <w:rPr>
          <w:rFonts w:ascii="Garamond" w:hAnsi="Garamond" w:cs="Arial"/>
          <w:bCs/>
          <w:color w:val="000000" w:themeColor="text1"/>
        </w:rPr>
        <w:t>6</w:t>
      </w:r>
      <w:r w:rsidRPr="00C07679">
        <w:rPr>
          <w:rFonts w:ascii="Garamond" w:hAnsi="Garamond" w:cs="Arial"/>
          <w:bCs/>
          <w:color w:val="000000" w:themeColor="text1"/>
        </w:rPr>
        <w:t>-1</w:t>
      </w:r>
      <w:r>
        <w:rPr>
          <w:rFonts w:ascii="Garamond" w:hAnsi="Garamond" w:cs="Arial"/>
          <w:bCs/>
          <w:color w:val="000000" w:themeColor="text1"/>
        </w:rPr>
        <w:t>7</w:t>
      </w:r>
      <w:r w:rsidRPr="00C07679">
        <w:rPr>
          <w:rFonts w:ascii="Garamond" w:hAnsi="Garamond" w:cs="Arial"/>
          <w:bCs/>
          <w:color w:val="000000" w:themeColor="text1"/>
        </w:rPr>
        <w:t xml:space="preserve">.   </w:t>
      </w:r>
    </w:p>
    <w:p w:rsidR="00B25DA6" w:rsidRDefault="00B25DA6" w:rsidP="00B25DA6">
      <w:pPr>
        <w:jc w:val="both"/>
        <w:rPr>
          <w:rFonts w:ascii="Garamond" w:hAnsi="Garamond" w:cs="Arial"/>
          <w:bCs/>
          <w:color w:val="000000" w:themeColor="text1"/>
        </w:rPr>
      </w:pPr>
    </w:p>
    <w:p w:rsidR="00B25DA6" w:rsidRDefault="00B25DA6" w:rsidP="00B25DA6">
      <w:pPr>
        <w:jc w:val="both"/>
        <w:rPr>
          <w:rFonts w:ascii="Garamond" w:hAnsi="Garamond" w:cs="Arial"/>
          <w:bCs/>
          <w:color w:val="000000" w:themeColor="text1"/>
        </w:rPr>
      </w:pPr>
      <w:r w:rsidRPr="00212A46">
        <w:rPr>
          <w:rFonts w:ascii="Garamond" w:hAnsi="Garamond" w:cs="Arial"/>
          <w:bCs/>
          <w:color w:val="000000" w:themeColor="text1"/>
        </w:rPr>
        <w:t xml:space="preserve">Production of Wheat estimated at 97.11 million tonnes is lower by 1.40 million tonnes as compared to record wheat production of 98.51 million tonnes achieved during 2016-17. However, the </w:t>
      </w:r>
      <w:r w:rsidRPr="00212A46">
        <w:rPr>
          <w:rFonts w:ascii="Garamond" w:hAnsi="Garamond" w:cs="Arial"/>
          <w:bCs/>
          <w:color w:val="000000" w:themeColor="text1"/>
        </w:rPr>
        <w:lastRenderedPageBreak/>
        <w:t xml:space="preserve">production of wheat during 2017-18 is higher by 3.77 million tonnes than </w:t>
      </w:r>
      <w:r w:rsidRPr="005A72C2">
        <w:rPr>
          <w:rFonts w:ascii="Garamond" w:hAnsi="Garamond" w:cs="Arial"/>
          <w:bCs/>
          <w:color w:val="000000" w:themeColor="text1"/>
        </w:rPr>
        <w:t xml:space="preserve">the </w:t>
      </w:r>
      <w:r>
        <w:rPr>
          <w:rFonts w:ascii="Garamond" w:hAnsi="Garamond" w:cs="Arial"/>
          <w:bCs/>
          <w:color w:val="000000" w:themeColor="text1"/>
        </w:rPr>
        <w:t>five year ‘</w:t>
      </w:r>
      <w:r w:rsidRPr="005A72C2">
        <w:rPr>
          <w:rFonts w:ascii="Garamond" w:hAnsi="Garamond" w:cs="Arial"/>
          <w:bCs/>
          <w:color w:val="000000" w:themeColor="text1"/>
        </w:rPr>
        <w:t>average</w:t>
      </w:r>
      <w:r>
        <w:rPr>
          <w:rFonts w:ascii="Garamond" w:hAnsi="Garamond" w:cs="Arial"/>
          <w:bCs/>
          <w:color w:val="000000" w:themeColor="text1"/>
        </w:rPr>
        <w:t xml:space="preserve"> production’ of</w:t>
      </w:r>
      <w:r w:rsidRPr="005A72C2">
        <w:rPr>
          <w:rFonts w:ascii="Garamond" w:hAnsi="Garamond" w:cs="Arial"/>
          <w:bCs/>
          <w:color w:val="000000" w:themeColor="text1"/>
        </w:rPr>
        <w:t xml:space="preserve"> wheat.</w:t>
      </w:r>
    </w:p>
    <w:p w:rsidR="00B25DA6" w:rsidRDefault="00B25DA6" w:rsidP="00B25DA6">
      <w:pPr>
        <w:jc w:val="both"/>
        <w:rPr>
          <w:rFonts w:ascii="Garamond" w:hAnsi="Garamond" w:cs="Arial"/>
          <w:bCs/>
          <w:color w:val="000000" w:themeColor="text1"/>
        </w:rPr>
      </w:pPr>
    </w:p>
    <w:p w:rsidR="00B25DA6" w:rsidRPr="00212A46" w:rsidRDefault="00B25DA6" w:rsidP="00B25DA6">
      <w:pPr>
        <w:jc w:val="both"/>
        <w:rPr>
          <w:rFonts w:ascii="Garamond" w:hAnsi="Garamond" w:cs="Arial"/>
          <w:bCs/>
          <w:color w:val="000000" w:themeColor="text1"/>
        </w:rPr>
      </w:pPr>
      <w:r w:rsidRPr="00212A46">
        <w:rPr>
          <w:rFonts w:ascii="Garamond" w:hAnsi="Garamond" w:cs="Arial"/>
          <w:bCs/>
          <w:color w:val="000000" w:themeColor="text1"/>
        </w:rPr>
        <w:t xml:space="preserve">Total Pulses production during 2017-18 is estimated at record 23.95 million tonnes which is higher by 0.82 million tonnes than the previous year’s production of 23.13 million tonnes. Moreover, the production of pulses during 2017-18 is higher than the </w:t>
      </w:r>
      <w:r>
        <w:rPr>
          <w:rFonts w:ascii="Garamond" w:hAnsi="Garamond" w:cs="Arial"/>
          <w:bCs/>
          <w:color w:val="000000" w:themeColor="text1"/>
        </w:rPr>
        <w:t>f</w:t>
      </w:r>
      <w:r w:rsidRPr="00212A46">
        <w:rPr>
          <w:rFonts w:ascii="Garamond" w:hAnsi="Garamond" w:cs="Arial"/>
          <w:bCs/>
          <w:color w:val="000000" w:themeColor="text1"/>
        </w:rPr>
        <w:t>ive years ‘average production</w:t>
      </w:r>
      <w:r>
        <w:rPr>
          <w:rFonts w:ascii="Garamond" w:hAnsi="Garamond" w:cs="Arial"/>
          <w:bCs/>
          <w:color w:val="000000" w:themeColor="text1"/>
        </w:rPr>
        <w:t>’</w:t>
      </w:r>
      <w:r w:rsidRPr="00212A46">
        <w:rPr>
          <w:rFonts w:ascii="Garamond" w:hAnsi="Garamond" w:cs="Arial"/>
          <w:bCs/>
          <w:color w:val="000000" w:themeColor="text1"/>
        </w:rPr>
        <w:t xml:space="preserve"> by 5.10 million tonnes.</w:t>
      </w:r>
    </w:p>
    <w:p w:rsidR="00B25DA6" w:rsidRDefault="00B25DA6" w:rsidP="00B25DA6">
      <w:pPr>
        <w:jc w:val="both"/>
        <w:rPr>
          <w:rFonts w:ascii="Garamond" w:hAnsi="Garamond" w:cs="Arial"/>
          <w:bCs/>
          <w:color w:val="000000" w:themeColor="text1"/>
        </w:rPr>
      </w:pPr>
    </w:p>
    <w:p w:rsidR="00B25DA6" w:rsidRDefault="00B25DA6" w:rsidP="00B25DA6">
      <w:pPr>
        <w:jc w:val="both"/>
        <w:rPr>
          <w:rFonts w:ascii="Garamond" w:hAnsi="Garamond" w:cs="Arial"/>
          <w:bCs/>
          <w:color w:val="000000" w:themeColor="text1"/>
        </w:rPr>
      </w:pPr>
      <w:r w:rsidRPr="00212A46">
        <w:rPr>
          <w:rFonts w:ascii="Garamond" w:hAnsi="Garamond" w:cs="Arial"/>
          <w:bCs/>
          <w:color w:val="000000" w:themeColor="text1"/>
        </w:rPr>
        <w:t>Total Oilseeds production in the country during 2017-18 is estimated at 29.88 million tonnes which is lower by 1.39 million tonnes than the production of 31.28 million tonnes during 2016-17. However, the production of oilseeds during 2017-18 is marginally higher by 0.34 million tonnes than the average oilseeds production.</w:t>
      </w:r>
      <w:r w:rsidRPr="00C07679">
        <w:rPr>
          <w:rFonts w:ascii="Garamond" w:hAnsi="Garamond" w:cs="Arial"/>
          <w:bCs/>
          <w:color w:val="000000" w:themeColor="text1"/>
        </w:rPr>
        <w:t xml:space="preserve"> </w:t>
      </w:r>
    </w:p>
    <w:p w:rsidR="00B25DA6" w:rsidRDefault="00B25DA6" w:rsidP="00B25DA6">
      <w:pPr>
        <w:jc w:val="both"/>
        <w:rPr>
          <w:rFonts w:ascii="Garamond" w:hAnsi="Garamond" w:cs="Arial"/>
          <w:bCs/>
          <w:color w:val="000000" w:themeColor="text1"/>
        </w:rPr>
      </w:pPr>
    </w:p>
    <w:p w:rsidR="00B25DA6" w:rsidRPr="00212A46" w:rsidRDefault="00B25DA6" w:rsidP="00B25DA6">
      <w:pPr>
        <w:jc w:val="both"/>
        <w:rPr>
          <w:rFonts w:ascii="Garamond" w:hAnsi="Garamond" w:cs="Arial"/>
          <w:bCs/>
          <w:color w:val="000000" w:themeColor="text1"/>
        </w:rPr>
      </w:pPr>
      <w:r w:rsidRPr="00212A46">
        <w:rPr>
          <w:rFonts w:ascii="Garamond" w:hAnsi="Garamond" w:cs="Arial"/>
          <w:bCs/>
          <w:color w:val="000000" w:themeColor="text1"/>
        </w:rPr>
        <w:t>With a significant increase by 47.16 million tonnes over 2016-17, total production of Sugarcane in the country during 2017-18 is estimated at 353.23 million tonnes. The production of sugarcane during 2017-18 is also higher by 11.19 million tonnes than the average sugarcane production of 342.04 million tonnes.</w:t>
      </w:r>
    </w:p>
    <w:p w:rsidR="00B25DA6" w:rsidRPr="00212A46" w:rsidRDefault="00B25DA6" w:rsidP="00B25DA6">
      <w:pPr>
        <w:jc w:val="both"/>
        <w:rPr>
          <w:rFonts w:ascii="Garamond" w:hAnsi="Garamond" w:cs="Arial"/>
          <w:bCs/>
          <w:color w:val="000000" w:themeColor="text1"/>
        </w:rPr>
      </w:pPr>
    </w:p>
    <w:p w:rsidR="00B25DA6" w:rsidRPr="00212A46" w:rsidRDefault="00B25DA6" w:rsidP="00B25DA6">
      <w:pPr>
        <w:jc w:val="both"/>
        <w:rPr>
          <w:rFonts w:ascii="Garamond" w:hAnsi="Garamond" w:cs="Arial"/>
          <w:bCs/>
          <w:color w:val="000000" w:themeColor="text1"/>
        </w:rPr>
      </w:pPr>
      <w:r w:rsidRPr="00212A46">
        <w:rPr>
          <w:rFonts w:ascii="Garamond" w:hAnsi="Garamond" w:cs="Arial"/>
          <w:bCs/>
          <w:color w:val="000000" w:themeColor="text1"/>
        </w:rPr>
        <w:t>Production of Cotton estimated at 33.92 million bales (of 170 kg each) is higher than the previous year’s production of 32.58 million bales. Further, it is also higher by 0.41 million bales than its average production of 33.50 million bales.</w:t>
      </w:r>
    </w:p>
    <w:p w:rsidR="00B25DA6" w:rsidRPr="00212A46" w:rsidRDefault="00B25DA6" w:rsidP="00B25DA6">
      <w:pPr>
        <w:jc w:val="both"/>
        <w:rPr>
          <w:rFonts w:ascii="Garamond" w:hAnsi="Garamond" w:cs="Arial"/>
          <w:bCs/>
          <w:color w:val="000000" w:themeColor="text1"/>
        </w:rPr>
      </w:pPr>
    </w:p>
    <w:p w:rsidR="00B25DA6" w:rsidRDefault="00B25DA6" w:rsidP="00B25DA6">
      <w:pPr>
        <w:jc w:val="both"/>
        <w:rPr>
          <w:rFonts w:ascii="Garamond" w:hAnsi="Garamond" w:cs="Arial"/>
          <w:bCs/>
          <w:color w:val="000000" w:themeColor="text1"/>
        </w:rPr>
      </w:pPr>
      <w:r w:rsidRPr="00212A46">
        <w:rPr>
          <w:rFonts w:ascii="Garamond" w:hAnsi="Garamond" w:cs="Arial"/>
          <w:bCs/>
          <w:color w:val="000000" w:themeColor="text1"/>
        </w:rPr>
        <w:t>Production of Jute &amp; Mesta estimated at 10.51 million bales (of 180 kg each) is lower than their production during the 2016-17.</w:t>
      </w:r>
    </w:p>
    <w:p w:rsidR="00B25DA6" w:rsidRDefault="00B25DA6" w:rsidP="00B25DA6">
      <w:pPr>
        <w:jc w:val="both"/>
        <w:rPr>
          <w:rFonts w:ascii="Garamond" w:hAnsi="Garamond" w:cs="Arial"/>
          <w:bCs/>
          <w:color w:val="000000" w:themeColor="text1"/>
        </w:rPr>
      </w:pPr>
    </w:p>
    <w:p w:rsidR="00B25DA6" w:rsidRDefault="00B25DA6" w:rsidP="00B25DA6">
      <w:pPr>
        <w:jc w:val="both"/>
        <w:rPr>
          <w:rFonts w:ascii="Garamond" w:hAnsi="Garamond" w:cs="Arial"/>
          <w:b/>
          <w:bCs/>
          <w:color w:val="000000" w:themeColor="text1"/>
        </w:rPr>
      </w:pPr>
      <w:r>
        <w:rPr>
          <w:rFonts w:ascii="Garamond" w:hAnsi="Garamond" w:cs="Arial"/>
          <w:b/>
          <w:bCs/>
          <w:color w:val="000000" w:themeColor="text1"/>
        </w:rPr>
        <w:t xml:space="preserve">D.  </w:t>
      </w:r>
      <w:r w:rsidRPr="00C07679">
        <w:rPr>
          <w:rFonts w:ascii="Garamond" w:hAnsi="Garamond" w:cs="Arial"/>
          <w:b/>
          <w:bCs/>
          <w:color w:val="000000" w:themeColor="text1"/>
        </w:rPr>
        <w:t xml:space="preserve">Second Advance Estimates </w:t>
      </w:r>
      <w:r>
        <w:rPr>
          <w:rFonts w:ascii="Garamond" w:hAnsi="Garamond" w:cs="Arial"/>
          <w:b/>
          <w:bCs/>
          <w:color w:val="000000" w:themeColor="text1"/>
        </w:rPr>
        <w:t>o</w:t>
      </w:r>
      <w:r w:rsidRPr="00C07679">
        <w:rPr>
          <w:rFonts w:ascii="Garamond" w:hAnsi="Garamond" w:cs="Arial"/>
          <w:b/>
          <w:bCs/>
          <w:color w:val="000000" w:themeColor="text1"/>
        </w:rPr>
        <w:t xml:space="preserve">f National Income – Agriculture Sector  </w:t>
      </w:r>
    </w:p>
    <w:p w:rsidR="00B25DA6" w:rsidRPr="00C07679" w:rsidRDefault="00B25DA6" w:rsidP="00B25DA6">
      <w:pPr>
        <w:jc w:val="both"/>
        <w:rPr>
          <w:rFonts w:ascii="Garamond" w:hAnsi="Garamond" w:cs="Arial"/>
          <w:b/>
          <w:bCs/>
          <w:color w:val="000000" w:themeColor="text1"/>
        </w:rPr>
      </w:pPr>
    </w:p>
    <w:p w:rsidR="00B25DA6" w:rsidRDefault="00B25DA6" w:rsidP="00B25DA6">
      <w:pPr>
        <w:jc w:val="both"/>
        <w:rPr>
          <w:rFonts w:ascii="Garamond" w:hAnsi="Garamond" w:cs="Arial"/>
          <w:bCs/>
          <w:color w:val="000000" w:themeColor="text1"/>
        </w:rPr>
      </w:pPr>
      <w:r w:rsidRPr="00C07679">
        <w:rPr>
          <w:rFonts w:ascii="Garamond" w:hAnsi="Garamond" w:cs="Arial"/>
          <w:bCs/>
          <w:color w:val="000000" w:themeColor="text1"/>
        </w:rPr>
        <w:t>Second Advance Estimates of National Income, 201</w:t>
      </w:r>
      <w:r>
        <w:rPr>
          <w:rFonts w:ascii="Garamond" w:hAnsi="Garamond" w:cs="Arial"/>
          <w:bCs/>
          <w:color w:val="000000" w:themeColor="text1"/>
        </w:rPr>
        <w:t>7</w:t>
      </w:r>
      <w:r w:rsidRPr="00C07679">
        <w:rPr>
          <w:rFonts w:ascii="Garamond" w:hAnsi="Garamond" w:cs="Arial"/>
          <w:bCs/>
          <w:color w:val="000000" w:themeColor="text1"/>
        </w:rPr>
        <w:t>-1</w:t>
      </w:r>
      <w:r>
        <w:rPr>
          <w:rFonts w:ascii="Garamond" w:hAnsi="Garamond" w:cs="Arial"/>
          <w:bCs/>
          <w:color w:val="000000" w:themeColor="text1"/>
        </w:rPr>
        <w:t>8</w:t>
      </w:r>
      <w:r w:rsidRPr="00C07679">
        <w:rPr>
          <w:rFonts w:ascii="Garamond" w:hAnsi="Garamond" w:cs="Arial"/>
          <w:bCs/>
          <w:color w:val="000000" w:themeColor="text1"/>
        </w:rPr>
        <w:t xml:space="preserve"> at constant (2011-12) prices and Quarterly Estimates of Gross Domestic Product for The Third Quarter (</w:t>
      </w:r>
      <w:r>
        <w:rPr>
          <w:rFonts w:ascii="Garamond" w:hAnsi="Garamond" w:cs="Arial"/>
          <w:bCs/>
          <w:color w:val="000000" w:themeColor="text1"/>
        </w:rPr>
        <w:t>Oct-Dec</w:t>
      </w:r>
      <w:r w:rsidRPr="00C07679">
        <w:rPr>
          <w:rFonts w:ascii="Garamond" w:hAnsi="Garamond" w:cs="Arial"/>
          <w:bCs/>
          <w:color w:val="000000" w:themeColor="text1"/>
        </w:rPr>
        <w:t>), 201</w:t>
      </w:r>
      <w:r>
        <w:rPr>
          <w:rFonts w:ascii="Garamond" w:hAnsi="Garamond" w:cs="Arial"/>
          <w:bCs/>
          <w:color w:val="000000" w:themeColor="text1"/>
        </w:rPr>
        <w:t>7</w:t>
      </w:r>
      <w:r w:rsidRPr="00C07679">
        <w:rPr>
          <w:rFonts w:ascii="Garamond" w:hAnsi="Garamond" w:cs="Arial"/>
          <w:bCs/>
          <w:color w:val="000000" w:themeColor="text1"/>
        </w:rPr>
        <w:t>-1</w:t>
      </w:r>
      <w:r>
        <w:rPr>
          <w:rFonts w:ascii="Garamond" w:hAnsi="Garamond" w:cs="Arial"/>
          <w:bCs/>
          <w:color w:val="000000" w:themeColor="text1"/>
        </w:rPr>
        <w:t>8</w:t>
      </w:r>
      <w:r w:rsidRPr="00C07679">
        <w:rPr>
          <w:rFonts w:ascii="Garamond" w:hAnsi="Garamond" w:cs="Arial"/>
          <w:bCs/>
          <w:color w:val="000000" w:themeColor="text1"/>
        </w:rPr>
        <w:t> </w:t>
      </w:r>
      <w:r>
        <w:rPr>
          <w:rFonts w:ascii="Garamond" w:hAnsi="Garamond" w:cs="Arial"/>
          <w:bCs/>
          <w:color w:val="000000" w:themeColor="text1"/>
        </w:rPr>
        <w:t xml:space="preserve">was </w:t>
      </w:r>
      <w:r w:rsidRPr="00C07679">
        <w:rPr>
          <w:rFonts w:ascii="Garamond" w:hAnsi="Garamond" w:cs="Arial"/>
          <w:bCs/>
          <w:color w:val="000000" w:themeColor="text1"/>
        </w:rPr>
        <w:t>published on February 28, 201</w:t>
      </w:r>
      <w:r>
        <w:rPr>
          <w:rFonts w:ascii="Garamond" w:hAnsi="Garamond" w:cs="Arial"/>
          <w:bCs/>
          <w:color w:val="000000" w:themeColor="text1"/>
        </w:rPr>
        <w:t xml:space="preserve">8. </w:t>
      </w:r>
    </w:p>
    <w:p w:rsidR="00B25DA6" w:rsidRDefault="00B25DA6" w:rsidP="00B25DA6">
      <w:pPr>
        <w:jc w:val="both"/>
        <w:rPr>
          <w:rFonts w:ascii="Garamond" w:hAnsi="Garamond" w:cs="Arial"/>
          <w:bCs/>
          <w:color w:val="000000" w:themeColor="text1"/>
        </w:rPr>
      </w:pPr>
    </w:p>
    <w:p w:rsidR="00B25DA6" w:rsidRDefault="00B25DA6" w:rsidP="00B25DA6">
      <w:pPr>
        <w:jc w:val="both"/>
        <w:rPr>
          <w:rFonts w:ascii="Garamond" w:hAnsi="Garamond" w:cs="Arial"/>
          <w:bCs/>
          <w:color w:val="000000" w:themeColor="text1"/>
        </w:rPr>
      </w:pPr>
      <w:r w:rsidRPr="00C07679">
        <w:rPr>
          <w:rFonts w:ascii="Garamond" w:hAnsi="Garamond" w:cs="Arial"/>
          <w:bCs/>
          <w:color w:val="000000" w:themeColor="text1"/>
        </w:rPr>
        <w:t xml:space="preserve">The </w:t>
      </w:r>
      <w:r>
        <w:rPr>
          <w:rFonts w:ascii="Garamond" w:hAnsi="Garamond" w:cs="Arial"/>
          <w:bCs/>
          <w:color w:val="000000" w:themeColor="text1"/>
        </w:rPr>
        <w:t xml:space="preserve">Gross Value Added (GVA) </w:t>
      </w:r>
      <w:r w:rsidRPr="00C07679">
        <w:rPr>
          <w:rFonts w:ascii="Garamond" w:hAnsi="Garamond" w:cs="Arial"/>
          <w:bCs/>
          <w:color w:val="000000" w:themeColor="text1"/>
        </w:rPr>
        <w:t xml:space="preserve">estimates of </w:t>
      </w:r>
      <w:r>
        <w:rPr>
          <w:rFonts w:ascii="Garamond" w:hAnsi="Garamond" w:cs="Arial"/>
          <w:bCs/>
          <w:color w:val="000000" w:themeColor="text1"/>
        </w:rPr>
        <w:t>agriculture</w:t>
      </w:r>
      <w:r w:rsidRPr="00C07679">
        <w:rPr>
          <w:rFonts w:ascii="Garamond" w:hAnsi="Garamond" w:cs="Arial"/>
          <w:bCs/>
          <w:color w:val="000000" w:themeColor="text1"/>
        </w:rPr>
        <w:t xml:space="preserve"> sector have been compiled using the Second Advance Estimates of production of food grains for 201</w:t>
      </w:r>
      <w:r>
        <w:rPr>
          <w:rFonts w:ascii="Garamond" w:hAnsi="Garamond" w:cs="Arial"/>
          <w:bCs/>
          <w:color w:val="000000" w:themeColor="text1"/>
        </w:rPr>
        <w:t>7</w:t>
      </w:r>
      <w:r w:rsidRPr="00C07679">
        <w:rPr>
          <w:rFonts w:ascii="Garamond" w:hAnsi="Garamond" w:cs="Arial"/>
          <w:bCs/>
          <w:color w:val="000000" w:themeColor="text1"/>
        </w:rPr>
        <w:t>-1</w:t>
      </w:r>
      <w:r>
        <w:rPr>
          <w:rFonts w:ascii="Garamond" w:hAnsi="Garamond" w:cs="Arial"/>
          <w:bCs/>
          <w:color w:val="000000" w:themeColor="text1"/>
        </w:rPr>
        <w:t>8.  A</w:t>
      </w:r>
      <w:r w:rsidRPr="00540CC2">
        <w:rPr>
          <w:rFonts w:ascii="Garamond" w:hAnsi="Garamond" w:cs="Arial"/>
          <w:bCs/>
          <w:color w:val="000000" w:themeColor="text1"/>
        </w:rPr>
        <w:t>ccording to the information furnished by the Department of Agriculture and Cooperation (DAC), the production growth of food grains during the agriculture year 2017-18 was 0.9 percent as compared to 9.4 percent in the previous agriculture year. Crops including fruits and vegetables account for about 59.0 percent of GDP in ‘agriculture, forestry and fishing’ sector. Around 41.0 percent of GVA of this sector is based on the livestock products, forestry and fisheries, which is expected to register a combined growth of around 5.1 percent in 2017-18.</w:t>
      </w:r>
    </w:p>
    <w:p w:rsidR="00B25DA6" w:rsidRPr="00991592" w:rsidRDefault="00B25DA6" w:rsidP="00B25DA6">
      <w:pPr>
        <w:rPr>
          <w:rFonts w:ascii="Garamond" w:hAnsi="Garamond" w:cs="Arial"/>
          <w:bCs/>
          <w:color w:val="000099"/>
        </w:rPr>
      </w:pPr>
      <w:r w:rsidRPr="00991592">
        <w:rPr>
          <w:rFonts w:ascii="Garamond" w:hAnsi="Garamond" w:cs="Arial"/>
          <w:bCs/>
          <w:color w:val="000099"/>
        </w:rPr>
        <w:br w:type="page"/>
      </w:r>
    </w:p>
    <w:p w:rsidR="00B25DA6" w:rsidRPr="003744DD" w:rsidRDefault="00B25DA6" w:rsidP="00B25DA6">
      <w:pPr>
        <w:widowControl w:val="0"/>
        <w:numPr>
          <w:ilvl w:val="0"/>
          <w:numId w:val="20"/>
        </w:numPr>
        <w:contextualSpacing/>
        <w:jc w:val="both"/>
        <w:rPr>
          <w:rFonts w:ascii="Garamond" w:hAnsi="Garamond"/>
          <w:b/>
        </w:rPr>
      </w:pPr>
      <w:r w:rsidRPr="003744DD">
        <w:rPr>
          <w:rFonts w:ascii="Garamond" w:hAnsi="Garamond"/>
          <w:b/>
        </w:rPr>
        <w:lastRenderedPageBreak/>
        <w:t>Trading in Corporate Debt Market</w:t>
      </w:r>
    </w:p>
    <w:p w:rsidR="00B25DA6" w:rsidRPr="003744DD" w:rsidRDefault="00B25DA6" w:rsidP="00B25DA6">
      <w:pPr>
        <w:widowControl w:val="0"/>
        <w:ind w:left="720"/>
        <w:contextualSpacing/>
        <w:jc w:val="both"/>
        <w:rPr>
          <w:rFonts w:ascii="Garamond" w:eastAsia="Times New Roman" w:hAnsi="Garamond"/>
          <w:highlight w:val="lightGray"/>
        </w:rPr>
      </w:pPr>
    </w:p>
    <w:p w:rsidR="00B25DA6" w:rsidRPr="003744DD" w:rsidRDefault="00B25DA6" w:rsidP="00B25DA6">
      <w:pPr>
        <w:jc w:val="both"/>
        <w:rPr>
          <w:rFonts w:ascii="Garamond" w:eastAsia="Times New Roman" w:hAnsi="Garamond" w:cs="Calibri"/>
          <w:sz w:val="20"/>
          <w:szCs w:val="20"/>
          <w:lang w:eastAsia="en-IN" w:bidi="hi-IN"/>
        </w:rPr>
      </w:pPr>
      <w:r w:rsidRPr="003744DD">
        <w:rPr>
          <w:rFonts w:ascii="Garamond" w:hAnsi="Garamond" w:cs="Arial"/>
          <w:bCs/>
        </w:rPr>
        <w:t xml:space="preserve">During February 2018, BSE recorded 2,299 trades of corporate debt with a traded value of </w:t>
      </w:r>
      <w:r w:rsidRPr="003744DD">
        <w:rPr>
          <w:rFonts w:ascii="Rupee Foradian" w:hAnsi="Rupee Foradian" w:cs="Arial"/>
          <w:bCs/>
        </w:rPr>
        <w:t xml:space="preserve">` </w:t>
      </w:r>
      <w:r w:rsidRPr="003744DD">
        <w:rPr>
          <w:rFonts w:ascii="Garamond" w:hAnsi="Garamond" w:cs="Arial"/>
          <w:bCs/>
        </w:rPr>
        <w:t>38,639</w:t>
      </w:r>
      <w:r w:rsidRPr="003744DD">
        <w:rPr>
          <w:rFonts w:ascii="Rupee Foradian" w:hAnsi="Rupee Foradian" w:cs="Arial"/>
          <w:bCs/>
        </w:rPr>
        <w:t xml:space="preserve"> </w:t>
      </w:r>
      <w:r w:rsidRPr="003744DD">
        <w:rPr>
          <w:rFonts w:ascii="Garamond" w:hAnsi="Garamond" w:cs="Arial"/>
          <w:bCs/>
        </w:rPr>
        <w:t xml:space="preserve">crore compared to 2,717 trades of corporate debt with a traded value of </w:t>
      </w:r>
      <w:r w:rsidRPr="003744DD">
        <w:rPr>
          <w:rFonts w:ascii="Rupee Foradian" w:hAnsi="Rupee Foradian" w:cs="Arial"/>
          <w:bCs/>
        </w:rPr>
        <w:t xml:space="preserve">` </w:t>
      </w:r>
      <w:r w:rsidRPr="003744DD">
        <w:rPr>
          <w:rFonts w:ascii="Garamond" w:hAnsi="Garamond" w:cs="Arial"/>
          <w:bCs/>
        </w:rPr>
        <w:t>45,963</w:t>
      </w:r>
      <w:r w:rsidRPr="003744DD">
        <w:rPr>
          <w:rFonts w:ascii="Rupee Foradian" w:hAnsi="Rupee Foradian" w:cs="Arial"/>
          <w:bCs/>
        </w:rPr>
        <w:t xml:space="preserve"> </w:t>
      </w:r>
      <w:r w:rsidRPr="003744DD">
        <w:rPr>
          <w:rFonts w:ascii="Garamond" w:hAnsi="Garamond" w:cs="Arial"/>
          <w:bCs/>
        </w:rPr>
        <w:t xml:space="preserve">crore recorded in January 2018. At NSE, 4,198 trades were reported in February 2018 with a traded value of </w:t>
      </w:r>
      <w:r w:rsidRPr="003744DD">
        <w:rPr>
          <w:rFonts w:ascii="Rupee Foradian" w:eastAsia="Times New Roman" w:hAnsi="Rupee Foradian"/>
          <w:bCs/>
          <w:szCs w:val="20"/>
          <w:lang w:eastAsia="en-GB" w:bidi="bn-IN"/>
        </w:rPr>
        <w:t>`</w:t>
      </w:r>
      <w:r w:rsidRPr="003744DD">
        <w:rPr>
          <w:rFonts w:ascii="Garamond" w:eastAsia="Times New Roman" w:hAnsi="Garamond"/>
          <w:bCs/>
          <w:szCs w:val="20"/>
          <w:lang w:eastAsia="en-GB" w:bidi="bn-IN"/>
        </w:rPr>
        <w:t xml:space="preserve"> 84</w:t>
      </w:r>
      <w:r w:rsidRPr="003744DD">
        <w:rPr>
          <w:rFonts w:ascii="Garamond" w:hAnsi="Garamond" w:cs="Arial"/>
          <w:bCs/>
        </w:rPr>
        <w:t>,030</w:t>
      </w:r>
      <w:r w:rsidRPr="003744DD">
        <w:rPr>
          <w:rFonts w:ascii="Garamond" w:eastAsia="Times New Roman" w:hAnsi="Garamond" w:cs="Calibri"/>
          <w:sz w:val="20"/>
          <w:szCs w:val="20"/>
          <w:lang w:eastAsia="en-IN" w:bidi="hi-IN"/>
        </w:rPr>
        <w:t xml:space="preserve"> </w:t>
      </w:r>
      <w:r w:rsidRPr="003744DD">
        <w:rPr>
          <w:rFonts w:ascii="Garamond" w:hAnsi="Garamond" w:cs="Arial"/>
          <w:bCs/>
        </w:rPr>
        <w:t xml:space="preserve">crore compared to 5,177 trades with a traded value of </w:t>
      </w:r>
      <w:r w:rsidRPr="003744DD">
        <w:rPr>
          <w:rFonts w:ascii="Rupee Foradian" w:eastAsia="Times New Roman" w:hAnsi="Rupee Foradian"/>
          <w:bCs/>
          <w:szCs w:val="20"/>
          <w:lang w:eastAsia="en-GB" w:bidi="bn-IN"/>
        </w:rPr>
        <w:t>`</w:t>
      </w:r>
      <w:r w:rsidRPr="003744DD">
        <w:rPr>
          <w:rFonts w:ascii="Garamond" w:eastAsia="Times New Roman" w:hAnsi="Garamond"/>
          <w:bCs/>
          <w:szCs w:val="20"/>
          <w:lang w:eastAsia="en-GB" w:bidi="bn-IN"/>
        </w:rPr>
        <w:t xml:space="preserve"> 94</w:t>
      </w:r>
      <w:r w:rsidRPr="003744DD">
        <w:rPr>
          <w:rFonts w:ascii="Garamond" w:hAnsi="Garamond" w:cs="Arial"/>
          <w:bCs/>
        </w:rPr>
        <w:t>,875</w:t>
      </w:r>
      <w:r w:rsidRPr="003744DD">
        <w:rPr>
          <w:rFonts w:ascii="Garamond" w:eastAsia="Times New Roman" w:hAnsi="Garamond" w:cs="Calibri"/>
          <w:sz w:val="20"/>
          <w:szCs w:val="20"/>
          <w:lang w:eastAsia="en-IN" w:bidi="hi-IN"/>
        </w:rPr>
        <w:t xml:space="preserve"> </w:t>
      </w:r>
      <w:r w:rsidRPr="003744DD">
        <w:rPr>
          <w:rFonts w:ascii="Garamond" w:hAnsi="Garamond" w:cs="Arial"/>
          <w:bCs/>
        </w:rPr>
        <w:t>crore in the previous month</w:t>
      </w:r>
      <w:r w:rsidRPr="003744DD">
        <w:rPr>
          <w:rFonts w:ascii="Garamond" w:hAnsi="Garamond" w:cs="Arial"/>
          <w:b/>
          <w:i/>
          <w:iCs/>
        </w:rPr>
        <w:t xml:space="preserve"> (Figure 11 and Table</w:t>
      </w:r>
      <w:r w:rsidRPr="003744DD">
        <w:rPr>
          <w:rFonts w:ascii="Garamond" w:hAnsi="Garamond" w:cs="Arial"/>
          <w:b/>
          <w:bCs/>
          <w:i/>
          <w:iCs/>
        </w:rPr>
        <w:t xml:space="preserve"> 13</w:t>
      </w:r>
      <w:r w:rsidRPr="003744DD">
        <w:rPr>
          <w:rFonts w:ascii="Garamond" w:hAnsi="Garamond" w:cs="Arial"/>
          <w:b/>
          <w:bCs/>
        </w:rPr>
        <w:t>)</w:t>
      </w:r>
      <w:r w:rsidRPr="003744DD">
        <w:rPr>
          <w:rFonts w:ascii="Garamond" w:hAnsi="Garamond" w:cs="Arial"/>
          <w:bCs/>
        </w:rPr>
        <w:t>.</w:t>
      </w:r>
    </w:p>
    <w:p w:rsidR="00B25DA6" w:rsidRPr="00991592" w:rsidRDefault="00B25DA6" w:rsidP="00B25DA6">
      <w:pPr>
        <w:rPr>
          <w:rFonts w:ascii="Garamond" w:hAnsi="Garamond"/>
          <w:b/>
          <w:color w:val="000099"/>
          <w:highlight w:val="lightGray"/>
        </w:rPr>
      </w:pPr>
    </w:p>
    <w:p w:rsidR="00B25DA6" w:rsidRPr="00A15CF0" w:rsidRDefault="00B25DA6" w:rsidP="00B25DA6">
      <w:pPr>
        <w:jc w:val="center"/>
        <w:outlineLvl w:val="0"/>
        <w:rPr>
          <w:rFonts w:ascii="Garamond" w:hAnsi="Garamond"/>
          <w:b/>
        </w:rPr>
      </w:pPr>
      <w:r w:rsidRPr="00A15CF0">
        <w:rPr>
          <w:rFonts w:ascii="Garamond" w:hAnsi="Garamond"/>
          <w:b/>
        </w:rPr>
        <w:t>Figure 11: Trends in Reported Turnover of Corporate Bonds (</w:t>
      </w:r>
      <w:r w:rsidRPr="00A15CF0">
        <w:rPr>
          <w:rFonts w:ascii="Rupee Foradian" w:eastAsia="Times New Roman" w:hAnsi="Rupee Foradian" w:cs="Garamond"/>
        </w:rPr>
        <w:t>`</w:t>
      </w:r>
      <w:r w:rsidRPr="00A15CF0">
        <w:rPr>
          <w:rFonts w:ascii="Garamond" w:eastAsia="Times New Roman" w:hAnsi="Garamond" w:cs="Garamond"/>
        </w:rPr>
        <w:t xml:space="preserve"> </w:t>
      </w:r>
      <w:r w:rsidRPr="00A15CF0">
        <w:rPr>
          <w:rFonts w:ascii="Garamond" w:hAnsi="Garamond"/>
          <w:b/>
        </w:rPr>
        <w:t>crore)</w:t>
      </w:r>
    </w:p>
    <w:p w:rsidR="00B25DA6" w:rsidRPr="00991592" w:rsidRDefault="00B25DA6" w:rsidP="00B25DA6">
      <w:pPr>
        <w:jc w:val="center"/>
        <w:outlineLvl w:val="0"/>
        <w:rPr>
          <w:rFonts w:ascii="Garamond" w:hAnsi="Garamond" w:cstheme="minorBidi"/>
          <w:b/>
          <w:color w:val="000099"/>
          <w:szCs w:val="30"/>
          <w:highlight w:val="lightGray"/>
          <w:lang w:val="en-US" w:bidi="bn-IN"/>
        </w:rPr>
      </w:pPr>
    </w:p>
    <w:p w:rsidR="00B25DA6" w:rsidRPr="00991592" w:rsidRDefault="00B25DA6" w:rsidP="00B25DA6">
      <w:pPr>
        <w:widowControl w:val="0"/>
        <w:jc w:val="center"/>
        <w:rPr>
          <w:rFonts w:ascii="Garamond" w:hAnsi="Garamond"/>
          <w:b/>
          <w:noProof/>
          <w:color w:val="000099"/>
          <w:highlight w:val="lightGray"/>
        </w:rPr>
      </w:pPr>
      <w:r>
        <w:rPr>
          <w:noProof/>
          <w:lang w:val="en-IN" w:eastAsia="en-IN"/>
        </w:rPr>
        <w:drawing>
          <wp:inline distT="0" distB="0" distL="0" distR="0" wp14:anchorId="721F2FBE" wp14:editId="31777958">
            <wp:extent cx="5734050" cy="31908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5DA6" w:rsidRPr="00991592" w:rsidRDefault="00B25DA6" w:rsidP="00B25DA6">
      <w:pPr>
        <w:widowControl w:val="0"/>
        <w:rPr>
          <w:rFonts w:ascii="Garamond" w:hAnsi="Garamond"/>
          <w:b/>
          <w:noProof/>
          <w:color w:val="000099"/>
          <w:highlight w:val="lightGray"/>
        </w:rPr>
      </w:pPr>
    </w:p>
    <w:p w:rsidR="00B25DA6" w:rsidRPr="00991592" w:rsidRDefault="00B25DA6" w:rsidP="00B25DA6">
      <w:pPr>
        <w:widowControl w:val="0"/>
        <w:ind w:left="270"/>
        <w:jc w:val="center"/>
        <w:rPr>
          <w:rFonts w:ascii="Garamond" w:hAnsi="Garamond"/>
          <w:b/>
          <w:noProof/>
          <w:color w:val="000099"/>
          <w:highlight w:val="lightGray"/>
        </w:rPr>
      </w:pPr>
    </w:p>
    <w:p w:rsidR="00B25DA6" w:rsidRPr="009843B9" w:rsidRDefault="00B25DA6" w:rsidP="00B25DA6">
      <w:pPr>
        <w:widowControl w:val="0"/>
        <w:numPr>
          <w:ilvl w:val="0"/>
          <w:numId w:val="20"/>
        </w:numPr>
        <w:ind w:hanging="270"/>
        <w:contextualSpacing/>
        <w:jc w:val="both"/>
        <w:rPr>
          <w:rFonts w:ascii="Garamond" w:hAnsi="Garamond"/>
          <w:b/>
        </w:rPr>
      </w:pPr>
      <w:r w:rsidRPr="009843B9">
        <w:rPr>
          <w:rFonts w:ascii="Garamond" w:hAnsi="Garamond"/>
          <w:b/>
        </w:rPr>
        <w:t>Trends in Institutional Investment</w:t>
      </w:r>
    </w:p>
    <w:p w:rsidR="00B25DA6" w:rsidRPr="009843B9" w:rsidRDefault="00B25DA6" w:rsidP="00B25DA6">
      <w:pPr>
        <w:widowControl w:val="0"/>
        <w:jc w:val="both"/>
        <w:rPr>
          <w:rFonts w:ascii="Garamond" w:hAnsi="Garamond"/>
          <w:highlight w:val="lightGray"/>
        </w:rPr>
      </w:pPr>
    </w:p>
    <w:p w:rsidR="00B25DA6" w:rsidRPr="009843B9" w:rsidRDefault="00B25DA6" w:rsidP="00B25DA6">
      <w:pPr>
        <w:widowControl w:val="0"/>
        <w:numPr>
          <w:ilvl w:val="0"/>
          <w:numId w:val="2"/>
        </w:numPr>
        <w:tabs>
          <w:tab w:val="left" w:pos="0"/>
        </w:tabs>
        <w:contextualSpacing/>
        <w:jc w:val="both"/>
        <w:rPr>
          <w:rFonts w:ascii="Garamond" w:hAnsi="Garamond"/>
          <w:b/>
        </w:rPr>
      </w:pPr>
      <w:r w:rsidRPr="009843B9">
        <w:rPr>
          <w:rFonts w:ascii="Garamond" w:hAnsi="Garamond"/>
          <w:b/>
        </w:rPr>
        <w:t>Trends in Investment by Mutual Funds</w:t>
      </w:r>
    </w:p>
    <w:p w:rsidR="00B25DA6" w:rsidRPr="009843B9" w:rsidRDefault="00B25DA6" w:rsidP="00B25DA6">
      <w:pPr>
        <w:jc w:val="both"/>
        <w:rPr>
          <w:rFonts w:ascii="Garamond" w:eastAsia="Times New Roman" w:hAnsi="Garamond"/>
          <w:bCs/>
        </w:rPr>
      </w:pPr>
    </w:p>
    <w:p w:rsidR="00B25DA6" w:rsidRPr="009843B9" w:rsidRDefault="00B25DA6" w:rsidP="00B25DA6">
      <w:pPr>
        <w:jc w:val="both"/>
        <w:rPr>
          <w:rFonts w:ascii="Garamond" w:eastAsia="Times New Roman" w:hAnsi="Garamond"/>
          <w:bCs/>
        </w:rPr>
      </w:pPr>
      <w:r w:rsidRPr="009843B9">
        <w:rPr>
          <w:rFonts w:ascii="Garamond" w:eastAsia="Times New Roman" w:hAnsi="Garamond"/>
          <w:bCs/>
        </w:rPr>
        <w:t xml:space="preserve">The total net investment in the secondary market by mutual funds was </w:t>
      </w:r>
      <w:r w:rsidRPr="009843B9">
        <w:rPr>
          <w:rFonts w:ascii="Rupee Foradian" w:eastAsia="Times New Roman" w:hAnsi="Rupee Foradian"/>
          <w:bCs/>
          <w:szCs w:val="20"/>
          <w:lang w:eastAsia="en-GB" w:bidi="bn-IN"/>
        </w:rPr>
        <w:t xml:space="preserve">` </w:t>
      </w:r>
      <w:r w:rsidRPr="009843B9">
        <w:rPr>
          <w:rFonts w:ascii="Garamond" w:eastAsia="Times New Roman" w:hAnsi="Garamond"/>
          <w:bCs/>
        </w:rPr>
        <w:t xml:space="preserve">49,840 crore in February 2018, out of which </w:t>
      </w:r>
      <w:r w:rsidRPr="009843B9">
        <w:rPr>
          <w:rFonts w:ascii="Rupee Foradian" w:eastAsia="Times New Roman" w:hAnsi="Rupee Foradian"/>
          <w:bCs/>
          <w:szCs w:val="20"/>
          <w:lang w:eastAsia="en-GB" w:bidi="bn-IN"/>
        </w:rPr>
        <w:t>`</w:t>
      </w:r>
      <w:r w:rsidRPr="009843B9">
        <w:rPr>
          <w:rFonts w:ascii="Garamond" w:eastAsia="Times New Roman" w:hAnsi="Garamond"/>
          <w:bCs/>
        </w:rPr>
        <w:t xml:space="preserve"> 16,181 crore was invested in equity and </w:t>
      </w:r>
      <w:r w:rsidRPr="009843B9">
        <w:rPr>
          <w:rFonts w:ascii="Rupee Foradian" w:eastAsia="Times New Roman" w:hAnsi="Rupee Foradian"/>
          <w:bCs/>
          <w:szCs w:val="20"/>
          <w:lang w:eastAsia="en-GB" w:bidi="bn-IN"/>
        </w:rPr>
        <w:t>`</w:t>
      </w:r>
      <w:r w:rsidRPr="009843B9">
        <w:rPr>
          <w:rFonts w:ascii="Garamond" w:eastAsia="Times New Roman" w:hAnsi="Garamond"/>
          <w:bCs/>
        </w:rPr>
        <w:t xml:space="preserve"> 33,659 crore was invested in debt. This was an increase from total investment of </w:t>
      </w:r>
      <w:r w:rsidRPr="009843B9">
        <w:rPr>
          <w:rFonts w:ascii="Rupee Foradian" w:eastAsia="Times New Roman" w:hAnsi="Rupee Foradian"/>
          <w:bCs/>
          <w:szCs w:val="20"/>
          <w:lang w:eastAsia="en-GB" w:bidi="bn-IN"/>
        </w:rPr>
        <w:t xml:space="preserve">` </w:t>
      </w:r>
      <w:r w:rsidRPr="009843B9">
        <w:rPr>
          <w:rFonts w:ascii="Garamond" w:eastAsia="Times New Roman" w:hAnsi="Garamond"/>
          <w:bCs/>
        </w:rPr>
        <w:t xml:space="preserve">31,263 crore in January 2018 out of which </w:t>
      </w:r>
      <w:r w:rsidRPr="009843B9">
        <w:rPr>
          <w:rFonts w:ascii="Rupee Foradian" w:eastAsia="Times New Roman" w:hAnsi="Rupee Foradian"/>
          <w:bCs/>
          <w:szCs w:val="20"/>
          <w:lang w:eastAsia="en-GB" w:bidi="bn-IN"/>
        </w:rPr>
        <w:t>`</w:t>
      </w:r>
      <w:r w:rsidRPr="009843B9">
        <w:rPr>
          <w:rFonts w:ascii="Garamond" w:eastAsia="Times New Roman" w:hAnsi="Garamond"/>
          <w:bCs/>
        </w:rPr>
        <w:t xml:space="preserve"> 9,023 crore was invested in equity and </w:t>
      </w:r>
      <w:r w:rsidRPr="009843B9">
        <w:rPr>
          <w:rFonts w:ascii="Rupee Foradian" w:eastAsia="Times New Roman" w:hAnsi="Rupee Foradian"/>
          <w:bCs/>
          <w:szCs w:val="20"/>
          <w:lang w:eastAsia="en-GB" w:bidi="bn-IN"/>
        </w:rPr>
        <w:t>`</w:t>
      </w:r>
      <w:r w:rsidRPr="009843B9">
        <w:rPr>
          <w:rFonts w:ascii="Garamond" w:eastAsia="Times New Roman" w:hAnsi="Garamond"/>
          <w:bCs/>
        </w:rPr>
        <w:t xml:space="preserve"> 22,240 crore was invested in debt (</w:t>
      </w:r>
      <w:r w:rsidRPr="009843B9">
        <w:rPr>
          <w:rFonts w:ascii="Garamond" w:eastAsia="Times New Roman" w:hAnsi="Garamond"/>
          <w:b/>
          <w:i/>
          <w:iCs/>
        </w:rPr>
        <w:t>Figure 12</w:t>
      </w:r>
      <w:r w:rsidRPr="009843B9">
        <w:rPr>
          <w:rFonts w:ascii="Garamond" w:eastAsia="Times New Roman" w:hAnsi="Garamond"/>
          <w:bCs/>
        </w:rPr>
        <w:t>).</w:t>
      </w:r>
    </w:p>
    <w:p w:rsidR="00B25DA6" w:rsidRPr="005E0F24" w:rsidRDefault="00B25DA6" w:rsidP="00B25DA6">
      <w:pPr>
        <w:jc w:val="both"/>
        <w:rPr>
          <w:rFonts w:ascii="Garamond" w:eastAsia="Times New Roman" w:hAnsi="Garamond"/>
          <w:bCs/>
        </w:rPr>
      </w:pPr>
    </w:p>
    <w:p w:rsidR="00B25DA6" w:rsidRPr="005E0F24" w:rsidRDefault="00B25DA6" w:rsidP="00B25DA6">
      <w:pPr>
        <w:jc w:val="both"/>
        <w:rPr>
          <w:rFonts w:ascii="Garamond" w:eastAsia="Times New Roman" w:hAnsi="Garamond"/>
          <w:bCs/>
        </w:rPr>
      </w:pPr>
      <w:r w:rsidRPr="005E0F24">
        <w:rPr>
          <w:rFonts w:ascii="Garamond" w:eastAsia="Times New Roman" w:hAnsi="Garamond"/>
          <w:bCs/>
        </w:rPr>
        <w:t xml:space="preserve">As on February 28, 2018, there were a total of 1,932 mutual fund schemes in the market, of which 1,296 (67.1 per cent) were income / debt oriented schemes, 511 (26.5 per cent) were growth / equity oriented schemes, 30 (1.6 per cent) were balanced schemes, 67 (3.5 per cent) were exchange traded funds and 28 (1.5 per cent) were fund of funds investing overseas </w:t>
      </w:r>
      <w:r w:rsidRPr="005E0F24">
        <w:rPr>
          <w:rFonts w:ascii="Garamond" w:eastAsia="Times New Roman" w:hAnsi="Garamond"/>
          <w:b/>
          <w:bCs/>
        </w:rPr>
        <w:t>(</w:t>
      </w:r>
      <w:r w:rsidRPr="005E0F24">
        <w:rPr>
          <w:rFonts w:ascii="Garamond" w:eastAsia="Times New Roman" w:hAnsi="Garamond"/>
          <w:b/>
          <w:bCs/>
          <w:i/>
          <w:iCs/>
        </w:rPr>
        <w:t>Tables 59 &amp; 60</w:t>
      </w:r>
      <w:r w:rsidRPr="005E0F24">
        <w:rPr>
          <w:rFonts w:ascii="Garamond" w:eastAsia="Times New Roman" w:hAnsi="Garamond"/>
          <w:b/>
          <w:bCs/>
        </w:rPr>
        <w:t>).</w:t>
      </w:r>
    </w:p>
    <w:p w:rsidR="00B25DA6" w:rsidRPr="005E0F24" w:rsidRDefault="00B25DA6" w:rsidP="00B25DA6">
      <w:pPr>
        <w:rPr>
          <w:rFonts w:ascii="Garamond" w:hAnsi="Garamond"/>
          <w:b/>
          <w:highlight w:val="lightGray"/>
        </w:rPr>
      </w:pPr>
      <w:r w:rsidRPr="005E0F24">
        <w:rPr>
          <w:rFonts w:ascii="Garamond" w:hAnsi="Garamond"/>
          <w:b/>
          <w:highlight w:val="lightGray"/>
        </w:rPr>
        <w:br w:type="page"/>
      </w:r>
    </w:p>
    <w:p w:rsidR="00B25DA6" w:rsidRPr="009843B9" w:rsidRDefault="00B25DA6" w:rsidP="00B25DA6">
      <w:pPr>
        <w:rPr>
          <w:rFonts w:ascii="Garamond" w:hAnsi="Garamond"/>
          <w:b/>
        </w:rPr>
      </w:pPr>
      <w:r w:rsidRPr="009843B9">
        <w:rPr>
          <w:rFonts w:ascii="Garamond" w:hAnsi="Garamond"/>
          <w:b/>
        </w:rPr>
        <w:lastRenderedPageBreak/>
        <w:t>Figure 12: Trends in Mutual Funds Investment (</w:t>
      </w:r>
      <w:r w:rsidRPr="009843B9">
        <w:rPr>
          <w:rFonts w:ascii="Rupee Foradian" w:eastAsia="Times New Roman" w:hAnsi="Rupee Foradian" w:cs="Garamond"/>
          <w:b/>
        </w:rPr>
        <w:t>`</w:t>
      </w:r>
      <w:r w:rsidRPr="009843B9">
        <w:rPr>
          <w:rFonts w:ascii="Garamond" w:eastAsia="Times New Roman" w:hAnsi="Garamond" w:cs="Garamond"/>
          <w:b/>
        </w:rPr>
        <w:t xml:space="preserve"> </w:t>
      </w:r>
      <w:r w:rsidRPr="009843B9">
        <w:rPr>
          <w:rFonts w:ascii="Garamond" w:hAnsi="Garamond"/>
          <w:b/>
        </w:rPr>
        <w:t>crore)</w:t>
      </w:r>
    </w:p>
    <w:p w:rsidR="00B25DA6" w:rsidRPr="00991592" w:rsidRDefault="00B25DA6" w:rsidP="00B25DA6">
      <w:pPr>
        <w:rPr>
          <w:rFonts w:ascii="Garamond" w:hAnsi="Garamond"/>
          <w:b/>
          <w:color w:val="000099"/>
          <w:highlight w:val="lightGray"/>
        </w:rPr>
      </w:pPr>
    </w:p>
    <w:p w:rsidR="00B25DA6" w:rsidRPr="00991592" w:rsidRDefault="00B25DA6" w:rsidP="00B25DA6">
      <w:pPr>
        <w:jc w:val="center"/>
        <w:rPr>
          <w:rFonts w:ascii="Garamond" w:hAnsi="Garamond"/>
          <w:b/>
          <w:color w:val="000099"/>
          <w:highlight w:val="lightGray"/>
        </w:rPr>
      </w:pPr>
      <w:r>
        <w:rPr>
          <w:noProof/>
          <w:lang w:val="en-IN" w:eastAsia="en-IN"/>
        </w:rPr>
        <w:drawing>
          <wp:inline distT="0" distB="0" distL="0" distR="0" wp14:anchorId="4F76FF68" wp14:editId="23311BD7">
            <wp:extent cx="5597525" cy="2944495"/>
            <wp:effectExtent l="0" t="0" r="3175" b="825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5DA6" w:rsidRPr="00991592" w:rsidRDefault="00B25DA6" w:rsidP="00B25DA6">
      <w:pPr>
        <w:jc w:val="center"/>
        <w:rPr>
          <w:rFonts w:ascii="Garamond" w:hAnsi="Garamond"/>
          <w:b/>
          <w:color w:val="000099"/>
          <w:highlight w:val="lightGray"/>
        </w:rPr>
      </w:pPr>
    </w:p>
    <w:p w:rsidR="00B25DA6" w:rsidRPr="00991592" w:rsidRDefault="00B25DA6" w:rsidP="00B25DA6">
      <w:pPr>
        <w:widowControl w:val="0"/>
        <w:numPr>
          <w:ilvl w:val="0"/>
          <w:numId w:val="2"/>
        </w:numPr>
        <w:tabs>
          <w:tab w:val="left" w:pos="0"/>
        </w:tabs>
        <w:spacing w:before="240"/>
        <w:contextualSpacing/>
        <w:jc w:val="both"/>
        <w:rPr>
          <w:rFonts w:ascii="Garamond" w:hAnsi="Garamond"/>
          <w:b/>
          <w:color w:val="000099"/>
        </w:rPr>
      </w:pPr>
      <w:r w:rsidRPr="00991592">
        <w:rPr>
          <w:rFonts w:ascii="Garamond" w:hAnsi="Garamond"/>
          <w:b/>
          <w:color w:val="000099"/>
        </w:rPr>
        <w:t>Trends in Investment by the Foreign Portfolio Investors (FPIs)</w:t>
      </w:r>
    </w:p>
    <w:p w:rsidR="00B25DA6" w:rsidRPr="00991592" w:rsidRDefault="00B25DA6" w:rsidP="00B25DA6">
      <w:pPr>
        <w:widowControl w:val="0"/>
        <w:tabs>
          <w:tab w:val="left" w:pos="0"/>
        </w:tabs>
        <w:jc w:val="both"/>
        <w:rPr>
          <w:rFonts w:ascii="Garamond" w:hAnsi="Garamond"/>
          <w:b/>
          <w:color w:val="000099"/>
        </w:rPr>
      </w:pPr>
    </w:p>
    <w:p w:rsidR="00B25DA6" w:rsidRPr="00991592" w:rsidRDefault="00B25DA6" w:rsidP="00B25DA6">
      <w:pPr>
        <w:widowControl w:val="0"/>
        <w:tabs>
          <w:tab w:val="left" w:pos="0"/>
        </w:tabs>
        <w:jc w:val="both"/>
        <w:rPr>
          <w:rFonts w:ascii="Garamond" w:eastAsia="Times New Roman" w:hAnsi="Garamond" w:cs="Calibri"/>
          <w:color w:val="000099"/>
        </w:rPr>
      </w:pPr>
      <w:r w:rsidRPr="00B50912">
        <w:rPr>
          <w:rFonts w:ascii="Garamond" w:eastAsia="Times New Roman" w:hAnsi="Garamond"/>
        </w:rPr>
        <w:t xml:space="preserve">In February 2018, FPIs liquidated </w:t>
      </w:r>
      <w:r w:rsidRPr="00B50912">
        <w:rPr>
          <w:rFonts w:ascii="Rupee Foradian" w:eastAsia="Times New Roman" w:hAnsi="Rupee Foradian"/>
        </w:rPr>
        <w:t xml:space="preserve">` </w:t>
      </w:r>
      <w:r w:rsidRPr="00B50912">
        <w:rPr>
          <w:rFonts w:ascii="Garamond" w:eastAsia="Times New Roman" w:hAnsi="Garamond" w:cs="Calibri"/>
        </w:rPr>
        <w:t>11,</w:t>
      </w:r>
      <w:r w:rsidRPr="002D6D7F">
        <w:rPr>
          <w:rFonts w:ascii="Garamond" w:eastAsia="Times New Roman" w:hAnsi="Garamond" w:cs="Calibri"/>
        </w:rPr>
        <w:t>288 crore</w:t>
      </w:r>
      <w:r w:rsidRPr="002D6D7F">
        <w:rPr>
          <w:rFonts w:ascii="Garamond" w:eastAsia="Times New Roman" w:hAnsi="Garamond"/>
        </w:rPr>
        <w:t xml:space="preserve"> in the Indian securities market</w:t>
      </w:r>
      <w:r w:rsidRPr="002D6D7F">
        <w:rPr>
          <w:rFonts w:ascii="Garamond" w:eastAsia="Times New Roman" w:hAnsi="Garamond" w:cs="Calibri"/>
        </w:rPr>
        <w:t xml:space="preserve">, out of which </w:t>
      </w:r>
      <w:r w:rsidRPr="002D6D7F">
        <w:rPr>
          <w:rFonts w:ascii="Rupee Foradian" w:eastAsia="Times New Roman" w:hAnsi="Rupee Foradian" w:cs="Calibri"/>
        </w:rPr>
        <w:t>`</w:t>
      </w:r>
      <w:r w:rsidRPr="002D6D7F">
        <w:rPr>
          <w:rFonts w:ascii="Garamond" w:eastAsia="Times New Roman" w:hAnsi="Garamond" w:cs="Calibri"/>
        </w:rPr>
        <w:t xml:space="preserve"> 11,037 crore was liquidated in equity and </w:t>
      </w:r>
      <w:r w:rsidRPr="002D6D7F">
        <w:rPr>
          <w:rFonts w:ascii="Rupee Foradian" w:eastAsia="Times New Roman" w:hAnsi="Rupee Foradian" w:cs="Calibri"/>
        </w:rPr>
        <w:t>`</w:t>
      </w:r>
      <w:r w:rsidRPr="002D6D7F">
        <w:rPr>
          <w:rFonts w:ascii="Garamond" w:eastAsia="Times New Roman" w:hAnsi="Garamond" w:cs="Calibri"/>
        </w:rPr>
        <w:t xml:space="preserve"> 254 crore was liquidated in debt. On the other hand, FPIs invested </w:t>
      </w:r>
      <w:r w:rsidRPr="002D6D7F">
        <w:rPr>
          <w:rFonts w:ascii="Rupee Foradian" w:eastAsia="Times New Roman" w:hAnsi="Rupee Foradian" w:cs="Calibri"/>
        </w:rPr>
        <w:t>`</w:t>
      </w:r>
      <w:r w:rsidRPr="002D6D7F">
        <w:rPr>
          <w:rFonts w:ascii="Garamond" w:eastAsia="Times New Roman" w:hAnsi="Garamond" w:cs="Calibri"/>
        </w:rPr>
        <w:t xml:space="preserve"> 3 crore in hybrid securities </w:t>
      </w:r>
      <w:r w:rsidRPr="002D6D7F">
        <w:rPr>
          <w:rFonts w:ascii="Garamond" w:eastAsia="Times New Roman" w:hAnsi="Garamond"/>
        </w:rPr>
        <w:t>(</w:t>
      </w:r>
      <w:r w:rsidRPr="002D6D7F">
        <w:rPr>
          <w:rFonts w:ascii="Garamond" w:eastAsia="Times New Roman" w:hAnsi="Garamond"/>
          <w:b/>
          <w:bCs/>
          <w:i/>
          <w:iCs/>
        </w:rPr>
        <w:t>Figure 13</w:t>
      </w:r>
      <w:r w:rsidRPr="002D6D7F">
        <w:rPr>
          <w:rFonts w:ascii="Garamond" w:eastAsia="Times New Roman" w:hAnsi="Garamond"/>
        </w:rPr>
        <w:t>).</w:t>
      </w:r>
    </w:p>
    <w:p w:rsidR="00B25DA6" w:rsidRPr="00991592" w:rsidRDefault="00B25DA6" w:rsidP="00B25DA6">
      <w:pPr>
        <w:widowControl w:val="0"/>
        <w:tabs>
          <w:tab w:val="left" w:pos="0"/>
        </w:tabs>
        <w:jc w:val="both"/>
        <w:rPr>
          <w:rFonts w:ascii="Garamond" w:eastAsia="Times New Roman" w:hAnsi="Garamond" w:cs="Calibri"/>
          <w:color w:val="000099"/>
          <w:highlight w:val="lightGray"/>
        </w:rPr>
      </w:pPr>
    </w:p>
    <w:p w:rsidR="00B25DA6" w:rsidRPr="00722BA4" w:rsidRDefault="00B25DA6" w:rsidP="00B25DA6">
      <w:pPr>
        <w:widowControl w:val="0"/>
        <w:tabs>
          <w:tab w:val="left" w:pos="0"/>
        </w:tabs>
        <w:jc w:val="both"/>
        <w:rPr>
          <w:rFonts w:ascii="Garamond" w:eastAsia="Times New Roman" w:hAnsi="Garamond" w:cs="Garamond"/>
          <w:highlight w:val="lightGray"/>
        </w:rPr>
      </w:pPr>
      <w:r w:rsidRPr="00722BA4">
        <w:rPr>
          <w:rFonts w:ascii="Garamond" w:eastAsia="Times New Roman" w:hAnsi="Garamond"/>
        </w:rPr>
        <w:t>The assets of the FPIs in India, as reported by the custodians, at the end of February 2018 was</w:t>
      </w:r>
      <w:r w:rsidRPr="00722BA4">
        <w:rPr>
          <w:rFonts w:ascii="Garamond" w:hAnsi="Garamond"/>
        </w:rPr>
        <w:t xml:space="preserve"> </w:t>
      </w:r>
      <w:r w:rsidRPr="00722BA4">
        <w:rPr>
          <w:rFonts w:ascii="Rupee Foradian" w:hAnsi="Rupee Foradian" w:cs="Garamond"/>
        </w:rPr>
        <w:t>`</w:t>
      </w:r>
      <w:r w:rsidRPr="00722BA4">
        <w:rPr>
          <w:rFonts w:ascii="Garamond" w:hAnsi="Garamond" w:cs="Garamond"/>
        </w:rPr>
        <w:t xml:space="preserve"> </w:t>
      </w:r>
      <w:r w:rsidRPr="00722BA4">
        <w:rPr>
          <w:rFonts w:ascii="Garamond" w:eastAsia="Times New Roman" w:hAnsi="Garamond" w:cs="Calibri"/>
        </w:rPr>
        <w:t xml:space="preserve">32,41,324 crore, out of which the notional value of offshore derivative instruments (including ODIs on derivatives) was </w:t>
      </w:r>
      <w:r w:rsidRPr="00722BA4">
        <w:rPr>
          <w:rFonts w:ascii="Rupee Foradian" w:eastAsia="Times New Roman" w:hAnsi="Rupee Foradian" w:cs="Garamond"/>
        </w:rPr>
        <w:t>`</w:t>
      </w:r>
      <w:r w:rsidRPr="00722BA4">
        <w:rPr>
          <w:rFonts w:ascii="Garamond" w:eastAsia="Times New Roman" w:hAnsi="Garamond" w:cs="Garamond"/>
        </w:rPr>
        <w:t xml:space="preserve"> 1,06,760 </w:t>
      </w:r>
      <w:r w:rsidRPr="00722BA4">
        <w:rPr>
          <w:rFonts w:ascii="Garamond" w:eastAsia="Times New Roman" w:hAnsi="Garamond" w:cs="Calibri"/>
        </w:rPr>
        <w:t>crore, constituting 3.3 per cent of the total assets under custody of F</w:t>
      </w:r>
      <w:r w:rsidRPr="00722BA4">
        <w:rPr>
          <w:rFonts w:ascii="Garamond" w:eastAsia="Times New Roman" w:hAnsi="Garamond"/>
        </w:rPr>
        <w:t>PIs (</w:t>
      </w:r>
      <w:r w:rsidRPr="00722BA4">
        <w:rPr>
          <w:rFonts w:ascii="Garamond" w:eastAsia="Times New Roman" w:hAnsi="Garamond"/>
          <w:b/>
          <w:i/>
          <w:iCs/>
        </w:rPr>
        <w:t>Tables 53, 54 &amp; 55</w:t>
      </w:r>
      <w:r w:rsidRPr="00722BA4">
        <w:rPr>
          <w:rFonts w:ascii="Garamond" w:eastAsia="Times New Roman" w:hAnsi="Garamond"/>
        </w:rPr>
        <w:t>).</w:t>
      </w:r>
    </w:p>
    <w:p w:rsidR="00B25DA6" w:rsidRPr="00991592" w:rsidRDefault="00B25DA6" w:rsidP="00B25DA6">
      <w:pPr>
        <w:outlineLvl w:val="0"/>
        <w:rPr>
          <w:rFonts w:ascii="Garamond" w:hAnsi="Garamond"/>
          <w:b/>
          <w:color w:val="000099"/>
          <w:highlight w:val="lightGray"/>
        </w:rPr>
      </w:pPr>
    </w:p>
    <w:p w:rsidR="004A0A89" w:rsidRDefault="004A0A89">
      <w:pPr>
        <w:rPr>
          <w:rFonts w:ascii="Garamond" w:hAnsi="Garamond"/>
          <w:b/>
        </w:rPr>
      </w:pPr>
      <w:r>
        <w:rPr>
          <w:rFonts w:ascii="Garamond" w:hAnsi="Garamond"/>
          <w:b/>
        </w:rPr>
        <w:br w:type="page"/>
      </w:r>
    </w:p>
    <w:p w:rsidR="00B25DA6" w:rsidRPr="00D33D6A" w:rsidRDefault="00B25DA6" w:rsidP="00B25DA6">
      <w:pPr>
        <w:outlineLvl w:val="0"/>
        <w:rPr>
          <w:rFonts w:ascii="Garamond" w:hAnsi="Garamond"/>
          <w:b/>
        </w:rPr>
      </w:pPr>
      <w:r w:rsidRPr="00D33D6A">
        <w:rPr>
          <w:rFonts w:ascii="Garamond" w:hAnsi="Garamond"/>
          <w:b/>
        </w:rPr>
        <w:lastRenderedPageBreak/>
        <w:t>Figure 13: Trends in FPIs Investment (</w:t>
      </w:r>
      <w:r w:rsidRPr="00D33D6A">
        <w:rPr>
          <w:rFonts w:ascii="Rupee Foradian" w:eastAsia="Times New Roman" w:hAnsi="Rupee Foradian" w:cs="Garamond"/>
          <w:b/>
        </w:rPr>
        <w:t>`</w:t>
      </w:r>
      <w:r w:rsidRPr="00D33D6A">
        <w:rPr>
          <w:rFonts w:ascii="Garamond" w:hAnsi="Garamond"/>
          <w:b/>
        </w:rPr>
        <w:t xml:space="preserve"> crore)</w:t>
      </w:r>
    </w:p>
    <w:p w:rsidR="00B25DA6" w:rsidRPr="00D33D6A" w:rsidRDefault="00B25DA6" w:rsidP="00B25DA6">
      <w:pPr>
        <w:jc w:val="center"/>
        <w:rPr>
          <w:rFonts w:ascii="Garamond" w:hAnsi="Garamond"/>
          <w:b/>
          <w:highlight w:val="lightGray"/>
        </w:rPr>
      </w:pPr>
      <w:r w:rsidRPr="00D33D6A">
        <w:rPr>
          <w:noProof/>
          <w:lang w:val="en-IN" w:eastAsia="en-IN"/>
        </w:rPr>
        <w:drawing>
          <wp:inline distT="0" distB="0" distL="0" distR="0" wp14:anchorId="2E05BF87" wp14:editId="2D916F44">
            <wp:extent cx="5731510" cy="3054350"/>
            <wp:effectExtent l="0" t="0" r="254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5DA6" w:rsidRPr="00D33D6A" w:rsidRDefault="00B25DA6" w:rsidP="00B25DA6">
      <w:pPr>
        <w:widowControl w:val="0"/>
        <w:spacing w:before="240"/>
        <w:contextualSpacing/>
        <w:jc w:val="both"/>
        <w:rPr>
          <w:rFonts w:ascii="Garamond" w:eastAsia="Times New Roman" w:hAnsi="Garamond"/>
          <w:i/>
        </w:rPr>
      </w:pPr>
      <w:r w:rsidRPr="00D33D6A">
        <w:rPr>
          <w:rFonts w:ascii="Garamond" w:eastAsia="Times New Roman" w:hAnsi="Garamond"/>
          <w:b/>
          <w:i/>
          <w:sz w:val="20"/>
        </w:rPr>
        <w:t xml:space="preserve">Note: </w:t>
      </w:r>
      <w:r w:rsidRPr="00D33D6A">
        <w:rPr>
          <w:rFonts w:ascii="Garamond" w:eastAsia="Times New Roman" w:hAnsi="Garamond"/>
          <w:i/>
          <w:sz w:val="20"/>
        </w:rPr>
        <w:t>Data on</w:t>
      </w:r>
      <w:r w:rsidRPr="00D33D6A">
        <w:rPr>
          <w:rFonts w:ascii="Garamond" w:eastAsia="Times New Roman" w:hAnsi="Garamond"/>
          <w:b/>
          <w:i/>
          <w:sz w:val="20"/>
        </w:rPr>
        <w:t xml:space="preserve"> </w:t>
      </w:r>
      <w:r w:rsidRPr="00D33D6A">
        <w:rPr>
          <w:rFonts w:ascii="Garamond" w:eastAsia="Times New Roman" w:hAnsi="Garamond"/>
          <w:i/>
          <w:sz w:val="20"/>
        </w:rPr>
        <w:t>investment by FPIs in Hybrid securities has been compiled since December 26, 2017.</w:t>
      </w:r>
    </w:p>
    <w:p w:rsidR="00B25DA6" w:rsidRPr="00D33D6A" w:rsidRDefault="00B25DA6" w:rsidP="00B25DA6">
      <w:pPr>
        <w:widowControl w:val="0"/>
        <w:spacing w:before="240"/>
        <w:contextualSpacing/>
        <w:jc w:val="both"/>
        <w:rPr>
          <w:rFonts w:ascii="Garamond" w:eastAsia="Times New Roman" w:hAnsi="Garamond"/>
        </w:rPr>
      </w:pPr>
    </w:p>
    <w:p w:rsidR="00B25DA6" w:rsidRPr="006235F6" w:rsidRDefault="00B25DA6" w:rsidP="00B25DA6">
      <w:pPr>
        <w:widowControl w:val="0"/>
        <w:numPr>
          <w:ilvl w:val="0"/>
          <w:numId w:val="20"/>
        </w:numPr>
        <w:spacing w:before="240"/>
        <w:contextualSpacing/>
        <w:jc w:val="both"/>
        <w:rPr>
          <w:rFonts w:ascii="Garamond" w:eastAsia="Times New Roman" w:hAnsi="Garamond"/>
          <w:b/>
        </w:rPr>
      </w:pPr>
      <w:r w:rsidRPr="006235F6">
        <w:rPr>
          <w:rFonts w:ascii="Garamond" w:hAnsi="Garamond"/>
          <w:b/>
        </w:rPr>
        <w:t>Trends in Portfolio Management Services</w:t>
      </w:r>
    </w:p>
    <w:p w:rsidR="00B25DA6" w:rsidRPr="006235F6" w:rsidRDefault="00B25DA6" w:rsidP="00B25DA6">
      <w:pPr>
        <w:widowControl w:val="0"/>
        <w:jc w:val="both"/>
        <w:rPr>
          <w:rFonts w:ascii="Garamond" w:eastAsia="Times New Roman" w:hAnsi="Garamond"/>
        </w:rPr>
      </w:pPr>
    </w:p>
    <w:p w:rsidR="00B25DA6" w:rsidRPr="00E912FD" w:rsidRDefault="00B25DA6" w:rsidP="00B25DA6">
      <w:pPr>
        <w:widowControl w:val="0"/>
        <w:jc w:val="both"/>
        <w:rPr>
          <w:rFonts w:ascii="Garamond" w:eastAsia="Times New Roman" w:hAnsi="Garamond"/>
          <w:b/>
          <w:bCs/>
          <w:i/>
          <w:iCs/>
        </w:rPr>
      </w:pPr>
      <w:r w:rsidRPr="006235F6">
        <w:rPr>
          <w:rFonts w:ascii="Garamond" w:eastAsia="Times New Roman" w:hAnsi="Garamond"/>
        </w:rPr>
        <w:t xml:space="preserve">Assets under management (AUM) of discretionary portfolio management services (PMS) increased by 0.9 per cent to </w:t>
      </w:r>
      <w:r w:rsidRPr="006235F6">
        <w:rPr>
          <w:rFonts w:ascii="Rupee Foradian" w:eastAsia="Times New Roman" w:hAnsi="Rupee Foradian"/>
        </w:rPr>
        <w:t>`</w:t>
      </w:r>
      <w:r w:rsidRPr="006235F6">
        <w:rPr>
          <w:rFonts w:ascii="Garamond" w:eastAsia="Times New Roman" w:hAnsi="Garamond"/>
        </w:rPr>
        <w:t xml:space="preserve"> 11,38,558 crore in February 2018</w:t>
      </w:r>
      <w:r w:rsidRPr="006235F6">
        <w:rPr>
          <w:rFonts w:ascii="Garamond" w:eastAsia="Times New Roman" w:hAnsi="Garamond" w:cs="Calibri"/>
        </w:rPr>
        <w:t xml:space="preserve"> from </w:t>
      </w:r>
      <w:r w:rsidRPr="006235F6">
        <w:rPr>
          <w:rFonts w:ascii="Rupee Foradian" w:eastAsia="Times New Roman" w:hAnsi="Rupee Foradian"/>
        </w:rPr>
        <w:t>`</w:t>
      </w:r>
      <w:r w:rsidRPr="006235F6">
        <w:rPr>
          <w:rFonts w:ascii="Garamond" w:eastAsia="Times New Roman" w:hAnsi="Garamond"/>
        </w:rPr>
        <w:t xml:space="preserve"> 11,28,688 crore in January 2018</w:t>
      </w:r>
      <w:r w:rsidRPr="006235F6">
        <w:rPr>
          <w:rFonts w:ascii="Garamond" w:eastAsia="Times New Roman" w:hAnsi="Garamond" w:cs="Calibri"/>
        </w:rPr>
        <w:t>. The AUM of Non-discretio</w:t>
      </w:r>
      <w:r w:rsidRPr="00E912FD">
        <w:rPr>
          <w:rFonts w:ascii="Garamond" w:eastAsia="Times New Roman" w:hAnsi="Garamond" w:cs="Calibri"/>
        </w:rPr>
        <w:t xml:space="preserve">nary PMS marginally fell by 0.1 per cent to </w:t>
      </w:r>
      <w:r w:rsidRPr="00E912FD">
        <w:rPr>
          <w:rFonts w:ascii="Rupee Foradian" w:eastAsia="Times New Roman" w:hAnsi="Rupee Foradian" w:cs="Calibri"/>
        </w:rPr>
        <w:t>`</w:t>
      </w:r>
      <w:r w:rsidRPr="00E912FD">
        <w:rPr>
          <w:rFonts w:ascii="Garamond" w:eastAsia="Times New Roman" w:hAnsi="Garamond" w:cs="Calibri"/>
        </w:rPr>
        <w:t xml:space="preserve"> 89,623 crore from </w:t>
      </w:r>
      <w:r w:rsidRPr="00E912FD">
        <w:rPr>
          <w:rFonts w:ascii="Rupee Foradian" w:eastAsia="Times New Roman" w:hAnsi="Rupee Foradian" w:cs="Calibri"/>
        </w:rPr>
        <w:t>`</w:t>
      </w:r>
      <w:r w:rsidRPr="00E912FD">
        <w:rPr>
          <w:rFonts w:ascii="Garamond" w:eastAsia="Times New Roman" w:hAnsi="Garamond" w:cs="Calibri"/>
        </w:rPr>
        <w:t xml:space="preserve"> 89,720 crore, whereas, AUM of Advisory services, increased by 1.0 per cent to </w:t>
      </w:r>
      <w:r w:rsidRPr="00E912FD">
        <w:rPr>
          <w:rFonts w:ascii="Rupee Foradian" w:eastAsia="Times New Roman" w:hAnsi="Rupee Foradian" w:cs="Calibri"/>
        </w:rPr>
        <w:t>`</w:t>
      </w:r>
      <w:r w:rsidRPr="00E912FD">
        <w:rPr>
          <w:rFonts w:ascii="Garamond" w:eastAsia="Times New Roman" w:hAnsi="Garamond" w:cs="Calibri"/>
        </w:rPr>
        <w:t xml:space="preserve"> 2,21,147 crore from </w:t>
      </w:r>
      <w:r w:rsidRPr="00E912FD">
        <w:rPr>
          <w:rFonts w:ascii="Rupee Foradian" w:eastAsia="Times New Roman" w:hAnsi="Rupee Foradian" w:cs="Calibri"/>
        </w:rPr>
        <w:t>`</w:t>
      </w:r>
      <w:r w:rsidRPr="00E912FD">
        <w:rPr>
          <w:rFonts w:ascii="Garamond" w:eastAsia="Times New Roman" w:hAnsi="Garamond" w:cs="Calibri"/>
        </w:rPr>
        <w:t xml:space="preserve"> 2,00,665 crore. </w:t>
      </w:r>
      <w:r w:rsidRPr="00E912FD">
        <w:rPr>
          <w:rFonts w:ascii="Garamond" w:eastAsia="Times New Roman" w:hAnsi="Garamond"/>
        </w:rPr>
        <w:t xml:space="preserve">In terms of number of clients, at the end of January 2018, out of 1,18,099 clients in PMS industry, discretionary services category leads with total of 1,10,633 clients, followed by non-discretionary category with 5,356 clients and advisory category with 2,110 clients. </w:t>
      </w:r>
      <w:r w:rsidRPr="00E912FD">
        <w:rPr>
          <w:rFonts w:ascii="Garamond" w:eastAsia="Times New Roman" w:hAnsi="Garamond"/>
          <w:b/>
          <w:bCs/>
          <w:i/>
          <w:iCs/>
        </w:rPr>
        <w:t>(Table 61).</w:t>
      </w:r>
    </w:p>
    <w:p w:rsidR="00B25DA6" w:rsidRPr="00991592" w:rsidRDefault="00B25DA6" w:rsidP="00B25DA6">
      <w:pPr>
        <w:widowControl w:val="0"/>
        <w:jc w:val="both"/>
        <w:rPr>
          <w:rFonts w:ascii="Garamond" w:eastAsia="Times New Roman" w:hAnsi="Garamond"/>
          <w:color w:val="000099"/>
          <w:highlight w:val="lightGray"/>
        </w:rPr>
      </w:pPr>
    </w:p>
    <w:p w:rsidR="00B25DA6" w:rsidRPr="00991592" w:rsidRDefault="00B25DA6" w:rsidP="00B25DA6">
      <w:pPr>
        <w:widowControl w:val="0"/>
        <w:jc w:val="both"/>
        <w:rPr>
          <w:rFonts w:ascii="Garamond" w:eastAsia="Times New Roman" w:hAnsi="Garamond"/>
          <w:color w:val="000099"/>
          <w:highlight w:val="lightGray"/>
        </w:rPr>
      </w:pPr>
    </w:p>
    <w:p w:rsidR="00B25DA6" w:rsidRPr="00D33D6A" w:rsidRDefault="00B25DA6" w:rsidP="00B25DA6">
      <w:pPr>
        <w:widowControl w:val="0"/>
        <w:numPr>
          <w:ilvl w:val="0"/>
          <w:numId w:val="20"/>
        </w:numPr>
        <w:spacing w:before="240"/>
        <w:contextualSpacing/>
        <w:jc w:val="both"/>
        <w:rPr>
          <w:rFonts w:ascii="Garamond" w:hAnsi="Garamond"/>
          <w:b/>
        </w:rPr>
      </w:pPr>
      <w:r w:rsidRPr="00D33D6A">
        <w:rPr>
          <w:rFonts w:ascii="Garamond" w:hAnsi="Garamond"/>
          <w:b/>
        </w:rPr>
        <w:t>Trends in Substantial Acquisition of Shares and Takeovers</w:t>
      </w:r>
    </w:p>
    <w:p w:rsidR="00B25DA6" w:rsidRPr="00D33D6A" w:rsidRDefault="00B25DA6" w:rsidP="00B25DA6">
      <w:pPr>
        <w:jc w:val="both"/>
        <w:rPr>
          <w:rFonts w:ascii="Garamond" w:eastAsia="Times New Roman" w:hAnsi="Garamond"/>
        </w:rPr>
      </w:pPr>
    </w:p>
    <w:p w:rsidR="00B25DA6" w:rsidRPr="00D33D6A" w:rsidRDefault="00B25DA6" w:rsidP="00B25DA6">
      <w:pPr>
        <w:jc w:val="both"/>
        <w:rPr>
          <w:rFonts w:ascii="Garamond" w:eastAsia="Times New Roman" w:hAnsi="Garamond" w:cs="Garamond"/>
        </w:rPr>
      </w:pPr>
      <w:r w:rsidRPr="00D33D6A">
        <w:rPr>
          <w:rFonts w:ascii="Garamond" w:eastAsia="Times New Roman" w:hAnsi="Garamond"/>
        </w:rPr>
        <w:t xml:space="preserve">In February 2018, two open offers with offer value of </w:t>
      </w:r>
      <w:r w:rsidRPr="00D33D6A">
        <w:rPr>
          <w:rFonts w:ascii="Rupee Foradian" w:eastAsia="Times New Roman" w:hAnsi="Rupee Foradian"/>
          <w:lang w:val="en-US"/>
        </w:rPr>
        <w:t>`</w:t>
      </w:r>
      <w:r w:rsidRPr="00D33D6A">
        <w:rPr>
          <w:rFonts w:ascii="Garamond" w:eastAsia="Times New Roman" w:hAnsi="Garamond"/>
          <w:lang w:val="en-US"/>
        </w:rPr>
        <w:t xml:space="preserve"> 10 </w:t>
      </w:r>
      <w:r w:rsidRPr="00D33D6A">
        <w:rPr>
          <w:rFonts w:ascii="Garamond" w:eastAsia="Times New Roman" w:hAnsi="Garamond"/>
        </w:rPr>
        <w:t>crore</w:t>
      </w:r>
      <w:r w:rsidRPr="00D33D6A">
        <w:rPr>
          <w:rFonts w:ascii="Garamond" w:eastAsia="Times New Roman" w:hAnsi="Garamond" w:cs="Garamond"/>
        </w:rPr>
        <w:t xml:space="preserve"> were made to the shareholders as against two </w:t>
      </w:r>
      <w:r w:rsidRPr="00D33D6A">
        <w:rPr>
          <w:rFonts w:ascii="Garamond" w:eastAsia="Times New Roman" w:hAnsi="Garamond"/>
        </w:rPr>
        <w:t xml:space="preserve">open offers with offer value of </w:t>
      </w:r>
      <w:r w:rsidRPr="00D33D6A">
        <w:rPr>
          <w:rFonts w:ascii="Rupee Foradian" w:eastAsia="Times New Roman" w:hAnsi="Rupee Foradian"/>
          <w:lang w:val="en-US"/>
        </w:rPr>
        <w:t>`</w:t>
      </w:r>
      <w:r w:rsidRPr="00D33D6A">
        <w:rPr>
          <w:rFonts w:ascii="Garamond" w:eastAsia="Times New Roman" w:hAnsi="Garamond"/>
          <w:lang w:val="en-US"/>
        </w:rPr>
        <w:t xml:space="preserve"> 3 crore </w:t>
      </w:r>
      <w:r w:rsidRPr="00D33D6A">
        <w:rPr>
          <w:rFonts w:ascii="Garamond" w:eastAsia="Times New Roman" w:hAnsi="Garamond" w:cs="Garamond"/>
        </w:rPr>
        <w:t>in January 2018</w:t>
      </w:r>
      <w:r w:rsidRPr="00D33D6A">
        <w:rPr>
          <w:rFonts w:ascii="Garamond" w:eastAsia="Times New Roman" w:hAnsi="Garamond"/>
        </w:rPr>
        <w:t>(</w:t>
      </w:r>
      <w:r w:rsidRPr="00D33D6A">
        <w:rPr>
          <w:rFonts w:ascii="Garamond" w:eastAsia="Times New Roman" w:hAnsi="Garamond"/>
          <w:b/>
          <w:bCs/>
          <w:i/>
          <w:iCs/>
        </w:rPr>
        <w:t>Figure 14</w:t>
      </w:r>
      <w:r w:rsidRPr="00D33D6A">
        <w:rPr>
          <w:rFonts w:ascii="Garamond" w:eastAsia="Times New Roman" w:hAnsi="Garamond"/>
        </w:rPr>
        <w:t>)</w:t>
      </w:r>
      <w:r w:rsidRPr="00D33D6A">
        <w:rPr>
          <w:rFonts w:ascii="Garamond" w:eastAsia="Times New Roman" w:hAnsi="Garamond" w:cs="Garamond"/>
        </w:rPr>
        <w:t xml:space="preserve">. </w:t>
      </w:r>
    </w:p>
    <w:p w:rsidR="00B25DA6" w:rsidRPr="00D33D6A" w:rsidRDefault="00B25DA6" w:rsidP="00B25DA6">
      <w:pPr>
        <w:jc w:val="both"/>
        <w:rPr>
          <w:rFonts w:ascii="Garamond" w:eastAsia="Times New Roman" w:hAnsi="Garamond" w:cs="Garamond"/>
        </w:rPr>
      </w:pPr>
    </w:p>
    <w:p w:rsidR="004A0A89" w:rsidRDefault="004A0A89">
      <w:pPr>
        <w:rPr>
          <w:rFonts w:ascii="Garamond" w:hAnsi="Garamond"/>
          <w:b/>
        </w:rPr>
      </w:pPr>
      <w:r>
        <w:rPr>
          <w:rFonts w:ascii="Garamond" w:hAnsi="Garamond"/>
          <w:b/>
        </w:rPr>
        <w:br w:type="page"/>
      </w:r>
    </w:p>
    <w:p w:rsidR="00B25DA6" w:rsidRPr="00D33D6A" w:rsidRDefault="00B25DA6" w:rsidP="00B25DA6">
      <w:pPr>
        <w:jc w:val="both"/>
        <w:rPr>
          <w:rFonts w:ascii="Garamond" w:hAnsi="Garamond"/>
          <w:b/>
        </w:rPr>
      </w:pPr>
      <w:r w:rsidRPr="00D33D6A">
        <w:rPr>
          <w:rFonts w:ascii="Garamond" w:hAnsi="Garamond"/>
          <w:b/>
        </w:rPr>
        <w:lastRenderedPageBreak/>
        <w:t>Figure</w:t>
      </w:r>
      <w:r w:rsidRPr="00D33D6A">
        <w:rPr>
          <w:rFonts w:ascii="Garamond" w:eastAsia="Times New Roman" w:hAnsi="Garamond" w:cs="Garamond"/>
          <w:b/>
          <w:bCs/>
        </w:rPr>
        <w:t xml:space="preserve"> 14: Details of Offers Opened under the SEBI (SAST) Regulations </w:t>
      </w:r>
      <w:r w:rsidRPr="00D33D6A">
        <w:rPr>
          <w:rFonts w:ascii="Garamond" w:hAnsi="Garamond"/>
          <w:b/>
        </w:rPr>
        <w:t>(</w:t>
      </w:r>
      <w:r w:rsidRPr="00D33D6A">
        <w:rPr>
          <w:rFonts w:ascii="Rupee Foradian" w:hAnsi="Rupee Foradian"/>
          <w:b/>
        </w:rPr>
        <w:t>`</w:t>
      </w:r>
      <w:r w:rsidRPr="00D33D6A">
        <w:rPr>
          <w:rFonts w:ascii="Garamond" w:hAnsi="Garamond"/>
          <w:b/>
        </w:rPr>
        <w:t xml:space="preserve"> crore)</w:t>
      </w:r>
    </w:p>
    <w:p w:rsidR="00B25DA6" w:rsidRPr="00D33D6A" w:rsidRDefault="00B25DA6" w:rsidP="00B25DA6">
      <w:pPr>
        <w:jc w:val="both"/>
        <w:rPr>
          <w:rFonts w:ascii="Garamond" w:hAnsi="Garamond"/>
          <w:b/>
        </w:rPr>
      </w:pPr>
    </w:p>
    <w:p w:rsidR="00B25DA6" w:rsidRPr="00D33D6A" w:rsidRDefault="00B25DA6" w:rsidP="00B25DA6">
      <w:pPr>
        <w:jc w:val="both"/>
        <w:rPr>
          <w:rFonts w:ascii="Garamond" w:hAnsi="Garamond"/>
          <w:b/>
        </w:rPr>
      </w:pPr>
      <w:r w:rsidRPr="00D33D6A">
        <w:rPr>
          <w:noProof/>
          <w:lang w:val="en-IN" w:eastAsia="en-IN"/>
        </w:rPr>
        <w:drawing>
          <wp:inline distT="0" distB="0" distL="0" distR="0" wp14:anchorId="3F6659A5" wp14:editId="5489F5E4">
            <wp:extent cx="5731510" cy="3479800"/>
            <wp:effectExtent l="0" t="0" r="2540" b="6350"/>
            <wp:docPr id="18" name="Chart 18"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64FC7" w:rsidRDefault="00C64FC7">
      <w:pPr>
        <w:rPr>
          <w:rFonts w:ascii="Garamond" w:hAnsi="Garamond"/>
          <w:b/>
          <w:color w:val="000099"/>
        </w:rPr>
      </w:pPr>
      <w:r>
        <w:rPr>
          <w:rFonts w:ascii="Garamond" w:hAnsi="Garamond"/>
          <w:b/>
          <w:color w:val="000099"/>
        </w:rPr>
        <w:br w:type="page"/>
      </w:r>
    </w:p>
    <w:p w:rsidR="00C64FC7" w:rsidRPr="00D53930" w:rsidRDefault="00C64FC7" w:rsidP="00C64FC7">
      <w:pPr>
        <w:jc w:val="center"/>
        <w:rPr>
          <w:rFonts w:ascii="Garamond" w:hAnsi="Garamond"/>
          <w:b/>
          <w:color w:val="632423"/>
        </w:rPr>
      </w:pPr>
      <w:r w:rsidRPr="00D53930">
        <w:rPr>
          <w:rFonts w:ascii="Garamond" w:hAnsi="Garamond"/>
          <w:b/>
          <w:color w:val="632423"/>
          <w:sz w:val="32"/>
        </w:rPr>
        <w:lastRenderedPageBreak/>
        <w:t>Monthly Review of Global Financial Markets</w:t>
      </w:r>
      <w:r w:rsidRPr="00D53930">
        <w:rPr>
          <w:rFonts w:ascii="Garamond" w:hAnsi="Garamond"/>
          <w:b/>
          <w:color w:val="632423"/>
          <w:sz w:val="32"/>
          <w:vertAlign w:val="superscript"/>
        </w:rPr>
        <w:footnoteReference w:id="1"/>
      </w:r>
      <w:r w:rsidRPr="00D53930">
        <w:rPr>
          <w:rFonts w:ascii="Garamond" w:hAnsi="Garamond"/>
          <w:b/>
          <w:color w:val="632423"/>
          <w:sz w:val="32"/>
        </w:rPr>
        <w:t xml:space="preserve"> </w:t>
      </w:r>
      <w:r>
        <w:rPr>
          <w:rFonts w:ascii="Garamond" w:hAnsi="Garamond"/>
          <w:b/>
          <w:color w:val="632423"/>
          <w:sz w:val="32"/>
        </w:rPr>
        <w:t>March</w:t>
      </w:r>
      <w:r w:rsidRPr="00D53930">
        <w:rPr>
          <w:rFonts w:ascii="Garamond" w:hAnsi="Garamond"/>
          <w:b/>
          <w:color w:val="632423"/>
          <w:sz w:val="32"/>
        </w:rPr>
        <w:t xml:space="preserve"> 2018</w:t>
      </w:r>
    </w:p>
    <w:p w:rsidR="00C64FC7" w:rsidRPr="003251AC" w:rsidRDefault="00C64FC7" w:rsidP="00C64FC7">
      <w:pPr>
        <w:spacing w:line="20" w:lineRule="atLeast"/>
        <w:jc w:val="both"/>
        <w:rPr>
          <w:rFonts w:ascii="Garamond" w:hAnsi="Garamond"/>
          <w:b/>
          <w:strike/>
          <w:color w:val="000000" w:themeColor="text1"/>
          <w:sz w:val="2"/>
          <w:lang w:val="en-IN"/>
        </w:rPr>
      </w:pPr>
    </w:p>
    <w:p w:rsidR="00C64FC7" w:rsidRPr="003251AC" w:rsidRDefault="00C64FC7" w:rsidP="00C64FC7">
      <w:pPr>
        <w:spacing w:line="20" w:lineRule="atLeast"/>
        <w:ind w:left="6663"/>
        <w:contextualSpacing/>
        <w:jc w:val="both"/>
        <w:rPr>
          <w:rFonts w:ascii="Garamond" w:hAnsi="Garamond"/>
          <w:b/>
          <w:strike/>
          <w:color w:val="000000" w:themeColor="text1"/>
          <w:lang w:val="en-IN"/>
        </w:rPr>
      </w:pPr>
      <w:r w:rsidRPr="003251AC">
        <w:rPr>
          <w:rFonts w:ascii="Garamond" w:hAnsi="Garamond"/>
          <w:strike/>
          <w:noProof/>
          <w:color w:val="000000" w:themeColor="text1"/>
          <w:lang w:val="en-IN" w:eastAsia="en-IN"/>
        </w:rPr>
        <mc:AlternateContent>
          <mc:Choice Requires="wps">
            <w:drawing>
              <wp:anchor distT="0" distB="0" distL="114300" distR="114300" simplePos="0" relativeHeight="251661312" behindDoc="0" locked="0" layoutInCell="1" allowOverlap="1" wp14:anchorId="55FAA538" wp14:editId="0BA1267F">
                <wp:simplePos x="0" y="0"/>
                <wp:positionH relativeFrom="page">
                  <wp:posOffset>507146</wp:posOffset>
                </wp:positionH>
                <wp:positionV relativeFrom="paragraph">
                  <wp:posOffset>80965</wp:posOffset>
                </wp:positionV>
                <wp:extent cx="4409830" cy="7722454"/>
                <wp:effectExtent l="0" t="0" r="10160" b="1206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830" cy="7722454"/>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C64FC7" w:rsidRPr="002A48B5" w:rsidRDefault="00C64FC7" w:rsidP="00C64FC7">
                            <w:pPr>
                              <w:shd w:val="clear" w:color="auto" w:fill="7B7B7B" w:themeFill="accent3" w:themeFillShade="BF"/>
                              <w:ind w:right="75"/>
                              <w:jc w:val="center"/>
                              <w:rPr>
                                <w:rFonts w:ascii="Garamond" w:hAnsi="Garamond"/>
                                <w:b/>
                              </w:rPr>
                            </w:pPr>
                            <w:r w:rsidRPr="002A48B5">
                              <w:rPr>
                                <w:rFonts w:ascii="Garamond" w:hAnsi="Garamond"/>
                                <w:b/>
                              </w:rPr>
                              <w:t>Snapshots</w:t>
                            </w:r>
                          </w:p>
                          <w:p w:rsidR="00C64FC7" w:rsidRPr="00C64FC7" w:rsidRDefault="00C64FC7" w:rsidP="00C64FC7">
                            <w:pPr>
                              <w:shd w:val="clear" w:color="auto" w:fill="C9C9C9" w:themeFill="accent3" w:themeFillTint="99"/>
                              <w:ind w:right="75"/>
                              <w:contextualSpacing/>
                              <w:rPr>
                                <w:rFonts w:ascii="Garamond" w:hAnsi="Garamond"/>
                                <w:b/>
                                <w:sz w:val="20"/>
                                <w:szCs w:val="20"/>
                              </w:rPr>
                            </w:pPr>
                            <w:r w:rsidRPr="00C64FC7">
                              <w:rPr>
                                <w:rFonts w:ascii="Garamond" w:hAnsi="Garamond"/>
                                <w:b/>
                                <w:sz w:val="20"/>
                                <w:szCs w:val="20"/>
                              </w:rPr>
                              <w:t>United States:</w:t>
                            </w:r>
                          </w:p>
                          <w:p w:rsidR="00C64FC7" w:rsidRPr="00C64FC7" w:rsidRDefault="00C64FC7" w:rsidP="00C64FC7">
                            <w:pPr>
                              <w:shd w:val="clear" w:color="auto" w:fill="C9C9C9" w:themeFill="accent3" w:themeFillTint="99"/>
                              <w:ind w:right="75"/>
                              <w:contextualSpacing/>
                              <w:rPr>
                                <w:rFonts w:ascii="Garamond" w:hAnsi="Garamond"/>
                                <w:sz w:val="20"/>
                                <w:szCs w:val="20"/>
                              </w:rPr>
                            </w:pPr>
                            <w:r w:rsidRPr="00C64FC7">
                              <w:rPr>
                                <w:rFonts w:ascii="Garamond" w:hAnsi="Garamond"/>
                                <w:sz w:val="20"/>
                                <w:szCs w:val="20"/>
                              </w:rPr>
                              <w:t>GDP expanded by 2.6 percent (annualised) in Q4 2017 as compared to 3.2 in previous quarter.  CPI inflation was 2.2 percent (Y-o-Y) and Unemployment rate was 4.1 percent in February 2018</w:t>
                            </w:r>
                          </w:p>
                          <w:p w:rsidR="00C64FC7" w:rsidRPr="00C64FC7" w:rsidRDefault="00C64FC7" w:rsidP="00C64FC7">
                            <w:pPr>
                              <w:shd w:val="clear" w:color="auto" w:fill="C9C9C9" w:themeFill="accent3" w:themeFillTint="99"/>
                              <w:ind w:right="75"/>
                              <w:contextualSpacing/>
                              <w:rPr>
                                <w:rFonts w:ascii="Garamond" w:hAnsi="Garamond"/>
                                <w:b/>
                                <w:sz w:val="14"/>
                                <w:szCs w:val="20"/>
                              </w:rPr>
                            </w:pPr>
                          </w:p>
                          <w:p w:rsidR="00C64FC7" w:rsidRPr="00C64FC7" w:rsidRDefault="00C64FC7" w:rsidP="00C64FC7">
                            <w:pPr>
                              <w:shd w:val="clear" w:color="auto" w:fill="C9C9C9" w:themeFill="accent3" w:themeFillTint="99"/>
                              <w:ind w:right="75"/>
                              <w:contextualSpacing/>
                              <w:rPr>
                                <w:rFonts w:ascii="Garamond" w:hAnsi="Garamond"/>
                                <w:b/>
                                <w:sz w:val="20"/>
                                <w:szCs w:val="20"/>
                              </w:rPr>
                            </w:pPr>
                            <w:r w:rsidRPr="00C64FC7">
                              <w:rPr>
                                <w:rFonts w:ascii="Garamond" w:hAnsi="Garamond"/>
                                <w:b/>
                                <w:sz w:val="20"/>
                                <w:szCs w:val="20"/>
                              </w:rPr>
                              <w:t xml:space="preserve">United Kingdom </w:t>
                            </w:r>
                          </w:p>
                          <w:p w:rsidR="00C64FC7" w:rsidRPr="00C64FC7" w:rsidRDefault="00C64FC7" w:rsidP="00C64FC7">
                            <w:pPr>
                              <w:ind w:right="75"/>
                              <w:textDirection w:val="btLr"/>
                              <w:rPr>
                                <w:rFonts w:ascii="Garamond" w:hAnsi="Garamond"/>
                                <w:sz w:val="20"/>
                                <w:szCs w:val="20"/>
                              </w:rPr>
                            </w:pPr>
                            <w:r w:rsidRPr="00C64FC7">
                              <w:rPr>
                                <w:rFonts w:ascii="Garamond" w:hAnsi="Garamond"/>
                                <w:sz w:val="20"/>
                                <w:szCs w:val="20"/>
                              </w:rPr>
                              <w:t>Real GDP growth rate came down to 1.4 percent (Y-o-Y) in Q4 2017 against 1.8 percent of Q4 2017. CPI inflation was 2.7 percent (Y-o-Y) in February 2018. Unemployment rate was 4.3 percent during the period November to January 2018.</w:t>
                            </w:r>
                          </w:p>
                          <w:p w:rsidR="00C64FC7" w:rsidRPr="00C64FC7" w:rsidRDefault="00C64FC7" w:rsidP="00C64FC7">
                            <w:pPr>
                              <w:ind w:right="75"/>
                              <w:textDirection w:val="btLr"/>
                              <w:rPr>
                                <w:rFonts w:ascii="Garamond" w:hAnsi="Garamond"/>
                                <w:sz w:val="14"/>
                                <w:szCs w:val="20"/>
                              </w:rPr>
                            </w:pPr>
                          </w:p>
                          <w:p w:rsidR="00C64FC7" w:rsidRPr="00C64FC7" w:rsidRDefault="00C64FC7" w:rsidP="00C64FC7">
                            <w:pPr>
                              <w:shd w:val="clear" w:color="auto" w:fill="C9C9C9" w:themeFill="accent3" w:themeFillTint="99"/>
                              <w:ind w:right="75"/>
                              <w:contextualSpacing/>
                              <w:rPr>
                                <w:rFonts w:ascii="Garamond" w:hAnsi="Garamond"/>
                                <w:b/>
                                <w:sz w:val="20"/>
                                <w:szCs w:val="20"/>
                              </w:rPr>
                            </w:pPr>
                            <w:r w:rsidRPr="00C64FC7">
                              <w:rPr>
                                <w:rFonts w:ascii="Garamond" w:hAnsi="Garamond"/>
                                <w:b/>
                                <w:sz w:val="20"/>
                                <w:szCs w:val="20"/>
                              </w:rPr>
                              <w:t>Japan:</w:t>
                            </w:r>
                          </w:p>
                          <w:p w:rsidR="00C64FC7" w:rsidRPr="00C64FC7" w:rsidRDefault="00C64FC7" w:rsidP="00C64FC7">
                            <w:pPr>
                              <w:shd w:val="clear" w:color="auto" w:fill="C9C9C9" w:themeFill="accent3" w:themeFillTint="99"/>
                              <w:ind w:right="75"/>
                              <w:contextualSpacing/>
                              <w:rPr>
                                <w:rFonts w:ascii="Garamond" w:hAnsi="Garamond"/>
                                <w:sz w:val="20"/>
                                <w:szCs w:val="20"/>
                              </w:rPr>
                            </w:pPr>
                            <w:r w:rsidRPr="00C64FC7">
                              <w:rPr>
                                <w:rFonts w:ascii="Garamond" w:hAnsi="Garamond"/>
                                <w:sz w:val="20"/>
                                <w:szCs w:val="20"/>
                              </w:rPr>
                              <w:t>GDP expanded by 1.5 percent (Y-o-Y) in Q4 2017, as compared to 1.9 percent in Q3. CPI inflation rose 1.4 percent (Y-o-Y) in January 2018. Unemployment rate was 2.8 percent in January 2018 as compared to the previous month.</w:t>
                            </w:r>
                          </w:p>
                          <w:p w:rsidR="00C64FC7" w:rsidRPr="00C64FC7" w:rsidRDefault="00C64FC7" w:rsidP="00C64FC7">
                            <w:pPr>
                              <w:shd w:val="clear" w:color="auto" w:fill="C9C9C9" w:themeFill="accent3" w:themeFillTint="99"/>
                              <w:ind w:right="75"/>
                              <w:contextualSpacing/>
                              <w:rPr>
                                <w:rFonts w:ascii="Garamond" w:hAnsi="Garamond"/>
                                <w:b/>
                                <w:color w:val="FF0000"/>
                                <w:sz w:val="14"/>
                                <w:szCs w:val="20"/>
                              </w:rPr>
                            </w:pPr>
                          </w:p>
                          <w:p w:rsidR="00C64FC7" w:rsidRPr="00C64FC7" w:rsidRDefault="00C64FC7" w:rsidP="00C64FC7">
                            <w:pPr>
                              <w:shd w:val="clear" w:color="auto" w:fill="C9C9C9" w:themeFill="accent3" w:themeFillTint="99"/>
                              <w:ind w:right="75"/>
                              <w:rPr>
                                <w:rFonts w:ascii="Garamond" w:hAnsi="Garamond"/>
                                <w:b/>
                                <w:sz w:val="20"/>
                                <w:szCs w:val="20"/>
                              </w:rPr>
                            </w:pPr>
                            <w:r w:rsidRPr="00C64FC7">
                              <w:rPr>
                                <w:rFonts w:ascii="Garamond" w:hAnsi="Garamond"/>
                                <w:b/>
                                <w:sz w:val="20"/>
                                <w:szCs w:val="20"/>
                              </w:rPr>
                              <w:t>Euro Zone (EA19):</w:t>
                            </w:r>
                          </w:p>
                          <w:p w:rsidR="00C64FC7" w:rsidRPr="00C64FC7" w:rsidRDefault="00C64FC7" w:rsidP="00C64FC7">
                            <w:pPr>
                              <w:ind w:right="75"/>
                              <w:textDirection w:val="btLr"/>
                              <w:rPr>
                                <w:rFonts w:ascii="Garamond" w:hAnsi="Garamond"/>
                                <w:sz w:val="20"/>
                                <w:szCs w:val="20"/>
                              </w:rPr>
                            </w:pPr>
                            <w:r w:rsidRPr="00C64FC7">
                              <w:rPr>
                                <w:rFonts w:ascii="Garamond" w:hAnsi="Garamond"/>
                                <w:sz w:val="20"/>
                                <w:szCs w:val="20"/>
                              </w:rPr>
                              <w:t>GDP advanced by 2.7 percent (Y-o-Y) in Q4 2017 from 2.6 percent of previous quarter. CPI inflation decreased by 1.1 percent (Y-o-Y) in January 2018 as against previous month. Unemployment rate recorded 8.6 percent in January 2018.</w:t>
                            </w:r>
                          </w:p>
                          <w:p w:rsidR="00C64FC7" w:rsidRPr="00C64FC7" w:rsidRDefault="00C64FC7" w:rsidP="00C64FC7">
                            <w:pPr>
                              <w:ind w:right="75"/>
                              <w:textDirection w:val="btLr"/>
                              <w:rPr>
                                <w:rFonts w:ascii="Garamond" w:hAnsi="Garamond"/>
                                <w:color w:val="FF0000"/>
                                <w:sz w:val="14"/>
                                <w:szCs w:val="20"/>
                              </w:rPr>
                            </w:pPr>
                          </w:p>
                          <w:p w:rsidR="00C64FC7" w:rsidRPr="00C64FC7" w:rsidRDefault="00C64FC7" w:rsidP="00C64FC7">
                            <w:pPr>
                              <w:shd w:val="clear" w:color="auto" w:fill="C9C9C9" w:themeFill="accent3" w:themeFillTint="99"/>
                              <w:ind w:right="75"/>
                              <w:rPr>
                                <w:rFonts w:ascii="Garamond" w:hAnsi="Garamond"/>
                                <w:b/>
                                <w:sz w:val="20"/>
                                <w:szCs w:val="20"/>
                              </w:rPr>
                            </w:pPr>
                            <w:r w:rsidRPr="00C64FC7">
                              <w:rPr>
                                <w:rFonts w:ascii="Garamond" w:hAnsi="Garamond"/>
                                <w:b/>
                                <w:sz w:val="20"/>
                                <w:szCs w:val="20"/>
                              </w:rPr>
                              <w:t>BRICS Nations:</w:t>
                            </w: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Real GDP of Brazil advanced by 0.1 percent (Y-o-Y) in Q3 2017. CPI inflation increased to 2.84 percent in February 2018. Unemployment rate decreased to 12.2 percent in January 2018.</w:t>
                            </w:r>
                          </w:p>
                          <w:p w:rsidR="00C64FC7" w:rsidRPr="00C64FC7" w:rsidRDefault="00C64FC7" w:rsidP="00C64FC7">
                            <w:pPr>
                              <w:shd w:val="clear" w:color="auto" w:fill="C9C9C9" w:themeFill="accent3" w:themeFillTint="99"/>
                              <w:ind w:left="180" w:right="75"/>
                              <w:contextualSpacing/>
                              <w:rPr>
                                <w:rFonts w:ascii="Garamond" w:hAnsi="Garamond"/>
                                <w:color w:val="FF0000"/>
                                <w:sz w:val="1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Russia’s GDP advanced by 1.1 percent (Y-o-Y) in Q3 2017. CPI inflation was 2.2 percent (Y-o-Y) in February 2018. Unemployment rate was 5.2 percent in January 2018.</w:t>
                            </w:r>
                          </w:p>
                          <w:p w:rsidR="00C64FC7" w:rsidRPr="00C64FC7" w:rsidRDefault="00C64FC7" w:rsidP="00C64FC7">
                            <w:pPr>
                              <w:shd w:val="clear" w:color="auto" w:fill="C9C9C9" w:themeFill="accent3" w:themeFillTint="99"/>
                              <w:ind w:right="75"/>
                              <w:contextualSpacing/>
                              <w:rPr>
                                <w:rFonts w:ascii="Garamond" w:hAnsi="Garamond"/>
                                <w:sz w:val="2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India’s real GDP grew by 6.7 percent (Y-o-Y) in Q3, 2017-18 as compared to 6.2 percent of Q2. Consumer prices in India recorded 4.44 percent (Y-o-Y) in February 2018, against 5.07 of previous month.</w:t>
                            </w:r>
                          </w:p>
                          <w:p w:rsidR="00C64FC7" w:rsidRPr="00C64FC7" w:rsidRDefault="00C64FC7" w:rsidP="00C64FC7">
                            <w:pPr>
                              <w:shd w:val="clear" w:color="auto" w:fill="C9C9C9" w:themeFill="accent3" w:themeFillTint="99"/>
                              <w:ind w:left="180" w:right="75"/>
                              <w:contextualSpacing/>
                              <w:rPr>
                                <w:rFonts w:ascii="Garamond" w:hAnsi="Garamond"/>
                                <w:color w:val="FF0000"/>
                                <w:sz w:val="1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 xml:space="preserve">GDP of China expanded by 6.8 percent (Y-o-Y) in the Q4 quarter of 2017. Consumer prices in China increased by 2.9 percent (Y-o-Y) in February 2018. Unemployment rate observed to be 3.9 percent in Q4. </w:t>
                            </w:r>
                          </w:p>
                          <w:p w:rsidR="00C64FC7" w:rsidRPr="00C64FC7" w:rsidRDefault="00C64FC7" w:rsidP="00C64FC7">
                            <w:pPr>
                              <w:shd w:val="clear" w:color="auto" w:fill="C9C9C9" w:themeFill="accent3" w:themeFillTint="99"/>
                              <w:ind w:left="180" w:right="75"/>
                              <w:contextualSpacing/>
                              <w:rPr>
                                <w:rFonts w:ascii="Garamond" w:hAnsi="Garamond"/>
                                <w:color w:val="FF0000"/>
                                <w:sz w:val="1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Times New Roman" w:hAnsi="Times New Roman"/>
                                <w:sz w:val="20"/>
                                <w:szCs w:val="20"/>
                              </w:rPr>
                            </w:pPr>
                            <w:r w:rsidRPr="00C64FC7">
                              <w:rPr>
                                <w:rFonts w:ascii="Garamond" w:hAnsi="Garamond"/>
                                <w:sz w:val="20"/>
                                <w:szCs w:val="20"/>
                              </w:rPr>
                              <w:t>GDP of South Africa advanced by 0.8 percent, against 1.3 percent in the previous quarter. Consumer prices increased by 4.4 percent in January 2018. Unemployment rate in South Africa remained at 26.7 percent in Q4 2017.</w:t>
                            </w:r>
                          </w:p>
                          <w:p w:rsidR="00C64FC7" w:rsidRPr="00752E88" w:rsidRDefault="00C64FC7" w:rsidP="00C64FC7">
                            <w:pPr>
                              <w:pStyle w:val="ListParagraph"/>
                              <w:shd w:val="clear" w:color="auto" w:fill="C9C9C9" w:themeFill="accent3" w:themeFillTint="99"/>
                              <w:spacing w:after="0"/>
                              <w:ind w:left="0" w:right="75"/>
                              <w:rPr>
                                <w:strike/>
                              </w:rPr>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FAA538" id="Rounded Rectangle 30" o:spid="_x0000_s1026" style="position:absolute;left:0;text-align:left;margin-left:39.95pt;margin-top:6.4pt;width:347.25pt;height:60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Q0XQIAALAEAAAOAAAAZHJzL2Uyb0RvYy54bWysVNtu2zAMfR+wfxD0vjjJnJsRp2jSdRjQ&#10;bUW7fYAiybE2WdIoJU779aNkJ0u7t2F+EESKOuThEb28OjaaHCR4ZU1JR4MhJdJwK5TZlfT7t9t3&#10;c0p8YEYwbY0s6ZP09Gr19s2ydYUc29pqIYEgiPFF60pah+CKLPO8lg3zA+ukwcPKQsMCmrDLBLAW&#10;0RudjYfDadZaEA4sl96j96Y7pKuEX1WSh69V5WUguqRYW0grpHUb12y1ZMUOmKsV78tg/1BFw5TB&#10;pGeoGxYY2YP6C6pRHKy3VRhw22S2qhSXiQOyGQ1fsXmsmZOJCzbHu3Ob/P+D5V8O90CUKOl7bI9h&#10;DWr0YPdGSEEesHvM7LQkeIaNap0vMP7R3UOk6t2d5T89MXZTY5i8BrBtLZnA8kYxPntxIRoer5Jt&#10;+9kKTMP2waaeHStoIiB2gxyTNE9naeQxEI7OPB8u5rFEjmez2XicT/KUgxWn6w58+ChtQ+KmpBBZ&#10;RAopBzvc+ZAEEj1LJn5QUjUa5T4wTUbT6XTWI/bBGStOmImv1UrcKq2TAbvtRgPBqyVdrNfrySLl&#10;0fsG2XXu6RC/CMkKdOM77Nz5yY34voPBXuH+El8b0iLwZDxJsC/O+ksdWgTrsryGSA1I2aMoH4xI&#10;+8CU7vYYr02vUhSmEzgct0cMjGptrXhCvcB2U4NTjpvawjMlLU5MSf2vPQNJif5koubz8RynPVwa&#10;cGlsk7EY5TklzHBEKikPcDI2oZvLvQO1qzHVKFE39hofSqUCVpVeVFdWb+BYpOb1Ixzn7tJOUX9+&#10;NKvfAAAA//8DAFBLAwQUAAYACAAAACEA1xOnNeAAAAAKAQAADwAAAGRycy9kb3ducmV2LnhtbEyP&#10;QUvDQBCF74L/YRnBm900FNPEbIooFQRBm1rocZOdJsHsbMhu2/TfOz3pcd57vPlevppsL044+s6R&#10;gvksAoFUO9NRo+B7u35YgvBBk9G9I1RwQQ+r4vYm15lxZ9rgqQyN4BLymVbQhjBkUvq6Rav9zA1I&#10;7B3caHXgc2ykGfWZy20v4yh6lFZ3xB9aPeBLi/VPebTc4tL3w8fFfFXl/nX3uX6btvN6o9T93fT8&#10;BCLgFP7CcMVndCiYqXJHMl70CpI05STrMS9gP0kWCxDVVYiXKcgil/8nFL8AAAD//wMAUEsBAi0A&#10;FAAGAAgAAAAhALaDOJL+AAAA4QEAABMAAAAAAAAAAAAAAAAAAAAAAFtDb250ZW50X1R5cGVzXS54&#10;bWxQSwECLQAUAAYACAAAACEAOP0h/9YAAACUAQAACwAAAAAAAAAAAAAAAAAvAQAAX3JlbHMvLnJl&#10;bHNQSwECLQAUAAYACAAAACEAHNJ0NF0CAACwBAAADgAAAAAAAAAAAAAAAAAuAgAAZHJzL2Uyb0Rv&#10;Yy54bWxQSwECLQAUAAYACAAAACEA1xOnNeAAAAAKAQAADwAAAAAAAAAAAAAAAAC3BAAAZHJzL2Rv&#10;d25yZXYueG1sUEsFBgAAAAAEAAQA8wAAAMQFAAAAAA==&#10;" fillcolor="#c3d69b">
                <v:textbox inset="1.44pt,1.44pt,1.44pt,.72pt">
                  <w:txbxContent>
                    <w:p w:rsidR="00C64FC7" w:rsidRPr="002A48B5" w:rsidRDefault="00C64FC7" w:rsidP="00C64FC7">
                      <w:pPr>
                        <w:shd w:val="clear" w:color="auto" w:fill="7B7B7B" w:themeFill="accent3" w:themeFillShade="BF"/>
                        <w:ind w:right="75"/>
                        <w:jc w:val="center"/>
                        <w:rPr>
                          <w:rFonts w:ascii="Garamond" w:hAnsi="Garamond"/>
                          <w:b/>
                        </w:rPr>
                      </w:pPr>
                      <w:r w:rsidRPr="002A48B5">
                        <w:rPr>
                          <w:rFonts w:ascii="Garamond" w:hAnsi="Garamond"/>
                          <w:b/>
                        </w:rPr>
                        <w:t>Snapshots</w:t>
                      </w:r>
                    </w:p>
                    <w:p w:rsidR="00C64FC7" w:rsidRPr="00C64FC7" w:rsidRDefault="00C64FC7" w:rsidP="00C64FC7">
                      <w:pPr>
                        <w:shd w:val="clear" w:color="auto" w:fill="C9C9C9" w:themeFill="accent3" w:themeFillTint="99"/>
                        <w:ind w:right="75"/>
                        <w:contextualSpacing/>
                        <w:rPr>
                          <w:rFonts w:ascii="Garamond" w:hAnsi="Garamond"/>
                          <w:b/>
                          <w:sz w:val="20"/>
                          <w:szCs w:val="20"/>
                        </w:rPr>
                      </w:pPr>
                      <w:r w:rsidRPr="00C64FC7">
                        <w:rPr>
                          <w:rFonts w:ascii="Garamond" w:hAnsi="Garamond"/>
                          <w:b/>
                          <w:sz w:val="20"/>
                          <w:szCs w:val="20"/>
                        </w:rPr>
                        <w:t>United States:</w:t>
                      </w:r>
                    </w:p>
                    <w:p w:rsidR="00C64FC7" w:rsidRPr="00C64FC7" w:rsidRDefault="00C64FC7" w:rsidP="00C64FC7">
                      <w:pPr>
                        <w:shd w:val="clear" w:color="auto" w:fill="C9C9C9" w:themeFill="accent3" w:themeFillTint="99"/>
                        <w:ind w:right="75"/>
                        <w:contextualSpacing/>
                        <w:rPr>
                          <w:rFonts w:ascii="Garamond" w:hAnsi="Garamond"/>
                          <w:sz w:val="20"/>
                          <w:szCs w:val="20"/>
                        </w:rPr>
                      </w:pPr>
                      <w:r w:rsidRPr="00C64FC7">
                        <w:rPr>
                          <w:rFonts w:ascii="Garamond" w:hAnsi="Garamond"/>
                          <w:sz w:val="20"/>
                          <w:szCs w:val="20"/>
                        </w:rPr>
                        <w:t>GDP expanded by 2.6 percent (annualised) in Q4 2017 as compared to 3.2 in previous quarter.  CPI inflation was 2.2 percent (Y-o-Y) and Unemployment rate was 4.1 percent in February 2018</w:t>
                      </w:r>
                    </w:p>
                    <w:p w:rsidR="00C64FC7" w:rsidRPr="00C64FC7" w:rsidRDefault="00C64FC7" w:rsidP="00C64FC7">
                      <w:pPr>
                        <w:shd w:val="clear" w:color="auto" w:fill="C9C9C9" w:themeFill="accent3" w:themeFillTint="99"/>
                        <w:ind w:right="75"/>
                        <w:contextualSpacing/>
                        <w:rPr>
                          <w:rFonts w:ascii="Garamond" w:hAnsi="Garamond"/>
                          <w:b/>
                          <w:sz w:val="14"/>
                          <w:szCs w:val="20"/>
                        </w:rPr>
                      </w:pPr>
                    </w:p>
                    <w:p w:rsidR="00C64FC7" w:rsidRPr="00C64FC7" w:rsidRDefault="00C64FC7" w:rsidP="00C64FC7">
                      <w:pPr>
                        <w:shd w:val="clear" w:color="auto" w:fill="C9C9C9" w:themeFill="accent3" w:themeFillTint="99"/>
                        <w:ind w:right="75"/>
                        <w:contextualSpacing/>
                        <w:rPr>
                          <w:rFonts w:ascii="Garamond" w:hAnsi="Garamond"/>
                          <w:b/>
                          <w:sz w:val="20"/>
                          <w:szCs w:val="20"/>
                        </w:rPr>
                      </w:pPr>
                      <w:r w:rsidRPr="00C64FC7">
                        <w:rPr>
                          <w:rFonts w:ascii="Garamond" w:hAnsi="Garamond"/>
                          <w:b/>
                          <w:sz w:val="20"/>
                          <w:szCs w:val="20"/>
                        </w:rPr>
                        <w:t xml:space="preserve">United Kingdom </w:t>
                      </w:r>
                    </w:p>
                    <w:p w:rsidR="00C64FC7" w:rsidRPr="00C64FC7" w:rsidRDefault="00C64FC7" w:rsidP="00C64FC7">
                      <w:pPr>
                        <w:ind w:right="75"/>
                        <w:textDirection w:val="btLr"/>
                        <w:rPr>
                          <w:rFonts w:ascii="Garamond" w:hAnsi="Garamond"/>
                          <w:sz w:val="20"/>
                          <w:szCs w:val="20"/>
                        </w:rPr>
                      </w:pPr>
                      <w:r w:rsidRPr="00C64FC7">
                        <w:rPr>
                          <w:rFonts w:ascii="Garamond" w:hAnsi="Garamond"/>
                          <w:sz w:val="20"/>
                          <w:szCs w:val="20"/>
                        </w:rPr>
                        <w:t>Real GDP growth rate came down to 1.4 percent (Y-o-Y) in Q4 2017 against 1.8 percent of Q4 2017. CPI inflation was 2.7 percent (Y-o-Y) in February 2018. Unemployment rate was 4.3 percent during the period November to January 2018.</w:t>
                      </w:r>
                    </w:p>
                    <w:p w:rsidR="00C64FC7" w:rsidRPr="00C64FC7" w:rsidRDefault="00C64FC7" w:rsidP="00C64FC7">
                      <w:pPr>
                        <w:ind w:right="75"/>
                        <w:textDirection w:val="btLr"/>
                        <w:rPr>
                          <w:rFonts w:ascii="Garamond" w:hAnsi="Garamond"/>
                          <w:sz w:val="14"/>
                          <w:szCs w:val="20"/>
                        </w:rPr>
                      </w:pPr>
                    </w:p>
                    <w:p w:rsidR="00C64FC7" w:rsidRPr="00C64FC7" w:rsidRDefault="00C64FC7" w:rsidP="00C64FC7">
                      <w:pPr>
                        <w:shd w:val="clear" w:color="auto" w:fill="C9C9C9" w:themeFill="accent3" w:themeFillTint="99"/>
                        <w:ind w:right="75"/>
                        <w:contextualSpacing/>
                        <w:rPr>
                          <w:rFonts w:ascii="Garamond" w:hAnsi="Garamond"/>
                          <w:b/>
                          <w:sz w:val="20"/>
                          <w:szCs w:val="20"/>
                        </w:rPr>
                      </w:pPr>
                      <w:r w:rsidRPr="00C64FC7">
                        <w:rPr>
                          <w:rFonts w:ascii="Garamond" w:hAnsi="Garamond"/>
                          <w:b/>
                          <w:sz w:val="20"/>
                          <w:szCs w:val="20"/>
                        </w:rPr>
                        <w:t>Japan:</w:t>
                      </w:r>
                    </w:p>
                    <w:p w:rsidR="00C64FC7" w:rsidRPr="00C64FC7" w:rsidRDefault="00C64FC7" w:rsidP="00C64FC7">
                      <w:pPr>
                        <w:shd w:val="clear" w:color="auto" w:fill="C9C9C9" w:themeFill="accent3" w:themeFillTint="99"/>
                        <w:ind w:right="75"/>
                        <w:contextualSpacing/>
                        <w:rPr>
                          <w:rFonts w:ascii="Garamond" w:hAnsi="Garamond"/>
                          <w:sz w:val="20"/>
                          <w:szCs w:val="20"/>
                        </w:rPr>
                      </w:pPr>
                      <w:r w:rsidRPr="00C64FC7">
                        <w:rPr>
                          <w:rFonts w:ascii="Garamond" w:hAnsi="Garamond"/>
                          <w:sz w:val="20"/>
                          <w:szCs w:val="20"/>
                        </w:rPr>
                        <w:t>GDP expanded by 1.5 percent (Y-o-Y) in Q4 2017, as compared to 1.9 percent in Q3. CPI inflation rose 1.4 percent (Y-o-Y) in January 2018. Unemployment rate was 2.8 percent in January 2018 as compared to the previous month.</w:t>
                      </w:r>
                    </w:p>
                    <w:p w:rsidR="00C64FC7" w:rsidRPr="00C64FC7" w:rsidRDefault="00C64FC7" w:rsidP="00C64FC7">
                      <w:pPr>
                        <w:shd w:val="clear" w:color="auto" w:fill="C9C9C9" w:themeFill="accent3" w:themeFillTint="99"/>
                        <w:ind w:right="75"/>
                        <w:contextualSpacing/>
                        <w:rPr>
                          <w:rFonts w:ascii="Garamond" w:hAnsi="Garamond"/>
                          <w:b/>
                          <w:color w:val="FF0000"/>
                          <w:sz w:val="14"/>
                          <w:szCs w:val="20"/>
                        </w:rPr>
                      </w:pPr>
                    </w:p>
                    <w:p w:rsidR="00C64FC7" w:rsidRPr="00C64FC7" w:rsidRDefault="00C64FC7" w:rsidP="00C64FC7">
                      <w:pPr>
                        <w:shd w:val="clear" w:color="auto" w:fill="C9C9C9" w:themeFill="accent3" w:themeFillTint="99"/>
                        <w:ind w:right="75"/>
                        <w:rPr>
                          <w:rFonts w:ascii="Garamond" w:hAnsi="Garamond"/>
                          <w:b/>
                          <w:sz w:val="20"/>
                          <w:szCs w:val="20"/>
                        </w:rPr>
                      </w:pPr>
                      <w:r w:rsidRPr="00C64FC7">
                        <w:rPr>
                          <w:rFonts w:ascii="Garamond" w:hAnsi="Garamond"/>
                          <w:b/>
                          <w:sz w:val="20"/>
                          <w:szCs w:val="20"/>
                        </w:rPr>
                        <w:t>Euro Zone (EA19):</w:t>
                      </w:r>
                    </w:p>
                    <w:p w:rsidR="00C64FC7" w:rsidRPr="00C64FC7" w:rsidRDefault="00C64FC7" w:rsidP="00C64FC7">
                      <w:pPr>
                        <w:ind w:right="75"/>
                        <w:textDirection w:val="btLr"/>
                        <w:rPr>
                          <w:rFonts w:ascii="Garamond" w:hAnsi="Garamond"/>
                          <w:sz w:val="20"/>
                          <w:szCs w:val="20"/>
                        </w:rPr>
                      </w:pPr>
                      <w:r w:rsidRPr="00C64FC7">
                        <w:rPr>
                          <w:rFonts w:ascii="Garamond" w:hAnsi="Garamond"/>
                          <w:sz w:val="20"/>
                          <w:szCs w:val="20"/>
                        </w:rPr>
                        <w:t>GDP advanced by 2.7 percent (Y-o-Y) in Q4 2017 from 2.6 percent of previous quarter. CPI inflation decreased by 1.1 percent (Y-o-Y) in January 2018 as against previous month. Unemployment rate recorded 8.6 percent in January 2018.</w:t>
                      </w:r>
                    </w:p>
                    <w:p w:rsidR="00C64FC7" w:rsidRPr="00C64FC7" w:rsidRDefault="00C64FC7" w:rsidP="00C64FC7">
                      <w:pPr>
                        <w:ind w:right="75"/>
                        <w:textDirection w:val="btLr"/>
                        <w:rPr>
                          <w:rFonts w:ascii="Garamond" w:hAnsi="Garamond"/>
                          <w:color w:val="FF0000"/>
                          <w:sz w:val="14"/>
                          <w:szCs w:val="20"/>
                        </w:rPr>
                      </w:pPr>
                    </w:p>
                    <w:p w:rsidR="00C64FC7" w:rsidRPr="00C64FC7" w:rsidRDefault="00C64FC7" w:rsidP="00C64FC7">
                      <w:pPr>
                        <w:shd w:val="clear" w:color="auto" w:fill="C9C9C9" w:themeFill="accent3" w:themeFillTint="99"/>
                        <w:ind w:right="75"/>
                        <w:rPr>
                          <w:rFonts w:ascii="Garamond" w:hAnsi="Garamond"/>
                          <w:b/>
                          <w:sz w:val="20"/>
                          <w:szCs w:val="20"/>
                        </w:rPr>
                      </w:pPr>
                      <w:r w:rsidRPr="00C64FC7">
                        <w:rPr>
                          <w:rFonts w:ascii="Garamond" w:hAnsi="Garamond"/>
                          <w:b/>
                          <w:sz w:val="20"/>
                          <w:szCs w:val="20"/>
                        </w:rPr>
                        <w:t>BRICS Nations:</w:t>
                      </w: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Real GDP of Brazil advanced by 0.1 percent (Y-o-Y) in Q3 2017. CPI inflation increased to 2.84 percent in February 2018. Unemployment rate decreased to 12.2 percent in January 2018.</w:t>
                      </w:r>
                    </w:p>
                    <w:p w:rsidR="00C64FC7" w:rsidRPr="00C64FC7" w:rsidRDefault="00C64FC7" w:rsidP="00C64FC7">
                      <w:pPr>
                        <w:shd w:val="clear" w:color="auto" w:fill="C9C9C9" w:themeFill="accent3" w:themeFillTint="99"/>
                        <w:ind w:left="180" w:right="75"/>
                        <w:contextualSpacing/>
                        <w:rPr>
                          <w:rFonts w:ascii="Garamond" w:hAnsi="Garamond"/>
                          <w:color w:val="FF0000"/>
                          <w:sz w:val="1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Russia’s GDP advanced by 1.1 percent (Y-o-Y) in Q3 2017. CPI inflation was 2.2 percent (Y-o-Y) in February 2018. Unemployment rate was 5.2 percent in January 2018.</w:t>
                      </w:r>
                    </w:p>
                    <w:p w:rsidR="00C64FC7" w:rsidRPr="00C64FC7" w:rsidRDefault="00C64FC7" w:rsidP="00C64FC7">
                      <w:pPr>
                        <w:shd w:val="clear" w:color="auto" w:fill="C9C9C9" w:themeFill="accent3" w:themeFillTint="99"/>
                        <w:ind w:right="75"/>
                        <w:contextualSpacing/>
                        <w:rPr>
                          <w:rFonts w:ascii="Garamond" w:hAnsi="Garamond"/>
                          <w:sz w:val="2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India’s real GDP grew by 6.7 percent (Y-o-Y) in Q3, 2017-18 as compared to 6.2 percent of Q2. Consumer prices in India recorded 4.44 percent (Y-o-Y) in February 2018, against 5.07 of previous month.</w:t>
                      </w:r>
                    </w:p>
                    <w:p w:rsidR="00C64FC7" w:rsidRPr="00C64FC7" w:rsidRDefault="00C64FC7" w:rsidP="00C64FC7">
                      <w:pPr>
                        <w:shd w:val="clear" w:color="auto" w:fill="C9C9C9" w:themeFill="accent3" w:themeFillTint="99"/>
                        <w:ind w:left="180" w:right="75"/>
                        <w:contextualSpacing/>
                        <w:rPr>
                          <w:rFonts w:ascii="Garamond" w:hAnsi="Garamond"/>
                          <w:color w:val="FF0000"/>
                          <w:sz w:val="1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Garamond" w:hAnsi="Garamond"/>
                          <w:sz w:val="20"/>
                          <w:szCs w:val="20"/>
                        </w:rPr>
                      </w:pPr>
                      <w:r w:rsidRPr="00C64FC7">
                        <w:rPr>
                          <w:rFonts w:ascii="Garamond" w:hAnsi="Garamond"/>
                          <w:sz w:val="20"/>
                          <w:szCs w:val="20"/>
                        </w:rPr>
                        <w:t xml:space="preserve">GDP of China expanded by 6.8 percent (Y-o-Y) in the Q4 quarter of 2017. Consumer prices in China increased by 2.9 percent (Y-o-Y) in February 2018. Unemployment rate observed to be 3.9 percent in Q4. </w:t>
                      </w:r>
                    </w:p>
                    <w:p w:rsidR="00C64FC7" w:rsidRPr="00C64FC7" w:rsidRDefault="00C64FC7" w:rsidP="00C64FC7">
                      <w:pPr>
                        <w:shd w:val="clear" w:color="auto" w:fill="C9C9C9" w:themeFill="accent3" w:themeFillTint="99"/>
                        <w:ind w:left="180" w:right="75"/>
                        <w:contextualSpacing/>
                        <w:rPr>
                          <w:rFonts w:ascii="Garamond" w:hAnsi="Garamond"/>
                          <w:color w:val="FF0000"/>
                          <w:sz w:val="10"/>
                          <w:szCs w:val="20"/>
                        </w:rPr>
                      </w:pPr>
                    </w:p>
                    <w:p w:rsidR="00C64FC7" w:rsidRPr="00C64FC7" w:rsidRDefault="00C64FC7" w:rsidP="00C64FC7">
                      <w:pPr>
                        <w:numPr>
                          <w:ilvl w:val="0"/>
                          <w:numId w:val="5"/>
                        </w:numPr>
                        <w:shd w:val="clear" w:color="auto" w:fill="C9C9C9" w:themeFill="accent3" w:themeFillTint="99"/>
                        <w:spacing w:after="200" w:line="276" w:lineRule="auto"/>
                        <w:ind w:right="75" w:hanging="180"/>
                        <w:contextualSpacing/>
                        <w:rPr>
                          <w:rFonts w:ascii="Times New Roman" w:hAnsi="Times New Roman"/>
                          <w:sz w:val="20"/>
                          <w:szCs w:val="20"/>
                        </w:rPr>
                      </w:pPr>
                      <w:r w:rsidRPr="00C64FC7">
                        <w:rPr>
                          <w:rFonts w:ascii="Garamond" w:hAnsi="Garamond"/>
                          <w:sz w:val="20"/>
                          <w:szCs w:val="20"/>
                        </w:rPr>
                        <w:t>GDP of South Africa advanced by 0.8 percent, against 1.3 percent in the previous quarter. Consumer prices increased by 4.4 percent in January 2018. Unemployment rate in South Africa remained at 26.7 percent in Q4 2017.</w:t>
                      </w:r>
                    </w:p>
                    <w:p w:rsidR="00C64FC7" w:rsidRPr="00752E88" w:rsidRDefault="00C64FC7" w:rsidP="00C64FC7">
                      <w:pPr>
                        <w:pStyle w:val="ListParagraph"/>
                        <w:shd w:val="clear" w:color="auto" w:fill="C9C9C9" w:themeFill="accent3" w:themeFillTint="99"/>
                        <w:spacing w:after="0"/>
                        <w:ind w:left="0" w:right="75"/>
                        <w:rPr>
                          <w:strike/>
                        </w:rPr>
                      </w:pPr>
                    </w:p>
                  </w:txbxContent>
                </v:textbox>
                <w10:wrap anchorx="page"/>
              </v:roundrect>
            </w:pict>
          </mc:Fallback>
        </mc:AlternateContent>
      </w:r>
    </w:p>
    <w:p w:rsidR="00C64FC7" w:rsidRPr="00B22512" w:rsidRDefault="00C64FC7" w:rsidP="00C64FC7">
      <w:pPr>
        <w:pStyle w:val="ListParagraph"/>
        <w:numPr>
          <w:ilvl w:val="0"/>
          <w:numId w:val="13"/>
        </w:numPr>
        <w:spacing w:after="0" w:line="20" w:lineRule="atLeast"/>
        <w:jc w:val="both"/>
        <w:rPr>
          <w:rFonts w:ascii="Garamond" w:eastAsiaTheme="minorHAnsi" w:hAnsi="Garamond"/>
          <w:b/>
          <w:color w:val="000000" w:themeColor="text1"/>
          <w:sz w:val="24"/>
          <w:szCs w:val="24"/>
          <w:lang w:val="en-IN"/>
        </w:rPr>
      </w:pPr>
      <w:r w:rsidRPr="00B22512">
        <w:rPr>
          <w:rFonts w:ascii="Garamond" w:eastAsiaTheme="minorHAnsi" w:hAnsi="Garamond"/>
          <w:b/>
          <w:color w:val="000000" w:themeColor="text1"/>
          <w:sz w:val="24"/>
          <w:szCs w:val="24"/>
          <w:lang w:val="en-IN"/>
        </w:rPr>
        <w:t>Introduction:</w:t>
      </w:r>
    </w:p>
    <w:p w:rsidR="00C64FC7" w:rsidRPr="00B22512" w:rsidRDefault="00C64FC7" w:rsidP="00C64FC7">
      <w:pPr>
        <w:spacing w:line="20" w:lineRule="atLeast"/>
        <w:ind w:left="7088" w:right="-447"/>
        <w:jc w:val="both"/>
        <w:rPr>
          <w:rFonts w:ascii="Garamond" w:hAnsi="Garamond"/>
          <w:b/>
          <w:color w:val="000000" w:themeColor="text1"/>
          <w:lang w:val="en-IN"/>
        </w:rPr>
      </w:pPr>
    </w:p>
    <w:p w:rsidR="00C64FC7" w:rsidRPr="00B22512" w:rsidRDefault="00C64FC7" w:rsidP="00C64FC7">
      <w:pPr>
        <w:numPr>
          <w:ilvl w:val="1"/>
          <w:numId w:val="31"/>
        </w:numPr>
        <w:ind w:left="6946" w:right="-75"/>
        <w:contextualSpacing/>
        <w:jc w:val="both"/>
        <w:rPr>
          <w:rFonts w:ascii="Garamond" w:hAnsi="Garamond"/>
        </w:rPr>
      </w:pPr>
      <w:r w:rsidRPr="00B22512">
        <w:rPr>
          <w:rFonts w:ascii="Garamond" w:hAnsi="Garamond"/>
        </w:rPr>
        <w:t xml:space="preserve">Global economic growth has maintained its pace. However, it appears that some economies have reached growth limits although their growth remains at a high level. Lower-than-expected growth in 2017 witnessed in Japan, the UK, India and Russia point at limitations of the ongoing global growth dynamic. Besides, the potential sovereign debt-related consequences of the fiscal stimulus in the US coupled with the latest trade-related developments, may dampen the growth tempo to some extent. On a positive note, the shortfall of growth in few economies was compensated with better-than-anticipated growth in the Eastern European economies and rising growth levels in the Asia Pacific.  </w:t>
      </w:r>
    </w:p>
    <w:p w:rsidR="00C64FC7" w:rsidRPr="003251AC" w:rsidRDefault="00C64FC7" w:rsidP="00C64FC7">
      <w:pPr>
        <w:ind w:left="6930" w:right="-360"/>
        <w:rPr>
          <w:rFonts w:ascii="Times New Roman" w:hAnsi="Times New Roman"/>
          <w:strike/>
        </w:rPr>
      </w:pPr>
    </w:p>
    <w:p w:rsidR="00C64FC7" w:rsidRPr="003251AC" w:rsidRDefault="00C64FC7" w:rsidP="00C64FC7">
      <w:pPr>
        <w:spacing w:line="20" w:lineRule="atLeast"/>
        <w:ind w:left="7088" w:right="-399"/>
        <w:jc w:val="both"/>
        <w:rPr>
          <w:rFonts w:ascii="Garamond" w:hAnsi="Garamond"/>
          <w:strike/>
          <w:szCs w:val="28"/>
        </w:rPr>
      </w:pPr>
    </w:p>
    <w:p w:rsidR="00C64FC7" w:rsidRPr="003251AC" w:rsidRDefault="00C64FC7" w:rsidP="00C64FC7">
      <w:pPr>
        <w:rPr>
          <w:rFonts w:ascii="Garamond" w:hAnsi="Garamond"/>
          <w:strike/>
          <w:szCs w:val="28"/>
        </w:rPr>
      </w:pPr>
      <w:r w:rsidRPr="003251AC">
        <w:rPr>
          <w:rFonts w:ascii="Garamond" w:hAnsi="Garamond"/>
          <w:strike/>
          <w:szCs w:val="28"/>
        </w:rPr>
        <w:br w:type="page"/>
      </w:r>
    </w:p>
    <w:p w:rsidR="00C64FC7" w:rsidRPr="00DF607D" w:rsidRDefault="00C64FC7" w:rsidP="00C64FC7">
      <w:pPr>
        <w:spacing w:line="20" w:lineRule="atLeast"/>
        <w:ind w:left="7088" w:right="-399"/>
        <w:jc w:val="both"/>
        <w:rPr>
          <w:rFonts w:ascii="Garamond" w:hAnsi="Garamond"/>
          <w:color w:val="000000" w:themeColor="text1"/>
          <w:szCs w:val="28"/>
        </w:rPr>
      </w:pPr>
    </w:p>
    <w:p w:rsidR="00C64FC7" w:rsidRPr="00DF607D" w:rsidRDefault="00C64FC7" w:rsidP="00C64FC7">
      <w:pPr>
        <w:spacing w:line="20" w:lineRule="atLeast"/>
        <w:ind w:left="7088" w:right="-399"/>
        <w:jc w:val="both"/>
        <w:rPr>
          <w:rFonts w:ascii="Garamond" w:hAnsi="Garamond"/>
          <w:color w:val="000000" w:themeColor="text1"/>
          <w:szCs w:val="28"/>
        </w:rPr>
      </w:pPr>
    </w:p>
    <w:p w:rsidR="00C64FC7" w:rsidRPr="00DF607D" w:rsidRDefault="00C64FC7" w:rsidP="00C64FC7">
      <w:pPr>
        <w:spacing w:line="20" w:lineRule="atLeast"/>
        <w:ind w:right="-399"/>
        <w:rPr>
          <w:rFonts w:ascii="Garamond" w:hAnsi="Garamond"/>
          <w:b/>
          <w:bCs/>
          <w:color w:val="000000" w:themeColor="text1"/>
          <w:szCs w:val="28"/>
        </w:rPr>
      </w:pPr>
      <w:r w:rsidRPr="00DF607D">
        <w:rPr>
          <w:rFonts w:ascii="Garamond" w:hAnsi="Garamond"/>
          <w:b/>
          <w:bCs/>
          <w:color w:val="000000" w:themeColor="text1"/>
          <w:szCs w:val="28"/>
        </w:rPr>
        <w:t>The World Economy:</w:t>
      </w:r>
    </w:p>
    <w:p w:rsidR="00C64FC7" w:rsidRPr="00DF607D" w:rsidRDefault="00C64FC7" w:rsidP="00C64FC7">
      <w:pPr>
        <w:spacing w:line="20" w:lineRule="atLeast"/>
        <w:ind w:right="-399"/>
        <w:rPr>
          <w:rFonts w:ascii="Garamond" w:hAnsi="Garamond"/>
          <w:b/>
          <w:bCs/>
          <w:color w:val="000000" w:themeColor="text1"/>
          <w:szCs w:val="28"/>
        </w:rPr>
      </w:pPr>
    </w:p>
    <w:p w:rsidR="00C64FC7" w:rsidRPr="00DF607D" w:rsidRDefault="00C64FC7" w:rsidP="00C64FC7">
      <w:pPr>
        <w:numPr>
          <w:ilvl w:val="1"/>
          <w:numId w:val="31"/>
        </w:numPr>
        <w:ind w:left="-90" w:right="48"/>
        <w:contextualSpacing/>
        <w:jc w:val="both"/>
        <w:rPr>
          <w:rFonts w:ascii="Garamond" w:hAnsi="Garamond"/>
        </w:rPr>
      </w:pPr>
      <w:r w:rsidRPr="00B22512">
        <w:rPr>
          <w:rFonts w:ascii="Garamond" w:hAnsi="Garamond"/>
        </w:rPr>
        <w:t>The Interim Economic Outlook from the Organisation for Economic Co-operation and Development (OECD) provides the latest forecasts for GDP growth for 2018 and 2019, covering all G20 economies. The OECD projected that the global economy would grow by 3.9 per cent in both 2018 and 2019. It is expected that the expansion may continue and strengt</w:t>
      </w:r>
      <w:r>
        <w:rPr>
          <w:rFonts w:ascii="Garamond" w:hAnsi="Garamond"/>
        </w:rPr>
        <w:t>hen in the two years</w:t>
      </w:r>
      <w:r w:rsidRPr="00DF607D">
        <w:rPr>
          <w:rFonts w:ascii="Garamond" w:hAnsi="Garamond"/>
        </w:rPr>
        <w:t>.</w:t>
      </w:r>
    </w:p>
    <w:p w:rsidR="00C64FC7" w:rsidRPr="00DF607D" w:rsidRDefault="00C64FC7" w:rsidP="00C64FC7">
      <w:pPr>
        <w:jc w:val="both"/>
        <w:rPr>
          <w:rFonts w:ascii="Garamond" w:hAnsi="Garamond"/>
        </w:rPr>
      </w:pPr>
    </w:p>
    <w:p w:rsidR="00C64FC7" w:rsidRPr="00DF607D" w:rsidRDefault="00C64FC7" w:rsidP="00C64FC7">
      <w:pPr>
        <w:jc w:val="both"/>
        <w:rPr>
          <w:rFonts w:ascii="Garamond" w:hAnsi="Garamond"/>
          <w:b/>
        </w:rPr>
      </w:pPr>
      <w:r w:rsidRPr="00DF607D">
        <w:rPr>
          <w:rFonts w:ascii="Garamond" w:hAnsi="Garamond"/>
          <w:b/>
        </w:rPr>
        <w:t xml:space="preserve">Exhibit 1: </w:t>
      </w:r>
      <w:r w:rsidRPr="00B22512">
        <w:rPr>
          <w:rFonts w:ascii="Garamond" w:hAnsi="Garamond"/>
          <w:b/>
        </w:rPr>
        <w:t>OECD Interim Economic Outlook projections</w:t>
      </w:r>
    </w:p>
    <w:tbl>
      <w:tblPr>
        <w:tblW w:w="6322" w:type="dxa"/>
        <w:tblCellMar>
          <w:left w:w="58" w:type="dxa"/>
          <w:right w:w="58" w:type="dxa"/>
        </w:tblCellMar>
        <w:tblLook w:val="04A0" w:firstRow="1" w:lastRow="0" w:firstColumn="1" w:lastColumn="0" w:noHBand="0" w:noVBand="1"/>
      </w:tblPr>
      <w:tblGrid>
        <w:gridCol w:w="1705"/>
        <w:gridCol w:w="477"/>
        <w:gridCol w:w="477"/>
        <w:gridCol w:w="513"/>
        <w:gridCol w:w="1683"/>
        <w:gridCol w:w="477"/>
        <w:gridCol w:w="513"/>
        <w:gridCol w:w="477"/>
      </w:tblGrid>
      <w:tr w:rsidR="00C64FC7" w:rsidRPr="00B22512" w:rsidTr="00FE1096">
        <w:trPr>
          <w:trHeight w:val="47"/>
        </w:trPr>
        <w:tc>
          <w:tcPr>
            <w:tcW w:w="1705" w:type="dxa"/>
            <w:tcBorders>
              <w:top w:val="single" w:sz="4" w:space="0" w:color="auto"/>
              <w:left w:val="single" w:sz="4" w:space="0" w:color="auto"/>
              <w:bottom w:val="single" w:sz="4" w:space="0" w:color="auto"/>
              <w:right w:val="single" w:sz="4" w:space="0" w:color="auto"/>
            </w:tcBorders>
            <w:shd w:val="clear" w:color="000000" w:fill="B8CCE4"/>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Region / Country</w:t>
            </w:r>
          </w:p>
        </w:tc>
        <w:tc>
          <w:tcPr>
            <w:tcW w:w="477" w:type="dxa"/>
            <w:tcBorders>
              <w:top w:val="single" w:sz="4" w:space="0" w:color="auto"/>
              <w:left w:val="nil"/>
              <w:bottom w:val="single" w:sz="4" w:space="0" w:color="auto"/>
              <w:right w:val="single" w:sz="4" w:space="0" w:color="auto"/>
            </w:tcBorders>
            <w:shd w:val="clear" w:color="000000" w:fill="B8CCE4"/>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2017</w:t>
            </w:r>
          </w:p>
        </w:tc>
        <w:tc>
          <w:tcPr>
            <w:tcW w:w="477" w:type="dxa"/>
            <w:tcBorders>
              <w:top w:val="single" w:sz="4" w:space="0" w:color="auto"/>
              <w:left w:val="nil"/>
              <w:bottom w:val="single" w:sz="4" w:space="0" w:color="auto"/>
              <w:right w:val="single" w:sz="4" w:space="0" w:color="auto"/>
            </w:tcBorders>
            <w:shd w:val="clear" w:color="000000" w:fill="B8CCE4"/>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2018</w:t>
            </w:r>
          </w:p>
        </w:tc>
        <w:tc>
          <w:tcPr>
            <w:tcW w:w="513" w:type="dxa"/>
            <w:tcBorders>
              <w:top w:val="single" w:sz="4" w:space="0" w:color="auto"/>
              <w:left w:val="nil"/>
              <w:bottom w:val="single" w:sz="4" w:space="0" w:color="auto"/>
              <w:right w:val="single" w:sz="4" w:space="0" w:color="auto"/>
            </w:tcBorders>
            <w:shd w:val="clear" w:color="000000" w:fill="B8CCE4"/>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2019</w:t>
            </w:r>
          </w:p>
        </w:tc>
        <w:tc>
          <w:tcPr>
            <w:tcW w:w="1683" w:type="dxa"/>
            <w:tcBorders>
              <w:top w:val="single" w:sz="4" w:space="0" w:color="auto"/>
              <w:left w:val="nil"/>
              <w:bottom w:val="single" w:sz="4" w:space="0" w:color="auto"/>
              <w:right w:val="single" w:sz="4" w:space="0" w:color="auto"/>
            </w:tcBorders>
            <w:shd w:val="clear" w:color="000000" w:fill="B8CCE4"/>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Region / Country</w:t>
            </w:r>
          </w:p>
        </w:tc>
        <w:tc>
          <w:tcPr>
            <w:tcW w:w="477" w:type="dxa"/>
            <w:tcBorders>
              <w:top w:val="single" w:sz="4" w:space="0" w:color="auto"/>
              <w:left w:val="nil"/>
              <w:bottom w:val="single" w:sz="4" w:space="0" w:color="auto"/>
              <w:right w:val="single" w:sz="4" w:space="0" w:color="auto"/>
            </w:tcBorders>
            <w:shd w:val="clear" w:color="000000" w:fill="B8CCE4"/>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2017</w:t>
            </w:r>
          </w:p>
        </w:tc>
        <w:tc>
          <w:tcPr>
            <w:tcW w:w="513" w:type="dxa"/>
            <w:tcBorders>
              <w:top w:val="single" w:sz="4" w:space="0" w:color="auto"/>
              <w:left w:val="nil"/>
              <w:bottom w:val="single" w:sz="4" w:space="0" w:color="auto"/>
              <w:right w:val="single" w:sz="4" w:space="0" w:color="auto"/>
            </w:tcBorders>
            <w:shd w:val="clear" w:color="000000" w:fill="B8CCE4"/>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2018</w:t>
            </w:r>
          </w:p>
        </w:tc>
        <w:tc>
          <w:tcPr>
            <w:tcW w:w="477" w:type="dxa"/>
            <w:tcBorders>
              <w:top w:val="single" w:sz="4" w:space="0" w:color="auto"/>
              <w:left w:val="nil"/>
              <w:bottom w:val="single" w:sz="4" w:space="0" w:color="auto"/>
              <w:right w:val="single" w:sz="4" w:space="0" w:color="auto"/>
            </w:tcBorders>
            <w:shd w:val="clear" w:color="000000" w:fill="B8CCE4"/>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2019</w:t>
            </w:r>
          </w:p>
        </w:tc>
      </w:tr>
      <w:tr w:rsidR="00C64FC7" w:rsidRPr="00B22512" w:rsidTr="00FE1096">
        <w:trPr>
          <w:trHeight w:val="184"/>
        </w:trPr>
        <w:tc>
          <w:tcPr>
            <w:tcW w:w="1705" w:type="dxa"/>
            <w:tcBorders>
              <w:top w:val="nil"/>
              <w:left w:val="single" w:sz="4" w:space="0" w:color="auto"/>
              <w:bottom w:val="nil"/>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World</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3.7</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3.9</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3.9</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G20</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3.8</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4.1</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4</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Australia</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2.3</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Argentina</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2.9</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3.2</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3.2</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Canada</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2.2</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Brazil</w:t>
            </w:r>
          </w:p>
        </w:tc>
        <w:tc>
          <w:tcPr>
            <w:tcW w:w="477" w:type="dxa"/>
            <w:tcBorders>
              <w:top w:val="nil"/>
              <w:left w:val="nil"/>
              <w:bottom w:val="nil"/>
              <w:right w:val="nil"/>
            </w:tcBorders>
            <w:shd w:val="clear" w:color="auto" w:fill="auto"/>
            <w:hideMark/>
          </w:tcPr>
          <w:p w:rsidR="00C64FC7" w:rsidRPr="00B22512" w:rsidRDefault="00C64FC7" w:rsidP="00FE1096">
            <w:pPr>
              <w:rPr>
                <w:rFonts w:ascii="Garamond" w:eastAsia="Times New Roman" w:hAnsi="Garamond" w:cs="Calibri"/>
                <w:b/>
                <w:bCs/>
                <w:color w:val="000000"/>
                <w:sz w:val="20"/>
                <w:szCs w:val="20"/>
                <w:lang w:eastAsia="en-GB"/>
              </w:rPr>
            </w:pP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 </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 </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Euro Area</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2.5</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2.3</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2.1</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China</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6.9</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6.7</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6.4</w:t>
            </w:r>
          </w:p>
        </w:tc>
      </w:tr>
      <w:tr w:rsidR="00C64FC7" w:rsidRPr="00B22512" w:rsidTr="00FE1096">
        <w:trPr>
          <w:trHeight w:val="287"/>
        </w:trPr>
        <w:tc>
          <w:tcPr>
            <w:tcW w:w="1705" w:type="dxa"/>
            <w:tcBorders>
              <w:top w:val="nil"/>
              <w:left w:val="single" w:sz="4" w:space="0" w:color="auto"/>
              <w:bottom w:val="nil"/>
              <w:right w:val="nil"/>
            </w:tcBorders>
            <w:shd w:val="clear" w:color="000000" w:fill="DCE6F1"/>
            <w:hideMark/>
          </w:tcPr>
          <w:p w:rsidR="00C64FC7" w:rsidRPr="00B22512" w:rsidRDefault="00C64FC7" w:rsidP="00FE1096">
            <w:pPr>
              <w:ind w:left="427"/>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Germany</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2.5</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2.4</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2.2</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India</w:t>
            </w:r>
            <w:r w:rsidRPr="00B22512">
              <w:rPr>
                <w:rFonts w:ascii="Garamond" w:eastAsia="Times New Roman" w:hAnsi="Garamond" w:cs="Calibri"/>
                <w:b/>
                <w:bCs/>
                <w:color w:val="000000"/>
                <w:sz w:val="20"/>
                <w:szCs w:val="20"/>
                <w:vertAlign w:val="superscript"/>
                <w:lang w:eastAsia="en-GB"/>
              </w:rPr>
              <w:t>1</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6.6</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7.2</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7.5</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ind w:left="427"/>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France</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2.2</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1.9</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Indonesia</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5.1</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5.3</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5.4</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ind w:left="427"/>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Italy</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1.5</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1.5</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1.3</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Mexico</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2.3</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2.5</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2.8</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Japan</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1.7</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1.5</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1.1</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Russia</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1.5</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1.8</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1.5</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Korea</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3.1</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3</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Saudi Arabia</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-0.8</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1.6</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1.7</w:t>
            </w:r>
          </w:p>
        </w:tc>
      </w:tr>
      <w:tr w:rsidR="00C64FC7" w:rsidRPr="00B22512" w:rsidTr="00FE1096">
        <w:trPr>
          <w:trHeight w:val="249"/>
        </w:trPr>
        <w:tc>
          <w:tcPr>
            <w:tcW w:w="1705" w:type="dxa"/>
            <w:tcBorders>
              <w:top w:val="nil"/>
              <w:left w:val="single" w:sz="4" w:space="0" w:color="auto"/>
              <w:bottom w:val="nil"/>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United Kingdom</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1.7</w:t>
            </w:r>
          </w:p>
        </w:tc>
        <w:tc>
          <w:tcPr>
            <w:tcW w:w="477" w:type="dxa"/>
            <w:tcBorders>
              <w:top w:val="nil"/>
              <w:left w:val="single" w:sz="4" w:space="0" w:color="auto"/>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1.3</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1.1</w:t>
            </w:r>
          </w:p>
        </w:tc>
        <w:tc>
          <w:tcPr>
            <w:tcW w:w="1683" w:type="dxa"/>
            <w:tcBorders>
              <w:top w:val="nil"/>
              <w:left w:val="nil"/>
              <w:bottom w:val="nil"/>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South Africa</w:t>
            </w:r>
          </w:p>
        </w:tc>
        <w:tc>
          <w:tcPr>
            <w:tcW w:w="477" w:type="dxa"/>
            <w:tcBorders>
              <w:top w:val="nil"/>
              <w:left w:val="nil"/>
              <w:bottom w:val="nil"/>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1.2</w:t>
            </w:r>
          </w:p>
        </w:tc>
        <w:tc>
          <w:tcPr>
            <w:tcW w:w="513" w:type="dxa"/>
            <w:tcBorders>
              <w:top w:val="nil"/>
              <w:left w:val="single" w:sz="4" w:space="0" w:color="auto"/>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1.9</w:t>
            </w:r>
          </w:p>
        </w:tc>
        <w:tc>
          <w:tcPr>
            <w:tcW w:w="477" w:type="dxa"/>
            <w:tcBorders>
              <w:top w:val="nil"/>
              <w:left w:val="nil"/>
              <w:bottom w:val="nil"/>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2.1</w:t>
            </w:r>
          </w:p>
        </w:tc>
      </w:tr>
      <w:tr w:rsidR="00C64FC7" w:rsidRPr="00B22512" w:rsidTr="00FE1096">
        <w:trPr>
          <w:trHeight w:val="254"/>
        </w:trPr>
        <w:tc>
          <w:tcPr>
            <w:tcW w:w="1705" w:type="dxa"/>
            <w:tcBorders>
              <w:top w:val="nil"/>
              <w:left w:val="single" w:sz="4" w:space="0" w:color="auto"/>
              <w:bottom w:val="single" w:sz="4" w:space="0" w:color="auto"/>
              <w:right w:val="nil"/>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United States</w:t>
            </w:r>
          </w:p>
        </w:tc>
        <w:tc>
          <w:tcPr>
            <w:tcW w:w="477" w:type="dxa"/>
            <w:tcBorders>
              <w:top w:val="nil"/>
              <w:left w:val="single" w:sz="4" w:space="0" w:color="auto"/>
              <w:bottom w:val="single" w:sz="4" w:space="0" w:color="auto"/>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2.3</w:t>
            </w:r>
          </w:p>
        </w:tc>
        <w:tc>
          <w:tcPr>
            <w:tcW w:w="477" w:type="dxa"/>
            <w:tcBorders>
              <w:top w:val="nil"/>
              <w:left w:val="single" w:sz="4" w:space="0" w:color="auto"/>
              <w:bottom w:val="single" w:sz="4" w:space="0" w:color="auto"/>
              <w:right w:val="nil"/>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2.9</w:t>
            </w:r>
          </w:p>
        </w:tc>
        <w:tc>
          <w:tcPr>
            <w:tcW w:w="513" w:type="dxa"/>
            <w:tcBorders>
              <w:top w:val="nil"/>
              <w:left w:val="single" w:sz="4" w:space="0" w:color="auto"/>
              <w:bottom w:val="single" w:sz="4" w:space="0" w:color="auto"/>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2.8</w:t>
            </w:r>
          </w:p>
        </w:tc>
        <w:tc>
          <w:tcPr>
            <w:tcW w:w="1683" w:type="dxa"/>
            <w:tcBorders>
              <w:top w:val="nil"/>
              <w:left w:val="nil"/>
              <w:bottom w:val="single" w:sz="4" w:space="0" w:color="auto"/>
              <w:right w:val="single" w:sz="4" w:space="0" w:color="auto"/>
            </w:tcBorders>
            <w:shd w:val="clear" w:color="000000" w:fill="DCE6F1"/>
            <w:hideMark/>
          </w:tcPr>
          <w:p w:rsidR="00C64FC7" w:rsidRPr="00B22512" w:rsidRDefault="00C64FC7" w:rsidP="00FE1096">
            <w:pPr>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Turkey</w:t>
            </w:r>
          </w:p>
        </w:tc>
        <w:tc>
          <w:tcPr>
            <w:tcW w:w="477" w:type="dxa"/>
            <w:tcBorders>
              <w:top w:val="nil"/>
              <w:left w:val="nil"/>
              <w:bottom w:val="single" w:sz="4" w:space="0" w:color="auto"/>
              <w:right w:val="nil"/>
            </w:tcBorders>
            <w:shd w:val="clear" w:color="auto" w:fill="auto"/>
            <w:hideMark/>
          </w:tcPr>
          <w:p w:rsidR="00C64FC7" w:rsidRPr="00B22512" w:rsidRDefault="00C64FC7" w:rsidP="00FE1096">
            <w:pPr>
              <w:jc w:val="right"/>
              <w:rPr>
                <w:rFonts w:ascii="Garamond" w:eastAsia="Times New Roman" w:hAnsi="Garamond" w:cs="Calibri"/>
                <w:b/>
                <w:bCs/>
                <w:color w:val="000000"/>
                <w:sz w:val="20"/>
                <w:szCs w:val="20"/>
                <w:lang w:eastAsia="en-GB"/>
              </w:rPr>
            </w:pPr>
            <w:r w:rsidRPr="00B22512">
              <w:rPr>
                <w:rFonts w:ascii="Garamond" w:eastAsia="Times New Roman" w:hAnsi="Garamond" w:cs="Calibri"/>
                <w:b/>
                <w:bCs/>
                <w:color w:val="000000"/>
                <w:sz w:val="20"/>
                <w:szCs w:val="20"/>
                <w:lang w:eastAsia="en-GB"/>
              </w:rPr>
              <w:t>6.9</w:t>
            </w:r>
          </w:p>
        </w:tc>
        <w:tc>
          <w:tcPr>
            <w:tcW w:w="513" w:type="dxa"/>
            <w:tcBorders>
              <w:top w:val="nil"/>
              <w:left w:val="single" w:sz="4" w:space="0" w:color="auto"/>
              <w:bottom w:val="single" w:sz="4" w:space="0" w:color="auto"/>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5.3</w:t>
            </w:r>
          </w:p>
        </w:tc>
        <w:tc>
          <w:tcPr>
            <w:tcW w:w="477" w:type="dxa"/>
            <w:tcBorders>
              <w:top w:val="nil"/>
              <w:left w:val="nil"/>
              <w:bottom w:val="single" w:sz="4" w:space="0" w:color="auto"/>
              <w:right w:val="single" w:sz="4" w:space="0" w:color="auto"/>
            </w:tcBorders>
            <w:shd w:val="clear" w:color="auto" w:fill="auto"/>
            <w:hideMark/>
          </w:tcPr>
          <w:p w:rsidR="00C64FC7" w:rsidRPr="00B22512" w:rsidRDefault="00C64FC7" w:rsidP="00FE1096">
            <w:pPr>
              <w:jc w:val="right"/>
              <w:rPr>
                <w:rFonts w:ascii="Garamond" w:eastAsia="Times New Roman" w:hAnsi="Garamond" w:cs="Calibri"/>
                <w:color w:val="000000"/>
                <w:sz w:val="20"/>
                <w:szCs w:val="20"/>
                <w:lang w:eastAsia="en-GB"/>
              </w:rPr>
            </w:pPr>
            <w:r w:rsidRPr="00B22512">
              <w:rPr>
                <w:rFonts w:ascii="Garamond" w:eastAsia="Times New Roman" w:hAnsi="Garamond" w:cs="Calibri"/>
                <w:color w:val="000000"/>
                <w:sz w:val="20"/>
                <w:szCs w:val="20"/>
                <w:lang w:eastAsia="en-GB"/>
              </w:rPr>
              <w:t>5.1</w:t>
            </w:r>
          </w:p>
        </w:tc>
      </w:tr>
    </w:tbl>
    <w:p w:rsidR="00C64FC7" w:rsidRPr="00DF607D" w:rsidRDefault="00C64FC7" w:rsidP="00C64FC7">
      <w:pPr>
        <w:jc w:val="both"/>
        <w:rPr>
          <w:rFonts w:ascii="Garamond" w:hAnsi="Garamond"/>
          <w:sz w:val="20"/>
          <w:szCs w:val="20"/>
        </w:rPr>
      </w:pPr>
      <w:r w:rsidRPr="00DF607D">
        <w:rPr>
          <w:rFonts w:ascii="Garamond" w:hAnsi="Garamond"/>
          <w:b/>
          <w:sz w:val="20"/>
          <w:szCs w:val="20"/>
        </w:rPr>
        <w:t>Note:</w:t>
      </w:r>
      <w:r w:rsidRPr="00DF607D">
        <w:rPr>
          <w:rFonts w:ascii="Garamond" w:hAnsi="Garamond"/>
          <w:sz w:val="20"/>
          <w:szCs w:val="20"/>
        </w:rPr>
        <w:t xml:space="preserve"> </w:t>
      </w:r>
    </w:p>
    <w:p w:rsidR="00C64FC7" w:rsidRPr="002E5493" w:rsidRDefault="00C64FC7" w:rsidP="00C64FC7">
      <w:pPr>
        <w:jc w:val="both"/>
        <w:rPr>
          <w:rFonts w:ascii="Garamond" w:hAnsi="Garamond"/>
          <w:sz w:val="20"/>
          <w:szCs w:val="20"/>
        </w:rPr>
      </w:pPr>
      <w:r w:rsidRPr="002E5493">
        <w:rPr>
          <w:rFonts w:ascii="Garamond" w:hAnsi="Garamond"/>
          <w:sz w:val="20"/>
          <w:szCs w:val="20"/>
        </w:rPr>
        <w:t>The G20 aggregate does not include EU countries that are not G20 members in own right.</w:t>
      </w:r>
    </w:p>
    <w:p w:rsidR="00C64FC7" w:rsidRDefault="00C64FC7" w:rsidP="00C64FC7">
      <w:pPr>
        <w:jc w:val="both"/>
        <w:rPr>
          <w:rFonts w:ascii="Garamond" w:hAnsi="Garamond"/>
          <w:sz w:val="20"/>
          <w:szCs w:val="20"/>
        </w:rPr>
      </w:pPr>
      <w:r w:rsidRPr="002E5493">
        <w:rPr>
          <w:rFonts w:ascii="Garamond" w:hAnsi="Garamond"/>
          <w:sz w:val="20"/>
          <w:szCs w:val="20"/>
        </w:rPr>
        <w:t>1. Fiscal year</w:t>
      </w:r>
      <w:r>
        <w:rPr>
          <w:rFonts w:ascii="Garamond" w:hAnsi="Garamond"/>
          <w:sz w:val="20"/>
          <w:szCs w:val="20"/>
        </w:rPr>
        <w:t xml:space="preserve"> in India starts</w:t>
      </w:r>
      <w:r w:rsidRPr="002E5493">
        <w:rPr>
          <w:rFonts w:ascii="Garamond" w:hAnsi="Garamond"/>
          <w:sz w:val="20"/>
          <w:szCs w:val="20"/>
        </w:rPr>
        <w:t xml:space="preserve"> in April</w:t>
      </w:r>
    </w:p>
    <w:p w:rsidR="00C64FC7" w:rsidRPr="001322E3" w:rsidRDefault="00C64FC7" w:rsidP="00C64FC7">
      <w:pPr>
        <w:jc w:val="both"/>
        <w:rPr>
          <w:rFonts w:ascii="Garamond" w:hAnsi="Garamond"/>
          <w:sz w:val="20"/>
        </w:rPr>
      </w:pPr>
      <w:r w:rsidRPr="001322E3">
        <w:rPr>
          <w:rFonts w:ascii="Garamond" w:hAnsi="Garamond"/>
          <w:b/>
          <w:sz w:val="20"/>
        </w:rPr>
        <w:t xml:space="preserve">Source: </w:t>
      </w:r>
      <w:r>
        <w:rPr>
          <w:rFonts w:ascii="Garamond" w:hAnsi="Garamond"/>
          <w:sz w:val="20"/>
        </w:rPr>
        <w:t>OECD</w:t>
      </w:r>
    </w:p>
    <w:p w:rsidR="00C64FC7" w:rsidRPr="00DF607D" w:rsidRDefault="00C64FC7" w:rsidP="00C64FC7">
      <w:pPr>
        <w:jc w:val="both"/>
        <w:rPr>
          <w:rFonts w:ascii="Garamond" w:hAnsi="Garamond"/>
          <w:sz w:val="20"/>
        </w:rPr>
      </w:pPr>
    </w:p>
    <w:p w:rsidR="00C64FC7" w:rsidRPr="00DF607D" w:rsidRDefault="00C64FC7" w:rsidP="00C64FC7">
      <w:pPr>
        <w:jc w:val="both"/>
        <w:rPr>
          <w:rFonts w:ascii="Garamond" w:hAnsi="Garamond"/>
          <w:sz w:val="20"/>
          <w:szCs w:val="20"/>
        </w:rPr>
      </w:pPr>
    </w:p>
    <w:p w:rsidR="00C64FC7" w:rsidRPr="00DF607D" w:rsidRDefault="00C64FC7" w:rsidP="00C64FC7">
      <w:pPr>
        <w:jc w:val="both"/>
        <w:rPr>
          <w:rFonts w:ascii="Garamond" w:hAnsi="Garamond"/>
        </w:rPr>
      </w:pPr>
    </w:p>
    <w:p w:rsidR="00C64FC7" w:rsidRPr="00B22512" w:rsidRDefault="00C64FC7" w:rsidP="00C64FC7">
      <w:pPr>
        <w:numPr>
          <w:ilvl w:val="1"/>
          <w:numId w:val="31"/>
        </w:numPr>
        <w:ind w:left="-90" w:right="48"/>
        <w:contextualSpacing/>
        <w:jc w:val="both"/>
        <w:rPr>
          <w:rFonts w:ascii="Garamond" w:hAnsi="Garamond"/>
        </w:rPr>
      </w:pPr>
      <w:r w:rsidRPr="00B22512">
        <w:rPr>
          <w:rFonts w:ascii="Garamond" w:hAnsi="Garamond"/>
        </w:rPr>
        <w:t>On a positive note, trade and private investment have bounced back and job creation is strong. New fiscal stimulus in the United States and Germany would further boost short-term growth. Inflation is set to rise slowly. However, headwinds may come from a number of recent developments. New tensions and key vulnerabilities could derail the recovery. For example, advanced economies may gradually tighten their monetary policy in medium term. On the other hand, the restriction on imports of certain commodities by the US government may hamper international trade and in turn affect the growth.</w:t>
      </w:r>
    </w:p>
    <w:p w:rsidR="00C64FC7" w:rsidRPr="00B22512" w:rsidRDefault="00C64FC7" w:rsidP="00C64FC7">
      <w:pPr>
        <w:ind w:left="792" w:right="48"/>
        <w:contextualSpacing/>
        <w:jc w:val="both"/>
        <w:rPr>
          <w:rFonts w:ascii="Garamond" w:hAnsi="Garamond"/>
        </w:rPr>
      </w:pPr>
    </w:p>
    <w:p w:rsidR="00C64FC7" w:rsidRPr="00DF607D" w:rsidRDefault="00C64FC7" w:rsidP="00C64FC7">
      <w:pPr>
        <w:numPr>
          <w:ilvl w:val="1"/>
          <w:numId w:val="31"/>
        </w:numPr>
        <w:ind w:left="-90" w:right="48"/>
        <w:contextualSpacing/>
        <w:jc w:val="both"/>
        <w:rPr>
          <w:rFonts w:ascii="Garamond" w:hAnsi="Garamond"/>
        </w:rPr>
      </w:pPr>
      <w:r w:rsidRPr="00B22512">
        <w:rPr>
          <w:rFonts w:ascii="Garamond" w:hAnsi="Garamond"/>
        </w:rPr>
        <w:t xml:space="preserve"> The Outlook underlines a range of policies that would help to sustain medium-term growth and ensure its benefits are widely shared. The report points out that the pace of structural reform is slow which thwart the process of improvement of skills. Hence, the fiscal stance should support but not overstimulate demand. Changes in the tax and spending mix would boost long-term inclusive growth.</w:t>
      </w:r>
    </w:p>
    <w:p w:rsidR="00C64FC7" w:rsidRPr="00DF607D" w:rsidRDefault="00C64FC7" w:rsidP="00C64FC7">
      <w:pPr>
        <w:ind w:left="792" w:right="48"/>
        <w:contextualSpacing/>
        <w:jc w:val="both"/>
        <w:rPr>
          <w:rFonts w:ascii="Garamond" w:hAnsi="Garamond"/>
        </w:rPr>
      </w:pPr>
    </w:p>
    <w:p w:rsidR="00C64FC7" w:rsidRPr="003251AC" w:rsidRDefault="00C64FC7" w:rsidP="00C64FC7">
      <w:pPr>
        <w:spacing w:line="20" w:lineRule="atLeast"/>
        <w:jc w:val="both"/>
        <w:rPr>
          <w:rFonts w:ascii="Garamond" w:hAnsi="Garamond"/>
          <w:b/>
          <w:strike/>
          <w:color w:val="44546A" w:themeColor="text2"/>
        </w:rPr>
      </w:pPr>
    </w:p>
    <w:p w:rsidR="00C64FC7" w:rsidRPr="00752E88" w:rsidRDefault="00C64FC7" w:rsidP="00C64FC7">
      <w:pPr>
        <w:spacing w:line="20" w:lineRule="atLeast"/>
        <w:jc w:val="both"/>
        <w:rPr>
          <w:rFonts w:ascii="Garamond" w:hAnsi="Garamond"/>
          <w:b/>
          <w:color w:val="44546A" w:themeColor="text2"/>
        </w:rPr>
      </w:pPr>
      <w:r w:rsidRPr="00752E88">
        <w:rPr>
          <w:rFonts w:ascii="Garamond" w:hAnsi="Garamond"/>
          <w:b/>
          <w:color w:val="44546A" w:themeColor="text2"/>
        </w:rPr>
        <w:t>The Organisation for Economic Co-operation and Development (OECD)</w:t>
      </w:r>
      <w:r w:rsidRPr="00752E88">
        <w:rPr>
          <w:rFonts w:ascii="Garamond" w:hAnsi="Garamond"/>
          <w:b/>
          <w:color w:val="44546A" w:themeColor="text2"/>
          <w:vertAlign w:val="superscript"/>
        </w:rPr>
        <w:footnoteReference w:id="2"/>
      </w:r>
      <w:r w:rsidRPr="00752E88">
        <w:rPr>
          <w:rFonts w:ascii="Garamond" w:hAnsi="Garamond"/>
          <w:b/>
          <w:color w:val="44546A" w:themeColor="text2"/>
        </w:rPr>
        <w:t>:</w:t>
      </w:r>
    </w:p>
    <w:p w:rsidR="00C64FC7" w:rsidRPr="003251AC" w:rsidRDefault="00C64FC7" w:rsidP="00C64FC7">
      <w:pPr>
        <w:spacing w:line="20" w:lineRule="atLeast"/>
        <w:jc w:val="both"/>
        <w:rPr>
          <w:rFonts w:ascii="Garamond" w:hAnsi="Garamond"/>
          <w:b/>
          <w:strike/>
          <w:color w:val="44546A" w:themeColor="text2"/>
        </w:rPr>
      </w:pPr>
    </w:p>
    <w:p w:rsidR="00C64FC7" w:rsidRPr="00752E88" w:rsidRDefault="00C64FC7" w:rsidP="00C64FC7">
      <w:pPr>
        <w:numPr>
          <w:ilvl w:val="1"/>
          <w:numId w:val="31"/>
        </w:numPr>
        <w:ind w:left="-90" w:right="48"/>
        <w:contextualSpacing/>
        <w:jc w:val="both"/>
        <w:rPr>
          <w:rFonts w:ascii="Garamond" w:hAnsi="Garamond"/>
        </w:rPr>
      </w:pPr>
      <w:r w:rsidRPr="00752E88">
        <w:rPr>
          <w:rFonts w:ascii="Garamond" w:hAnsi="Garamond"/>
        </w:rPr>
        <w:t xml:space="preserve">The </w:t>
      </w:r>
      <w:r w:rsidRPr="00B22512">
        <w:rPr>
          <w:rFonts w:ascii="Garamond" w:hAnsi="Garamond"/>
        </w:rPr>
        <w:t>Organisation</w:t>
      </w:r>
      <w:r w:rsidRPr="00752E88">
        <w:rPr>
          <w:rFonts w:ascii="Garamond" w:hAnsi="Garamond"/>
        </w:rPr>
        <w:t xml:space="preserve">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rsidR="00C64FC7" w:rsidRPr="00752E88" w:rsidRDefault="00C64FC7" w:rsidP="00C64FC7">
      <w:pPr>
        <w:ind w:left="792" w:right="48"/>
        <w:contextualSpacing/>
        <w:jc w:val="both"/>
        <w:rPr>
          <w:rFonts w:ascii="Garamond" w:hAnsi="Garamond"/>
        </w:rPr>
      </w:pPr>
    </w:p>
    <w:p w:rsidR="00C64FC7" w:rsidRPr="00752E88" w:rsidRDefault="00C64FC7" w:rsidP="00C64FC7">
      <w:pPr>
        <w:numPr>
          <w:ilvl w:val="1"/>
          <w:numId w:val="31"/>
        </w:numPr>
        <w:ind w:left="-90" w:right="48"/>
        <w:contextualSpacing/>
        <w:jc w:val="both"/>
        <w:rPr>
          <w:rFonts w:ascii="Garamond" w:hAnsi="Garamond"/>
        </w:rPr>
      </w:pPr>
      <w:r w:rsidRPr="00752E88">
        <w:rPr>
          <w:rFonts w:ascii="Garamond" w:hAnsi="Garamond"/>
        </w:rPr>
        <w:t xml:space="preserve">As per the provisional estimates, the real gross domestic product (GDP) in the OECD area grew at 0.6 per cent quarter-on-quarter (Q-o-Q) in the fourth quarter of 2017 as compared to 0.7 per cent growth in the previous quarter. Real GDP of the OECD area decelerated to 2.6 per cent year-on-year (Y-o-Y) in the fourth quarter of 2017 from 2.8 per cent in the previous quarter. </w:t>
      </w:r>
    </w:p>
    <w:p w:rsidR="00C64FC7" w:rsidRPr="00752E88" w:rsidRDefault="00C64FC7" w:rsidP="00C64FC7">
      <w:pPr>
        <w:ind w:left="792" w:right="48"/>
        <w:contextualSpacing/>
        <w:jc w:val="both"/>
        <w:rPr>
          <w:rFonts w:ascii="Garamond" w:hAnsi="Garamond"/>
        </w:rPr>
      </w:pPr>
    </w:p>
    <w:p w:rsidR="00C64FC7" w:rsidRPr="00752E88" w:rsidRDefault="00C64FC7" w:rsidP="00C64FC7">
      <w:pPr>
        <w:numPr>
          <w:ilvl w:val="1"/>
          <w:numId w:val="31"/>
        </w:numPr>
        <w:ind w:left="-90" w:right="48"/>
        <w:contextualSpacing/>
        <w:jc w:val="both"/>
        <w:rPr>
          <w:rFonts w:ascii="Garamond" w:hAnsi="Garamond"/>
        </w:rPr>
      </w:pPr>
      <w:r w:rsidRPr="00752E88">
        <w:rPr>
          <w:rFonts w:ascii="Garamond" w:hAnsi="Garamond"/>
        </w:rPr>
        <w:t>Real GDP in the G20 area grew by 1.0 per cent in the fourth quarter of 2017; unchanged from the two previous quarters but with wide variation across countries, according to provisional estimates. Year-on-year (Y-o-Y) GDP growth for the G20 area was stable at 4.0 per cent in the fourth quarter of 2017. For 2017 as a whole, real GDP growth in the G20 area picked up to 3.8 per cent, from 3.2 per cent in 2016.</w:t>
      </w:r>
    </w:p>
    <w:p w:rsidR="00C64FC7" w:rsidRPr="00752E88" w:rsidRDefault="00C64FC7" w:rsidP="00C64FC7">
      <w:pPr>
        <w:ind w:left="792" w:right="48"/>
        <w:contextualSpacing/>
        <w:jc w:val="both"/>
        <w:rPr>
          <w:rFonts w:ascii="Garamond" w:hAnsi="Garamond"/>
        </w:rPr>
      </w:pPr>
    </w:p>
    <w:p w:rsidR="00C64FC7" w:rsidRDefault="00C64FC7" w:rsidP="00C64FC7">
      <w:pPr>
        <w:numPr>
          <w:ilvl w:val="1"/>
          <w:numId w:val="31"/>
        </w:numPr>
        <w:ind w:left="-90" w:right="48"/>
        <w:contextualSpacing/>
        <w:jc w:val="both"/>
        <w:rPr>
          <w:rFonts w:ascii="Garamond" w:hAnsi="Garamond"/>
        </w:rPr>
      </w:pPr>
      <w:r w:rsidRPr="00752E88">
        <w:rPr>
          <w:rFonts w:ascii="Garamond" w:hAnsi="Garamond"/>
        </w:rPr>
        <w:t>Annual inflation in the OECD area slowed to 2.2 per cent in January 2018, compared with 2.3 per cent in December 2017. This slight decrease in the annual rate of inflation was driven by energy prices which grew at a slower pace in January (4.7 per cent), than in the year to December (6.2 per cent). Excluding food and energy, annual inflation also slowed marginally to 1.8 per cent, compared with 1.9 per cent in December. Food price inflation was stable at 2.2 per cent in January 2018. The OECD unemployment rate was stable at 5.5 per cent in January 2018.</w:t>
      </w:r>
    </w:p>
    <w:p w:rsidR="00C64FC7" w:rsidRPr="003251AC" w:rsidRDefault="00C64FC7" w:rsidP="00C64FC7">
      <w:pPr>
        <w:ind w:left="792" w:right="48"/>
        <w:contextualSpacing/>
        <w:jc w:val="both"/>
        <w:rPr>
          <w:rFonts w:ascii="Garamond" w:hAnsi="Garamond"/>
          <w:strike/>
        </w:rPr>
      </w:pPr>
    </w:p>
    <w:p w:rsidR="00C64FC7" w:rsidRPr="00661CF8" w:rsidRDefault="00C64FC7" w:rsidP="00C64FC7">
      <w:pPr>
        <w:contextualSpacing/>
        <w:jc w:val="both"/>
        <w:rPr>
          <w:rFonts w:ascii="Garamond" w:hAnsi="Garamond"/>
          <w:bCs/>
          <w:color w:val="000000"/>
        </w:rPr>
      </w:pPr>
    </w:p>
    <w:p w:rsidR="00C64FC7" w:rsidRPr="00661CF8" w:rsidRDefault="00C64FC7" w:rsidP="00C64FC7">
      <w:pPr>
        <w:spacing w:line="20" w:lineRule="atLeast"/>
        <w:jc w:val="both"/>
        <w:rPr>
          <w:rFonts w:ascii="Garamond" w:hAnsi="Garamond"/>
          <w:color w:val="000000" w:themeColor="text1"/>
        </w:rPr>
      </w:pPr>
      <w:r w:rsidRPr="00661CF8">
        <w:rPr>
          <w:rFonts w:ascii="Garamond" w:hAnsi="Garamond"/>
          <w:b/>
          <w:color w:val="000000" w:themeColor="text1"/>
        </w:rPr>
        <w:t>Exhibit 2: Major Macroeconomic Indicators</w:t>
      </w:r>
    </w:p>
    <w:tbl>
      <w:tblPr>
        <w:tblW w:w="10121" w:type="dxa"/>
        <w:tblLook w:val="04A0" w:firstRow="1" w:lastRow="0" w:firstColumn="1" w:lastColumn="0" w:noHBand="0" w:noVBand="1"/>
      </w:tblPr>
      <w:tblGrid>
        <w:gridCol w:w="762"/>
        <w:gridCol w:w="1797"/>
        <w:gridCol w:w="777"/>
        <w:gridCol w:w="789"/>
        <w:gridCol w:w="615"/>
        <w:gridCol w:w="792"/>
        <w:gridCol w:w="658"/>
        <w:gridCol w:w="804"/>
        <w:gridCol w:w="658"/>
        <w:gridCol w:w="1286"/>
        <w:gridCol w:w="1200"/>
      </w:tblGrid>
      <w:tr w:rsidR="00C64FC7" w:rsidRPr="00310DE4" w:rsidTr="00FE1096">
        <w:trPr>
          <w:trHeight w:val="295"/>
        </w:trPr>
        <w:tc>
          <w:tcPr>
            <w:tcW w:w="745" w:type="dxa"/>
            <w:vMerge w:val="restart"/>
            <w:tcBorders>
              <w:top w:val="single" w:sz="8" w:space="0" w:color="auto"/>
              <w:left w:val="single" w:sz="8" w:space="0" w:color="auto"/>
              <w:bottom w:val="single" w:sz="8" w:space="0" w:color="000000"/>
              <w:right w:val="single" w:sz="8" w:space="0" w:color="auto"/>
            </w:tcBorders>
            <w:shd w:val="clear" w:color="000000" w:fill="95B3D7"/>
            <w:textDirection w:val="btLr"/>
            <w:vAlign w:val="center"/>
            <w:hideMark/>
          </w:tcPr>
          <w:p w:rsidR="00C64FC7" w:rsidRPr="00310DE4" w:rsidRDefault="00C64FC7" w:rsidP="00FE1096">
            <w:pPr>
              <w:jc w:val="cente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 </w:t>
            </w:r>
            <w:r w:rsidRPr="00310DE4">
              <w:rPr>
                <w:rFonts w:ascii="Garamond" w:eastAsia="Times New Roman" w:hAnsi="Garamond" w:cs="Arial"/>
                <w:b/>
                <w:bCs/>
                <w:color w:val="000000"/>
              </w:rPr>
              <w:t xml:space="preserve">Developed </w:t>
            </w:r>
            <w:r w:rsidRPr="00310DE4">
              <w:rPr>
                <w:rFonts w:ascii="Garamond" w:eastAsia="Times New Roman" w:hAnsi="Garamond" w:cs="Arial"/>
                <w:b/>
                <w:bCs/>
                <w:color w:val="000000"/>
              </w:rPr>
              <w:br/>
              <w:t xml:space="preserve">Countries </w:t>
            </w:r>
          </w:p>
        </w:tc>
        <w:tc>
          <w:tcPr>
            <w:tcW w:w="1797"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rsidR="00C64FC7" w:rsidRPr="00310DE4" w:rsidRDefault="00C64FC7" w:rsidP="00FE1096">
            <w:pPr>
              <w:jc w:val="both"/>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Country / Region</w:t>
            </w:r>
          </w:p>
        </w:tc>
        <w:tc>
          <w:tcPr>
            <w:tcW w:w="2973" w:type="dxa"/>
            <w:gridSpan w:val="4"/>
            <w:tcBorders>
              <w:top w:val="single" w:sz="8" w:space="0" w:color="auto"/>
              <w:left w:val="nil"/>
              <w:bottom w:val="single" w:sz="8" w:space="0" w:color="auto"/>
              <w:right w:val="single" w:sz="8" w:space="0" w:color="000000"/>
            </w:tcBorders>
            <w:shd w:val="clear" w:color="000000" w:fill="95B3D7"/>
            <w:noWrap/>
            <w:vAlign w:val="center"/>
            <w:hideMark/>
          </w:tcPr>
          <w:p w:rsidR="00C64FC7" w:rsidRPr="00310DE4" w:rsidRDefault="00C64FC7" w:rsidP="00FE1096">
            <w:pPr>
              <w:jc w:val="cente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Quarterly Growth Real GDP</w:t>
            </w:r>
          </w:p>
        </w:tc>
        <w:tc>
          <w:tcPr>
            <w:tcW w:w="1462" w:type="dxa"/>
            <w:gridSpan w:val="2"/>
            <w:tcBorders>
              <w:top w:val="single" w:sz="8" w:space="0" w:color="auto"/>
              <w:left w:val="nil"/>
              <w:bottom w:val="single" w:sz="8" w:space="0" w:color="auto"/>
              <w:right w:val="single" w:sz="8" w:space="0" w:color="000000"/>
            </w:tcBorders>
            <w:shd w:val="clear" w:color="000000" w:fill="95B3D7"/>
            <w:vAlign w:val="center"/>
            <w:hideMark/>
          </w:tcPr>
          <w:p w:rsidR="00C64FC7" w:rsidRPr="00310DE4" w:rsidRDefault="00C64FC7" w:rsidP="00FE1096">
            <w:pPr>
              <w:jc w:val="cente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Annual CPI Inflation</w:t>
            </w:r>
          </w:p>
        </w:tc>
        <w:tc>
          <w:tcPr>
            <w:tcW w:w="1944" w:type="dxa"/>
            <w:gridSpan w:val="2"/>
            <w:tcBorders>
              <w:top w:val="single" w:sz="8" w:space="0" w:color="auto"/>
              <w:left w:val="nil"/>
              <w:bottom w:val="single" w:sz="8" w:space="0" w:color="auto"/>
              <w:right w:val="single" w:sz="8" w:space="0" w:color="000000"/>
            </w:tcBorders>
            <w:shd w:val="clear" w:color="000000" w:fill="95B3D7"/>
            <w:noWrap/>
            <w:vAlign w:val="center"/>
            <w:hideMark/>
          </w:tcPr>
          <w:p w:rsidR="00C64FC7" w:rsidRPr="00310DE4" w:rsidRDefault="00C64FC7" w:rsidP="00FE1096">
            <w:pPr>
              <w:jc w:val="cente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Unemployment Rate</w:t>
            </w:r>
          </w:p>
        </w:tc>
        <w:tc>
          <w:tcPr>
            <w:tcW w:w="1200" w:type="dxa"/>
            <w:vMerge w:val="restart"/>
            <w:tcBorders>
              <w:top w:val="single" w:sz="8" w:space="0" w:color="auto"/>
              <w:left w:val="nil"/>
              <w:bottom w:val="single" w:sz="8" w:space="0" w:color="000000"/>
              <w:right w:val="single" w:sz="8" w:space="0" w:color="auto"/>
            </w:tcBorders>
            <w:shd w:val="clear" w:color="000000" w:fill="95B3D7"/>
            <w:noWrap/>
            <w:vAlign w:val="center"/>
            <w:hideMark/>
          </w:tcPr>
          <w:p w:rsidR="00C64FC7" w:rsidRPr="00310DE4" w:rsidRDefault="00C64FC7" w:rsidP="00FE1096">
            <w:pPr>
              <w:jc w:val="both"/>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Benchmark Interest Rate</w:t>
            </w:r>
          </w:p>
        </w:tc>
      </w:tr>
      <w:tr w:rsidR="00C64FC7" w:rsidRPr="00310DE4" w:rsidTr="00FE1096">
        <w:trPr>
          <w:trHeight w:val="199"/>
        </w:trPr>
        <w:tc>
          <w:tcPr>
            <w:tcW w:w="745"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777"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Y-o-Y</w:t>
            </w:r>
          </w:p>
        </w:tc>
        <w:tc>
          <w:tcPr>
            <w:tcW w:w="789"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period</w:t>
            </w:r>
          </w:p>
        </w:tc>
        <w:tc>
          <w:tcPr>
            <w:tcW w:w="615"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jc w:val="both"/>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Q-o-Q</w:t>
            </w:r>
          </w:p>
        </w:tc>
        <w:tc>
          <w:tcPr>
            <w:tcW w:w="792"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period</w:t>
            </w:r>
          </w:p>
        </w:tc>
        <w:tc>
          <w:tcPr>
            <w:tcW w:w="658"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Rate</w:t>
            </w:r>
          </w:p>
        </w:tc>
        <w:tc>
          <w:tcPr>
            <w:tcW w:w="804"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Period</w:t>
            </w:r>
          </w:p>
        </w:tc>
        <w:tc>
          <w:tcPr>
            <w:tcW w:w="658"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Rate</w:t>
            </w:r>
          </w:p>
        </w:tc>
        <w:tc>
          <w:tcPr>
            <w:tcW w:w="1286" w:type="dxa"/>
            <w:tcBorders>
              <w:top w:val="nil"/>
              <w:left w:val="nil"/>
              <w:bottom w:val="single" w:sz="8" w:space="0" w:color="auto"/>
              <w:right w:val="single" w:sz="8" w:space="0" w:color="auto"/>
            </w:tcBorders>
            <w:shd w:val="clear" w:color="000000" w:fill="95B3D7"/>
            <w:noWrap/>
            <w:vAlign w:val="center"/>
            <w:hideMark/>
          </w:tcPr>
          <w:p w:rsidR="00C64FC7" w:rsidRPr="00310DE4" w:rsidRDefault="00C64FC7" w:rsidP="00FE1096">
            <w:pP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Period</w:t>
            </w:r>
          </w:p>
        </w:tc>
        <w:tc>
          <w:tcPr>
            <w:tcW w:w="1200" w:type="dxa"/>
            <w:vMerge/>
            <w:tcBorders>
              <w:top w:val="single" w:sz="8" w:space="0" w:color="auto"/>
              <w:left w:val="nil"/>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r>
      <w:tr w:rsidR="00C64FC7" w:rsidRPr="00310DE4" w:rsidTr="00FE1096">
        <w:trPr>
          <w:trHeight w:val="189"/>
        </w:trPr>
        <w:tc>
          <w:tcPr>
            <w:tcW w:w="745"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FFFFFF"/>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United States*</w:t>
            </w:r>
          </w:p>
        </w:tc>
        <w:tc>
          <w:tcPr>
            <w:tcW w:w="777" w:type="dxa"/>
            <w:tcBorders>
              <w:top w:val="nil"/>
              <w:left w:val="single" w:sz="8" w:space="0" w:color="auto"/>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2.50</w:t>
            </w:r>
          </w:p>
        </w:tc>
        <w:tc>
          <w:tcPr>
            <w:tcW w:w="789"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2.50</w:t>
            </w:r>
          </w:p>
        </w:tc>
        <w:tc>
          <w:tcPr>
            <w:tcW w:w="792"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2.20</w:t>
            </w:r>
          </w:p>
        </w:tc>
        <w:tc>
          <w:tcPr>
            <w:tcW w:w="804"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4.10</w:t>
            </w:r>
          </w:p>
        </w:tc>
        <w:tc>
          <w:tcPr>
            <w:tcW w:w="1286"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1200"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1.50</w:t>
            </w:r>
          </w:p>
        </w:tc>
      </w:tr>
      <w:tr w:rsidR="00C64FC7" w:rsidRPr="00310DE4" w:rsidTr="00FE1096">
        <w:trPr>
          <w:trHeight w:val="189"/>
        </w:trPr>
        <w:tc>
          <w:tcPr>
            <w:tcW w:w="745"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FFFFFF"/>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United Kingdom</w:t>
            </w:r>
          </w:p>
        </w:tc>
        <w:tc>
          <w:tcPr>
            <w:tcW w:w="777" w:type="dxa"/>
            <w:tcBorders>
              <w:top w:val="nil"/>
              <w:left w:val="single" w:sz="8" w:space="0" w:color="auto"/>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1.40</w:t>
            </w:r>
          </w:p>
        </w:tc>
        <w:tc>
          <w:tcPr>
            <w:tcW w:w="789"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0.40</w:t>
            </w:r>
          </w:p>
        </w:tc>
        <w:tc>
          <w:tcPr>
            <w:tcW w:w="792"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3.00</w:t>
            </w:r>
          </w:p>
        </w:tc>
        <w:tc>
          <w:tcPr>
            <w:tcW w:w="804"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4.40</w:t>
            </w:r>
          </w:p>
        </w:tc>
        <w:tc>
          <w:tcPr>
            <w:tcW w:w="1286" w:type="dxa"/>
            <w:tcBorders>
              <w:top w:val="nil"/>
              <w:left w:val="nil"/>
              <w:bottom w:val="nil"/>
              <w:right w:val="single" w:sz="8" w:space="0" w:color="auto"/>
            </w:tcBorders>
            <w:shd w:val="clear" w:color="000000" w:fill="FFFFFF"/>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Dec</w:t>
            </w:r>
            <w:r w:rsidRPr="00310DE4">
              <w:rPr>
                <w:rFonts w:ascii="Garamond" w:eastAsia="Times New Roman" w:hAnsi="Garamond" w:cs="Arial"/>
                <w:color w:val="000000"/>
                <w:sz w:val="20"/>
                <w:szCs w:val="20"/>
              </w:rPr>
              <w:t>-17</w:t>
            </w:r>
          </w:p>
        </w:tc>
        <w:tc>
          <w:tcPr>
            <w:tcW w:w="1200"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0.50</w:t>
            </w:r>
          </w:p>
        </w:tc>
      </w:tr>
      <w:tr w:rsidR="00C64FC7" w:rsidRPr="00310DE4" w:rsidTr="00FE1096">
        <w:trPr>
          <w:trHeight w:val="189"/>
        </w:trPr>
        <w:tc>
          <w:tcPr>
            <w:tcW w:w="745"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FFFFFF"/>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Eurozone</w:t>
            </w:r>
          </w:p>
        </w:tc>
        <w:tc>
          <w:tcPr>
            <w:tcW w:w="777" w:type="dxa"/>
            <w:tcBorders>
              <w:top w:val="nil"/>
              <w:left w:val="single" w:sz="8" w:space="0" w:color="auto"/>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2.70</w:t>
            </w:r>
          </w:p>
        </w:tc>
        <w:tc>
          <w:tcPr>
            <w:tcW w:w="789"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0.60</w:t>
            </w:r>
          </w:p>
        </w:tc>
        <w:tc>
          <w:tcPr>
            <w:tcW w:w="792"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1.1</w:t>
            </w:r>
            <w:r w:rsidRPr="00310DE4">
              <w:rPr>
                <w:rFonts w:ascii="Garamond" w:eastAsia="Times New Roman" w:hAnsi="Garamond" w:cs="Arial"/>
                <w:color w:val="000000"/>
                <w:sz w:val="20"/>
                <w:szCs w:val="20"/>
              </w:rPr>
              <w:t>0</w:t>
            </w:r>
          </w:p>
        </w:tc>
        <w:tc>
          <w:tcPr>
            <w:tcW w:w="804"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8.60</w:t>
            </w:r>
          </w:p>
        </w:tc>
        <w:tc>
          <w:tcPr>
            <w:tcW w:w="1286"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1200"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0.00</w:t>
            </w:r>
          </w:p>
        </w:tc>
      </w:tr>
      <w:tr w:rsidR="00C64FC7" w:rsidRPr="00310DE4" w:rsidTr="00FE1096">
        <w:trPr>
          <w:trHeight w:val="189"/>
        </w:trPr>
        <w:tc>
          <w:tcPr>
            <w:tcW w:w="745"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FFFFFF"/>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Germany</w:t>
            </w:r>
          </w:p>
        </w:tc>
        <w:tc>
          <w:tcPr>
            <w:tcW w:w="777" w:type="dxa"/>
            <w:tcBorders>
              <w:top w:val="nil"/>
              <w:left w:val="single" w:sz="8" w:space="0" w:color="auto"/>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2.90</w:t>
            </w:r>
          </w:p>
        </w:tc>
        <w:tc>
          <w:tcPr>
            <w:tcW w:w="789"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0.60</w:t>
            </w:r>
          </w:p>
        </w:tc>
        <w:tc>
          <w:tcPr>
            <w:tcW w:w="792"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1.40</w:t>
            </w:r>
          </w:p>
        </w:tc>
        <w:tc>
          <w:tcPr>
            <w:tcW w:w="804"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3.60</w:t>
            </w:r>
          </w:p>
        </w:tc>
        <w:tc>
          <w:tcPr>
            <w:tcW w:w="1286"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1200"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0.00</w:t>
            </w:r>
          </w:p>
        </w:tc>
      </w:tr>
      <w:tr w:rsidR="00C64FC7" w:rsidRPr="00310DE4" w:rsidTr="00FE1096">
        <w:trPr>
          <w:trHeight w:val="189"/>
        </w:trPr>
        <w:tc>
          <w:tcPr>
            <w:tcW w:w="745"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FFFFFF"/>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France</w:t>
            </w:r>
          </w:p>
        </w:tc>
        <w:tc>
          <w:tcPr>
            <w:tcW w:w="777" w:type="dxa"/>
            <w:tcBorders>
              <w:top w:val="nil"/>
              <w:left w:val="single" w:sz="8" w:space="0" w:color="auto"/>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2.50</w:t>
            </w:r>
          </w:p>
        </w:tc>
        <w:tc>
          <w:tcPr>
            <w:tcW w:w="789"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0.60</w:t>
            </w:r>
          </w:p>
        </w:tc>
        <w:tc>
          <w:tcPr>
            <w:tcW w:w="792"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1.20</w:t>
            </w:r>
          </w:p>
        </w:tc>
        <w:tc>
          <w:tcPr>
            <w:tcW w:w="804"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8.90</w:t>
            </w:r>
          </w:p>
        </w:tc>
        <w:tc>
          <w:tcPr>
            <w:tcW w:w="1286"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Q4</w:t>
            </w:r>
            <w:r w:rsidRPr="00310DE4">
              <w:rPr>
                <w:rFonts w:ascii="Garamond" w:eastAsia="Times New Roman" w:hAnsi="Garamond" w:cs="Arial"/>
                <w:color w:val="000000"/>
                <w:sz w:val="20"/>
                <w:szCs w:val="20"/>
              </w:rPr>
              <w:t xml:space="preserve"> of 2017</w:t>
            </w:r>
          </w:p>
        </w:tc>
        <w:tc>
          <w:tcPr>
            <w:tcW w:w="1200" w:type="dxa"/>
            <w:tcBorders>
              <w:top w:val="nil"/>
              <w:left w:val="nil"/>
              <w:bottom w:val="nil"/>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0.00</w:t>
            </w:r>
          </w:p>
        </w:tc>
      </w:tr>
      <w:tr w:rsidR="00C64FC7" w:rsidRPr="00310DE4" w:rsidTr="00FE1096">
        <w:trPr>
          <w:trHeight w:val="199"/>
        </w:trPr>
        <w:tc>
          <w:tcPr>
            <w:tcW w:w="745" w:type="dxa"/>
            <w:vMerge/>
            <w:tcBorders>
              <w:top w:val="single" w:sz="8" w:space="0" w:color="auto"/>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single" w:sz="8" w:space="0" w:color="auto"/>
              <w:right w:val="nil"/>
            </w:tcBorders>
            <w:shd w:val="clear" w:color="000000" w:fill="FFFFFF"/>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Japan</w:t>
            </w:r>
          </w:p>
        </w:tc>
        <w:tc>
          <w:tcPr>
            <w:tcW w:w="777" w:type="dxa"/>
            <w:tcBorders>
              <w:top w:val="nil"/>
              <w:left w:val="single" w:sz="8" w:space="0" w:color="auto"/>
              <w:bottom w:val="single" w:sz="8" w:space="0" w:color="auto"/>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2.00</w:t>
            </w:r>
          </w:p>
        </w:tc>
        <w:tc>
          <w:tcPr>
            <w:tcW w:w="789"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0.40</w:t>
            </w:r>
          </w:p>
        </w:tc>
        <w:tc>
          <w:tcPr>
            <w:tcW w:w="792"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1.40</w:t>
            </w:r>
          </w:p>
        </w:tc>
        <w:tc>
          <w:tcPr>
            <w:tcW w:w="804"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658"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2.40</w:t>
            </w:r>
          </w:p>
        </w:tc>
        <w:tc>
          <w:tcPr>
            <w:tcW w:w="1286"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1200" w:type="dxa"/>
            <w:tcBorders>
              <w:top w:val="nil"/>
              <w:left w:val="nil"/>
              <w:bottom w:val="single" w:sz="8" w:space="0" w:color="auto"/>
              <w:right w:val="single" w:sz="8" w:space="0" w:color="auto"/>
            </w:tcBorders>
            <w:shd w:val="clear" w:color="000000" w:fill="FFFFFF"/>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-0.10</w:t>
            </w:r>
          </w:p>
        </w:tc>
      </w:tr>
      <w:tr w:rsidR="00C64FC7" w:rsidRPr="00310DE4" w:rsidTr="00FE1096">
        <w:trPr>
          <w:trHeight w:val="189"/>
        </w:trPr>
        <w:tc>
          <w:tcPr>
            <w:tcW w:w="745"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rsidR="00C64FC7" w:rsidRPr="00310DE4" w:rsidRDefault="00C64FC7" w:rsidP="00FE1096">
            <w:pPr>
              <w:jc w:val="center"/>
              <w:rPr>
                <w:rFonts w:ascii="Garamond" w:eastAsia="Times New Roman" w:hAnsi="Garamond" w:cs="Arial"/>
                <w:b/>
                <w:bCs/>
                <w:color w:val="000000"/>
                <w:sz w:val="20"/>
                <w:szCs w:val="20"/>
              </w:rPr>
            </w:pPr>
            <w:r w:rsidRPr="00310DE4">
              <w:rPr>
                <w:rFonts w:ascii="Garamond" w:eastAsia="Times New Roman" w:hAnsi="Garamond" w:cs="Arial"/>
                <w:b/>
                <w:bCs/>
                <w:color w:val="000000"/>
                <w:sz w:val="20"/>
                <w:szCs w:val="20"/>
              </w:rPr>
              <w:t>BRICS</w:t>
            </w:r>
          </w:p>
        </w:tc>
        <w:tc>
          <w:tcPr>
            <w:tcW w:w="1797" w:type="dxa"/>
            <w:tcBorders>
              <w:top w:val="nil"/>
              <w:left w:val="nil"/>
              <w:bottom w:val="nil"/>
              <w:right w:val="nil"/>
            </w:tcBorders>
            <w:shd w:val="clear" w:color="000000" w:fill="C6E0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Brazil</w:t>
            </w:r>
          </w:p>
        </w:tc>
        <w:tc>
          <w:tcPr>
            <w:tcW w:w="777" w:type="dxa"/>
            <w:tcBorders>
              <w:top w:val="nil"/>
              <w:left w:val="single" w:sz="8" w:space="0" w:color="auto"/>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2.10</w:t>
            </w:r>
          </w:p>
        </w:tc>
        <w:tc>
          <w:tcPr>
            <w:tcW w:w="789"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0.10</w:t>
            </w:r>
          </w:p>
        </w:tc>
        <w:tc>
          <w:tcPr>
            <w:tcW w:w="792"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2.84</w:t>
            </w:r>
          </w:p>
        </w:tc>
        <w:tc>
          <w:tcPr>
            <w:tcW w:w="804"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12.20</w:t>
            </w:r>
          </w:p>
        </w:tc>
        <w:tc>
          <w:tcPr>
            <w:tcW w:w="1286"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1200"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6.75</w:t>
            </w:r>
          </w:p>
        </w:tc>
      </w:tr>
      <w:tr w:rsidR="00C64FC7" w:rsidRPr="00310DE4" w:rsidTr="00FE1096">
        <w:trPr>
          <w:trHeight w:val="189"/>
        </w:trPr>
        <w:tc>
          <w:tcPr>
            <w:tcW w:w="745" w:type="dxa"/>
            <w:vMerge/>
            <w:tcBorders>
              <w:top w:val="nil"/>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C6E0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Russia</w:t>
            </w:r>
          </w:p>
        </w:tc>
        <w:tc>
          <w:tcPr>
            <w:tcW w:w="777" w:type="dxa"/>
            <w:tcBorders>
              <w:top w:val="nil"/>
              <w:left w:val="single" w:sz="8" w:space="0" w:color="auto"/>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1.80</w:t>
            </w:r>
          </w:p>
        </w:tc>
        <w:tc>
          <w:tcPr>
            <w:tcW w:w="789"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Q3</w:t>
            </w:r>
          </w:p>
        </w:tc>
        <w:tc>
          <w:tcPr>
            <w:tcW w:w="615"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0.10</w:t>
            </w:r>
          </w:p>
        </w:tc>
        <w:tc>
          <w:tcPr>
            <w:tcW w:w="792"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Q3</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2.20</w:t>
            </w:r>
          </w:p>
        </w:tc>
        <w:tc>
          <w:tcPr>
            <w:tcW w:w="804"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5.20</w:t>
            </w:r>
          </w:p>
        </w:tc>
        <w:tc>
          <w:tcPr>
            <w:tcW w:w="1286"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1200"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7.50</w:t>
            </w:r>
          </w:p>
        </w:tc>
      </w:tr>
      <w:tr w:rsidR="00C64FC7" w:rsidRPr="00310DE4" w:rsidTr="00FE1096">
        <w:trPr>
          <w:trHeight w:val="189"/>
        </w:trPr>
        <w:tc>
          <w:tcPr>
            <w:tcW w:w="745" w:type="dxa"/>
            <w:vMerge/>
            <w:tcBorders>
              <w:top w:val="nil"/>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C6E0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India</w:t>
            </w:r>
          </w:p>
        </w:tc>
        <w:tc>
          <w:tcPr>
            <w:tcW w:w="777" w:type="dxa"/>
            <w:tcBorders>
              <w:top w:val="nil"/>
              <w:left w:val="single" w:sz="8" w:space="0" w:color="auto"/>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7.20</w:t>
            </w:r>
          </w:p>
        </w:tc>
        <w:tc>
          <w:tcPr>
            <w:tcW w:w="789"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Q1</w:t>
            </w:r>
          </w:p>
        </w:tc>
        <w:tc>
          <w:tcPr>
            <w:tcW w:w="615"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1.80</w:t>
            </w:r>
          </w:p>
        </w:tc>
        <w:tc>
          <w:tcPr>
            <w:tcW w:w="792"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NA</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4.44</w:t>
            </w:r>
          </w:p>
        </w:tc>
        <w:tc>
          <w:tcPr>
            <w:tcW w:w="804"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NA</w:t>
            </w:r>
          </w:p>
        </w:tc>
        <w:tc>
          <w:tcPr>
            <w:tcW w:w="1286"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NA</w:t>
            </w:r>
          </w:p>
        </w:tc>
        <w:tc>
          <w:tcPr>
            <w:tcW w:w="1200"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6.00</w:t>
            </w:r>
          </w:p>
        </w:tc>
      </w:tr>
      <w:tr w:rsidR="00C64FC7" w:rsidRPr="00310DE4" w:rsidTr="00FE1096">
        <w:trPr>
          <w:trHeight w:val="189"/>
        </w:trPr>
        <w:tc>
          <w:tcPr>
            <w:tcW w:w="745" w:type="dxa"/>
            <w:vMerge/>
            <w:tcBorders>
              <w:top w:val="nil"/>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nil"/>
              <w:right w:val="nil"/>
            </w:tcBorders>
            <w:shd w:val="clear" w:color="000000" w:fill="C6E0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China</w:t>
            </w:r>
          </w:p>
        </w:tc>
        <w:tc>
          <w:tcPr>
            <w:tcW w:w="777" w:type="dxa"/>
            <w:tcBorders>
              <w:top w:val="nil"/>
              <w:left w:val="single" w:sz="8" w:space="0" w:color="auto"/>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6.80</w:t>
            </w:r>
          </w:p>
        </w:tc>
        <w:tc>
          <w:tcPr>
            <w:tcW w:w="789"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1.60</w:t>
            </w:r>
          </w:p>
        </w:tc>
        <w:tc>
          <w:tcPr>
            <w:tcW w:w="792"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2.90</w:t>
            </w:r>
          </w:p>
        </w:tc>
        <w:tc>
          <w:tcPr>
            <w:tcW w:w="804"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3.90</w:t>
            </w:r>
          </w:p>
        </w:tc>
        <w:tc>
          <w:tcPr>
            <w:tcW w:w="1286"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Q4</w:t>
            </w:r>
            <w:r w:rsidRPr="00310DE4">
              <w:rPr>
                <w:rFonts w:ascii="Garamond" w:eastAsia="Times New Roman" w:hAnsi="Garamond" w:cs="Arial"/>
                <w:color w:val="000000"/>
                <w:sz w:val="20"/>
                <w:szCs w:val="20"/>
              </w:rPr>
              <w:t xml:space="preserve"> of 2017</w:t>
            </w:r>
          </w:p>
        </w:tc>
        <w:tc>
          <w:tcPr>
            <w:tcW w:w="1200" w:type="dxa"/>
            <w:tcBorders>
              <w:top w:val="nil"/>
              <w:left w:val="nil"/>
              <w:bottom w:val="nil"/>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4.35</w:t>
            </w:r>
          </w:p>
        </w:tc>
      </w:tr>
      <w:tr w:rsidR="00C64FC7" w:rsidRPr="00310DE4" w:rsidTr="00FE1096">
        <w:trPr>
          <w:trHeight w:val="199"/>
        </w:trPr>
        <w:tc>
          <w:tcPr>
            <w:tcW w:w="745" w:type="dxa"/>
            <w:vMerge/>
            <w:tcBorders>
              <w:top w:val="nil"/>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sz w:val="20"/>
                <w:szCs w:val="20"/>
              </w:rPr>
            </w:pPr>
          </w:p>
        </w:tc>
        <w:tc>
          <w:tcPr>
            <w:tcW w:w="1797" w:type="dxa"/>
            <w:tcBorders>
              <w:top w:val="nil"/>
              <w:left w:val="nil"/>
              <w:bottom w:val="single" w:sz="8" w:space="0" w:color="auto"/>
              <w:right w:val="nil"/>
            </w:tcBorders>
            <w:shd w:val="clear" w:color="000000" w:fill="C6E0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South Africa</w:t>
            </w:r>
          </w:p>
        </w:tc>
        <w:tc>
          <w:tcPr>
            <w:tcW w:w="777" w:type="dxa"/>
            <w:tcBorders>
              <w:top w:val="nil"/>
              <w:left w:val="single" w:sz="8" w:space="0" w:color="auto"/>
              <w:bottom w:val="single" w:sz="8" w:space="0" w:color="auto"/>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1.50</w:t>
            </w:r>
          </w:p>
        </w:tc>
        <w:tc>
          <w:tcPr>
            <w:tcW w:w="789"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3.10</w:t>
            </w:r>
          </w:p>
        </w:tc>
        <w:tc>
          <w:tcPr>
            <w:tcW w:w="792"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4.40</w:t>
            </w:r>
          </w:p>
        </w:tc>
        <w:tc>
          <w:tcPr>
            <w:tcW w:w="804"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Jan-18</w:t>
            </w:r>
          </w:p>
        </w:tc>
        <w:tc>
          <w:tcPr>
            <w:tcW w:w="658"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26.70</w:t>
            </w:r>
          </w:p>
        </w:tc>
        <w:tc>
          <w:tcPr>
            <w:tcW w:w="1286"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Q4</w:t>
            </w:r>
            <w:r w:rsidRPr="00310DE4">
              <w:rPr>
                <w:rFonts w:ascii="Garamond" w:eastAsia="Times New Roman" w:hAnsi="Garamond" w:cs="Arial"/>
                <w:color w:val="000000"/>
                <w:sz w:val="20"/>
                <w:szCs w:val="20"/>
              </w:rPr>
              <w:t xml:space="preserve"> of 2017</w:t>
            </w:r>
          </w:p>
        </w:tc>
        <w:tc>
          <w:tcPr>
            <w:tcW w:w="1200" w:type="dxa"/>
            <w:tcBorders>
              <w:top w:val="nil"/>
              <w:left w:val="nil"/>
              <w:bottom w:val="single" w:sz="8" w:space="0" w:color="auto"/>
              <w:right w:val="single" w:sz="8" w:space="0" w:color="auto"/>
            </w:tcBorders>
            <w:shd w:val="clear" w:color="000000" w:fill="C6E0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6.75</w:t>
            </w:r>
          </w:p>
        </w:tc>
      </w:tr>
      <w:tr w:rsidR="00C64FC7" w:rsidRPr="00310DE4" w:rsidTr="00FE1096">
        <w:trPr>
          <w:trHeight w:val="189"/>
        </w:trPr>
        <w:tc>
          <w:tcPr>
            <w:tcW w:w="745" w:type="dxa"/>
            <w:vMerge w:val="restart"/>
            <w:tcBorders>
              <w:top w:val="nil"/>
              <w:left w:val="single" w:sz="8" w:space="0" w:color="auto"/>
              <w:bottom w:val="single" w:sz="8" w:space="0" w:color="000000"/>
              <w:right w:val="single" w:sz="8" w:space="0" w:color="auto"/>
            </w:tcBorders>
            <w:shd w:val="clear" w:color="000000" w:fill="95B3D7"/>
            <w:textDirection w:val="btLr"/>
            <w:vAlign w:val="center"/>
            <w:hideMark/>
          </w:tcPr>
          <w:p w:rsidR="00C64FC7" w:rsidRPr="00310DE4" w:rsidRDefault="00C64FC7" w:rsidP="00FE1096">
            <w:pPr>
              <w:jc w:val="center"/>
              <w:rPr>
                <w:rFonts w:ascii="Garamond" w:eastAsia="Times New Roman" w:hAnsi="Garamond" w:cs="Arial"/>
                <w:b/>
                <w:bCs/>
                <w:color w:val="000000"/>
              </w:rPr>
            </w:pPr>
            <w:r w:rsidRPr="00310DE4">
              <w:rPr>
                <w:rFonts w:ascii="Garamond" w:eastAsia="Times New Roman" w:hAnsi="Garamond" w:cs="Arial"/>
                <w:b/>
                <w:bCs/>
                <w:color w:val="000000"/>
              </w:rPr>
              <w:t>Other  Ems</w:t>
            </w:r>
          </w:p>
        </w:tc>
        <w:tc>
          <w:tcPr>
            <w:tcW w:w="1797" w:type="dxa"/>
            <w:tcBorders>
              <w:top w:val="nil"/>
              <w:left w:val="nil"/>
              <w:bottom w:val="nil"/>
              <w:right w:val="nil"/>
            </w:tcBorders>
            <w:shd w:val="clear" w:color="000000" w:fill="FCD5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South Korea</w:t>
            </w:r>
          </w:p>
        </w:tc>
        <w:tc>
          <w:tcPr>
            <w:tcW w:w="777" w:type="dxa"/>
            <w:tcBorders>
              <w:top w:val="nil"/>
              <w:left w:val="single" w:sz="8" w:space="0" w:color="auto"/>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3.00</w:t>
            </w:r>
          </w:p>
        </w:tc>
        <w:tc>
          <w:tcPr>
            <w:tcW w:w="789"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-0.20</w:t>
            </w:r>
          </w:p>
        </w:tc>
        <w:tc>
          <w:tcPr>
            <w:tcW w:w="792"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1.40</w:t>
            </w:r>
          </w:p>
        </w:tc>
        <w:tc>
          <w:tcPr>
            <w:tcW w:w="804"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3.60</w:t>
            </w:r>
          </w:p>
        </w:tc>
        <w:tc>
          <w:tcPr>
            <w:tcW w:w="1286"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1200"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1.50</w:t>
            </w:r>
          </w:p>
        </w:tc>
      </w:tr>
      <w:tr w:rsidR="00C64FC7" w:rsidRPr="00310DE4" w:rsidTr="00FE1096">
        <w:trPr>
          <w:trHeight w:val="189"/>
        </w:trPr>
        <w:tc>
          <w:tcPr>
            <w:tcW w:w="745" w:type="dxa"/>
            <w:vMerge/>
            <w:tcBorders>
              <w:top w:val="nil"/>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rPr>
            </w:pPr>
          </w:p>
        </w:tc>
        <w:tc>
          <w:tcPr>
            <w:tcW w:w="1797" w:type="dxa"/>
            <w:tcBorders>
              <w:top w:val="nil"/>
              <w:left w:val="nil"/>
              <w:bottom w:val="nil"/>
              <w:right w:val="nil"/>
            </w:tcBorders>
            <w:shd w:val="clear" w:color="000000" w:fill="FCD5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Indonesia</w:t>
            </w:r>
          </w:p>
        </w:tc>
        <w:tc>
          <w:tcPr>
            <w:tcW w:w="777" w:type="dxa"/>
            <w:tcBorders>
              <w:top w:val="nil"/>
              <w:left w:val="single" w:sz="8" w:space="0" w:color="auto"/>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5.19</w:t>
            </w:r>
          </w:p>
        </w:tc>
        <w:tc>
          <w:tcPr>
            <w:tcW w:w="789"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15"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-1.70</w:t>
            </w:r>
          </w:p>
        </w:tc>
        <w:tc>
          <w:tcPr>
            <w:tcW w:w="792"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Q4</w:t>
            </w:r>
          </w:p>
        </w:tc>
        <w:tc>
          <w:tcPr>
            <w:tcW w:w="658"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3.18</w:t>
            </w:r>
          </w:p>
        </w:tc>
        <w:tc>
          <w:tcPr>
            <w:tcW w:w="804"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5.50</w:t>
            </w:r>
          </w:p>
        </w:tc>
        <w:tc>
          <w:tcPr>
            <w:tcW w:w="1286"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Q3 of 2017</w:t>
            </w:r>
          </w:p>
        </w:tc>
        <w:tc>
          <w:tcPr>
            <w:tcW w:w="1200" w:type="dxa"/>
            <w:tcBorders>
              <w:top w:val="nil"/>
              <w:left w:val="nil"/>
              <w:bottom w:val="nil"/>
              <w:right w:val="single" w:sz="8" w:space="0" w:color="auto"/>
            </w:tcBorders>
            <w:shd w:val="clear" w:color="000000" w:fill="FCD5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4.25</w:t>
            </w:r>
          </w:p>
        </w:tc>
      </w:tr>
      <w:tr w:rsidR="00C64FC7" w:rsidRPr="00310DE4" w:rsidTr="00FE1096">
        <w:trPr>
          <w:trHeight w:val="199"/>
        </w:trPr>
        <w:tc>
          <w:tcPr>
            <w:tcW w:w="745" w:type="dxa"/>
            <w:vMerge/>
            <w:tcBorders>
              <w:top w:val="nil"/>
              <w:left w:val="single" w:sz="8" w:space="0" w:color="auto"/>
              <w:bottom w:val="single" w:sz="8" w:space="0" w:color="000000"/>
              <w:right w:val="single" w:sz="8" w:space="0" w:color="auto"/>
            </w:tcBorders>
            <w:vAlign w:val="center"/>
            <w:hideMark/>
          </w:tcPr>
          <w:p w:rsidR="00C64FC7" w:rsidRPr="00310DE4" w:rsidRDefault="00C64FC7" w:rsidP="00FE1096">
            <w:pPr>
              <w:rPr>
                <w:rFonts w:ascii="Garamond" w:eastAsia="Times New Roman" w:hAnsi="Garamond" w:cs="Arial"/>
                <w:b/>
                <w:bCs/>
                <w:color w:val="000000"/>
              </w:rPr>
            </w:pPr>
          </w:p>
        </w:tc>
        <w:tc>
          <w:tcPr>
            <w:tcW w:w="1797" w:type="dxa"/>
            <w:tcBorders>
              <w:top w:val="nil"/>
              <w:left w:val="nil"/>
              <w:bottom w:val="single" w:sz="8" w:space="0" w:color="auto"/>
              <w:right w:val="nil"/>
            </w:tcBorders>
            <w:shd w:val="clear" w:color="000000" w:fill="FCD5B4"/>
            <w:noWrap/>
            <w:vAlign w:val="center"/>
            <w:hideMark/>
          </w:tcPr>
          <w:p w:rsidR="00C64FC7" w:rsidRPr="00310DE4" w:rsidRDefault="00C64FC7" w:rsidP="00FE1096">
            <w:pPr>
              <w:jc w:val="both"/>
              <w:rPr>
                <w:rFonts w:ascii="Garamond" w:eastAsia="Times New Roman" w:hAnsi="Garamond" w:cs="Arial"/>
                <w:color w:val="000000"/>
                <w:sz w:val="20"/>
                <w:szCs w:val="20"/>
              </w:rPr>
            </w:pPr>
            <w:r w:rsidRPr="00310DE4">
              <w:rPr>
                <w:rFonts w:ascii="Garamond" w:eastAsia="Times New Roman" w:hAnsi="Garamond" w:cs="Arial"/>
                <w:color w:val="000000"/>
                <w:sz w:val="20"/>
                <w:szCs w:val="20"/>
              </w:rPr>
              <w:t>Turkey</w:t>
            </w:r>
          </w:p>
        </w:tc>
        <w:tc>
          <w:tcPr>
            <w:tcW w:w="777" w:type="dxa"/>
            <w:tcBorders>
              <w:top w:val="nil"/>
              <w:left w:val="single" w:sz="8" w:space="0" w:color="auto"/>
              <w:bottom w:val="single" w:sz="8" w:space="0" w:color="auto"/>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11.10</w:t>
            </w:r>
          </w:p>
        </w:tc>
        <w:tc>
          <w:tcPr>
            <w:tcW w:w="789"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Q3</w:t>
            </w:r>
          </w:p>
        </w:tc>
        <w:tc>
          <w:tcPr>
            <w:tcW w:w="615"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1.20</w:t>
            </w:r>
          </w:p>
        </w:tc>
        <w:tc>
          <w:tcPr>
            <w:tcW w:w="792"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Q3</w:t>
            </w:r>
          </w:p>
        </w:tc>
        <w:tc>
          <w:tcPr>
            <w:tcW w:w="658"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10.26</w:t>
            </w:r>
          </w:p>
        </w:tc>
        <w:tc>
          <w:tcPr>
            <w:tcW w:w="804"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Pr>
                <w:rFonts w:ascii="Garamond" w:eastAsia="Times New Roman" w:hAnsi="Garamond" w:cs="Arial"/>
                <w:color w:val="000000"/>
                <w:sz w:val="20"/>
                <w:szCs w:val="20"/>
              </w:rPr>
              <w:t>Feb-18</w:t>
            </w:r>
          </w:p>
        </w:tc>
        <w:tc>
          <w:tcPr>
            <w:tcW w:w="658"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right"/>
              <w:rPr>
                <w:rFonts w:ascii="Garamond" w:eastAsia="Times New Roman" w:hAnsi="Garamond" w:cs="Arial"/>
                <w:color w:val="000000"/>
                <w:sz w:val="20"/>
                <w:szCs w:val="20"/>
              </w:rPr>
            </w:pPr>
            <w:r w:rsidRPr="00310DE4">
              <w:rPr>
                <w:rFonts w:ascii="Garamond" w:eastAsia="Times New Roman" w:hAnsi="Garamond" w:cs="Arial"/>
                <w:color w:val="000000"/>
                <w:sz w:val="20"/>
                <w:szCs w:val="20"/>
              </w:rPr>
              <w:t>10.40</w:t>
            </w:r>
          </w:p>
        </w:tc>
        <w:tc>
          <w:tcPr>
            <w:tcW w:w="1286"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center"/>
              <w:rPr>
                <w:rFonts w:ascii="Garamond" w:eastAsia="Times New Roman" w:hAnsi="Garamond" w:cs="Arial"/>
                <w:color w:val="000000"/>
                <w:sz w:val="20"/>
                <w:szCs w:val="20"/>
              </w:rPr>
            </w:pPr>
            <w:r>
              <w:rPr>
                <w:rFonts w:ascii="Garamond" w:eastAsia="Times New Roman" w:hAnsi="Garamond" w:cs="Arial"/>
                <w:color w:val="000000"/>
                <w:sz w:val="20"/>
                <w:szCs w:val="20"/>
              </w:rPr>
              <w:t>Dec</w:t>
            </w:r>
            <w:r w:rsidRPr="00310DE4">
              <w:rPr>
                <w:rFonts w:ascii="Garamond" w:eastAsia="Times New Roman" w:hAnsi="Garamond" w:cs="Arial"/>
                <w:color w:val="000000"/>
                <w:sz w:val="20"/>
                <w:szCs w:val="20"/>
              </w:rPr>
              <w:t>-17</w:t>
            </w:r>
          </w:p>
        </w:tc>
        <w:tc>
          <w:tcPr>
            <w:tcW w:w="1200" w:type="dxa"/>
            <w:tcBorders>
              <w:top w:val="nil"/>
              <w:left w:val="nil"/>
              <w:bottom w:val="single" w:sz="8" w:space="0" w:color="auto"/>
              <w:right w:val="single" w:sz="8" w:space="0" w:color="auto"/>
            </w:tcBorders>
            <w:shd w:val="clear" w:color="000000" w:fill="FCD5B4"/>
            <w:noWrap/>
            <w:vAlign w:val="center"/>
            <w:hideMark/>
          </w:tcPr>
          <w:p w:rsidR="00C64FC7" w:rsidRPr="00310DE4" w:rsidRDefault="00C64FC7" w:rsidP="00FE1096">
            <w:pPr>
              <w:jc w:val="center"/>
              <w:rPr>
                <w:rFonts w:ascii="Garamond" w:eastAsia="Times New Roman" w:hAnsi="Garamond" w:cs="Arial"/>
                <w:color w:val="000000"/>
                <w:sz w:val="20"/>
                <w:szCs w:val="20"/>
              </w:rPr>
            </w:pPr>
            <w:r w:rsidRPr="00310DE4">
              <w:rPr>
                <w:rFonts w:ascii="Garamond" w:eastAsia="Times New Roman" w:hAnsi="Garamond" w:cs="Arial"/>
                <w:color w:val="000000"/>
                <w:sz w:val="20"/>
                <w:szCs w:val="20"/>
              </w:rPr>
              <w:t>8.00</w:t>
            </w:r>
          </w:p>
        </w:tc>
      </w:tr>
    </w:tbl>
    <w:p w:rsidR="00C64FC7" w:rsidRPr="00661CF8" w:rsidRDefault="00C64FC7" w:rsidP="00C64FC7">
      <w:pPr>
        <w:spacing w:line="20" w:lineRule="atLeast"/>
        <w:jc w:val="both"/>
        <w:rPr>
          <w:rFonts w:ascii="Garamond" w:hAnsi="Garamond"/>
          <w:bCs/>
          <w:color w:val="000000" w:themeColor="text1"/>
        </w:rPr>
      </w:pPr>
      <w:r w:rsidRPr="00661CF8">
        <w:rPr>
          <w:rFonts w:ascii="Garamond" w:hAnsi="Garamond"/>
          <w:bCs/>
          <w:color w:val="000000" w:themeColor="text1"/>
        </w:rPr>
        <w:t>Note: Q1 refers to Jan - Mar 2017</w:t>
      </w:r>
    </w:p>
    <w:p w:rsidR="00C64FC7" w:rsidRPr="00661CF8" w:rsidRDefault="00C64FC7" w:rsidP="00C64FC7">
      <w:pPr>
        <w:spacing w:line="20" w:lineRule="atLeast"/>
        <w:jc w:val="both"/>
        <w:rPr>
          <w:rFonts w:ascii="Garamond" w:hAnsi="Garamond"/>
          <w:bCs/>
          <w:color w:val="000000" w:themeColor="text1"/>
        </w:rPr>
      </w:pPr>
      <w:r w:rsidRPr="00661CF8">
        <w:rPr>
          <w:rFonts w:ascii="Garamond" w:hAnsi="Garamond"/>
          <w:bCs/>
          <w:color w:val="000000" w:themeColor="text1"/>
        </w:rPr>
        <w:t xml:space="preserve">         Q2 refers to Apr- Jun 2017</w:t>
      </w:r>
    </w:p>
    <w:p w:rsidR="00C64FC7" w:rsidRPr="00661CF8" w:rsidRDefault="00C64FC7" w:rsidP="00C64FC7">
      <w:pPr>
        <w:spacing w:line="20" w:lineRule="atLeast"/>
        <w:jc w:val="both"/>
        <w:rPr>
          <w:rFonts w:ascii="Garamond" w:hAnsi="Garamond"/>
          <w:bCs/>
          <w:color w:val="000000" w:themeColor="text1"/>
        </w:rPr>
      </w:pPr>
      <w:r w:rsidRPr="00661CF8">
        <w:rPr>
          <w:rFonts w:ascii="Garamond" w:hAnsi="Garamond"/>
          <w:bCs/>
          <w:color w:val="000000" w:themeColor="text1"/>
        </w:rPr>
        <w:t xml:space="preserve">         Q3 refers to Jun – Sept 2017</w:t>
      </w:r>
    </w:p>
    <w:p w:rsidR="00C64FC7" w:rsidRPr="00661CF8" w:rsidRDefault="00C64FC7" w:rsidP="00C64FC7">
      <w:pPr>
        <w:spacing w:line="20" w:lineRule="atLeast"/>
        <w:ind w:left="567"/>
        <w:jc w:val="both"/>
        <w:rPr>
          <w:rFonts w:ascii="Garamond" w:hAnsi="Garamond"/>
          <w:bCs/>
          <w:color w:val="000000" w:themeColor="text1"/>
        </w:rPr>
      </w:pPr>
      <w:r w:rsidRPr="00661CF8">
        <w:rPr>
          <w:rFonts w:ascii="Garamond" w:hAnsi="Garamond"/>
          <w:bCs/>
          <w:color w:val="000000" w:themeColor="text1"/>
        </w:rPr>
        <w:t>Quarters are as per the financial year for India which is April to March</w:t>
      </w:r>
    </w:p>
    <w:p w:rsidR="00C64FC7" w:rsidRPr="00661CF8" w:rsidRDefault="00C64FC7" w:rsidP="00C64FC7">
      <w:pPr>
        <w:spacing w:line="20" w:lineRule="atLeast"/>
        <w:ind w:left="567"/>
        <w:jc w:val="both"/>
        <w:rPr>
          <w:rFonts w:ascii="Garamond" w:hAnsi="Garamond"/>
          <w:bCs/>
          <w:color w:val="000000" w:themeColor="text1"/>
        </w:rPr>
      </w:pPr>
      <w:r w:rsidRPr="00661CF8">
        <w:rPr>
          <w:rFonts w:ascii="Garamond" w:hAnsi="Garamond"/>
          <w:bCs/>
          <w:color w:val="000000" w:themeColor="text1"/>
        </w:rPr>
        <w:t>*Represents figures in annualised terms</w:t>
      </w:r>
    </w:p>
    <w:p w:rsidR="00C64FC7" w:rsidRPr="00661CF8" w:rsidRDefault="00C64FC7" w:rsidP="00C64FC7">
      <w:pPr>
        <w:spacing w:line="20" w:lineRule="atLeast"/>
        <w:jc w:val="both"/>
        <w:rPr>
          <w:rFonts w:ascii="Garamond" w:hAnsi="Garamond"/>
          <w:i/>
          <w:iCs/>
          <w:color w:val="000000" w:themeColor="text1"/>
        </w:rPr>
      </w:pPr>
      <w:r w:rsidRPr="00661CF8">
        <w:rPr>
          <w:rFonts w:ascii="Garamond" w:hAnsi="Garamond"/>
          <w:b/>
          <w:i/>
          <w:iCs/>
          <w:color w:val="000000" w:themeColor="text1"/>
        </w:rPr>
        <w:t>Source:</w:t>
      </w:r>
      <w:r w:rsidRPr="00661CF8">
        <w:rPr>
          <w:rFonts w:ascii="Garamond" w:hAnsi="Garamond"/>
          <w:i/>
          <w:iCs/>
          <w:color w:val="000000" w:themeColor="text1"/>
        </w:rPr>
        <w:t xml:space="preserve"> Bloomberg</w:t>
      </w:r>
    </w:p>
    <w:p w:rsidR="00C64FC7" w:rsidRPr="003251AC" w:rsidRDefault="00C64FC7" w:rsidP="00C64FC7">
      <w:pPr>
        <w:spacing w:line="20" w:lineRule="atLeast"/>
        <w:jc w:val="both"/>
        <w:rPr>
          <w:rFonts w:ascii="Garamond" w:hAnsi="Garamond"/>
          <w:i/>
          <w:iCs/>
          <w:strike/>
          <w:color w:val="000000" w:themeColor="text1"/>
        </w:rPr>
      </w:pPr>
    </w:p>
    <w:p w:rsidR="00C64FC7" w:rsidRPr="003251AC" w:rsidRDefault="00C64FC7" w:rsidP="00C64FC7">
      <w:pPr>
        <w:spacing w:line="20" w:lineRule="atLeast"/>
        <w:jc w:val="both"/>
        <w:rPr>
          <w:rFonts w:ascii="Garamond" w:hAnsi="Garamond"/>
          <w:i/>
          <w:iCs/>
          <w:strike/>
          <w:color w:val="000000" w:themeColor="text1"/>
        </w:rPr>
      </w:pPr>
    </w:p>
    <w:p w:rsidR="00C64FC7" w:rsidRPr="003251AC" w:rsidRDefault="00C64FC7" w:rsidP="00C64FC7">
      <w:pPr>
        <w:rPr>
          <w:rFonts w:ascii="Garamond" w:hAnsi="Garamond"/>
          <w:b/>
          <w:strike/>
          <w:color w:val="000000" w:themeColor="text1"/>
        </w:rPr>
      </w:pPr>
      <w:r w:rsidRPr="003251AC">
        <w:rPr>
          <w:rFonts w:ascii="Garamond" w:hAnsi="Garamond"/>
          <w:b/>
          <w:strike/>
          <w:color w:val="000000" w:themeColor="text1"/>
        </w:rPr>
        <w:br w:type="page"/>
      </w:r>
    </w:p>
    <w:p w:rsidR="00C64FC7" w:rsidRPr="00D52F9E" w:rsidRDefault="00C64FC7" w:rsidP="00C64FC7">
      <w:pPr>
        <w:rPr>
          <w:rFonts w:ascii="Garamond" w:hAnsi="Garamond"/>
          <w:b/>
          <w:color w:val="000000" w:themeColor="text1"/>
        </w:rPr>
      </w:pPr>
      <w:r w:rsidRPr="00D52F9E">
        <w:rPr>
          <w:rFonts w:ascii="Garamond" w:hAnsi="Garamond"/>
          <w:b/>
          <w:color w:val="000000" w:themeColor="text1"/>
        </w:rPr>
        <w:lastRenderedPageBreak/>
        <w:t>Chart 1: Year-on-Year Real GDP growth rates of developed countries/ region (percent)</w:t>
      </w:r>
    </w:p>
    <w:p w:rsidR="00C64FC7" w:rsidRPr="00D52F9E" w:rsidRDefault="00C64FC7" w:rsidP="00C64FC7">
      <w:pPr>
        <w:rPr>
          <w:rFonts w:ascii="Garamond" w:hAnsi="Garamond"/>
          <w:b/>
          <w:color w:val="000000" w:themeColor="text1"/>
        </w:rPr>
      </w:pPr>
    </w:p>
    <w:p w:rsidR="00C64FC7" w:rsidRPr="00D52F9E" w:rsidRDefault="00C64FC7" w:rsidP="00C64FC7">
      <w:pPr>
        <w:spacing w:line="20" w:lineRule="atLeast"/>
        <w:jc w:val="center"/>
        <w:rPr>
          <w:rFonts w:ascii="Garamond" w:hAnsi="Garamond"/>
          <w:b/>
          <w:i/>
          <w:iCs/>
          <w:color w:val="000000" w:themeColor="text1"/>
        </w:rPr>
      </w:pPr>
      <w:r w:rsidRPr="00D52F9E">
        <w:rPr>
          <w:noProof/>
          <w:lang w:val="en-IN" w:eastAsia="en-IN"/>
        </w:rPr>
        <w:drawing>
          <wp:inline distT="0" distB="0" distL="0" distR="0" wp14:anchorId="404E7EC0" wp14:editId="1E615076">
            <wp:extent cx="6172200" cy="27813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4FC7" w:rsidRPr="00D52F9E" w:rsidRDefault="00C64FC7" w:rsidP="00C64FC7">
      <w:pPr>
        <w:spacing w:line="20" w:lineRule="atLeast"/>
        <w:jc w:val="both"/>
        <w:rPr>
          <w:rFonts w:ascii="Garamond" w:hAnsi="Garamond"/>
          <w:i/>
          <w:iCs/>
          <w:color w:val="000000" w:themeColor="text1"/>
        </w:rPr>
      </w:pPr>
      <w:r w:rsidRPr="00D52F9E">
        <w:rPr>
          <w:rFonts w:ascii="Garamond" w:hAnsi="Garamond"/>
          <w:b/>
          <w:i/>
          <w:iCs/>
          <w:color w:val="000000" w:themeColor="text1"/>
        </w:rPr>
        <w:t>Source:</w:t>
      </w:r>
      <w:r w:rsidRPr="00D52F9E">
        <w:rPr>
          <w:rFonts w:ascii="Garamond" w:hAnsi="Garamond"/>
          <w:i/>
          <w:iCs/>
          <w:color w:val="000000" w:themeColor="text1"/>
        </w:rPr>
        <w:t xml:space="preserve"> Bloomberg</w:t>
      </w:r>
    </w:p>
    <w:p w:rsidR="00C64FC7" w:rsidRPr="00D52F9E" w:rsidRDefault="00C64FC7" w:rsidP="00C64FC7">
      <w:pPr>
        <w:rPr>
          <w:rFonts w:ascii="Garamond" w:hAnsi="Garamond"/>
          <w:b/>
          <w:color w:val="000000" w:themeColor="text1"/>
        </w:rPr>
      </w:pPr>
    </w:p>
    <w:p w:rsidR="00C64FC7" w:rsidRPr="00D52F9E" w:rsidRDefault="00C64FC7" w:rsidP="00C64FC7">
      <w:pPr>
        <w:rPr>
          <w:rFonts w:ascii="Garamond" w:hAnsi="Garamond"/>
          <w:b/>
          <w:color w:val="000000" w:themeColor="text1"/>
        </w:rPr>
      </w:pPr>
      <w:r w:rsidRPr="00D52F9E">
        <w:rPr>
          <w:rFonts w:ascii="Garamond" w:hAnsi="Garamond"/>
          <w:b/>
          <w:color w:val="000000" w:themeColor="text1"/>
        </w:rPr>
        <w:t>Chart 2: Year-on-Year Real GDP growth rates of BRICS countries/ region (percent)</w:t>
      </w:r>
    </w:p>
    <w:p w:rsidR="00C64FC7" w:rsidRPr="003251AC" w:rsidRDefault="00C64FC7" w:rsidP="00C64FC7">
      <w:pPr>
        <w:spacing w:line="20" w:lineRule="atLeast"/>
        <w:jc w:val="both"/>
        <w:rPr>
          <w:rFonts w:ascii="Garamond" w:hAnsi="Garamond"/>
          <w:b/>
          <w:strike/>
          <w:color w:val="000000" w:themeColor="text1"/>
        </w:rPr>
      </w:pPr>
    </w:p>
    <w:p w:rsidR="00C64FC7" w:rsidRPr="00D52F9E" w:rsidRDefault="00C64FC7" w:rsidP="00C64FC7">
      <w:pPr>
        <w:spacing w:line="20" w:lineRule="atLeast"/>
        <w:ind w:firstLine="720"/>
        <w:jc w:val="both"/>
        <w:rPr>
          <w:rFonts w:ascii="Garamond" w:hAnsi="Garamond"/>
          <w:b/>
          <w:color w:val="000000" w:themeColor="text1"/>
        </w:rPr>
      </w:pPr>
      <w:r w:rsidRPr="003251AC">
        <w:rPr>
          <w:rFonts w:ascii="Garamond" w:hAnsi="Garamond"/>
          <w:b/>
          <w:strike/>
          <w:color w:val="000000" w:themeColor="text1"/>
        </w:rPr>
        <w:t xml:space="preserve">        </w:t>
      </w:r>
      <w:r w:rsidRPr="00D52F9E">
        <w:rPr>
          <w:noProof/>
          <w:lang w:val="en-IN" w:eastAsia="en-IN"/>
        </w:rPr>
        <w:drawing>
          <wp:inline distT="0" distB="0" distL="0" distR="0" wp14:anchorId="16588800" wp14:editId="5D662644">
            <wp:extent cx="6172200" cy="346646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4FC7" w:rsidRPr="00D52F9E" w:rsidRDefault="00C64FC7" w:rsidP="00C64FC7">
      <w:pPr>
        <w:spacing w:line="20" w:lineRule="atLeast"/>
        <w:jc w:val="both"/>
        <w:rPr>
          <w:rFonts w:ascii="Garamond" w:hAnsi="Garamond"/>
          <w:i/>
          <w:iCs/>
          <w:color w:val="000000" w:themeColor="text1"/>
        </w:rPr>
      </w:pPr>
      <w:r w:rsidRPr="00D52F9E">
        <w:rPr>
          <w:rFonts w:ascii="Garamond" w:hAnsi="Garamond"/>
          <w:b/>
          <w:i/>
          <w:iCs/>
          <w:color w:val="000000" w:themeColor="text1"/>
        </w:rPr>
        <w:t xml:space="preserve">                  Source:</w:t>
      </w:r>
      <w:r w:rsidRPr="00D52F9E">
        <w:rPr>
          <w:rFonts w:ascii="Garamond" w:hAnsi="Garamond"/>
          <w:i/>
          <w:iCs/>
          <w:color w:val="000000" w:themeColor="text1"/>
        </w:rPr>
        <w:t xml:space="preserve"> Bloomberg</w:t>
      </w:r>
    </w:p>
    <w:p w:rsidR="00C64FC7" w:rsidRPr="003251AC" w:rsidRDefault="00C64FC7" w:rsidP="00C64FC7">
      <w:pPr>
        <w:spacing w:line="20" w:lineRule="atLeast"/>
        <w:jc w:val="both"/>
        <w:rPr>
          <w:rFonts w:ascii="Garamond" w:hAnsi="Garamond"/>
          <w:i/>
          <w:iCs/>
          <w:strike/>
          <w:color w:val="000000" w:themeColor="text1"/>
        </w:rPr>
      </w:pPr>
    </w:p>
    <w:p w:rsidR="00C64FC7" w:rsidRPr="003251AC" w:rsidRDefault="00C64FC7" w:rsidP="00C64FC7">
      <w:pPr>
        <w:spacing w:line="20" w:lineRule="atLeast"/>
        <w:jc w:val="both"/>
        <w:rPr>
          <w:rFonts w:ascii="Garamond" w:hAnsi="Garamond"/>
          <w:i/>
          <w:iCs/>
          <w:strike/>
          <w:color w:val="000000" w:themeColor="text1"/>
        </w:rPr>
      </w:pPr>
    </w:p>
    <w:p w:rsidR="00C64FC7" w:rsidRPr="003251AC" w:rsidRDefault="00C64FC7" w:rsidP="00C64FC7">
      <w:pPr>
        <w:spacing w:line="20" w:lineRule="atLeast"/>
        <w:ind w:firstLine="720"/>
        <w:jc w:val="both"/>
        <w:rPr>
          <w:rFonts w:ascii="Garamond" w:hAnsi="Garamond"/>
          <w:b/>
          <w:strike/>
          <w:color w:val="000000" w:themeColor="text1"/>
        </w:rPr>
      </w:pPr>
    </w:p>
    <w:p w:rsidR="00C64FC7" w:rsidRPr="003251AC" w:rsidRDefault="00C64FC7" w:rsidP="00C64FC7">
      <w:pPr>
        <w:spacing w:line="20" w:lineRule="atLeast"/>
        <w:ind w:firstLine="720"/>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sz w:val="6"/>
        </w:rPr>
      </w:pPr>
    </w:p>
    <w:p w:rsidR="00C64FC7" w:rsidRPr="003251AC" w:rsidRDefault="00C64FC7" w:rsidP="00C64FC7">
      <w:pPr>
        <w:rPr>
          <w:rFonts w:ascii="Garamond" w:hAnsi="Garamond"/>
          <w:b/>
          <w:strike/>
          <w:color w:val="000000" w:themeColor="text1"/>
        </w:rPr>
      </w:pPr>
      <w:r w:rsidRPr="003251AC">
        <w:rPr>
          <w:rFonts w:ascii="Garamond" w:hAnsi="Garamond"/>
          <w:b/>
          <w:strike/>
          <w:color w:val="000000" w:themeColor="text1"/>
        </w:rPr>
        <w:t xml:space="preserve">        </w:t>
      </w:r>
    </w:p>
    <w:p w:rsidR="00C64FC7" w:rsidRPr="00D52F9E" w:rsidRDefault="00C64FC7" w:rsidP="00C64FC7">
      <w:pPr>
        <w:rPr>
          <w:rFonts w:ascii="Garamond" w:hAnsi="Garamond"/>
          <w:b/>
          <w:color w:val="000000" w:themeColor="text1"/>
        </w:rPr>
      </w:pPr>
      <w:r w:rsidRPr="00D52F9E">
        <w:rPr>
          <w:rFonts w:ascii="Garamond" w:hAnsi="Garamond"/>
          <w:b/>
          <w:color w:val="000000" w:themeColor="text1"/>
        </w:rPr>
        <w:t>Chart 3: Year-on-Year Consumer Price Inflation for developed countries (percent)</w:t>
      </w:r>
    </w:p>
    <w:p w:rsidR="00C64FC7" w:rsidRPr="00D52F9E" w:rsidRDefault="00C64FC7" w:rsidP="00C64FC7">
      <w:pPr>
        <w:rPr>
          <w:rFonts w:ascii="Garamond" w:hAnsi="Garamond"/>
          <w:b/>
          <w:color w:val="000000" w:themeColor="text1"/>
        </w:rPr>
      </w:pPr>
    </w:p>
    <w:p w:rsidR="00C64FC7" w:rsidRPr="00D52F9E" w:rsidRDefault="00C64FC7" w:rsidP="00C64FC7">
      <w:pPr>
        <w:spacing w:line="20" w:lineRule="atLeast"/>
        <w:ind w:firstLine="720"/>
        <w:rPr>
          <w:rFonts w:ascii="Garamond" w:hAnsi="Garamond"/>
          <w:b/>
          <w:i/>
          <w:iCs/>
          <w:color w:val="000000" w:themeColor="text1"/>
        </w:rPr>
      </w:pPr>
      <w:r>
        <w:rPr>
          <w:noProof/>
          <w:lang w:val="en-IN" w:eastAsia="en-IN"/>
        </w:rPr>
        <w:lastRenderedPageBreak/>
        <w:drawing>
          <wp:inline distT="0" distB="0" distL="0" distR="0" wp14:anchorId="32D6D65F" wp14:editId="76EAC1EA">
            <wp:extent cx="4939200" cy="2541600"/>
            <wp:effectExtent l="0" t="0" r="1397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4FC7" w:rsidRPr="00D52F9E" w:rsidRDefault="00C64FC7" w:rsidP="00C64FC7">
      <w:pPr>
        <w:spacing w:line="20" w:lineRule="atLeast"/>
        <w:jc w:val="both"/>
        <w:rPr>
          <w:rFonts w:ascii="Garamond" w:hAnsi="Garamond"/>
          <w:bCs/>
          <w:i/>
          <w:iCs/>
          <w:color w:val="000000" w:themeColor="text1"/>
        </w:rPr>
      </w:pPr>
      <w:r w:rsidRPr="00D52F9E">
        <w:rPr>
          <w:rFonts w:ascii="Garamond" w:hAnsi="Garamond"/>
          <w:b/>
          <w:i/>
          <w:iCs/>
          <w:color w:val="000000" w:themeColor="text1"/>
        </w:rPr>
        <w:t xml:space="preserve">                Source:</w:t>
      </w:r>
      <w:r w:rsidRPr="00D52F9E">
        <w:rPr>
          <w:rFonts w:ascii="Garamond" w:hAnsi="Garamond"/>
          <w:bCs/>
          <w:i/>
          <w:iCs/>
          <w:color w:val="000000" w:themeColor="text1"/>
        </w:rPr>
        <w:t xml:space="preserve"> Bloomberg</w:t>
      </w:r>
    </w:p>
    <w:p w:rsidR="00C64FC7" w:rsidRPr="003251AC" w:rsidRDefault="00C64FC7" w:rsidP="00C64FC7">
      <w:pPr>
        <w:rPr>
          <w:rFonts w:ascii="Garamond" w:hAnsi="Garamond"/>
          <w:bCs/>
          <w:i/>
          <w:iCs/>
          <w:strike/>
          <w:color w:val="000000" w:themeColor="text1"/>
        </w:rPr>
      </w:pPr>
    </w:p>
    <w:p w:rsidR="00C64FC7" w:rsidRPr="003251AC" w:rsidRDefault="00C64FC7" w:rsidP="00C64FC7">
      <w:pPr>
        <w:spacing w:line="20" w:lineRule="atLeast"/>
        <w:jc w:val="both"/>
        <w:rPr>
          <w:rFonts w:ascii="Garamond" w:hAnsi="Garamond"/>
          <w:bCs/>
          <w:i/>
          <w:iCs/>
          <w:strike/>
          <w:color w:val="000000" w:themeColor="text1"/>
        </w:rPr>
      </w:pPr>
    </w:p>
    <w:p w:rsidR="00C64FC7" w:rsidRPr="003251AC" w:rsidRDefault="00C64FC7" w:rsidP="00C64FC7">
      <w:pPr>
        <w:rPr>
          <w:rFonts w:ascii="Garamond" w:hAnsi="Garamond"/>
          <w:b/>
          <w:strike/>
          <w:color w:val="000000" w:themeColor="text1"/>
        </w:rPr>
      </w:pPr>
    </w:p>
    <w:p w:rsidR="00C64FC7" w:rsidRPr="00DF607D" w:rsidRDefault="00C64FC7" w:rsidP="00C64FC7">
      <w:pPr>
        <w:spacing w:line="20" w:lineRule="atLeast"/>
        <w:jc w:val="both"/>
        <w:rPr>
          <w:rFonts w:ascii="Garamond" w:hAnsi="Garamond"/>
          <w:b/>
          <w:color w:val="000000" w:themeColor="text1"/>
        </w:rPr>
      </w:pPr>
      <w:r w:rsidRPr="00DF607D">
        <w:rPr>
          <w:rFonts w:ascii="Garamond" w:hAnsi="Garamond"/>
          <w:b/>
          <w:color w:val="000000" w:themeColor="text1"/>
        </w:rPr>
        <w:t>Chart 4: Year-on-Year Consumer Price Inflation for BRICS countries (percent)</w:t>
      </w:r>
    </w:p>
    <w:p w:rsidR="00C64FC7" w:rsidRPr="00DF607D" w:rsidRDefault="00C64FC7" w:rsidP="00C64FC7">
      <w:pPr>
        <w:spacing w:line="20" w:lineRule="atLeast"/>
        <w:jc w:val="both"/>
        <w:rPr>
          <w:rFonts w:ascii="Garamond" w:hAnsi="Garamond"/>
          <w:b/>
          <w:color w:val="000000" w:themeColor="text1"/>
        </w:rPr>
      </w:pPr>
    </w:p>
    <w:p w:rsidR="00C64FC7" w:rsidRPr="00DF607D" w:rsidRDefault="00C64FC7" w:rsidP="00C64FC7">
      <w:pPr>
        <w:spacing w:line="20" w:lineRule="atLeast"/>
        <w:jc w:val="both"/>
        <w:rPr>
          <w:rFonts w:ascii="Garamond" w:hAnsi="Garamond"/>
          <w:b/>
          <w:color w:val="000000" w:themeColor="text1"/>
        </w:rPr>
      </w:pPr>
    </w:p>
    <w:p w:rsidR="00C64FC7" w:rsidRPr="00DF607D" w:rsidRDefault="00C64FC7" w:rsidP="00C64FC7">
      <w:pPr>
        <w:spacing w:line="20" w:lineRule="atLeast"/>
        <w:jc w:val="both"/>
        <w:rPr>
          <w:rFonts w:ascii="Garamond" w:hAnsi="Garamond"/>
          <w:bCs/>
          <w:i/>
          <w:iCs/>
          <w:color w:val="000000" w:themeColor="text1"/>
        </w:rPr>
      </w:pPr>
      <w:r>
        <w:rPr>
          <w:noProof/>
          <w:lang w:val="en-IN" w:eastAsia="en-IN"/>
        </w:rPr>
        <w:drawing>
          <wp:inline distT="0" distB="0" distL="0" distR="0" wp14:anchorId="271E322F" wp14:editId="4C77F86F">
            <wp:extent cx="5356800" cy="2311200"/>
            <wp:effectExtent l="0" t="0" r="15875"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64FC7" w:rsidRPr="00DF607D" w:rsidRDefault="00C64FC7" w:rsidP="00C64FC7">
      <w:pPr>
        <w:spacing w:line="20" w:lineRule="atLeast"/>
        <w:jc w:val="both"/>
        <w:rPr>
          <w:rFonts w:ascii="Garamond" w:hAnsi="Garamond"/>
          <w:bCs/>
          <w:i/>
          <w:iCs/>
          <w:color w:val="000000" w:themeColor="text1"/>
        </w:rPr>
      </w:pPr>
      <w:r w:rsidRPr="00DF607D">
        <w:rPr>
          <w:rFonts w:ascii="Garamond" w:hAnsi="Garamond"/>
          <w:b/>
          <w:i/>
          <w:iCs/>
          <w:color w:val="000000" w:themeColor="text1"/>
        </w:rPr>
        <w:t xml:space="preserve"> Source:</w:t>
      </w:r>
      <w:r w:rsidRPr="00DF607D">
        <w:rPr>
          <w:rFonts w:ascii="Garamond" w:hAnsi="Garamond"/>
          <w:bCs/>
          <w:i/>
          <w:iCs/>
          <w:color w:val="000000" w:themeColor="text1"/>
        </w:rPr>
        <w:t xml:space="preserve"> Bloomberg</w:t>
      </w:r>
    </w:p>
    <w:p w:rsidR="00C64FC7" w:rsidRPr="00DF607D" w:rsidRDefault="00C64FC7" w:rsidP="00C64FC7">
      <w:pPr>
        <w:spacing w:line="20" w:lineRule="atLeast"/>
        <w:jc w:val="both"/>
        <w:rPr>
          <w:rFonts w:ascii="Garamond" w:hAnsi="Garamond"/>
          <w:bCs/>
          <w:i/>
          <w:iCs/>
          <w:color w:val="000000" w:themeColor="text1"/>
        </w:rPr>
      </w:pPr>
    </w:p>
    <w:p w:rsidR="00C64FC7" w:rsidRPr="003251AC" w:rsidRDefault="00C64FC7" w:rsidP="00C64FC7">
      <w:pPr>
        <w:spacing w:line="20" w:lineRule="atLeast"/>
        <w:jc w:val="both"/>
        <w:rPr>
          <w:rFonts w:ascii="Garamond" w:hAnsi="Garamond"/>
          <w:bCs/>
          <w:i/>
          <w:iCs/>
          <w:strike/>
          <w:color w:val="000000" w:themeColor="text1"/>
        </w:rPr>
      </w:pPr>
    </w:p>
    <w:p w:rsidR="00C64FC7" w:rsidRPr="003251AC" w:rsidRDefault="00C64FC7" w:rsidP="00C64FC7">
      <w:pPr>
        <w:spacing w:line="20" w:lineRule="atLeast"/>
        <w:jc w:val="both"/>
        <w:rPr>
          <w:rFonts w:ascii="Garamond" w:hAnsi="Garamond"/>
          <w:bCs/>
          <w:i/>
          <w:iCs/>
          <w:strike/>
          <w:color w:val="000000" w:themeColor="text1"/>
        </w:rPr>
      </w:pPr>
    </w:p>
    <w:p w:rsidR="00C64FC7" w:rsidRPr="003251AC" w:rsidRDefault="00C64FC7" w:rsidP="00C64FC7">
      <w:pPr>
        <w:spacing w:line="20" w:lineRule="atLeast"/>
        <w:jc w:val="both"/>
        <w:rPr>
          <w:rFonts w:ascii="Garamond" w:hAnsi="Garamond"/>
          <w:bCs/>
          <w:i/>
          <w:iCs/>
          <w:strike/>
          <w:color w:val="000000" w:themeColor="text1"/>
        </w:rPr>
      </w:pPr>
    </w:p>
    <w:p w:rsidR="00C64FC7" w:rsidRPr="00D2256D" w:rsidRDefault="00C64FC7" w:rsidP="00C64FC7">
      <w:pPr>
        <w:pStyle w:val="ListParagraph"/>
        <w:numPr>
          <w:ilvl w:val="0"/>
          <w:numId w:val="13"/>
        </w:numPr>
        <w:spacing w:after="0" w:line="20" w:lineRule="atLeast"/>
        <w:ind w:left="-142"/>
        <w:jc w:val="both"/>
        <w:rPr>
          <w:rFonts w:ascii="Garamond" w:eastAsiaTheme="minorHAnsi" w:hAnsi="Garamond"/>
          <w:b/>
          <w:color w:val="000000" w:themeColor="text1"/>
          <w:sz w:val="24"/>
          <w:szCs w:val="24"/>
          <w:lang w:val="en-IN"/>
        </w:rPr>
      </w:pPr>
      <w:r w:rsidRPr="00D2256D">
        <w:rPr>
          <w:rFonts w:ascii="Garamond" w:eastAsiaTheme="minorHAnsi" w:hAnsi="Garamond"/>
          <w:b/>
          <w:color w:val="000000" w:themeColor="text1"/>
          <w:sz w:val="24"/>
          <w:szCs w:val="24"/>
          <w:lang w:val="en-IN"/>
        </w:rPr>
        <w:t>Major Recent Developments Across the Globe</w:t>
      </w:r>
    </w:p>
    <w:p w:rsidR="00C64FC7" w:rsidRPr="00D2256D" w:rsidRDefault="00C64FC7" w:rsidP="00C64FC7">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sidRPr="00D2256D">
        <w:rPr>
          <w:rFonts w:ascii="Garamond" w:eastAsiaTheme="minorHAnsi" w:hAnsi="Garamond"/>
          <w:b/>
          <w:color w:val="000000" w:themeColor="text1"/>
          <w:sz w:val="24"/>
          <w:szCs w:val="24"/>
          <w:lang w:val="en-IN"/>
        </w:rPr>
        <w:t>Free trade zones are</w:t>
      </w:r>
      <w:r>
        <w:rPr>
          <w:rFonts w:ascii="Garamond" w:eastAsiaTheme="minorHAnsi" w:hAnsi="Garamond"/>
          <w:b/>
          <w:color w:val="000000" w:themeColor="text1"/>
          <w:sz w:val="24"/>
          <w:szCs w:val="24"/>
          <w:lang w:val="en-IN"/>
        </w:rPr>
        <w:t xml:space="preserve"> becoming victims of </w:t>
      </w:r>
      <w:r w:rsidRPr="00D2256D">
        <w:rPr>
          <w:rFonts w:ascii="Garamond" w:eastAsiaTheme="minorHAnsi" w:hAnsi="Garamond"/>
          <w:b/>
          <w:color w:val="000000" w:themeColor="text1"/>
          <w:sz w:val="24"/>
          <w:szCs w:val="24"/>
          <w:lang w:val="en-IN"/>
        </w:rPr>
        <w:t>counterfeit goods</w:t>
      </w:r>
      <w:r>
        <w:rPr>
          <w:rFonts w:ascii="Garamond" w:eastAsiaTheme="minorHAnsi" w:hAnsi="Garamond"/>
          <w:b/>
          <w:color w:val="000000" w:themeColor="text1"/>
          <w:sz w:val="24"/>
          <w:szCs w:val="24"/>
          <w:lang w:val="en-IN"/>
        </w:rPr>
        <w:t xml:space="preserve"> trafficking</w:t>
      </w:r>
    </w:p>
    <w:p w:rsidR="00C64FC7" w:rsidRPr="00D2256D" w:rsidRDefault="00C64FC7" w:rsidP="00C64FC7">
      <w:pPr>
        <w:rPr>
          <w:rFonts w:ascii="Garamond" w:hAnsi="Garamond"/>
          <w:color w:val="000000" w:themeColor="text1"/>
          <w:lang w:val="en-IN"/>
        </w:rPr>
      </w:pPr>
      <w:r>
        <w:rPr>
          <w:rFonts w:ascii="Garamond" w:hAnsi="Garamond"/>
          <w:color w:val="000000" w:themeColor="text1"/>
          <w:lang w:val="en-IN"/>
        </w:rPr>
        <w:t xml:space="preserve">As per a recent article by OECD mentioning a report of European </w:t>
      </w:r>
      <w:r w:rsidRPr="006D4E27">
        <w:rPr>
          <w:rFonts w:ascii="Garamond" w:hAnsi="Garamond"/>
          <w:color w:val="000000" w:themeColor="text1"/>
          <w:lang w:val="en-IN"/>
        </w:rPr>
        <w:t>Intellectual Property Office</w:t>
      </w:r>
      <w:r>
        <w:rPr>
          <w:rFonts w:ascii="Garamond" w:hAnsi="Garamond"/>
          <w:color w:val="000000" w:themeColor="text1"/>
          <w:lang w:val="en-IN"/>
        </w:rPr>
        <w:t>, indicates r</w:t>
      </w:r>
      <w:r w:rsidRPr="006D4E27">
        <w:rPr>
          <w:rFonts w:ascii="Garamond" w:hAnsi="Garamond"/>
          <w:color w:val="000000" w:themeColor="text1"/>
          <w:lang w:val="en-IN"/>
        </w:rPr>
        <w:t>apid growth in free trade zones – where economic activity is driven by reduced taxes and customs controls, light regulation and limited oversight – is unintentionally fostering growth in counterfeit goods trafficking</w:t>
      </w:r>
      <w:r w:rsidRPr="00D2256D">
        <w:rPr>
          <w:rFonts w:ascii="Garamond" w:hAnsi="Garamond"/>
          <w:color w:val="000000" w:themeColor="text1"/>
          <w:lang w:val="en-IN"/>
        </w:rPr>
        <w:t>.</w:t>
      </w:r>
      <w:r>
        <w:rPr>
          <w:rFonts w:ascii="Garamond" w:hAnsi="Garamond"/>
          <w:color w:val="000000" w:themeColor="text1"/>
          <w:lang w:val="en-IN"/>
        </w:rPr>
        <w:t xml:space="preserve"> To mention, t</w:t>
      </w:r>
      <w:r w:rsidRPr="00F520EC">
        <w:rPr>
          <w:rFonts w:ascii="Garamond" w:hAnsi="Garamond"/>
          <w:color w:val="000000" w:themeColor="text1"/>
          <w:lang w:val="en-IN"/>
        </w:rPr>
        <w:t xml:space="preserve">here are more than 3,500 free trade zones, often located at key ports, </w:t>
      </w:r>
      <w:r>
        <w:rPr>
          <w:rFonts w:ascii="Garamond" w:hAnsi="Garamond"/>
          <w:color w:val="000000" w:themeColor="text1"/>
          <w:lang w:val="en-IN"/>
        </w:rPr>
        <w:t>in 130 countries or economies</w:t>
      </w:r>
      <w:r w:rsidRPr="00F520EC">
        <w:rPr>
          <w:rFonts w:ascii="Garamond" w:hAnsi="Garamond"/>
          <w:color w:val="000000" w:themeColor="text1"/>
          <w:lang w:val="en-IN"/>
        </w:rPr>
        <w:t>. The special zones facilitate trade by offering businesses advantageous tariffs and lighter regulation on financing, ownership, la</w:t>
      </w:r>
      <w:r>
        <w:rPr>
          <w:rFonts w:ascii="Garamond" w:hAnsi="Garamond"/>
          <w:color w:val="000000" w:themeColor="text1"/>
          <w:lang w:val="en-IN"/>
        </w:rPr>
        <w:t>bour and immigration, and taxes</w:t>
      </w:r>
      <w:r w:rsidRPr="00395007">
        <w:rPr>
          <w:rFonts w:ascii="Garamond" w:hAnsi="Garamond"/>
          <w:color w:val="000000" w:themeColor="text1"/>
          <w:lang w:val="en-IN"/>
        </w:rPr>
        <w:t>.</w:t>
      </w:r>
    </w:p>
    <w:p w:rsidR="00C64FC7" w:rsidRPr="003251AC" w:rsidRDefault="00C64FC7" w:rsidP="00C64FC7">
      <w:pPr>
        <w:spacing w:line="20" w:lineRule="atLeast"/>
        <w:ind w:hanging="567"/>
        <w:jc w:val="both"/>
        <w:rPr>
          <w:rFonts w:ascii="Garamond" w:hAnsi="Garamond"/>
          <w:b/>
          <w:strike/>
          <w:color w:val="000000" w:themeColor="text1"/>
        </w:rPr>
      </w:pPr>
    </w:p>
    <w:p w:rsidR="00C64FC7" w:rsidRPr="00300CC5" w:rsidRDefault="00C64FC7" w:rsidP="00C64FC7">
      <w:pPr>
        <w:spacing w:line="20" w:lineRule="atLeast"/>
        <w:ind w:hanging="567"/>
        <w:rPr>
          <w:rFonts w:ascii="Garamond" w:hAnsi="Garamond"/>
          <w:b/>
          <w:color w:val="000000" w:themeColor="text1"/>
        </w:rPr>
      </w:pPr>
      <w:r w:rsidRPr="00300CC5">
        <w:rPr>
          <w:rFonts w:ascii="Garamond" w:hAnsi="Garamond"/>
          <w:b/>
          <w:color w:val="000000" w:themeColor="text1"/>
        </w:rPr>
        <w:t>United States:</w:t>
      </w:r>
    </w:p>
    <w:p w:rsidR="00C64FC7" w:rsidRPr="00300CC5" w:rsidRDefault="00C64FC7" w:rsidP="00C64FC7">
      <w:pPr>
        <w:numPr>
          <w:ilvl w:val="1"/>
          <w:numId w:val="13"/>
        </w:numPr>
        <w:spacing w:line="20" w:lineRule="atLeast"/>
        <w:ind w:left="0" w:hanging="567"/>
        <w:contextualSpacing/>
        <w:jc w:val="both"/>
        <w:rPr>
          <w:rFonts w:ascii="Garamond" w:hAnsi="Garamond"/>
          <w:color w:val="000000" w:themeColor="text1"/>
        </w:rPr>
      </w:pPr>
      <w:r w:rsidRPr="00300CC5">
        <w:rPr>
          <w:rFonts w:ascii="Garamond" w:hAnsi="Garamond"/>
          <w:color w:val="000000" w:themeColor="text1"/>
        </w:rPr>
        <w:lastRenderedPageBreak/>
        <w:t>As per the “advance” estimates released by the Bureau of Economic Analysis the real GDP of US grew at an annual rate of 2.6 percent during the fourth quarter of 2017 against 3.2 percent growth rate recorded in the previous quarter. The increase in real GDP reflected positive contributions from personal consumption expenditures (PCE), private inventory investment, non-residential fixed investment, exports, and federal government spending. Real GDP increased by 1.6 percent in 2016 (Y-o-Y) compared with an increase of 2.6 percent in 2015. As per IMF’s latest growth outlook the US economy is projected to expand at 2.2 percent in 2017 and 2.3 percent in 2018.</w:t>
      </w:r>
    </w:p>
    <w:p w:rsidR="00C64FC7" w:rsidRPr="00300CC5" w:rsidRDefault="00C64FC7" w:rsidP="00C64FC7">
      <w:pPr>
        <w:ind w:hanging="567"/>
        <w:contextualSpacing/>
        <w:jc w:val="both"/>
        <w:rPr>
          <w:rFonts w:ascii="Garamond" w:hAnsi="Garamond"/>
          <w:color w:val="000000" w:themeColor="text1"/>
        </w:rPr>
      </w:pPr>
    </w:p>
    <w:p w:rsidR="00C64FC7" w:rsidRPr="00300CC5" w:rsidRDefault="00C64FC7" w:rsidP="00C64FC7">
      <w:pPr>
        <w:numPr>
          <w:ilvl w:val="1"/>
          <w:numId w:val="13"/>
        </w:numPr>
        <w:spacing w:line="20" w:lineRule="atLeast"/>
        <w:ind w:left="0" w:hanging="567"/>
        <w:contextualSpacing/>
        <w:jc w:val="both"/>
        <w:rPr>
          <w:rFonts w:ascii="Garamond" w:hAnsi="Garamond"/>
          <w:color w:val="000000" w:themeColor="text1"/>
        </w:rPr>
      </w:pPr>
      <w:r w:rsidRPr="00300CC5">
        <w:rPr>
          <w:rFonts w:ascii="Garamond" w:hAnsi="Garamond"/>
          <w:color w:val="000000" w:themeColor="text1"/>
        </w:rPr>
        <w:t xml:space="preserve">As per data released by the Bureau of Labor Statistics, the consumer prices in USA went up by </w:t>
      </w:r>
      <w:r>
        <w:rPr>
          <w:rFonts w:ascii="Garamond" w:hAnsi="Garamond"/>
          <w:color w:val="000000" w:themeColor="text1"/>
        </w:rPr>
        <w:t>2.2</w:t>
      </w:r>
      <w:r w:rsidRPr="00300CC5">
        <w:rPr>
          <w:rFonts w:ascii="Garamond" w:hAnsi="Garamond"/>
          <w:color w:val="000000" w:themeColor="text1"/>
        </w:rPr>
        <w:t xml:space="preserve"> percent (Y-o-Y) in </w:t>
      </w:r>
      <w:r>
        <w:rPr>
          <w:rFonts w:ascii="Garamond" w:hAnsi="Garamond"/>
          <w:color w:val="000000" w:themeColor="text1"/>
        </w:rPr>
        <w:t>February</w:t>
      </w:r>
      <w:r w:rsidRPr="00300CC5">
        <w:rPr>
          <w:rFonts w:ascii="Garamond" w:hAnsi="Garamond"/>
          <w:color w:val="000000" w:themeColor="text1"/>
        </w:rPr>
        <w:t xml:space="preserve"> 2018. The price index for all items less food and energy rose by 1.8 percent (Y-o-Y) during the month. Unemployment rate in US was 4.1 percent in </w:t>
      </w:r>
      <w:r>
        <w:rPr>
          <w:rFonts w:ascii="Garamond" w:hAnsi="Garamond"/>
          <w:color w:val="000000" w:themeColor="text1"/>
        </w:rPr>
        <w:t>February 2018</w:t>
      </w:r>
      <w:r w:rsidRPr="00300CC5">
        <w:rPr>
          <w:rFonts w:ascii="Garamond" w:hAnsi="Garamond"/>
          <w:color w:val="000000" w:themeColor="text1"/>
        </w:rPr>
        <w:t xml:space="preserve"> same as of previous month. The Federal Open Market Committee (FOMC) on </w:t>
      </w:r>
      <w:r>
        <w:rPr>
          <w:rFonts w:ascii="Garamond" w:hAnsi="Garamond"/>
          <w:color w:val="000000" w:themeColor="text1"/>
        </w:rPr>
        <w:t>20 March 2018</w:t>
      </w:r>
      <w:r w:rsidRPr="00300CC5">
        <w:rPr>
          <w:rFonts w:ascii="Garamond" w:hAnsi="Garamond"/>
          <w:color w:val="000000" w:themeColor="text1"/>
        </w:rPr>
        <w:t xml:space="preserve"> increased the target range for the federal funds rate to, 1.</w:t>
      </w:r>
      <w:r>
        <w:rPr>
          <w:rFonts w:ascii="Garamond" w:hAnsi="Garamond"/>
          <w:color w:val="000000" w:themeColor="text1"/>
        </w:rPr>
        <w:t>5</w:t>
      </w:r>
      <w:r w:rsidRPr="00300CC5">
        <w:rPr>
          <w:rFonts w:ascii="Garamond" w:hAnsi="Garamond"/>
          <w:color w:val="000000" w:themeColor="text1"/>
        </w:rPr>
        <w:t xml:space="preserve"> to 1.</w:t>
      </w:r>
      <w:r>
        <w:rPr>
          <w:rFonts w:ascii="Garamond" w:hAnsi="Garamond"/>
          <w:color w:val="000000" w:themeColor="text1"/>
        </w:rPr>
        <w:t>7</w:t>
      </w:r>
      <w:r w:rsidRPr="00300CC5">
        <w:rPr>
          <w:rFonts w:ascii="Garamond" w:hAnsi="Garamond"/>
          <w:color w:val="000000" w:themeColor="text1"/>
        </w:rPr>
        <w:t>5 per cent from 1.</w:t>
      </w:r>
      <w:r>
        <w:rPr>
          <w:rFonts w:ascii="Garamond" w:hAnsi="Garamond"/>
          <w:color w:val="000000" w:themeColor="text1"/>
        </w:rPr>
        <w:t>25</w:t>
      </w:r>
      <w:r w:rsidRPr="00300CC5">
        <w:rPr>
          <w:rFonts w:ascii="Garamond" w:hAnsi="Garamond"/>
          <w:color w:val="000000" w:themeColor="text1"/>
        </w:rPr>
        <w:t xml:space="preserve"> to 1.5 per cent. </w:t>
      </w:r>
    </w:p>
    <w:p w:rsidR="00C64FC7" w:rsidRPr="00300CC5" w:rsidRDefault="00C64FC7" w:rsidP="00C64FC7">
      <w:pPr>
        <w:ind w:hanging="567"/>
        <w:contextualSpacing/>
        <w:jc w:val="both"/>
        <w:rPr>
          <w:rFonts w:ascii="Garamond" w:hAnsi="Garamond"/>
          <w:color w:val="000000" w:themeColor="text1"/>
        </w:rPr>
      </w:pPr>
    </w:p>
    <w:p w:rsidR="00C64FC7" w:rsidRPr="00300CC5" w:rsidRDefault="00C64FC7" w:rsidP="00C64FC7">
      <w:pPr>
        <w:numPr>
          <w:ilvl w:val="1"/>
          <w:numId w:val="13"/>
        </w:numPr>
        <w:spacing w:line="20" w:lineRule="atLeast"/>
        <w:ind w:left="0" w:hanging="567"/>
        <w:contextualSpacing/>
        <w:jc w:val="both"/>
        <w:rPr>
          <w:rFonts w:ascii="Garamond" w:hAnsi="Garamond"/>
          <w:color w:val="000000" w:themeColor="text1"/>
        </w:rPr>
      </w:pPr>
      <w:r w:rsidRPr="00300CC5">
        <w:rPr>
          <w:rFonts w:ascii="Garamond" w:hAnsi="Garamond"/>
          <w:color w:val="000000" w:themeColor="text1"/>
        </w:rPr>
        <w:t xml:space="preserve">The seasonally adjusted Markit US Manufacturing Purchasing Managers’ Index (PMI) posted </w:t>
      </w:r>
      <w:r>
        <w:rPr>
          <w:rFonts w:ascii="Garamond" w:hAnsi="Garamond"/>
          <w:color w:val="000000" w:themeColor="text1"/>
        </w:rPr>
        <w:t>55.3</w:t>
      </w:r>
      <w:r w:rsidRPr="00300CC5">
        <w:rPr>
          <w:rFonts w:ascii="Garamond" w:hAnsi="Garamond"/>
          <w:color w:val="000000" w:themeColor="text1"/>
        </w:rPr>
        <w:t xml:space="preserve"> in </w:t>
      </w:r>
      <w:r>
        <w:rPr>
          <w:rFonts w:ascii="Garamond" w:hAnsi="Garamond"/>
          <w:color w:val="000000" w:themeColor="text1"/>
        </w:rPr>
        <w:t>February</w:t>
      </w:r>
      <w:r w:rsidRPr="00300CC5">
        <w:rPr>
          <w:rFonts w:ascii="Garamond" w:hAnsi="Garamond"/>
          <w:color w:val="000000" w:themeColor="text1"/>
        </w:rPr>
        <w:t xml:space="preserve"> 2018, against 55.</w:t>
      </w:r>
      <w:r>
        <w:rPr>
          <w:rFonts w:ascii="Garamond" w:hAnsi="Garamond"/>
          <w:color w:val="000000" w:themeColor="text1"/>
        </w:rPr>
        <w:t>5</w:t>
      </w:r>
      <w:r w:rsidRPr="00300CC5">
        <w:rPr>
          <w:rFonts w:ascii="Garamond" w:hAnsi="Garamond"/>
          <w:color w:val="000000" w:themeColor="text1"/>
        </w:rPr>
        <w:t xml:space="preserve"> of previous month. The Markit U.S. Services PMI recorded in </w:t>
      </w:r>
      <w:r>
        <w:rPr>
          <w:rFonts w:ascii="Garamond" w:hAnsi="Garamond"/>
          <w:color w:val="000000" w:themeColor="text1"/>
        </w:rPr>
        <w:t>55.9</w:t>
      </w:r>
      <w:r w:rsidRPr="00300CC5">
        <w:rPr>
          <w:rFonts w:ascii="Garamond" w:hAnsi="Garamond"/>
          <w:color w:val="000000" w:themeColor="text1"/>
        </w:rPr>
        <w:t xml:space="preserve"> against </w:t>
      </w:r>
      <w:r>
        <w:rPr>
          <w:rFonts w:ascii="Garamond" w:hAnsi="Garamond"/>
          <w:color w:val="000000" w:themeColor="text1"/>
        </w:rPr>
        <w:t>53.3</w:t>
      </w:r>
      <w:r w:rsidRPr="00300CC5">
        <w:rPr>
          <w:rFonts w:ascii="Garamond" w:hAnsi="Garamond"/>
          <w:color w:val="000000" w:themeColor="text1"/>
        </w:rPr>
        <w:t xml:space="preserve"> of the previous month.</w:t>
      </w:r>
    </w:p>
    <w:p w:rsidR="00C64FC7" w:rsidRPr="00300CC5" w:rsidRDefault="00C64FC7" w:rsidP="00C64FC7">
      <w:pPr>
        <w:ind w:hanging="567"/>
        <w:contextualSpacing/>
        <w:jc w:val="both"/>
        <w:rPr>
          <w:rFonts w:ascii="Garamond" w:hAnsi="Garamond"/>
          <w:color w:val="000000" w:themeColor="text1"/>
        </w:rPr>
      </w:pPr>
    </w:p>
    <w:p w:rsidR="00C64FC7" w:rsidRPr="00300CC5" w:rsidRDefault="00C64FC7" w:rsidP="00C64FC7">
      <w:pPr>
        <w:ind w:hanging="567"/>
        <w:contextualSpacing/>
        <w:jc w:val="both"/>
        <w:rPr>
          <w:rFonts w:ascii="Garamond" w:hAnsi="Garamond"/>
          <w:bCs/>
          <w:i/>
          <w:iCs/>
          <w:color w:val="000000" w:themeColor="text1"/>
        </w:rPr>
      </w:pPr>
      <w:r w:rsidRPr="00300CC5">
        <w:rPr>
          <w:rFonts w:ascii="Garamond" w:hAnsi="Garamond"/>
          <w:b/>
          <w:i/>
          <w:iCs/>
          <w:color w:val="000000" w:themeColor="text1"/>
        </w:rPr>
        <w:t>Observations:</w:t>
      </w:r>
      <w:r w:rsidRPr="00300CC5">
        <w:rPr>
          <w:rFonts w:ascii="Garamond" w:hAnsi="Garamond"/>
          <w:bCs/>
          <w:i/>
          <w:iCs/>
          <w:color w:val="000000" w:themeColor="text1"/>
        </w:rPr>
        <w:t xml:space="preserve"> With increased orders from Domestic and export demand both manufacturing and Service sectors saw a rise. It can also be expected to increase in the pricing power with the increase in the demand. A rise in the back orders was also observed as firms struggled to cope with the increased demand. </w:t>
      </w:r>
    </w:p>
    <w:p w:rsidR="00C64FC7" w:rsidRPr="00300CC5" w:rsidRDefault="00C64FC7" w:rsidP="00C64FC7">
      <w:pPr>
        <w:ind w:hanging="567"/>
        <w:contextualSpacing/>
        <w:jc w:val="both"/>
        <w:rPr>
          <w:rFonts w:ascii="Garamond" w:hAnsi="Garamond"/>
          <w:b/>
          <w:color w:val="000000" w:themeColor="text1"/>
        </w:rPr>
      </w:pPr>
    </w:p>
    <w:p w:rsidR="00C64FC7" w:rsidRPr="003251AC" w:rsidRDefault="00C64FC7" w:rsidP="00C64FC7">
      <w:pPr>
        <w:ind w:hanging="567"/>
        <w:contextualSpacing/>
        <w:rPr>
          <w:rFonts w:ascii="Garamond" w:hAnsi="Garamond"/>
          <w:b/>
          <w:strike/>
          <w:color w:val="000000" w:themeColor="text1"/>
        </w:rPr>
      </w:pPr>
    </w:p>
    <w:p w:rsidR="00C64FC7" w:rsidRPr="003251AC" w:rsidRDefault="00C64FC7" w:rsidP="00C64FC7">
      <w:pPr>
        <w:ind w:hanging="567"/>
        <w:contextualSpacing/>
        <w:rPr>
          <w:rFonts w:ascii="Garamond" w:hAnsi="Garamond"/>
          <w:b/>
          <w:strike/>
          <w:color w:val="000000" w:themeColor="text1"/>
        </w:rPr>
      </w:pPr>
    </w:p>
    <w:p w:rsidR="00C64FC7" w:rsidRPr="00B345CA" w:rsidRDefault="00C64FC7" w:rsidP="00C64FC7">
      <w:pPr>
        <w:ind w:hanging="567"/>
        <w:contextualSpacing/>
        <w:rPr>
          <w:rFonts w:ascii="Garamond" w:hAnsi="Garamond"/>
          <w:b/>
          <w:color w:val="000000" w:themeColor="text1"/>
        </w:rPr>
      </w:pPr>
      <w:r w:rsidRPr="00B345CA">
        <w:rPr>
          <w:rFonts w:ascii="Garamond" w:hAnsi="Garamond"/>
          <w:b/>
          <w:color w:val="000000" w:themeColor="text1"/>
        </w:rPr>
        <w:t>United Kingdom:</w:t>
      </w:r>
    </w:p>
    <w:p w:rsidR="00C64FC7" w:rsidRPr="00B345CA" w:rsidRDefault="00C64FC7" w:rsidP="00C64FC7">
      <w:pPr>
        <w:numPr>
          <w:ilvl w:val="1"/>
          <w:numId w:val="13"/>
        </w:numPr>
        <w:spacing w:line="20" w:lineRule="atLeast"/>
        <w:ind w:left="0" w:hanging="567"/>
        <w:contextualSpacing/>
        <w:jc w:val="both"/>
        <w:rPr>
          <w:rFonts w:ascii="Garamond" w:hAnsi="Garamond"/>
          <w:color w:val="000000" w:themeColor="text1"/>
        </w:rPr>
      </w:pPr>
      <w:r w:rsidRPr="00B345CA">
        <w:rPr>
          <w:rFonts w:ascii="Garamond" w:hAnsi="Garamond"/>
          <w:color w:val="000000" w:themeColor="text1"/>
        </w:rPr>
        <w:t>As per the second estimate by Office for National Statistics, the British economy grew at 0.4 percent (Q-o-Q) in the Q4 2017, compared to 0.5 percent growth in the previous quarter. On a Y-o-Y basis, GDP expanded 1.4 percent in the Q4 2017 following a 1.8 percent expansion in the previous period. IMF has revised down the growth forecast in the United Kingdom to 1.7 percent from 2.0 percent in 2017 and to 1.5 percent in 2018.</w:t>
      </w:r>
    </w:p>
    <w:p w:rsidR="00C64FC7" w:rsidRPr="00B345CA" w:rsidRDefault="00C64FC7" w:rsidP="00C64FC7">
      <w:pPr>
        <w:spacing w:line="20" w:lineRule="atLeast"/>
        <w:ind w:hanging="567"/>
        <w:contextualSpacing/>
        <w:jc w:val="both"/>
        <w:rPr>
          <w:rFonts w:ascii="Garamond" w:hAnsi="Garamond"/>
          <w:color w:val="000000" w:themeColor="text1"/>
        </w:rPr>
      </w:pPr>
    </w:p>
    <w:p w:rsidR="00C64FC7" w:rsidRPr="00B345CA" w:rsidRDefault="00C64FC7" w:rsidP="00C64FC7">
      <w:pPr>
        <w:numPr>
          <w:ilvl w:val="1"/>
          <w:numId w:val="13"/>
        </w:numPr>
        <w:spacing w:line="20" w:lineRule="atLeast"/>
        <w:ind w:left="0" w:hanging="567"/>
        <w:contextualSpacing/>
        <w:jc w:val="both"/>
        <w:rPr>
          <w:rFonts w:ascii="Garamond" w:hAnsi="Garamond"/>
          <w:color w:val="000000" w:themeColor="text1"/>
        </w:rPr>
      </w:pPr>
      <w:r w:rsidRPr="00B345CA">
        <w:rPr>
          <w:rFonts w:ascii="Garamond" w:hAnsi="Garamond"/>
          <w:color w:val="000000" w:themeColor="text1"/>
        </w:rPr>
        <w:t xml:space="preserve">The CPI Inflation in the UK was at </w:t>
      </w:r>
      <w:r>
        <w:rPr>
          <w:rFonts w:ascii="Garamond" w:hAnsi="Garamond"/>
          <w:color w:val="000000" w:themeColor="text1"/>
        </w:rPr>
        <w:t>2.7</w:t>
      </w:r>
      <w:r w:rsidRPr="00B345CA">
        <w:rPr>
          <w:rFonts w:ascii="Garamond" w:hAnsi="Garamond"/>
          <w:color w:val="000000" w:themeColor="text1"/>
        </w:rPr>
        <w:t xml:space="preserve"> percent (Y-o-Y) in </w:t>
      </w:r>
      <w:r>
        <w:rPr>
          <w:rFonts w:ascii="Garamond" w:hAnsi="Garamond"/>
          <w:color w:val="000000" w:themeColor="text1"/>
        </w:rPr>
        <w:t>February</w:t>
      </w:r>
      <w:r w:rsidRPr="00B345CA">
        <w:rPr>
          <w:rFonts w:ascii="Garamond" w:hAnsi="Garamond"/>
          <w:color w:val="000000" w:themeColor="text1"/>
        </w:rPr>
        <w:t xml:space="preserve"> 2018 </w:t>
      </w:r>
      <w:r>
        <w:rPr>
          <w:rFonts w:ascii="Garamond" w:hAnsi="Garamond"/>
          <w:color w:val="000000" w:themeColor="text1"/>
        </w:rPr>
        <w:t>against 3.0</w:t>
      </w:r>
      <w:r w:rsidRPr="00B345CA">
        <w:rPr>
          <w:rFonts w:ascii="Garamond" w:hAnsi="Garamond"/>
          <w:color w:val="000000" w:themeColor="text1"/>
        </w:rPr>
        <w:t xml:space="preserve"> of previous period. UK unemployment rate was 4.</w:t>
      </w:r>
      <w:r>
        <w:rPr>
          <w:rFonts w:ascii="Garamond" w:hAnsi="Garamond"/>
          <w:color w:val="000000" w:themeColor="text1"/>
        </w:rPr>
        <w:t>3</w:t>
      </w:r>
      <w:r w:rsidRPr="00B345CA">
        <w:rPr>
          <w:rFonts w:ascii="Garamond" w:hAnsi="Garamond"/>
          <w:color w:val="000000" w:themeColor="text1"/>
        </w:rPr>
        <w:t xml:space="preserve"> percent during the period </w:t>
      </w:r>
      <w:r>
        <w:rPr>
          <w:rFonts w:ascii="Garamond" w:hAnsi="Garamond"/>
          <w:color w:val="000000" w:themeColor="text1"/>
        </w:rPr>
        <w:t>November</w:t>
      </w:r>
      <w:r w:rsidRPr="00B345CA">
        <w:rPr>
          <w:rFonts w:ascii="Garamond" w:hAnsi="Garamond"/>
          <w:color w:val="000000" w:themeColor="text1"/>
        </w:rPr>
        <w:t xml:space="preserve"> 2017 to </w:t>
      </w:r>
      <w:r>
        <w:rPr>
          <w:rFonts w:ascii="Garamond" w:hAnsi="Garamond"/>
          <w:color w:val="000000" w:themeColor="text1"/>
        </w:rPr>
        <w:t>January 2018</w:t>
      </w:r>
      <w:r w:rsidRPr="00B345CA">
        <w:rPr>
          <w:rFonts w:ascii="Garamond" w:hAnsi="Garamond"/>
          <w:color w:val="000000" w:themeColor="text1"/>
        </w:rPr>
        <w:t xml:space="preserve"> </w:t>
      </w:r>
      <w:r>
        <w:rPr>
          <w:rFonts w:ascii="Garamond" w:hAnsi="Garamond"/>
          <w:color w:val="000000" w:themeColor="text1"/>
        </w:rPr>
        <w:t>same as</w:t>
      </w:r>
      <w:r w:rsidRPr="00B345CA">
        <w:rPr>
          <w:rFonts w:ascii="Garamond" w:hAnsi="Garamond"/>
          <w:color w:val="000000" w:themeColor="text1"/>
        </w:rPr>
        <w:t xml:space="preserve"> of previous period. The Bank of England Monetary Policy Committee decided to keep the Bank Rate at 0.50 percent and left the stock of purchased assets at £435 billion.</w:t>
      </w:r>
    </w:p>
    <w:p w:rsidR="00C64FC7" w:rsidRPr="00B345CA" w:rsidRDefault="00C64FC7" w:rsidP="00C64FC7">
      <w:pPr>
        <w:contextualSpacing/>
        <w:rPr>
          <w:rFonts w:ascii="Garamond" w:hAnsi="Garamond"/>
          <w:color w:val="000000" w:themeColor="text1"/>
        </w:rPr>
      </w:pPr>
    </w:p>
    <w:p w:rsidR="00C64FC7" w:rsidRPr="00B345CA" w:rsidRDefault="00C64FC7" w:rsidP="00C64FC7">
      <w:pPr>
        <w:numPr>
          <w:ilvl w:val="1"/>
          <w:numId w:val="13"/>
        </w:numPr>
        <w:spacing w:line="20" w:lineRule="atLeast"/>
        <w:ind w:left="0" w:hanging="567"/>
        <w:contextualSpacing/>
        <w:jc w:val="both"/>
        <w:rPr>
          <w:rFonts w:ascii="Garamond" w:hAnsi="Garamond"/>
          <w:color w:val="000000" w:themeColor="text1"/>
        </w:rPr>
      </w:pPr>
      <w:r w:rsidRPr="00B345CA">
        <w:rPr>
          <w:rFonts w:ascii="Garamond" w:hAnsi="Garamond"/>
          <w:color w:val="000000" w:themeColor="text1"/>
        </w:rPr>
        <w:t xml:space="preserve">Manufacturing PMI marked in 55.3 January 2018 against 56.2 in previous period. The UK Services PMI marked 53.0 in January 2018 against 54.2 of previous period. </w:t>
      </w:r>
    </w:p>
    <w:p w:rsidR="00C64FC7" w:rsidRPr="00B345CA" w:rsidRDefault="00C64FC7" w:rsidP="00C64FC7">
      <w:pPr>
        <w:contextualSpacing/>
        <w:rPr>
          <w:rFonts w:ascii="Garamond" w:hAnsi="Garamond"/>
          <w:color w:val="000000" w:themeColor="text1"/>
        </w:rPr>
      </w:pPr>
    </w:p>
    <w:p w:rsidR="00C64FC7" w:rsidRPr="00B345CA" w:rsidRDefault="00C64FC7" w:rsidP="00C64FC7">
      <w:pPr>
        <w:ind w:hanging="567"/>
        <w:contextualSpacing/>
        <w:jc w:val="both"/>
        <w:rPr>
          <w:rFonts w:ascii="Garamond" w:hAnsi="Garamond"/>
          <w:color w:val="000000" w:themeColor="text1"/>
        </w:rPr>
      </w:pPr>
      <w:r w:rsidRPr="00B345CA">
        <w:rPr>
          <w:rFonts w:ascii="Garamond" w:hAnsi="Garamond"/>
          <w:b/>
          <w:i/>
          <w:iCs/>
          <w:color w:val="000000" w:themeColor="text1"/>
        </w:rPr>
        <w:t>Observations:</w:t>
      </w:r>
      <w:r w:rsidRPr="00B345CA">
        <w:rPr>
          <w:rFonts w:ascii="Garamond" w:hAnsi="Garamond"/>
          <w:color w:val="000000" w:themeColor="text1"/>
        </w:rPr>
        <w:t xml:space="preserve"> manufacturing PMI indicated a further expansion while service PMI indicated a slight decreases in the growth of service sector. </w:t>
      </w:r>
      <w:r w:rsidRPr="00B345CA">
        <w:rPr>
          <w:rFonts w:ascii="Garamond" w:hAnsi="Garamond"/>
          <w:bCs/>
          <w:i/>
          <w:iCs/>
          <w:color w:val="000000" w:themeColor="text1"/>
        </w:rPr>
        <w:t>Unemployment rates were also observed slight lower than the previous reading which indicates to increase in the number of new jobs being added. Inflation remains at three and above for consecutive five months.</w:t>
      </w:r>
    </w:p>
    <w:p w:rsidR="00C64FC7" w:rsidRPr="00B345CA" w:rsidRDefault="00C64FC7" w:rsidP="00C64FC7">
      <w:pPr>
        <w:contextualSpacing/>
        <w:rPr>
          <w:rFonts w:ascii="Garamond" w:hAnsi="Garamond"/>
          <w:b/>
          <w:bCs/>
          <w:i/>
          <w:iCs/>
          <w:color w:val="000000" w:themeColor="text1"/>
        </w:rPr>
      </w:pPr>
      <w:r w:rsidRPr="00B345CA">
        <w:rPr>
          <w:rFonts w:ascii="Garamond" w:hAnsi="Garamond"/>
          <w:bCs/>
          <w:i/>
          <w:iCs/>
          <w:color w:val="000000" w:themeColor="text1"/>
        </w:rPr>
        <w:t xml:space="preserve">. </w:t>
      </w:r>
    </w:p>
    <w:p w:rsidR="00C64FC7" w:rsidRPr="00432467" w:rsidRDefault="00C64FC7" w:rsidP="00C64FC7">
      <w:pPr>
        <w:keepNext/>
        <w:keepLines/>
        <w:spacing w:before="200" w:after="120"/>
        <w:ind w:hanging="567"/>
        <w:jc w:val="both"/>
        <w:outlineLvl w:val="1"/>
        <w:rPr>
          <w:rFonts w:ascii="Garamond" w:eastAsiaTheme="majorEastAsia" w:hAnsi="Garamond"/>
          <w:b/>
          <w:bCs/>
          <w:color w:val="000000" w:themeColor="text1"/>
        </w:rPr>
      </w:pPr>
      <w:r w:rsidRPr="00432467">
        <w:rPr>
          <w:rFonts w:ascii="Garamond" w:eastAsiaTheme="majorEastAsia" w:hAnsi="Garamond"/>
          <w:b/>
          <w:bCs/>
          <w:color w:val="000000" w:themeColor="text1"/>
        </w:rPr>
        <w:t xml:space="preserve">Japan: </w:t>
      </w:r>
    </w:p>
    <w:p w:rsidR="00C64FC7" w:rsidRPr="00432467" w:rsidRDefault="00C64FC7" w:rsidP="00C64FC7">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32467">
        <w:rPr>
          <w:rFonts w:ascii="Garamond" w:eastAsiaTheme="minorHAnsi" w:hAnsi="Garamond"/>
          <w:color w:val="000000" w:themeColor="text1"/>
          <w:sz w:val="24"/>
          <w:szCs w:val="24"/>
          <w:lang w:val="en-GB"/>
        </w:rPr>
        <w:t xml:space="preserve">The Japanese economy advanced 0.4 percent (Q-o-Q) in the fourth quarter of 2017, following a 0.6 percent expansion in the previous period. Growth was mainly supported by due to strong private consumption and an upward revision of business spending and inventories.In Y-o-Y terms, Japanese economy grew by 2.0 percent (Y-o-Y) during Q4 2017 as compared to 1.9 percent (Y-o-Y) in previous </w:t>
      </w:r>
      <w:r w:rsidRPr="00432467">
        <w:rPr>
          <w:rFonts w:ascii="Garamond" w:eastAsiaTheme="minorHAnsi" w:hAnsi="Garamond"/>
          <w:color w:val="000000" w:themeColor="text1"/>
          <w:sz w:val="24"/>
          <w:szCs w:val="24"/>
          <w:lang w:val="en-GB"/>
        </w:rPr>
        <w:lastRenderedPageBreak/>
        <w:t>period. According to IMF’s outlook, the Japanese economy is expected to grow at 1.5 percent in 2017 and pace of expansion is expected to weaken thereafter to 0.7 percent in 2018.</w:t>
      </w:r>
    </w:p>
    <w:p w:rsidR="00C64FC7" w:rsidRPr="00432467" w:rsidRDefault="00C64FC7" w:rsidP="00C64FC7">
      <w:pPr>
        <w:ind w:hanging="567"/>
        <w:contextualSpacing/>
        <w:jc w:val="both"/>
        <w:rPr>
          <w:rFonts w:ascii="Garamond" w:hAnsi="Garamond"/>
          <w:color w:val="000000" w:themeColor="text1"/>
        </w:rPr>
      </w:pPr>
    </w:p>
    <w:p w:rsidR="00C64FC7" w:rsidRPr="00432467" w:rsidRDefault="00C64FC7" w:rsidP="00C64FC7">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32467">
        <w:rPr>
          <w:rFonts w:ascii="Garamond" w:eastAsiaTheme="minorHAnsi" w:hAnsi="Garamond"/>
          <w:color w:val="000000" w:themeColor="text1"/>
          <w:sz w:val="24"/>
          <w:szCs w:val="24"/>
          <w:lang w:val="en-GB"/>
        </w:rPr>
        <w:t xml:space="preserve">Consumer prices in Japan </w:t>
      </w:r>
      <w:r>
        <w:rPr>
          <w:rFonts w:ascii="Garamond" w:eastAsiaTheme="minorHAnsi" w:hAnsi="Garamond"/>
          <w:color w:val="000000" w:themeColor="text1"/>
          <w:sz w:val="24"/>
          <w:szCs w:val="24"/>
          <w:lang w:val="en-GB"/>
        </w:rPr>
        <w:t>rose 1.4 percent in January 2018</w:t>
      </w:r>
      <w:r w:rsidRPr="00432467">
        <w:rPr>
          <w:rFonts w:ascii="Garamond" w:eastAsiaTheme="minorHAnsi" w:hAnsi="Garamond"/>
          <w:color w:val="000000" w:themeColor="text1"/>
          <w:sz w:val="24"/>
          <w:szCs w:val="24"/>
          <w:lang w:val="en-GB"/>
        </w:rPr>
        <w:t>, following 1 percent expansion in the previous month. This was the highest in past 30 months. The seasonally adjusted unemployment rate in Japan decreased to 2.4 percent in January 2018 from 2.8 percent in the previous month.</w:t>
      </w:r>
    </w:p>
    <w:p w:rsidR="00C64FC7" w:rsidRPr="00432467" w:rsidRDefault="00C64FC7" w:rsidP="00C64FC7">
      <w:pPr>
        <w:ind w:hanging="567"/>
        <w:contextualSpacing/>
        <w:jc w:val="both"/>
        <w:rPr>
          <w:rFonts w:ascii="Garamond" w:hAnsi="Garamond"/>
          <w:color w:val="000000" w:themeColor="text1"/>
        </w:rPr>
      </w:pPr>
    </w:p>
    <w:p w:rsidR="00C64FC7" w:rsidRPr="00432467" w:rsidRDefault="00C64FC7" w:rsidP="00C64FC7">
      <w:pPr>
        <w:pStyle w:val="ListParagraph"/>
        <w:numPr>
          <w:ilvl w:val="1"/>
          <w:numId w:val="13"/>
        </w:numPr>
        <w:spacing w:after="0" w:line="20" w:lineRule="atLeast"/>
        <w:ind w:left="0" w:hanging="567"/>
        <w:jc w:val="both"/>
        <w:rPr>
          <w:rFonts w:ascii="Garamond" w:hAnsi="Garamond"/>
          <w:i/>
          <w:iCs/>
          <w:sz w:val="24"/>
          <w:szCs w:val="24"/>
          <w:lang w:val="en-GB"/>
        </w:rPr>
      </w:pPr>
      <w:r w:rsidRPr="00432467">
        <w:rPr>
          <w:rFonts w:ascii="Garamond" w:eastAsiaTheme="minorHAnsi" w:hAnsi="Garamond"/>
          <w:color w:val="000000" w:themeColor="text1"/>
          <w:sz w:val="24"/>
          <w:szCs w:val="24"/>
          <w:lang w:val="en-GB"/>
        </w:rPr>
        <w:t>The Bank of Japan left its key short-term interest rate unchanged at -0.1 percent at its January 2018 meeting, as expected. The policymakers also decided to keep its 10 year Government bond yield target around 0 percent offered a more upbeat view on private consumption and capital expenditure.</w:t>
      </w:r>
    </w:p>
    <w:p w:rsidR="00C64FC7" w:rsidRPr="00432467" w:rsidRDefault="00C64FC7" w:rsidP="00C64FC7">
      <w:pPr>
        <w:pStyle w:val="ListParagraph"/>
        <w:rPr>
          <w:rFonts w:ascii="Garamond" w:hAnsi="Garamond"/>
          <w:color w:val="000000" w:themeColor="text1"/>
          <w:sz w:val="24"/>
          <w:szCs w:val="24"/>
          <w:lang w:val="en-GB"/>
        </w:rPr>
      </w:pPr>
    </w:p>
    <w:p w:rsidR="00C64FC7" w:rsidRPr="00432467" w:rsidRDefault="00C64FC7" w:rsidP="00C64FC7">
      <w:pPr>
        <w:pStyle w:val="ListParagraph"/>
        <w:spacing w:after="0" w:line="20" w:lineRule="atLeast"/>
        <w:ind w:left="0"/>
        <w:jc w:val="both"/>
        <w:rPr>
          <w:rFonts w:ascii="Garamond" w:hAnsi="Garamond"/>
          <w:i/>
          <w:iCs/>
          <w:sz w:val="24"/>
          <w:szCs w:val="24"/>
          <w:lang w:val="en-GB"/>
        </w:rPr>
      </w:pPr>
      <w:r w:rsidRPr="00432467">
        <w:rPr>
          <w:rFonts w:ascii="Garamond" w:hAnsi="Garamond"/>
          <w:b/>
          <w:bCs/>
          <w:i/>
          <w:iCs/>
          <w:sz w:val="24"/>
          <w:szCs w:val="24"/>
          <w:lang w:val="en-GB"/>
        </w:rPr>
        <w:t>Observations:</w:t>
      </w:r>
      <w:r w:rsidRPr="00432467">
        <w:rPr>
          <w:rFonts w:ascii="Garamond" w:hAnsi="Garamond"/>
          <w:i/>
          <w:iCs/>
          <w:sz w:val="24"/>
          <w:szCs w:val="24"/>
          <w:lang w:val="en-GB"/>
        </w:rPr>
        <w:t xml:space="preserve"> </w:t>
      </w:r>
      <w:r w:rsidRPr="00432467">
        <w:rPr>
          <w:rFonts w:ascii="Garamond" w:hAnsi="Garamond"/>
          <w:i/>
          <w:iCs/>
          <w:sz w:val="24"/>
          <w:szCs w:val="24"/>
        </w:rPr>
        <w:t>Economic activity in Japan is expected to remain strong in 2018 as healthy global growth and accommodative financial conditions in the country have positive spillovers on the Japanese economy. However, persistent geopolitical tensions could add upward pressure on the safe-haven yen, hurting the all-important external sector.</w:t>
      </w:r>
    </w:p>
    <w:p w:rsidR="00C64FC7" w:rsidRPr="003251AC" w:rsidRDefault="00C64FC7" w:rsidP="00C64FC7">
      <w:pPr>
        <w:contextualSpacing/>
        <w:jc w:val="both"/>
        <w:rPr>
          <w:rFonts w:ascii="Garamond" w:hAnsi="Garamond"/>
          <w:strike/>
          <w:color w:val="000000" w:themeColor="text1"/>
          <w:sz w:val="20"/>
          <w:szCs w:val="20"/>
        </w:rPr>
      </w:pPr>
    </w:p>
    <w:p w:rsidR="00C64FC7" w:rsidRPr="00EA0F55" w:rsidRDefault="00C64FC7" w:rsidP="00C64FC7">
      <w:pPr>
        <w:keepNext/>
        <w:keepLines/>
        <w:spacing w:before="200" w:after="120"/>
        <w:ind w:hanging="567"/>
        <w:jc w:val="both"/>
        <w:outlineLvl w:val="1"/>
        <w:rPr>
          <w:rFonts w:ascii="Garamond" w:eastAsiaTheme="majorEastAsia" w:hAnsi="Garamond"/>
          <w:b/>
          <w:bCs/>
          <w:color w:val="000000" w:themeColor="text1"/>
        </w:rPr>
      </w:pPr>
      <w:r w:rsidRPr="00EA0F55">
        <w:rPr>
          <w:rFonts w:ascii="Garamond" w:eastAsiaTheme="majorEastAsia" w:hAnsi="Garamond"/>
          <w:b/>
          <w:bCs/>
          <w:color w:val="000000" w:themeColor="text1"/>
        </w:rPr>
        <w:t>Euro Area (EA19)</w:t>
      </w:r>
      <w:r w:rsidRPr="00EA0F55">
        <w:rPr>
          <w:rStyle w:val="FootnoteReference"/>
          <w:rFonts w:ascii="Garamond" w:eastAsiaTheme="majorEastAsia" w:hAnsi="Garamond"/>
          <w:b/>
          <w:bCs/>
          <w:color w:val="000000" w:themeColor="text1"/>
        </w:rPr>
        <w:footnoteReference w:id="3"/>
      </w:r>
      <w:r w:rsidRPr="00EA0F55">
        <w:rPr>
          <w:rFonts w:ascii="Garamond" w:eastAsiaTheme="majorEastAsia" w:hAnsi="Garamond"/>
          <w:b/>
          <w:bCs/>
          <w:color w:val="000000" w:themeColor="text1"/>
        </w:rPr>
        <w:t>:</w:t>
      </w:r>
      <w:r w:rsidRPr="00EA0F55">
        <w:rPr>
          <w:rFonts w:ascii="Garamond" w:hAnsi="Garamond" w:cs="Mangal"/>
          <w:color w:val="000000"/>
          <w:lang w:bidi="hi-IN"/>
        </w:rPr>
        <w:t xml:space="preserve">  </w:t>
      </w:r>
    </w:p>
    <w:p w:rsidR="00C64FC7" w:rsidRPr="00EA0F55" w:rsidRDefault="00C64FC7" w:rsidP="00C64FC7">
      <w:pPr>
        <w:pStyle w:val="ListParagraph"/>
        <w:numPr>
          <w:ilvl w:val="1"/>
          <w:numId w:val="13"/>
        </w:numPr>
        <w:spacing w:after="0" w:line="20" w:lineRule="atLeast"/>
        <w:ind w:left="0" w:hanging="567"/>
        <w:rPr>
          <w:rFonts w:ascii="Garamond" w:hAnsi="Garamond"/>
          <w:color w:val="000000" w:themeColor="text1"/>
          <w:sz w:val="24"/>
          <w:szCs w:val="24"/>
          <w:lang w:val="en-GB"/>
        </w:rPr>
      </w:pPr>
      <w:r w:rsidRPr="00EA0F55">
        <w:rPr>
          <w:rFonts w:ascii="Garamond" w:hAnsi="Garamond"/>
          <w:color w:val="000000" w:themeColor="text1"/>
          <w:sz w:val="24"/>
          <w:szCs w:val="24"/>
          <w:lang w:val="en-GB"/>
        </w:rPr>
        <w:t>The real GDP growth in the Euro area was recorded 2.7 percent in the Q4 2017 (Y-o-Y). In Q-o-Q terms, the Euro Area economy growth advanced by 0.6 percent in Q4 2017 as compared to the previous quarter.  Among Eurozone's countries, Estonia (2.2 percent), Slovenia (2.0 percent) and Lithuania (1.4 percent) recorded the highest growth compared with the previous quarter, while Greece and Croatia recorded the lowest growth (both 0.1 percent), followed by Italy and Latvia (both 0.3 percent) .The growth of Euro area is projected to rise to 2.1 percent in 2017, before moderating to 1.9 percent in 2018.</w:t>
      </w:r>
    </w:p>
    <w:p w:rsidR="00C64FC7" w:rsidRPr="00EA0F55" w:rsidRDefault="00C64FC7" w:rsidP="00C64FC7">
      <w:pPr>
        <w:pStyle w:val="ListParagraph"/>
        <w:spacing w:after="0" w:line="20" w:lineRule="atLeast"/>
        <w:ind w:left="6953"/>
        <w:rPr>
          <w:rFonts w:ascii="Garamond" w:hAnsi="Garamond"/>
          <w:color w:val="000000" w:themeColor="text1"/>
          <w:sz w:val="24"/>
          <w:szCs w:val="24"/>
          <w:lang w:val="en-GB"/>
        </w:rPr>
      </w:pPr>
    </w:p>
    <w:p w:rsidR="00C64FC7" w:rsidRPr="00EA0F55" w:rsidRDefault="00C64FC7" w:rsidP="00C64FC7">
      <w:pPr>
        <w:pStyle w:val="ListParagraph"/>
        <w:numPr>
          <w:ilvl w:val="1"/>
          <w:numId w:val="13"/>
        </w:numPr>
        <w:spacing w:after="0" w:line="20" w:lineRule="atLeast"/>
        <w:ind w:left="0" w:hanging="567"/>
        <w:rPr>
          <w:rFonts w:ascii="Garamond" w:hAnsi="Garamond"/>
          <w:color w:val="000000" w:themeColor="text1"/>
          <w:sz w:val="24"/>
          <w:szCs w:val="24"/>
          <w:lang w:val="en-GB"/>
        </w:rPr>
      </w:pPr>
      <w:r w:rsidRPr="00EA0F55">
        <w:rPr>
          <w:rFonts w:ascii="Garamond" w:hAnsi="Garamond"/>
          <w:color w:val="000000" w:themeColor="text1"/>
          <w:sz w:val="24"/>
          <w:szCs w:val="24"/>
          <w:lang w:val="en-GB"/>
        </w:rPr>
        <w:t>Eurozone annual inflation was 1.1 percent in February 2018, down from 1.3 percent in January 2018. The lowest annual rates were registered in Cyprus (-0.4 percent), Greece (0.4 percent), Denmark and Italy (both 0.5 percent).  The highest annual rates were recorded in Romania (3.8 percent), Lithuania and Estonia (both 3.2 percent).</w:t>
      </w:r>
    </w:p>
    <w:p w:rsidR="00C64FC7" w:rsidRPr="00EA0F55" w:rsidRDefault="00C64FC7" w:rsidP="00C64FC7">
      <w:pPr>
        <w:pStyle w:val="ListParagraph"/>
        <w:spacing w:after="0" w:line="20" w:lineRule="atLeast"/>
        <w:ind w:left="6953"/>
        <w:rPr>
          <w:rFonts w:ascii="Garamond" w:hAnsi="Garamond"/>
          <w:color w:val="000000" w:themeColor="text1"/>
          <w:sz w:val="24"/>
          <w:szCs w:val="24"/>
          <w:lang w:val="en-GB"/>
        </w:rPr>
      </w:pPr>
    </w:p>
    <w:p w:rsidR="00C64FC7" w:rsidRPr="00EA0F55" w:rsidRDefault="00C64FC7" w:rsidP="00C64FC7">
      <w:pPr>
        <w:pStyle w:val="ListParagraph"/>
        <w:numPr>
          <w:ilvl w:val="1"/>
          <w:numId w:val="13"/>
        </w:numPr>
        <w:spacing w:after="0" w:line="20" w:lineRule="atLeast"/>
        <w:ind w:left="0" w:hanging="567"/>
        <w:rPr>
          <w:rFonts w:ascii="Garamond" w:hAnsi="Garamond"/>
          <w:color w:val="000000" w:themeColor="text1"/>
          <w:sz w:val="24"/>
          <w:szCs w:val="24"/>
          <w:lang w:val="en-GB"/>
        </w:rPr>
      </w:pPr>
      <w:r w:rsidRPr="00EA0F55">
        <w:rPr>
          <w:rFonts w:ascii="Garamond" w:hAnsi="Garamond"/>
          <w:color w:val="000000" w:themeColor="text1"/>
          <w:sz w:val="24"/>
          <w:szCs w:val="24"/>
          <w:lang w:val="en-GB"/>
        </w:rPr>
        <w:t xml:space="preserve">The seasonally-adjusted unemployment rate in the Eurozone recorded 8.6 percent in January 2018, stable as </w:t>
      </w:r>
      <w:r w:rsidRPr="00EA0F55">
        <w:rPr>
          <w:rFonts w:ascii="Garamond" w:hAnsi="Garamond"/>
          <w:color w:val="000000" w:themeColor="text1"/>
          <w:sz w:val="24"/>
          <w:szCs w:val="24"/>
        </w:rPr>
        <w:t>compared</w:t>
      </w:r>
      <w:r w:rsidRPr="00EA0F55">
        <w:rPr>
          <w:rFonts w:ascii="Garamond" w:hAnsi="Garamond"/>
          <w:color w:val="000000" w:themeColor="text1"/>
          <w:sz w:val="24"/>
          <w:szCs w:val="24"/>
          <w:lang w:val="en-GB"/>
        </w:rPr>
        <w:t xml:space="preserve"> to previous month. Among the Member States, the lowest unemployment rates in January 2018 were recorded in the Czech Republic (2.4 percent), Malta (3.5 percent) and Germany (3.6 percent). The highest unemployment rates were observed in Greece (20.9 percent in November 2017) and Spain (16.3 percent).</w:t>
      </w:r>
    </w:p>
    <w:p w:rsidR="00C64FC7" w:rsidRPr="00EA0F55" w:rsidRDefault="00C64FC7" w:rsidP="00C64FC7">
      <w:pPr>
        <w:spacing w:line="20" w:lineRule="atLeast"/>
        <w:jc w:val="both"/>
        <w:rPr>
          <w:rFonts w:ascii="Garamond" w:hAnsi="Garamond"/>
          <w:color w:val="000000" w:themeColor="text1"/>
        </w:rPr>
      </w:pPr>
    </w:p>
    <w:p w:rsidR="00C64FC7" w:rsidRPr="00EA0F55" w:rsidRDefault="00C64FC7" w:rsidP="00C64FC7">
      <w:pPr>
        <w:pStyle w:val="ListParagraph"/>
        <w:numPr>
          <w:ilvl w:val="1"/>
          <w:numId w:val="13"/>
        </w:numPr>
        <w:spacing w:after="0" w:line="20" w:lineRule="atLeast"/>
        <w:ind w:left="0" w:hanging="567"/>
        <w:rPr>
          <w:rFonts w:ascii="Garamond" w:hAnsi="Garamond"/>
          <w:color w:val="000000" w:themeColor="text1"/>
          <w:sz w:val="24"/>
          <w:szCs w:val="24"/>
          <w:lang w:val="en-GB"/>
        </w:rPr>
      </w:pPr>
      <w:r w:rsidRPr="00EA0F55">
        <w:rPr>
          <w:rFonts w:ascii="Garamond" w:hAnsi="Garamond"/>
          <w:color w:val="000000" w:themeColor="text1"/>
          <w:sz w:val="24"/>
          <w:szCs w:val="24"/>
        </w:rPr>
        <w:t xml:space="preserve">The European Central Bank decided to keep interests </w:t>
      </w:r>
      <w:r w:rsidRPr="00EA0F55">
        <w:rPr>
          <w:rFonts w:ascii="Garamond" w:hAnsi="Garamond"/>
          <w:color w:val="000000" w:themeColor="text1"/>
          <w:sz w:val="24"/>
          <w:szCs w:val="24"/>
          <w:lang w:val="en-GB"/>
        </w:rPr>
        <w:t>rates</w:t>
      </w:r>
      <w:r w:rsidRPr="00EA0F55">
        <w:rPr>
          <w:rFonts w:ascii="Garamond" w:hAnsi="Garamond"/>
          <w:color w:val="000000" w:themeColor="text1"/>
          <w:sz w:val="24"/>
          <w:szCs w:val="24"/>
        </w:rPr>
        <w:t xml:space="preserve"> unchanged in its January meeting and held its benchmark refinancing rate at 0 percent. They also agreed that the language pertaining to the monetary policy stance could be revisited in forthcoming meetings, with some members expressing a preference for dropping the easing bias regarding the APP from the Governing Council’s communication.</w:t>
      </w:r>
    </w:p>
    <w:p w:rsidR="00C64FC7" w:rsidRPr="00EA0F55" w:rsidRDefault="00C64FC7" w:rsidP="00C64FC7">
      <w:pPr>
        <w:contextualSpacing/>
        <w:jc w:val="both"/>
        <w:rPr>
          <w:rFonts w:ascii="Garamond" w:hAnsi="Garamond"/>
          <w:color w:val="000000" w:themeColor="text1"/>
        </w:rPr>
      </w:pPr>
    </w:p>
    <w:p w:rsidR="00C64FC7" w:rsidRPr="00EA0F55" w:rsidRDefault="00C64FC7" w:rsidP="00C64FC7">
      <w:pPr>
        <w:contextualSpacing/>
        <w:rPr>
          <w:rFonts w:ascii="Garamond" w:hAnsi="Garamond" w:cs="Mangal"/>
          <w:i/>
          <w:iCs/>
          <w:color w:val="000000"/>
          <w:lang w:bidi="hi-IN"/>
        </w:rPr>
      </w:pPr>
      <w:r w:rsidRPr="00EA0F55">
        <w:rPr>
          <w:rFonts w:ascii="Garamond" w:hAnsi="Garamond"/>
          <w:b/>
          <w:bCs/>
          <w:i/>
          <w:iCs/>
          <w:color w:val="000000" w:themeColor="text1"/>
        </w:rPr>
        <w:t xml:space="preserve">Observations: </w:t>
      </w:r>
      <w:r w:rsidRPr="00EA0F55">
        <w:rPr>
          <w:rFonts w:ascii="Garamond" w:hAnsi="Garamond" w:cs="Mangal"/>
          <w:i/>
          <w:iCs/>
          <w:color w:val="000000"/>
          <w:lang w:bidi="hi-IN"/>
        </w:rPr>
        <w:t>Eurozone’s economy continued to grow on all fronts in the third quarter of 2017</w:t>
      </w:r>
      <w:r w:rsidRPr="00EA0F55">
        <w:rPr>
          <w:rFonts w:ascii="Arial" w:hAnsi="Arial" w:cs="Arial"/>
          <w:color w:val="333333"/>
          <w:sz w:val="21"/>
          <w:szCs w:val="21"/>
        </w:rPr>
        <w:t>.</w:t>
      </w:r>
      <w:r w:rsidRPr="00EA0F55">
        <w:rPr>
          <w:rFonts w:ascii="Garamond" w:hAnsi="Garamond" w:cs="Mangal"/>
          <w:i/>
          <w:iCs/>
          <w:color w:val="000000"/>
          <w:lang w:bidi="hi-IN"/>
        </w:rPr>
        <w:t>The Eurozone economy is on track to grow at the fastest pace this year due to several tailwinds, including accommodative monetary policy, improving labor market dynamics and a favorable external backdrop.</w:t>
      </w:r>
    </w:p>
    <w:p w:rsidR="00C64FC7" w:rsidRPr="003251AC" w:rsidRDefault="00C64FC7" w:rsidP="00C64FC7">
      <w:pPr>
        <w:contextualSpacing/>
        <w:rPr>
          <w:rFonts w:ascii="Garamond" w:hAnsi="Garamond" w:cs="Mangal"/>
          <w:i/>
          <w:iCs/>
          <w:strike/>
          <w:color w:val="000000"/>
          <w:lang w:bidi="hi-IN"/>
        </w:rPr>
      </w:pPr>
    </w:p>
    <w:p w:rsidR="00C64FC7" w:rsidRPr="003251AC" w:rsidRDefault="00C64FC7" w:rsidP="00C64FC7">
      <w:pPr>
        <w:contextualSpacing/>
        <w:rPr>
          <w:rFonts w:ascii="Garamond" w:hAnsi="Garamond" w:cs="Mangal"/>
          <w:i/>
          <w:iCs/>
          <w:strike/>
          <w:color w:val="000000"/>
          <w:lang w:bidi="hi-IN"/>
        </w:rPr>
      </w:pPr>
    </w:p>
    <w:p w:rsidR="00C64FC7" w:rsidRPr="003251AC" w:rsidRDefault="00C64FC7" w:rsidP="00C64FC7">
      <w:pPr>
        <w:contextualSpacing/>
        <w:rPr>
          <w:rFonts w:ascii="Garamond" w:hAnsi="Garamond" w:cs="Mangal"/>
          <w:i/>
          <w:iCs/>
          <w:strike/>
          <w:color w:val="000000"/>
          <w:lang w:bidi="hi-IN"/>
        </w:rPr>
      </w:pPr>
    </w:p>
    <w:p w:rsidR="00C64FC7" w:rsidRPr="001E2953" w:rsidRDefault="00C64FC7" w:rsidP="00C64FC7">
      <w:pPr>
        <w:contextualSpacing/>
        <w:rPr>
          <w:rFonts w:ascii="Garamond" w:hAnsi="Garamond"/>
          <w:b/>
          <w:color w:val="000000"/>
        </w:rPr>
      </w:pPr>
      <w:r w:rsidRPr="001E2953">
        <w:rPr>
          <w:rFonts w:ascii="Garamond" w:hAnsi="Garamond"/>
          <w:b/>
          <w:color w:val="000000"/>
        </w:rPr>
        <w:t>Brazil:</w:t>
      </w:r>
    </w:p>
    <w:p w:rsidR="00C64FC7" w:rsidRPr="001E2953" w:rsidRDefault="00C64FC7" w:rsidP="00C64FC7">
      <w:pPr>
        <w:spacing w:line="20" w:lineRule="atLeast"/>
        <w:contextualSpacing/>
        <w:jc w:val="both"/>
        <w:rPr>
          <w:rFonts w:ascii="Garamond" w:hAnsi="Garamond"/>
          <w:color w:val="000000"/>
        </w:rPr>
      </w:pPr>
    </w:p>
    <w:p w:rsidR="00C64FC7" w:rsidRPr="001E2953"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1E2953">
        <w:rPr>
          <w:rFonts w:ascii="Garamond" w:hAnsi="Garamond"/>
          <w:color w:val="000000" w:themeColor="text1"/>
          <w:sz w:val="24"/>
          <w:szCs w:val="24"/>
          <w:lang w:val="en-GB"/>
        </w:rPr>
        <w:t>GDP of Brazil advanced by 0.1 percent in the third quarter of 2017, following an upwardly revised 0.7 percent growth in the previous period. It is the smallest expansion in three quarters after a 2-year recession. As per recent World Economic Outlook by IMF, Brazil is expected to grow at 0.7 percent in 2017 and 1.5 percent in 2018.</w:t>
      </w:r>
    </w:p>
    <w:p w:rsidR="00C64FC7" w:rsidRPr="001E2953" w:rsidRDefault="00C64FC7" w:rsidP="00C64FC7">
      <w:pPr>
        <w:pStyle w:val="ListParagraph"/>
        <w:spacing w:after="0" w:line="20" w:lineRule="atLeast"/>
        <w:ind w:left="6953"/>
        <w:jc w:val="both"/>
        <w:rPr>
          <w:rFonts w:ascii="Garamond" w:hAnsi="Garamond"/>
          <w:color w:val="000000" w:themeColor="text1"/>
          <w:sz w:val="24"/>
          <w:szCs w:val="24"/>
          <w:lang w:val="en-GB"/>
        </w:rPr>
      </w:pPr>
    </w:p>
    <w:p w:rsidR="00C64FC7" w:rsidRPr="001E2953"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lang w:val="en-GB"/>
        </w:rPr>
      </w:pPr>
      <w:r w:rsidRPr="001E2953">
        <w:rPr>
          <w:rFonts w:ascii="Garamond" w:hAnsi="Garamond"/>
          <w:color w:val="000000" w:themeColor="text1"/>
          <w:sz w:val="24"/>
          <w:szCs w:val="24"/>
          <w:lang w:val="en-GB"/>
        </w:rPr>
        <w:t>Consumer prices in Brazil increased by 2.84 percent (Y-o-Y) in February 2018, almost unchanged   from a 2.86 percent in February 2018 .The Central Bank of Brazil cuts its key Selic rate by 25 basis points to 6.75 percent in December 2017. It was the eleventh straight rate decline, bringing borrowing costs to the lowest since September of 2013 amid plunging inflation and a slow recovery. The jobless rate in Brazil stood at 12.2 percent in the three months to January 2018, unchanged from the August-October 2017 period and above market expectations of 12 percent.</w:t>
      </w:r>
    </w:p>
    <w:p w:rsidR="00C64FC7" w:rsidRPr="001E2953" w:rsidRDefault="00C64FC7" w:rsidP="00C64FC7">
      <w:pPr>
        <w:pStyle w:val="ListParagraph"/>
        <w:spacing w:after="0" w:line="20" w:lineRule="atLeast"/>
        <w:ind w:left="709"/>
        <w:jc w:val="both"/>
        <w:rPr>
          <w:rFonts w:ascii="Times New Roman" w:hAnsi="Times New Roman"/>
          <w:color w:val="000000" w:themeColor="text1"/>
          <w:sz w:val="24"/>
          <w:szCs w:val="24"/>
        </w:rPr>
      </w:pPr>
    </w:p>
    <w:p w:rsidR="00C64FC7" w:rsidRPr="001E2953" w:rsidRDefault="00C64FC7" w:rsidP="00C64FC7">
      <w:pPr>
        <w:keepNext/>
        <w:keepLines/>
        <w:spacing w:line="20" w:lineRule="atLeast"/>
        <w:jc w:val="both"/>
        <w:outlineLvl w:val="1"/>
        <w:rPr>
          <w:rFonts w:ascii="Garamond" w:hAnsi="Garamond"/>
          <w:b/>
          <w:color w:val="000000"/>
        </w:rPr>
      </w:pPr>
      <w:r w:rsidRPr="001E2953">
        <w:rPr>
          <w:rFonts w:ascii="Garamond" w:hAnsi="Garamond"/>
          <w:b/>
          <w:color w:val="000000"/>
        </w:rPr>
        <w:t>China:</w:t>
      </w:r>
    </w:p>
    <w:p w:rsidR="00C64FC7" w:rsidRPr="001E2953" w:rsidRDefault="00C64FC7" w:rsidP="00C64FC7">
      <w:pPr>
        <w:keepNext/>
        <w:keepLines/>
        <w:spacing w:line="20" w:lineRule="atLeast"/>
        <w:jc w:val="both"/>
        <w:outlineLvl w:val="1"/>
        <w:rPr>
          <w:rFonts w:ascii="Garamond" w:hAnsi="Garamond"/>
          <w:b/>
          <w:color w:val="000000"/>
        </w:rPr>
      </w:pPr>
    </w:p>
    <w:p w:rsidR="00C64FC7" w:rsidRPr="001E2953"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rPr>
      </w:pPr>
      <w:r w:rsidRPr="001E2953">
        <w:rPr>
          <w:rFonts w:ascii="Garamond" w:hAnsi="Garamond"/>
          <w:color w:val="000000" w:themeColor="text1"/>
          <w:sz w:val="24"/>
          <w:szCs w:val="24"/>
        </w:rPr>
        <w:t>The Chinese economy expanded 6.8 percent year-on-year in the last quarter of 2017, the same as in the previous three months and beating market expectations of 6.7 percent. Considering full 2017, the economy grew 6.9 percent, well above the official target of near 6.5 percent and a 26-year low of 6.7 percent in 2016. Strong growth in industry and exports and a resilient property market were the main drivers of the expansion.  According to IMF’s recent forecast, China’s growth is expected to grow at 6.8 percent in 2017, and to decline modestly in 2018 to 6.5 percent.</w:t>
      </w:r>
    </w:p>
    <w:p w:rsidR="00C64FC7" w:rsidRPr="001E2953" w:rsidRDefault="00C64FC7" w:rsidP="00C64FC7">
      <w:pPr>
        <w:pStyle w:val="ListParagraph"/>
        <w:spacing w:after="0" w:line="20" w:lineRule="atLeast"/>
        <w:ind w:left="6953"/>
        <w:jc w:val="both"/>
        <w:rPr>
          <w:rFonts w:ascii="Garamond" w:hAnsi="Garamond"/>
          <w:color w:val="000000" w:themeColor="text1"/>
          <w:sz w:val="24"/>
          <w:szCs w:val="24"/>
        </w:rPr>
      </w:pPr>
    </w:p>
    <w:p w:rsidR="00C64FC7" w:rsidRPr="001E2953"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rPr>
      </w:pPr>
      <w:r w:rsidRPr="001E2953">
        <w:rPr>
          <w:rFonts w:ascii="Garamond" w:hAnsi="Garamond"/>
          <w:color w:val="000000" w:themeColor="text1"/>
          <w:sz w:val="24"/>
          <w:szCs w:val="24"/>
        </w:rPr>
        <w:t>China's consumer prices rose by 2.9 percent year-on-year in February of 2018, after a 1.5 percent rise in the January 2018, matching market expectations. It was the lowest inflation rate since November 2013. The People's Bank of China’s benchmark one-year lending rate remained at 4.35 percent, since last cut of 25 basis point in October, 2015. Unemployment Rate in China decreased to 3.90 percent in the fourth quarter of 2017 from 3.95 percent in the third quarter of 2017.</w:t>
      </w:r>
    </w:p>
    <w:p w:rsidR="00C64FC7" w:rsidRPr="001E2953" w:rsidRDefault="00C64FC7" w:rsidP="00C64FC7">
      <w:pPr>
        <w:pStyle w:val="ListParagraph"/>
        <w:spacing w:after="0" w:line="20" w:lineRule="atLeast"/>
        <w:ind w:left="450"/>
        <w:jc w:val="both"/>
        <w:rPr>
          <w:rFonts w:ascii="Garamond" w:hAnsi="Garamond"/>
          <w:color w:val="000000"/>
          <w:sz w:val="24"/>
          <w:szCs w:val="24"/>
        </w:rPr>
      </w:pPr>
    </w:p>
    <w:p w:rsidR="00C64FC7" w:rsidRPr="001E2953" w:rsidRDefault="00C64FC7" w:rsidP="00C64FC7">
      <w:pPr>
        <w:spacing w:line="20" w:lineRule="atLeast"/>
        <w:contextualSpacing/>
        <w:jc w:val="both"/>
        <w:rPr>
          <w:rFonts w:ascii="Garamond" w:hAnsi="Garamond"/>
          <w:b/>
          <w:color w:val="000000"/>
        </w:rPr>
      </w:pPr>
      <w:r w:rsidRPr="001E2953">
        <w:rPr>
          <w:rFonts w:ascii="Garamond" w:hAnsi="Garamond"/>
          <w:b/>
          <w:color w:val="000000"/>
        </w:rPr>
        <w:t>Russia:</w:t>
      </w:r>
    </w:p>
    <w:p w:rsidR="00C64FC7" w:rsidRPr="001E2953" w:rsidRDefault="00C64FC7" w:rsidP="00C64FC7">
      <w:pPr>
        <w:spacing w:line="20" w:lineRule="atLeast"/>
        <w:contextualSpacing/>
        <w:jc w:val="both"/>
        <w:rPr>
          <w:rFonts w:ascii="Garamond" w:hAnsi="Garamond"/>
          <w:b/>
          <w:color w:val="000000"/>
        </w:rPr>
      </w:pPr>
    </w:p>
    <w:p w:rsidR="00C64FC7" w:rsidRPr="001E2953"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rPr>
      </w:pPr>
      <w:r w:rsidRPr="001E2953">
        <w:rPr>
          <w:rFonts w:ascii="Garamond" w:hAnsi="Garamond"/>
          <w:color w:val="000000" w:themeColor="text1"/>
          <w:sz w:val="24"/>
          <w:szCs w:val="24"/>
        </w:rPr>
        <w:t>Russia's gross domestic product expanded by 1.5 percent year-on-year in 2017, compared with a 0.2 percent contraction in 2016. It was the first year of growth since 2014. The secondary sector contributed positively to growth.  The growth forecast for Russia is expected to remain at 1.8 percent for 2017 and 1.6 for 2018.</w:t>
      </w:r>
    </w:p>
    <w:p w:rsidR="00C64FC7" w:rsidRPr="001E2953" w:rsidRDefault="00C64FC7" w:rsidP="00C64FC7">
      <w:pPr>
        <w:pStyle w:val="ListParagraph"/>
        <w:spacing w:after="0" w:line="20" w:lineRule="atLeast"/>
        <w:ind w:left="6953"/>
        <w:jc w:val="both"/>
        <w:rPr>
          <w:rFonts w:ascii="Garamond" w:hAnsi="Garamond"/>
          <w:color w:val="000000" w:themeColor="text1"/>
          <w:sz w:val="24"/>
          <w:szCs w:val="24"/>
        </w:rPr>
      </w:pPr>
    </w:p>
    <w:p w:rsidR="00C64FC7" w:rsidRPr="001E2953"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rPr>
      </w:pPr>
      <w:r w:rsidRPr="002A2EDC">
        <w:rPr>
          <w:rFonts w:ascii="Garamond" w:hAnsi="Garamond"/>
          <w:color w:val="000000" w:themeColor="text1"/>
          <w:sz w:val="24"/>
          <w:szCs w:val="24"/>
        </w:rPr>
        <w:t>Russia's consumer price inflation rose to 2.2 percent year-on-year in February 2018 same as in the previous month.</w:t>
      </w:r>
      <w:r>
        <w:rPr>
          <w:rFonts w:ascii="Garamond" w:hAnsi="Garamond"/>
          <w:color w:val="000000" w:themeColor="text1"/>
          <w:sz w:val="24"/>
          <w:szCs w:val="24"/>
        </w:rPr>
        <w:t xml:space="preserve"> </w:t>
      </w:r>
      <w:r w:rsidRPr="002A2EDC">
        <w:rPr>
          <w:rFonts w:ascii="Garamond" w:hAnsi="Garamond"/>
          <w:color w:val="000000" w:themeColor="text1"/>
          <w:sz w:val="24"/>
          <w:szCs w:val="24"/>
        </w:rPr>
        <w:t>The Central Bank of Russia lowered its benchmark one-week repo rate at 7.50 percent. Russian unemployment rate increased to 5.2 percent in January 2018 as compared to previous month.</w:t>
      </w:r>
      <w:r w:rsidRPr="001E2953">
        <w:rPr>
          <w:rFonts w:ascii="Garamond" w:hAnsi="Garamond"/>
          <w:color w:val="000000" w:themeColor="text1"/>
          <w:sz w:val="24"/>
          <w:szCs w:val="24"/>
        </w:rPr>
        <w:t>.</w:t>
      </w:r>
    </w:p>
    <w:p w:rsidR="00C64FC7" w:rsidRPr="001E2953" w:rsidRDefault="00C64FC7" w:rsidP="00C64FC7">
      <w:pPr>
        <w:pStyle w:val="ListParagraph"/>
        <w:spacing w:after="0" w:line="20" w:lineRule="atLeast"/>
        <w:ind w:left="709"/>
        <w:jc w:val="both"/>
        <w:rPr>
          <w:rFonts w:ascii="Garamond" w:hAnsi="Garamond"/>
          <w:color w:val="000000" w:themeColor="text1"/>
          <w:sz w:val="24"/>
          <w:szCs w:val="24"/>
        </w:rPr>
      </w:pPr>
    </w:p>
    <w:p w:rsidR="00C64FC7" w:rsidRPr="003251AC" w:rsidRDefault="00C64FC7" w:rsidP="00C64FC7">
      <w:pPr>
        <w:ind w:right="-115"/>
        <w:contextualSpacing/>
        <w:rPr>
          <w:rFonts w:ascii="Garamond" w:hAnsi="Garamond"/>
          <w:strike/>
          <w:color w:val="000000" w:themeColor="text1"/>
        </w:rPr>
      </w:pPr>
      <w:r w:rsidRPr="003251AC">
        <w:rPr>
          <w:rFonts w:ascii="Garamond" w:hAnsi="Garamond"/>
          <w:strike/>
          <w:color w:val="000000" w:themeColor="text1"/>
        </w:rPr>
        <w:t xml:space="preserve"> </w:t>
      </w:r>
    </w:p>
    <w:p w:rsidR="00C64FC7" w:rsidRPr="002705CE" w:rsidRDefault="00C64FC7" w:rsidP="00C64FC7">
      <w:pPr>
        <w:spacing w:line="20" w:lineRule="atLeast"/>
        <w:contextualSpacing/>
        <w:jc w:val="both"/>
        <w:rPr>
          <w:rFonts w:ascii="Garamond" w:hAnsi="Garamond"/>
          <w:b/>
          <w:color w:val="000000" w:themeColor="text1"/>
        </w:rPr>
      </w:pPr>
      <w:r w:rsidRPr="002705CE">
        <w:rPr>
          <w:rFonts w:ascii="Garamond" w:hAnsi="Garamond"/>
          <w:b/>
          <w:color w:val="000000" w:themeColor="text1"/>
        </w:rPr>
        <w:t>South Africa</w:t>
      </w:r>
    </w:p>
    <w:p w:rsidR="00C64FC7" w:rsidRPr="002705CE"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2705CE">
        <w:rPr>
          <w:rFonts w:ascii="Garamond" w:hAnsi="Garamond"/>
          <w:color w:val="000000" w:themeColor="text1"/>
          <w:sz w:val="24"/>
          <w:szCs w:val="24"/>
          <w:lang w:val="en-IN"/>
        </w:rPr>
        <w:t xml:space="preserve">The South African economy advanced 0.8 percent (Y-o-Y) in the third quarter of 2017, below upwardly revised 1.3 percent expansion in the previous period which was the highest growth rate in two years. As per IMF’s projections, the growth projections for South Africa are 0.7 percent for 2017 and 1.1 percent for 2018. </w:t>
      </w:r>
    </w:p>
    <w:p w:rsidR="00C64FC7" w:rsidRPr="002705CE" w:rsidRDefault="00C64FC7" w:rsidP="00C64FC7">
      <w:pPr>
        <w:pStyle w:val="ListParagraph"/>
        <w:spacing w:after="0" w:line="20" w:lineRule="atLeast"/>
        <w:ind w:left="6953"/>
        <w:jc w:val="both"/>
        <w:rPr>
          <w:rFonts w:ascii="Garamond" w:hAnsi="Garamond"/>
          <w:color w:val="000000" w:themeColor="text1"/>
          <w:sz w:val="24"/>
          <w:szCs w:val="24"/>
          <w:lang w:val="en-IN"/>
        </w:rPr>
      </w:pPr>
    </w:p>
    <w:p w:rsidR="00C64FC7" w:rsidRPr="002705CE" w:rsidRDefault="00C64FC7" w:rsidP="00C64FC7">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2705CE">
        <w:rPr>
          <w:rFonts w:ascii="Garamond" w:hAnsi="Garamond"/>
          <w:color w:val="000000" w:themeColor="text1"/>
          <w:sz w:val="24"/>
          <w:szCs w:val="24"/>
          <w:lang w:val="en-IN"/>
        </w:rPr>
        <w:t>Consumer prices in South Africa grew 4.4 percent in January of 2018, slowing down from 4.7 percent reported in December and slightly below market expectations of 4.5 percent. It was the lowest inflation rate since March 2015. The South African Reserve Bank kept its benchmark repo rate steady at 6.75 percent in its January 2018 meeting. Policymakers said the inflation outlook has improved and will remain near the target range midpoint although upside risks still arise. South Africa's unemployment rate decreased to 26.7 percent in the fourth quarter of 2017 from 27.7 percent in the previous period.</w:t>
      </w:r>
    </w:p>
    <w:p w:rsidR="00C64FC7" w:rsidRPr="003251AC" w:rsidRDefault="00C64FC7" w:rsidP="00C64FC7">
      <w:pPr>
        <w:pStyle w:val="ListParagraph"/>
        <w:spacing w:after="0" w:line="20" w:lineRule="atLeast"/>
        <w:ind w:left="709"/>
        <w:jc w:val="both"/>
        <w:rPr>
          <w:rFonts w:ascii="Garamond" w:hAnsi="Garamond"/>
          <w:strike/>
          <w:color w:val="000000" w:themeColor="text1"/>
          <w:sz w:val="24"/>
          <w:szCs w:val="24"/>
          <w:lang w:val="en-IN"/>
        </w:rPr>
      </w:pPr>
    </w:p>
    <w:p w:rsidR="00C64FC7" w:rsidRPr="003251AC" w:rsidRDefault="00C64FC7" w:rsidP="00C64FC7">
      <w:pPr>
        <w:pStyle w:val="ListParagraph"/>
        <w:spacing w:after="0" w:line="20" w:lineRule="atLeast"/>
        <w:ind w:left="709"/>
        <w:jc w:val="both"/>
        <w:rPr>
          <w:rFonts w:ascii="Garamond" w:hAnsi="Garamond"/>
          <w:strike/>
          <w:color w:val="000000" w:themeColor="text1"/>
          <w:sz w:val="24"/>
          <w:szCs w:val="24"/>
          <w:lang w:val="en-IN"/>
        </w:rPr>
      </w:pPr>
    </w:p>
    <w:p w:rsidR="00C64FC7" w:rsidRPr="00E451DF" w:rsidRDefault="00C64FC7" w:rsidP="00C64FC7">
      <w:pPr>
        <w:pStyle w:val="ListParagraph"/>
        <w:numPr>
          <w:ilvl w:val="0"/>
          <w:numId w:val="7"/>
        </w:numPr>
        <w:spacing w:after="0" w:line="240" w:lineRule="auto"/>
        <w:jc w:val="both"/>
        <w:rPr>
          <w:rFonts w:ascii="Garamond" w:eastAsiaTheme="minorHAnsi" w:hAnsi="Garamond"/>
          <w:b/>
          <w:sz w:val="24"/>
          <w:szCs w:val="24"/>
          <w:lang w:val="en-IN"/>
        </w:rPr>
      </w:pPr>
      <w:r w:rsidRPr="00E451DF">
        <w:rPr>
          <w:rFonts w:ascii="Garamond" w:eastAsiaTheme="minorHAnsi" w:hAnsi="Garamond"/>
          <w:b/>
          <w:sz w:val="24"/>
          <w:szCs w:val="24"/>
          <w:lang w:val="en-IN"/>
        </w:rPr>
        <w:t xml:space="preserve">Review of Global Financial Markets: </w:t>
      </w:r>
    </w:p>
    <w:p w:rsidR="00C64FC7" w:rsidRPr="00E451DF" w:rsidRDefault="00C64FC7" w:rsidP="00C64FC7">
      <w:pPr>
        <w:pStyle w:val="ListParagraph"/>
        <w:numPr>
          <w:ilvl w:val="1"/>
          <w:numId w:val="7"/>
        </w:numPr>
        <w:spacing w:line="240" w:lineRule="auto"/>
        <w:jc w:val="both"/>
        <w:rPr>
          <w:rFonts w:ascii="Garamond" w:hAnsi="Garamond"/>
          <w:color w:val="283214"/>
          <w:sz w:val="24"/>
          <w:szCs w:val="24"/>
          <w:lang w:val="en-IN"/>
        </w:rPr>
      </w:pPr>
      <w:r w:rsidRPr="00E451DF">
        <w:rPr>
          <w:rFonts w:ascii="Garamond" w:hAnsi="Garamond"/>
          <w:color w:val="283214"/>
          <w:sz w:val="24"/>
          <w:szCs w:val="24"/>
          <w:lang w:val="en-IN"/>
        </w:rPr>
        <w:t>With the start of new calendar year Developed international and emerging markets stocks fell in February.These gains were driven by fears of an unexpectedly fast rise in inflation and interest rates, geopolitical uncertainty, and investor reaction to corporate earnings and economic news. On the other hand, Emerging markets stocks fell in February, breaking a four-month-long winning streak, as worries about rising U.S. interest rates sparked a global sell-off. The MSCI Emerging Markets (EM) Index fell more than 10 percent from its latest high in January.</w:t>
      </w:r>
    </w:p>
    <w:p w:rsidR="00C64FC7" w:rsidRPr="00E451DF" w:rsidRDefault="00C64FC7" w:rsidP="00C64FC7">
      <w:pPr>
        <w:pStyle w:val="ListParagraph"/>
        <w:ind w:left="612"/>
        <w:rPr>
          <w:rFonts w:ascii="Garamond" w:hAnsi="Garamond"/>
          <w:color w:val="283214"/>
          <w:sz w:val="24"/>
          <w:szCs w:val="24"/>
          <w:lang w:val="en-IN"/>
        </w:rPr>
      </w:pPr>
    </w:p>
    <w:p w:rsidR="00C64FC7" w:rsidRPr="00E451DF" w:rsidRDefault="00C64FC7" w:rsidP="00C64FC7">
      <w:pPr>
        <w:pStyle w:val="ListParagraph"/>
        <w:numPr>
          <w:ilvl w:val="1"/>
          <w:numId w:val="7"/>
        </w:numPr>
        <w:spacing w:line="240" w:lineRule="auto"/>
        <w:jc w:val="both"/>
        <w:rPr>
          <w:rFonts w:ascii="Garamond" w:hAnsi="Garamond"/>
          <w:color w:val="283214"/>
          <w:sz w:val="24"/>
          <w:szCs w:val="24"/>
          <w:lang w:val="en-IN"/>
        </w:rPr>
      </w:pPr>
      <w:r w:rsidRPr="00E451DF">
        <w:rPr>
          <w:rFonts w:ascii="Garamond" w:hAnsi="Garamond"/>
          <w:color w:val="283214"/>
          <w:sz w:val="24"/>
          <w:szCs w:val="24"/>
          <w:lang w:val="en-IN"/>
        </w:rPr>
        <w:t>U.S. equities were much more volatile in February than in recent months and posted negative returns, but share prices finished above their lowest levels of the month.  European stocks’ performance mirrored the broad stock sell-off in the U.S. following concerns that a tightening labor market could spur higher labor costs and fears that the Federal Reserve might accelerate its pace of interest rate increases. Japanese equities also fell, but its stocks recovered better than in most other global markets. Positive economic news, including strong exports and imports, optimistic business sentiment, and increasing domestic consumption, helped to fuel the recovery. Chinese dollar- and yuan-denominated shares fell more than 6 percent in U.S. dollar terms.  Indian Stocks retreat amid Credit Quality Concerns. Brazilian Stocks declined roughly 2 percent as Government shelves pension reforms. Russian stocks added about 1 percent, boosted by S&amp;P’s decision to upgrade its credit rating on Russia to investment-grade status</w:t>
      </w:r>
    </w:p>
    <w:p w:rsidR="00C64FC7" w:rsidRPr="00E451DF" w:rsidRDefault="00C64FC7" w:rsidP="00C64FC7">
      <w:pPr>
        <w:pStyle w:val="ListParagraph"/>
        <w:ind w:left="612"/>
        <w:rPr>
          <w:rFonts w:ascii="Garamond" w:hAnsi="Garamond"/>
          <w:color w:val="283214"/>
          <w:sz w:val="24"/>
          <w:szCs w:val="24"/>
          <w:lang w:val="en-IN"/>
        </w:rPr>
      </w:pPr>
    </w:p>
    <w:p w:rsidR="00C64FC7" w:rsidRPr="00E451DF" w:rsidRDefault="00C64FC7" w:rsidP="00C64FC7">
      <w:pPr>
        <w:pStyle w:val="ListParagraph"/>
        <w:numPr>
          <w:ilvl w:val="1"/>
          <w:numId w:val="7"/>
        </w:numPr>
        <w:spacing w:line="240" w:lineRule="auto"/>
        <w:jc w:val="both"/>
        <w:rPr>
          <w:rFonts w:ascii="Garamond" w:eastAsiaTheme="minorHAnsi" w:hAnsi="Garamond"/>
          <w:b/>
          <w:color w:val="000000" w:themeColor="text1"/>
          <w:sz w:val="24"/>
          <w:szCs w:val="24"/>
          <w:lang w:val="en-GB"/>
        </w:rPr>
      </w:pPr>
      <w:r w:rsidRPr="00E451DF">
        <w:rPr>
          <w:rFonts w:ascii="Garamond" w:hAnsi="Garamond"/>
          <w:color w:val="283214"/>
          <w:sz w:val="24"/>
          <w:szCs w:val="24"/>
          <w:lang w:val="en-IN"/>
        </w:rPr>
        <w:t>MSCI World Index, which is a leading indicator for tracking the overall performance of stock markets in developed markets witnessed a significant decline of 4.3 percent. On the other hand, MSCI Emerging Market Index registered a significant decrease of 4.7 percent in February 2018. MSCI India Index registered a fall of 4.6 percent in February 2018 over the previous month. (Chart 5).</w:t>
      </w:r>
      <w:r w:rsidRPr="00E451DF">
        <w:rPr>
          <w:rFonts w:ascii="Garamond" w:eastAsiaTheme="minorHAnsi" w:hAnsi="Garamond"/>
          <w:b/>
          <w:color w:val="000000" w:themeColor="text1"/>
          <w:sz w:val="24"/>
          <w:szCs w:val="24"/>
          <w:lang w:val="en-GB"/>
        </w:rPr>
        <w:t xml:space="preserve"> </w:t>
      </w:r>
    </w:p>
    <w:p w:rsidR="00C64FC7" w:rsidRDefault="00C64FC7" w:rsidP="00C64FC7">
      <w:pPr>
        <w:rPr>
          <w:rFonts w:ascii="Garamond" w:hAnsi="Garamond"/>
          <w:b/>
          <w:color w:val="000000" w:themeColor="text1"/>
        </w:rPr>
      </w:pPr>
      <w:r>
        <w:rPr>
          <w:rFonts w:ascii="Garamond" w:hAnsi="Garamond"/>
          <w:b/>
          <w:color w:val="000000" w:themeColor="text1"/>
        </w:rPr>
        <w:br w:type="page"/>
      </w:r>
    </w:p>
    <w:p w:rsidR="00C64FC7" w:rsidRPr="00E451DF" w:rsidRDefault="00C64FC7" w:rsidP="00C64FC7">
      <w:pPr>
        <w:rPr>
          <w:rFonts w:ascii="Garamond" w:hAnsi="Garamond"/>
          <w:b/>
          <w:color w:val="000000" w:themeColor="text1"/>
        </w:rPr>
      </w:pPr>
      <w:r w:rsidRPr="00E451DF">
        <w:rPr>
          <w:rFonts w:ascii="Garamond" w:hAnsi="Garamond"/>
          <w:b/>
          <w:color w:val="000000" w:themeColor="text1"/>
        </w:rPr>
        <w:lastRenderedPageBreak/>
        <w:t>Chart 5: Movement in MSCI World and Emerging Market Index</w:t>
      </w:r>
    </w:p>
    <w:p w:rsidR="00C64FC7" w:rsidRPr="00E451DF" w:rsidRDefault="00C64FC7" w:rsidP="00C64FC7">
      <w:pPr>
        <w:spacing w:line="20" w:lineRule="atLeast"/>
        <w:jc w:val="both"/>
        <w:rPr>
          <w:rFonts w:ascii="Garamond" w:hAnsi="Garamond"/>
          <w:b/>
          <w:color w:val="000000" w:themeColor="text1"/>
          <w:highlight w:val="yellow"/>
        </w:rPr>
      </w:pPr>
      <w:r>
        <w:rPr>
          <w:noProof/>
          <w:lang w:val="en-IN" w:eastAsia="en-IN"/>
        </w:rPr>
        <w:drawing>
          <wp:inline distT="0" distB="0" distL="0" distR="0" wp14:anchorId="31829F7B" wp14:editId="7B2CED66">
            <wp:extent cx="5983200" cy="2952000"/>
            <wp:effectExtent l="0" t="0" r="1778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4FC7" w:rsidRPr="00E451DF" w:rsidRDefault="00C64FC7" w:rsidP="00C64FC7">
      <w:pPr>
        <w:spacing w:line="20" w:lineRule="atLeast"/>
        <w:jc w:val="both"/>
        <w:rPr>
          <w:rFonts w:ascii="Garamond" w:hAnsi="Garamond"/>
          <w:bCs/>
          <w:i/>
          <w:iCs/>
          <w:color w:val="000000" w:themeColor="text1"/>
        </w:rPr>
      </w:pPr>
      <w:r w:rsidRPr="00E451DF">
        <w:rPr>
          <w:rFonts w:ascii="Garamond" w:hAnsi="Garamond"/>
          <w:bCs/>
          <w:i/>
          <w:iCs/>
          <w:color w:val="000000" w:themeColor="text1"/>
        </w:rPr>
        <w:t>Source: Bloomberg</w:t>
      </w:r>
    </w:p>
    <w:p w:rsidR="00C64FC7" w:rsidRPr="003251AC" w:rsidRDefault="00C64FC7" w:rsidP="00C64FC7">
      <w:pPr>
        <w:spacing w:line="20" w:lineRule="atLeast"/>
        <w:jc w:val="both"/>
        <w:rPr>
          <w:rFonts w:ascii="Garamond" w:hAnsi="Garamond"/>
          <w:b/>
          <w:strike/>
          <w:color w:val="000000" w:themeColor="text1"/>
        </w:rPr>
      </w:pPr>
    </w:p>
    <w:p w:rsidR="00C64FC7" w:rsidRPr="004641C6" w:rsidRDefault="00C64FC7" w:rsidP="00C64FC7">
      <w:pPr>
        <w:spacing w:line="20" w:lineRule="atLeast"/>
        <w:jc w:val="both"/>
        <w:rPr>
          <w:rFonts w:ascii="Garamond" w:hAnsi="Garamond"/>
          <w:b/>
        </w:rPr>
      </w:pPr>
      <w:r w:rsidRPr="004641C6">
        <w:rPr>
          <w:rFonts w:ascii="Garamond" w:hAnsi="Garamond"/>
          <w:b/>
        </w:rPr>
        <w:t>Bond Markets:</w:t>
      </w:r>
    </w:p>
    <w:p w:rsidR="00C64FC7" w:rsidRPr="004641C6" w:rsidRDefault="00C64FC7" w:rsidP="00C64FC7">
      <w:pPr>
        <w:pStyle w:val="ListParagraph"/>
        <w:numPr>
          <w:ilvl w:val="1"/>
          <w:numId w:val="7"/>
        </w:numPr>
        <w:spacing w:after="0" w:line="240" w:lineRule="auto"/>
        <w:jc w:val="both"/>
        <w:rPr>
          <w:rFonts w:ascii="Garamond" w:eastAsiaTheme="minorHAnsi" w:hAnsi="Garamond"/>
          <w:sz w:val="24"/>
          <w:szCs w:val="24"/>
        </w:rPr>
      </w:pPr>
      <w:r w:rsidRPr="004641C6">
        <w:rPr>
          <w:rFonts w:ascii="Garamond" w:eastAsiaTheme="minorHAnsi" w:hAnsi="Garamond"/>
          <w:sz w:val="24"/>
          <w:szCs w:val="24"/>
        </w:rPr>
        <w:t>US Treasury yields continued to rise at a robust pace as strong jobs data gave further fuel to growth and inflation expectations during February 2108. Treasuries were impacted by the volatility spike early in the month, with yields oscillating significantly over the first few days. They rose steadily thereafter, reaching an intra-month high of 2.95 percent. The 10-year Treasury note’s yield increased from 2.71 percent to 2.86 per</w:t>
      </w:r>
      <w:r>
        <w:rPr>
          <w:rFonts w:ascii="Garamond" w:eastAsiaTheme="minorHAnsi" w:hAnsi="Garamond"/>
          <w:sz w:val="24"/>
          <w:szCs w:val="24"/>
        </w:rPr>
        <w:t>cent at the end of February 2018</w:t>
      </w:r>
      <w:r w:rsidRPr="004641C6">
        <w:rPr>
          <w:rFonts w:ascii="Garamond" w:eastAsiaTheme="minorHAnsi" w:hAnsi="Garamond"/>
          <w:sz w:val="24"/>
          <w:szCs w:val="24"/>
        </w:rPr>
        <w:t>.</w:t>
      </w:r>
      <w:r>
        <w:rPr>
          <w:rFonts w:ascii="Garamond" w:eastAsiaTheme="minorHAnsi" w:hAnsi="Garamond"/>
          <w:sz w:val="24"/>
          <w:szCs w:val="24"/>
        </w:rPr>
        <w:t xml:space="preserve"> </w:t>
      </w:r>
      <w:r w:rsidRPr="004641C6">
        <w:rPr>
          <w:rFonts w:ascii="Garamond" w:eastAsiaTheme="minorHAnsi" w:hAnsi="Garamond"/>
          <w:sz w:val="24"/>
          <w:szCs w:val="24"/>
        </w:rPr>
        <w:t>The German government 10-year note’s yield fell from 0.70 percent to 0.66 percent during the month.</w:t>
      </w:r>
    </w:p>
    <w:p w:rsidR="00C64FC7" w:rsidRPr="004641C6" w:rsidRDefault="00C64FC7" w:rsidP="00C64FC7">
      <w:pPr>
        <w:pStyle w:val="ListParagraph"/>
        <w:spacing w:after="0" w:line="240" w:lineRule="auto"/>
        <w:ind w:left="792"/>
        <w:jc w:val="both"/>
        <w:rPr>
          <w:rFonts w:ascii="Garamond" w:eastAsiaTheme="minorHAnsi" w:hAnsi="Garamond"/>
          <w:sz w:val="24"/>
          <w:szCs w:val="24"/>
        </w:rPr>
      </w:pPr>
    </w:p>
    <w:p w:rsidR="00C64FC7" w:rsidRPr="004641C6" w:rsidRDefault="00C64FC7" w:rsidP="00C64FC7">
      <w:pPr>
        <w:pStyle w:val="ListParagraph"/>
        <w:numPr>
          <w:ilvl w:val="1"/>
          <w:numId w:val="7"/>
        </w:numPr>
        <w:spacing w:after="0" w:line="240" w:lineRule="auto"/>
        <w:jc w:val="both"/>
        <w:rPr>
          <w:rFonts w:ascii="Garamond" w:eastAsiaTheme="minorHAnsi" w:hAnsi="Garamond"/>
          <w:sz w:val="24"/>
          <w:szCs w:val="24"/>
        </w:rPr>
      </w:pPr>
      <w:r w:rsidRPr="004641C6">
        <w:rPr>
          <w:rFonts w:ascii="Garamond" w:eastAsiaTheme="minorHAnsi" w:hAnsi="Garamond"/>
          <w:sz w:val="24"/>
          <w:szCs w:val="24"/>
        </w:rPr>
        <w:t>European yields moved sideways, following January’s upward move. The German government 10-year note’s yield fell from 0.70 percent to 0.66 percent during the month. Chinese 10-year yields were lower from 3.92 percent to 3.85 percent, while Spain’s yield ticked up from 1.43 percent to 1.46 percent. UK 10-year gilt yields were marginally lower at 1.50 percent.</w:t>
      </w:r>
    </w:p>
    <w:p w:rsidR="00C64FC7" w:rsidRPr="003251AC" w:rsidRDefault="00C64FC7" w:rsidP="00C64FC7">
      <w:pPr>
        <w:jc w:val="center"/>
        <w:rPr>
          <w:rFonts w:ascii="Garamond" w:hAnsi="Garamond" w:cs="Mangal"/>
          <w:b/>
          <w:bCs/>
          <w:strike/>
          <w:color w:val="000000"/>
          <w:highlight w:val="yellow"/>
          <w:lang w:bidi="hi-IN"/>
        </w:rPr>
      </w:pPr>
    </w:p>
    <w:p w:rsidR="00C64FC7" w:rsidRDefault="00C64FC7" w:rsidP="00C64FC7">
      <w:pPr>
        <w:rPr>
          <w:rFonts w:ascii="Garamond" w:hAnsi="Garamond" w:cs="Mangal"/>
          <w:b/>
          <w:bCs/>
          <w:strike/>
          <w:color w:val="000000"/>
          <w:lang w:bidi="hi-IN"/>
        </w:rPr>
      </w:pPr>
      <w:r>
        <w:rPr>
          <w:rFonts w:ascii="Garamond" w:hAnsi="Garamond" w:cs="Mangal"/>
          <w:b/>
          <w:bCs/>
          <w:strike/>
          <w:color w:val="000000"/>
          <w:lang w:bidi="hi-IN"/>
        </w:rPr>
        <w:br w:type="page"/>
      </w:r>
    </w:p>
    <w:p w:rsidR="00C64FC7" w:rsidRPr="00645286" w:rsidRDefault="00C64FC7" w:rsidP="00C64FC7">
      <w:pPr>
        <w:jc w:val="center"/>
        <w:rPr>
          <w:rFonts w:ascii="Garamond" w:hAnsi="Garamond" w:cs="Mangal"/>
          <w:b/>
          <w:bCs/>
          <w:color w:val="000000"/>
          <w:lang w:bidi="hi-IN"/>
        </w:rPr>
      </w:pPr>
      <w:r w:rsidRPr="00645286">
        <w:rPr>
          <w:rFonts w:ascii="Garamond" w:hAnsi="Garamond" w:cs="Mangal"/>
          <w:b/>
          <w:bCs/>
          <w:color w:val="000000"/>
          <w:lang w:bidi="hi-IN"/>
        </w:rPr>
        <w:lastRenderedPageBreak/>
        <w:t>Chart 6: Movement in 10 year bond yield of major countries</w:t>
      </w:r>
    </w:p>
    <w:p w:rsidR="00C64FC7" w:rsidRPr="00645286" w:rsidRDefault="00C64FC7" w:rsidP="00C64FC7">
      <w:pPr>
        <w:jc w:val="center"/>
        <w:rPr>
          <w:rFonts w:ascii="Garamond" w:hAnsi="Garamond" w:cs="Mangal"/>
          <w:noProof/>
          <w:lang w:val="en-IN" w:eastAsia="en-IN" w:bidi="hi-IN"/>
        </w:rPr>
      </w:pPr>
    </w:p>
    <w:p w:rsidR="00C64FC7" w:rsidRPr="00645286" w:rsidRDefault="00C64FC7" w:rsidP="00C64FC7">
      <w:pPr>
        <w:spacing w:after="240"/>
        <w:jc w:val="center"/>
        <w:rPr>
          <w:rFonts w:ascii="Garamond" w:hAnsi="Garamond" w:cs="Mangal"/>
          <w:color w:val="000000"/>
          <w:lang w:bidi="hi-IN"/>
        </w:rPr>
      </w:pPr>
      <w:r>
        <w:rPr>
          <w:noProof/>
          <w:lang w:val="en-IN" w:eastAsia="en-IN"/>
        </w:rPr>
        <w:drawing>
          <wp:inline distT="0" distB="0" distL="0" distR="0" wp14:anchorId="059C5958" wp14:editId="5A1C3F09">
            <wp:extent cx="5335200" cy="2534400"/>
            <wp:effectExtent l="0" t="0" r="18415"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64FC7" w:rsidRPr="00645286" w:rsidRDefault="00C64FC7" w:rsidP="00C64FC7">
      <w:pPr>
        <w:spacing w:after="240"/>
        <w:rPr>
          <w:rFonts w:ascii="Garamond" w:hAnsi="Garamond" w:cs="Mangal"/>
          <w:color w:val="000000"/>
          <w:lang w:bidi="hi-IN"/>
        </w:rPr>
      </w:pPr>
      <w:r w:rsidRPr="00645286">
        <w:rPr>
          <w:rFonts w:ascii="Garamond" w:hAnsi="Garamond" w:cs="Mangal"/>
          <w:b/>
          <w:i/>
          <w:iCs/>
          <w:color w:val="000000"/>
          <w:lang w:bidi="hi-IN"/>
        </w:rPr>
        <w:t>Source</w:t>
      </w:r>
      <w:r w:rsidRPr="00645286">
        <w:rPr>
          <w:rFonts w:ascii="Garamond" w:hAnsi="Garamond" w:cs="Mangal"/>
          <w:i/>
          <w:iCs/>
          <w:color w:val="000000"/>
          <w:lang w:bidi="hi-IN"/>
        </w:rPr>
        <w:t>: Bloomberg</w:t>
      </w:r>
    </w:p>
    <w:p w:rsidR="00C64FC7" w:rsidRPr="003251AC" w:rsidRDefault="00C64FC7" w:rsidP="00C64FC7">
      <w:pPr>
        <w:spacing w:line="20" w:lineRule="atLeast"/>
        <w:jc w:val="both"/>
        <w:rPr>
          <w:rFonts w:ascii="Garamond" w:hAnsi="Garamond"/>
          <w:b/>
          <w:bCs/>
          <w:strike/>
          <w:color w:val="000000" w:themeColor="text1"/>
        </w:rPr>
      </w:pPr>
    </w:p>
    <w:p w:rsidR="00C64FC7" w:rsidRPr="00665FD1" w:rsidRDefault="00C64FC7" w:rsidP="00C64FC7">
      <w:pPr>
        <w:spacing w:line="20" w:lineRule="atLeast"/>
        <w:rPr>
          <w:rFonts w:ascii="Garamond" w:hAnsi="Garamond"/>
          <w:b/>
          <w:bCs/>
          <w:color w:val="000000" w:themeColor="text1"/>
        </w:rPr>
      </w:pPr>
      <w:r w:rsidRPr="00665FD1">
        <w:rPr>
          <w:rFonts w:ascii="Garamond" w:hAnsi="Garamond"/>
          <w:b/>
          <w:color w:val="000000" w:themeColor="text1"/>
        </w:rPr>
        <w:t>Currency Market:</w:t>
      </w:r>
    </w:p>
    <w:p w:rsidR="00C64FC7" w:rsidRPr="00665FD1" w:rsidRDefault="00C64FC7" w:rsidP="00C64FC7">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665FD1">
        <w:rPr>
          <w:rFonts w:ascii="Garamond" w:eastAsiaTheme="minorHAnsi" w:hAnsi="Garamond"/>
          <w:color w:val="000000"/>
          <w:sz w:val="24"/>
          <w:szCs w:val="24"/>
          <w:lang w:val="en-GB"/>
        </w:rPr>
        <w:t>During February 2018 (by comparing the closing prices of the close of last trading days of the January and February), the U.S. dollar (USD) lost against 2 currencies out of 7 currencies (i.e. INR, YEN, GBP, EURO, Real, Yuan and Ruble) evaluated against it.  The change in the currencies against dollar was Yen (2.40 percent), Ruble (0.08 percent), Yuan (-0.70 percent), Euro (-1.68 percent), Real (-1.79 percent), INR (-2.34 percent) and GBP (-2.88 percent) respectively.</w:t>
      </w:r>
    </w:p>
    <w:p w:rsidR="00C64FC7" w:rsidRPr="00665FD1" w:rsidRDefault="00C64FC7" w:rsidP="00C64FC7">
      <w:pPr>
        <w:pStyle w:val="ListParagraph"/>
        <w:spacing w:after="0" w:line="240" w:lineRule="auto"/>
        <w:ind w:left="792"/>
        <w:jc w:val="both"/>
        <w:rPr>
          <w:rFonts w:ascii="Garamond" w:eastAsiaTheme="minorHAnsi" w:hAnsi="Garamond"/>
          <w:color w:val="000000"/>
          <w:sz w:val="24"/>
          <w:szCs w:val="24"/>
          <w:lang w:val="en-GB"/>
        </w:rPr>
      </w:pPr>
    </w:p>
    <w:p w:rsidR="00C64FC7" w:rsidRPr="00665FD1" w:rsidRDefault="00C64FC7" w:rsidP="00C64FC7">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633F5E">
        <w:rPr>
          <w:rFonts w:ascii="Garamond" w:eastAsiaTheme="minorHAnsi" w:hAnsi="Garamond"/>
          <w:color w:val="000000"/>
          <w:sz w:val="24"/>
          <w:szCs w:val="24"/>
          <w:lang w:val="en-GB"/>
        </w:rPr>
        <w:t>US Dollar Index, an index representing the strength of dollar against basket of other major currencies, observed to be 90.61 on close of February 2018, it appreciated 1.66 percent against the basket of major currencies during February 2018, and was 11.35 percent below the close of last trading day of 2016</w:t>
      </w:r>
      <w:r w:rsidRPr="00665FD1">
        <w:rPr>
          <w:rFonts w:ascii="Garamond" w:eastAsiaTheme="minorHAnsi" w:hAnsi="Garamond"/>
          <w:color w:val="000000"/>
          <w:sz w:val="24"/>
          <w:szCs w:val="24"/>
          <w:lang w:val="en-GB"/>
        </w:rPr>
        <w:t>.</w:t>
      </w:r>
    </w:p>
    <w:p w:rsidR="00C64FC7" w:rsidRPr="00665FD1" w:rsidRDefault="00C64FC7" w:rsidP="00C64FC7">
      <w:pPr>
        <w:jc w:val="both"/>
        <w:rPr>
          <w:rFonts w:ascii="Garamond" w:hAnsi="Garamond"/>
          <w:color w:val="000000"/>
        </w:rPr>
      </w:pPr>
      <w:r w:rsidRPr="00665FD1">
        <w:rPr>
          <w:rFonts w:ascii="Garamond" w:hAnsi="Garamond"/>
          <w:color w:val="000000"/>
        </w:rPr>
        <w:t xml:space="preserve"> </w:t>
      </w:r>
    </w:p>
    <w:p w:rsidR="00C64FC7" w:rsidRPr="00665FD1" w:rsidRDefault="00C64FC7" w:rsidP="00C64FC7">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633F5E">
        <w:rPr>
          <w:rFonts w:ascii="Garamond" w:eastAsiaTheme="minorHAnsi" w:hAnsi="Garamond"/>
          <w:color w:val="000000"/>
          <w:sz w:val="24"/>
          <w:szCs w:val="24"/>
          <w:lang w:val="en-GB"/>
        </w:rPr>
        <w:t>Comparing the closing prices of currencies in 2016 with the closing price of February, Euro changed by 13.74 percent followed by GBP (10.52 percent), Yuan (8.77 percent), Yen (8.5 percent), Ruble (8.15 percent), INR (4.12 percent) and Real (0.38 percent) respectively</w:t>
      </w:r>
      <w:r w:rsidRPr="00665FD1">
        <w:rPr>
          <w:rFonts w:ascii="Garamond" w:eastAsiaTheme="minorHAnsi" w:hAnsi="Garamond"/>
          <w:color w:val="000000"/>
          <w:sz w:val="24"/>
          <w:szCs w:val="24"/>
          <w:lang w:val="en-GB"/>
        </w:rPr>
        <w:t xml:space="preserve">. </w:t>
      </w:r>
    </w:p>
    <w:p w:rsidR="00C64FC7" w:rsidRPr="00665FD1" w:rsidRDefault="00C64FC7" w:rsidP="00C64FC7">
      <w:pPr>
        <w:jc w:val="both"/>
        <w:rPr>
          <w:rFonts w:ascii="Garamond" w:hAnsi="Garamond"/>
          <w:color w:val="000000"/>
        </w:rPr>
      </w:pPr>
    </w:p>
    <w:p w:rsidR="00C64FC7" w:rsidRPr="003251AC" w:rsidRDefault="00C64FC7" w:rsidP="00C64FC7">
      <w:pPr>
        <w:pStyle w:val="ListParagraph"/>
        <w:numPr>
          <w:ilvl w:val="1"/>
          <w:numId w:val="7"/>
        </w:numPr>
        <w:spacing w:after="0" w:line="240" w:lineRule="auto"/>
        <w:ind w:hanging="508"/>
        <w:jc w:val="both"/>
        <w:rPr>
          <w:rFonts w:ascii="Garamond" w:eastAsiaTheme="minorHAnsi" w:hAnsi="Garamond"/>
          <w:strike/>
          <w:color w:val="000000"/>
          <w:sz w:val="24"/>
          <w:szCs w:val="24"/>
          <w:lang w:val="en-GB"/>
        </w:rPr>
      </w:pPr>
      <w:r w:rsidRPr="00633F5E">
        <w:rPr>
          <w:rFonts w:ascii="Garamond" w:eastAsiaTheme="minorHAnsi" w:hAnsi="Garamond"/>
          <w:color w:val="000000"/>
          <w:sz w:val="24"/>
          <w:szCs w:val="24"/>
          <w:lang w:val="en-GB"/>
        </w:rPr>
        <w:t>Since the beginning of February 2016 till February 2018 (closing prices of the last trading days of January 2016 and February 2018 were compared), Brazilian Real and Russian Ruble changed 18.93 and 25.56 percent respectively against USD. During the same period, INR gained 3.86 percent. Other currencies such as Yen gained 11.9 percent against USD. Euro gained 11.3 percent against USD while GBP depreciated 3.32 percent against USD. Chinese Yuan has gained 3.73 percent against USD</w:t>
      </w:r>
      <w:r w:rsidRPr="00665FD1">
        <w:rPr>
          <w:rFonts w:ascii="Garamond" w:eastAsiaTheme="minorHAnsi" w:hAnsi="Garamond"/>
          <w:color w:val="000000"/>
          <w:sz w:val="24"/>
          <w:szCs w:val="24"/>
          <w:lang w:val="en-GB"/>
        </w:rPr>
        <w:t>.</w:t>
      </w:r>
      <w:r w:rsidRPr="003251AC">
        <w:rPr>
          <w:rFonts w:ascii="Garamond" w:hAnsi="Garamond"/>
          <w:b/>
          <w:strike/>
          <w:color w:val="000000"/>
          <w:shd w:val="clear" w:color="auto" w:fill="C2D69B"/>
        </w:rPr>
        <w:br w:type="page"/>
      </w:r>
    </w:p>
    <w:p w:rsidR="00C64FC7" w:rsidRPr="003251AC" w:rsidRDefault="00C64FC7" w:rsidP="00C64FC7">
      <w:pPr>
        <w:rPr>
          <w:rFonts w:ascii="Garamond" w:hAnsi="Garamond"/>
          <w:b/>
          <w:strike/>
          <w:color w:val="000000"/>
          <w:shd w:val="clear" w:color="auto" w:fill="C2D69B"/>
        </w:rPr>
      </w:pPr>
    </w:p>
    <w:p w:rsidR="00C64FC7" w:rsidRPr="00E44FA6" w:rsidRDefault="00C64FC7" w:rsidP="00C64FC7">
      <w:pPr>
        <w:ind w:left="720" w:firstLine="720"/>
        <w:rPr>
          <w:rFonts w:ascii="Garamond" w:hAnsi="Garamond"/>
          <w:b/>
          <w:color w:val="000000"/>
          <w:shd w:val="clear" w:color="auto" w:fill="C2D69B"/>
        </w:rPr>
      </w:pPr>
      <w:r w:rsidRPr="00E44FA6">
        <w:rPr>
          <w:rFonts w:ascii="Garamond" w:hAnsi="Garamond"/>
          <w:b/>
          <w:color w:val="000000"/>
          <w:shd w:val="clear" w:color="auto" w:fill="C2D69B"/>
        </w:rPr>
        <w:t>Chart 7: Movement of major currencies against US Dollar ($)</w:t>
      </w:r>
    </w:p>
    <w:p w:rsidR="00C64FC7" w:rsidRPr="003251AC" w:rsidRDefault="00C64FC7" w:rsidP="00C64FC7">
      <w:pPr>
        <w:rPr>
          <w:rFonts w:ascii="Garamond" w:hAnsi="Garamond"/>
          <w:b/>
          <w:strike/>
          <w:color w:val="000000"/>
          <w:shd w:val="clear" w:color="auto" w:fill="C2D69B"/>
        </w:rPr>
      </w:pPr>
    </w:p>
    <w:p w:rsidR="00C64FC7" w:rsidRPr="003251AC" w:rsidRDefault="00C64FC7" w:rsidP="00C64FC7">
      <w:pPr>
        <w:rPr>
          <w:rFonts w:ascii="Garamond" w:hAnsi="Garamond"/>
          <w:strike/>
          <w:color w:val="000000"/>
        </w:rPr>
      </w:pPr>
      <w:r>
        <w:rPr>
          <w:noProof/>
          <w:lang w:val="en-IN" w:eastAsia="en-IN"/>
        </w:rPr>
        <w:drawing>
          <wp:inline distT="0" distB="0" distL="0" distR="0" wp14:anchorId="08AB33B5" wp14:editId="2AEB6EC3">
            <wp:extent cx="5849472" cy="3668245"/>
            <wp:effectExtent l="0" t="0" r="18415"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64FC7" w:rsidRPr="003F244D" w:rsidRDefault="00C64FC7" w:rsidP="00C64FC7">
      <w:pPr>
        <w:rPr>
          <w:rFonts w:ascii="Garamond" w:hAnsi="Garamond"/>
          <w:color w:val="000000"/>
          <w:sz w:val="18"/>
          <w:szCs w:val="18"/>
        </w:rPr>
      </w:pPr>
      <w:r w:rsidRPr="003F244D">
        <w:rPr>
          <w:rFonts w:ascii="Garamond" w:hAnsi="Garamond"/>
          <w:b/>
          <w:color w:val="000000"/>
          <w:sz w:val="18"/>
          <w:szCs w:val="18"/>
        </w:rPr>
        <w:t>Source</w:t>
      </w:r>
      <w:r w:rsidRPr="003F244D">
        <w:rPr>
          <w:rFonts w:ascii="Garamond" w:hAnsi="Garamond"/>
          <w:color w:val="000000"/>
          <w:sz w:val="18"/>
          <w:szCs w:val="18"/>
        </w:rPr>
        <w:t>: Bloomberg</w:t>
      </w:r>
    </w:p>
    <w:p w:rsidR="00C64FC7" w:rsidRPr="003251AC" w:rsidRDefault="00C64FC7" w:rsidP="00C64FC7">
      <w:pPr>
        <w:jc w:val="both"/>
        <w:rPr>
          <w:rFonts w:ascii="Garamond" w:hAnsi="Garamond"/>
          <w:strike/>
          <w:color w:val="000000"/>
          <w:sz w:val="18"/>
          <w:szCs w:val="18"/>
        </w:rPr>
      </w:pPr>
    </w:p>
    <w:p w:rsidR="00C64FC7" w:rsidRPr="003251AC" w:rsidRDefault="00C64FC7" w:rsidP="00C64FC7">
      <w:pPr>
        <w:tabs>
          <w:tab w:val="left" w:pos="720"/>
        </w:tabs>
        <w:spacing w:line="20" w:lineRule="atLeast"/>
        <w:jc w:val="both"/>
        <w:rPr>
          <w:rFonts w:ascii="Garamond" w:hAnsi="Garamond"/>
          <w:b/>
          <w:strike/>
          <w:color w:val="000000" w:themeColor="text1"/>
        </w:rPr>
      </w:pPr>
    </w:p>
    <w:p w:rsidR="00C64FC7" w:rsidRPr="00A9012C" w:rsidRDefault="00C64FC7" w:rsidP="00C64FC7">
      <w:pPr>
        <w:tabs>
          <w:tab w:val="left" w:pos="720"/>
        </w:tabs>
        <w:spacing w:line="20" w:lineRule="atLeast"/>
        <w:ind w:left="360"/>
        <w:contextualSpacing/>
        <w:jc w:val="both"/>
        <w:rPr>
          <w:rFonts w:ascii="Garamond" w:hAnsi="Garamond"/>
          <w:b/>
          <w:color w:val="000000" w:themeColor="text1"/>
        </w:rPr>
      </w:pPr>
      <w:r w:rsidRPr="00A9012C">
        <w:rPr>
          <w:rFonts w:ascii="Garamond" w:hAnsi="Garamond"/>
          <w:b/>
          <w:color w:val="000000" w:themeColor="text1"/>
        </w:rPr>
        <w:t>Trend in Market Indices:</w:t>
      </w:r>
    </w:p>
    <w:p w:rsidR="00C64FC7" w:rsidRPr="00A9012C" w:rsidRDefault="00C64FC7" w:rsidP="00C64FC7">
      <w:pPr>
        <w:tabs>
          <w:tab w:val="left" w:pos="720"/>
        </w:tabs>
        <w:spacing w:line="20" w:lineRule="atLeast"/>
        <w:ind w:left="360"/>
        <w:contextualSpacing/>
        <w:jc w:val="both"/>
        <w:rPr>
          <w:rFonts w:ascii="Garamond" w:hAnsi="Garamond"/>
          <w:b/>
          <w:color w:val="000000" w:themeColor="text1"/>
          <w:sz w:val="10"/>
        </w:rPr>
      </w:pPr>
    </w:p>
    <w:p w:rsidR="00C64FC7" w:rsidRPr="00A9012C" w:rsidRDefault="00C64FC7" w:rsidP="00C64FC7">
      <w:pPr>
        <w:pStyle w:val="ListParagraph"/>
        <w:numPr>
          <w:ilvl w:val="1"/>
          <w:numId w:val="7"/>
        </w:numPr>
        <w:spacing w:after="0" w:line="240" w:lineRule="auto"/>
        <w:ind w:hanging="508"/>
        <w:jc w:val="both"/>
        <w:rPr>
          <w:rFonts w:ascii="Garamond" w:eastAsiaTheme="minorHAnsi" w:hAnsi="Garamond"/>
          <w:sz w:val="24"/>
          <w:szCs w:val="24"/>
          <w:lang w:val="en-GB"/>
        </w:rPr>
      </w:pPr>
      <w:r w:rsidRPr="00A9012C">
        <w:rPr>
          <w:rFonts w:ascii="Garamond" w:eastAsiaTheme="minorHAnsi" w:hAnsi="Garamond"/>
          <w:sz w:val="24"/>
          <w:szCs w:val="24"/>
          <w:lang w:val="en-GB"/>
        </w:rPr>
        <w:t xml:space="preserve">Major stock indices all over the world exhibited a negative trend during February 2018. Amongst the developed markets, Hang Seng of Hong Kong witnessed a decrease of 6.2 percent, followed by Dax of Germany decreasing by 5.7 percent and Nikkei 225 of Japan decreasing by 4.5 percent during February 2018. </w:t>
      </w:r>
    </w:p>
    <w:p w:rsidR="00C64FC7" w:rsidRPr="00A9012C" w:rsidRDefault="00C64FC7" w:rsidP="00C64FC7">
      <w:pPr>
        <w:pStyle w:val="ListParagraph"/>
        <w:spacing w:after="0" w:line="240" w:lineRule="auto"/>
        <w:ind w:left="792"/>
        <w:jc w:val="both"/>
        <w:rPr>
          <w:rFonts w:ascii="Garamond" w:eastAsiaTheme="minorHAnsi" w:hAnsi="Garamond"/>
          <w:sz w:val="24"/>
          <w:szCs w:val="24"/>
          <w:lang w:val="en-GB"/>
        </w:rPr>
      </w:pPr>
    </w:p>
    <w:p w:rsidR="00C64FC7" w:rsidRPr="00A9012C" w:rsidRDefault="00C64FC7" w:rsidP="00C64FC7">
      <w:pPr>
        <w:pStyle w:val="ListParagraph"/>
        <w:numPr>
          <w:ilvl w:val="1"/>
          <w:numId w:val="7"/>
        </w:numPr>
        <w:spacing w:after="0" w:line="240" w:lineRule="auto"/>
        <w:ind w:hanging="508"/>
        <w:jc w:val="both"/>
        <w:rPr>
          <w:rFonts w:ascii="Garamond" w:eastAsiaTheme="minorHAnsi" w:hAnsi="Garamond"/>
          <w:sz w:val="24"/>
          <w:szCs w:val="24"/>
          <w:lang w:val="en-GB"/>
        </w:rPr>
      </w:pPr>
      <w:r w:rsidRPr="00A9012C">
        <w:rPr>
          <w:rFonts w:ascii="Garamond" w:eastAsiaTheme="minorHAnsi" w:hAnsi="Garamond"/>
          <w:sz w:val="24"/>
          <w:szCs w:val="24"/>
          <w:lang w:val="en-GB"/>
        </w:rPr>
        <w:t xml:space="preserve">As regards the emerging market indices, Hermes of Egypt led the way with an increase of 2.1 percent, followed by Brazil’s Bovespa which increased by 0.5 percent and Russian Traded of Russia which also recorded ma marginal increase of 0.3 percent during February 2018. On the contrary, a fall of 6.4 percent was registered by Shanghai Comopsite of China followed by Bolsa of Mexico and IGBC General of Colombia declining by 6.0 percent and 5.8 percent respectively during the same period. </w:t>
      </w:r>
    </w:p>
    <w:p w:rsidR="00C64FC7" w:rsidRPr="00A9012C" w:rsidRDefault="00C64FC7" w:rsidP="00C64FC7">
      <w:pPr>
        <w:pStyle w:val="ListParagraph"/>
        <w:spacing w:after="0" w:line="240" w:lineRule="auto"/>
        <w:ind w:left="792"/>
        <w:jc w:val="both"/>
        <w:rPr>
          <w:rFonts w:ascii="Garamond" w:eastAsiaTheme="minorHAnsi" w:hAnsi="Garamond"/>
          <w:sz w:val="24"/>
          <w:szCs w:val="24"/>
          <w:lang w:val="en-GB"/>
        </w:rPr>
      </w:pPr>
    </w:p>
    <w:p w:rsidR="00C64FC7" w:rsidRPr="00A9012C" w:rsidRDefault="00C64FC7" w:rsidP="00C64FC7">
      <w:pPr>
        <w:spacing w:line="20" w:lineRule="atLeast"/>
        <w:ind w:left="2052" w:firstLine="108"/>
        <w:jc w:val="both"/>
        <w:rPr>
          <w:rFonts w:ascii="Garamond" w:hAnsi="Garamond"/>
          <w:b/>
        </w:rPr>
      </w:pPr>
    </w:p>
    <w:p w:rsidR="00C64FC7" w:rsidRPr="003251AC" w:rsidRDefault="00C64FC7" w:rsidP="00C64FC7">
      <w:pPr>
        <w:rPr>
          <w:rFonts w:ascii="Garamond" w:hAnsi="Garamond"/>
          <w:b/>
          <w:strike/>
        </w:rPr>
      </w:pPr>
      <w:r w:rsidRPr="003251AC">
        <w:rPr>
          <w:rFonts w:ascii="Garamond" w:hAnsi="Garamond"/>
          <w:b/>
          <w:strike/>
        </w:rPr>
        <w:br w:type="page"/>
      </w:r>
    </w:p>
    <w:p w:rsidR="00C64FC7" w:rsidRPr="00970D1D" w:rsidRDefault="00C64FC7" w:rsidP="00C64FC7">
      <w:pPr>
        <w:spacing w:line="20" w:lineRule="atLeast"/>
        <w:ind w:left="2052" w:firstLine="108"/>
        <w:jc w:val="both"/>
        <w:rPr>
          <w:rFonts w:ascii="Garamond" w:hAnsi="Garamond"/>
        </w:rPr>
      </w:pPr>
      <w:r w:rsidRPr="00970D1D">
        <w:rPr>
          <w:rFonts w:ascii="Garamond" w:hAnsi="Garamond"/>
          <w:b/>
        </w:rPr>
        <w:lastRenderedPageBreak/>
        <w:t>Chart 8: Trend in Major Developed Market Indices</w:t>
      </w:r>
    </w:p>
    <w:p w:rsidR="00C64FC7" w:rsidRPr="00970D1D" w:rsidRDefault="00C64FC7" w:rsidP="00C64FC7">
      <w:pPr>
        <w:spacing w:line="20" w:lineRule="atLeast"/>
        <w:jc w:val="center"/>
        <w:rPr>
          <w:rFonts w:ascii="Garamond" w:hAnsi="Garamond"/>
          <w:b/>
        </w:rPr>
      </w:pPr>
    </w:p>
    <w:p w:rsidR="00C64FC7" w:rsidRPr="00970D1D" w:rsidRDefault="00C64FC7" w:rsidP="00C64FC7">
      <w:pPr>
        <w:spacing w:line="20" w:lineRule="atLeast"/>
        <w:ind w:left="-360" w:right="138" w:firstLine="360"/>
        <w:jc w:val="both"/>
        <w:rPr>
          <w:rFonts w:ascii="Garamond" w:eastAsiaTheme="minorEastAsia" w:hAnsi="Garamond"/>
          <w:b/>
          <w:noProof/>
          <w:lang w:bidi="hi-IN"/>
        </w:rPr>
      </w:pPr>
      <w:r>
        <w:rPr>
          <w:noProof/>
          <w:lang w:val="en-IN" w:eastAsia="en-IN"/>
        </w:rPr>
        <w:drawing>
          <wp:inline distT="0" distB="0" distL="0" distR="0" wp14:anchorId="2504F7AC" wp14:editId="4A9E4A3D">
            <wp:extent cx="5983200" cy="2916000"/>
            <wp:effectExtent l="0" t="0" r="17780" b="177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64FC7" w:rsidRPr="00970D1D" w:rsidRDefault="00C64FC7" w:rsidP="00C64FC7">
      <w:pPr>
        <w:spacing w:line="20" w:lineRule="atLeast"/>
        <w:jc w:val="both"/>
        <w:rPr>
          <w:rFonts w:ascii="Garamond" w:hAnsi="Garamond" w:cstheme="minorBidi"/>
          <w:b/>
          <w:noProof/>
          <w:lang w:eastAsia="en-GB"/>
        </w:rPr>
      </w:pPr>
      <w:r w:rsidRPr="00970D1D">
        <w:rPr>
          <w:rFonts w:ascii="Garamond" w:hAnsi="Garamond"/>
          <w:b/>
          <w:sz w:val="18"/>
          <w:szCs w:val="18"/>
        </w:rPr>
        <w:t xml:space="preserve"> Source</w:t>
      </w:r>
      <w:r w:rsidRPr="00970D1D">
        <w:rPr>
          <w:rFonts w:ascii="Garamond" w:hAnsi="Garamond"/>
          <w:sz w:val="18"/>
          <w:szCs w:val="18"/>
        </w:rPr>
        <w:t>: Bloomberg</w:t>
      </w:r>
    </w:p>
    <w:p w:rsidR="00C64FC7" w:rsidRPr="003251AC" w:rsidRDefault="00C64FC7" w:rsidP="00C64FC7">
      <w:pPr>
        <w:spacing w:line="20" w:lineRule="atLeast"/>
        <w:rPr>
          <w:rFonts w:ascii="Garamond" w:hAnsi="Garamond"/>
          <w:b/>
          <w:strike/>
        </w:rPr>
      </w:pPr>
    </w:p>
    <w:p w:rsidR="00C64FC7" w:rsidRPr="00824682" w:rsidRDefault="00C64FC7" w:rsidP="00C64FC7">
      <w:pPr>
        <w:spacing w:line="20" w:lineRule="atLeast"/>
        <w:rPr>
          <w:rFonts w:ascii="Garamond" w:hAnsi="Garamond"/>
          <w:b/>
        </w:rPr>
      </w:pPr>
    </w:p>
    <w:p w:rsidR="00C64FC7" w:rsidRPr="00824682" w:rsidRDefault="00C64FC7" w:rsidP="00C64FC7">
      <w:pPr>
        <w:spacing w:line="20" w:lineRule="atLeast"/>
        <w:jc w:val="center"/>
        <w:rPr>
          <w:rFonts w:ascii="Garamond" w:hAnsi="Garamond"/>
          <w:b/>
        </w:rPr>
      </w:pPr>
      <w:r w:rsidRPr="00824682">
        <w:rPr>
          <w:rFonts w:ascii="Garamond" w:hAnsi="Garamond"/>
          <w:b/>
        </w:rPr>
        <w:t>Chart 9:  Trend in Market Indices of BRICS Nations</w:t>
      </w:r>
    </w:p>
    <w:p w:rsidR="00C64FC7" w:rsidRPr="00824682" w:rsidRDefault="00C64FC7" w:rsidP="00C64FC7">
      <w:pPr>
        <w:spacing w:line="20" w:lineRule="atLeast"/>
        <w:jc w:val="center"/>
        <w:rPr>
          <w:rFonts w:ascii="Garamond" w:hAnsi="Garamond"/>
          <w:b/>
        </w:rPr>
      </w:pPr>
    </w:p>
    <w:p w:rsidR="00C64FC7" w:rsidRPr="00824682" w:rsidRDefault="00C64FC7" w:rsidP="00C64FC7">
      <w:pPr>
        <w:spacing w:line="20" w:lineRule="atLeast"/>
        <w:ind w:left="-360"/>
        <w:rPr>
          <w:rFonts w:ascii="Garamond" w:hAnsi="Garamond"/>
          <w:b/>
        </w:rPr>
      </w:pPr>
      <w:r>
        <w:rPr>
          <w:noProof/>
          <w:lang w:val="en-IN" w:eastAsia="en-IN"/>
        </w:rPr>
        <w:drawing>
          <wp:inline distT="0" distB="0" distL="0" distR="0" wp14:anchorId="3592EE50" wp14:editId="60CD38F8">
            <wp:extent cx="5666400" cy="2700000"/>
            <wp:effectExtent l="0" t="0" r="10795"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64FC7" w:rsidRPr="00824682" w:rsidRDefault="00C64FC7" w:rsidP="00C64FC7">
      <w:pPr>
        <w:spacing w:line="20" w:lineRule="atLeast"/>
        <w:jc w:val="both"/>
        <w:rPr>
          <w:rFonts w:ascii="Garamond" w:hAnsi="Garamond"/>
        </w:rPr>
      </w:pPr>
    </w:p>
    <w:p w:rsidR="00C64FC7" w:rsidRPr="003251AC" w:rsidRDefault="00C64FC7" w:rsidP="00C64FC7">
      <w:pPr>
        <w:rPr>
          <w:rFonts w:ascii="Garamond" w:hAnsi="Garamond"/>
          <w:b/>
          <w:strike/>
          <w:color w:val="000000" w:themeColor="text1"/>
        </w:rPr>
      </w:pPr>
      <w:r w:rsidRPr="00824682">
        <w:rPr>
          <w:rFonts w:ascii="Garamond" w:hAnsi="Garamond"/>
          <w:b/>
          <w:sz w:val="18"/>
          <w:szCs w:val="18"/>
        </w:rPr>
        <w:t>Source</w:t>
      </w:r>
      <w:r w:rsidRPr="00824682">
        <w:rPr>
          <w:rFonts w:ascii="Garamond" w:hAnsi="Garamond"/>
          <w:sz w:val="18"/>
          <w:szCs w:val="18"/>
        </w:rPr>
        <w:t>: Bloomberg</w:t>
      </w:r>
      <w:r w:rsidRPr="00824682">
        <w:rPr>
          <w:rFonts w:ascii="Garamond" w:hAnsi="Garamond"/>
          <w:b/>
          <w:color w:val="000000" w:themeColor="text1"/>
        </w:rPr>
        <w:t xml:space="preserve"> </w:t>
      </w:r>
      <w:r w:rsidRPr="00824682">
        <w:rPr>
          <w:rFonts w:ascii="Garamond" w:hAnsi="Garamond"/>
          <w:b/>
          <w:color w:val="000000" w:themeColor="text1"/>
        </w:rPr>
        <w:br w:type="page"/>
      </w:r>
    </w:p>
    <w:p w:rsidR="00C64FC7" w:rsidRPr="00F71DB8" w:rsidRDefault="00C64FC7" w:rsidP="00C64FC7">
      <w:pPr>
        <w:spacing w:line="20" w:lineRule="atLeast"/>
        <w:jc w:val="both"/>
        <w:rPr>
          <w:rFonts w:ascii="Garamond" w:hAnsi="Garamond"/>
        </w:rPr>
      </w:pPr>
      <w:r w:rsidRPr="00F71DB8">
        <w:rPr>
          <w:rFonts w:ascii="Garamond" w:hAnsi="Garamond"/>
          <w:b/>
        </w:rPr>
        <w:lastRenderedPageBreak/>
        <w:t>Market Capitalisation:</w:t>
      </w:r>
    </w:p>
    <w:p w:rsidR="00C64FC7" w:rsidRPr="00B9050B" w:rsidRDefault="00C64FC7" w:rsidP="00C64FC7">
      <w:pPr>
        <w:pStyle w:val="ListParagraph"/>
        <w:numPr>
          <w:ilvl w:val="1"/>
          <w:numId w:val="7"/>
        </w:numPr>
        <w:spacing w:after="0" w:line="240" w:lineRule="auto"/>
        <w:ind w:hanging="508"/>
        <w:jc w:val="both"/>
        <w:rPr>
          <w:rFonts w:ascii="Garamond" w:hAnsi="Garamond"/>
          <w:sz w:val="24"/>
          <w:szCs w:val="24"/>
          <w:lang w:val="en-GB"/>
        </w:rPr>
      </w:pPr>
      <w:r w:rsidRPr="00B9050B">
        <w:rPr>
          <w:rFonts w:ascii="Garamond" w:hAnsi="Garamond"/>
          <w:sz w:val="24"/>
          <w:szCs w:val="24"/>
          <w:lang w:val="en-GB"/>
        </w:rPr>
        <w:t>Market capitalisation of major countries in the world, at the end of February 2018, is given in table A6 and is illustrated in Chart 10. The market capitalisation of most of the major countries showed a negative trend during the month of February 2018.</w:t>
      </w:r>
    </w:p>
    <w:p w:rsidR="00C64FC7" w:rsidRPr="00B9050B" w:rsidRDefault="00C64FC7" w:rsidP="00C64FC7">
      <w:pPr>
        <w:pStyle w:val="ListParagraph"/>
        <w:spacing w:after="0" w:line="240" w:lineRule="auto"/>
        <w:ind w:left="792"/>
        <w:jc w:val="both"/>
        <w:rPr>
          <w:rFonts w:ascii="Garamond" w:hAnsi="Garamond"/>
          <w:sz w:val="24"/>
          <w:szCs w:val="24"/>
          <w:lang w:val="en-GB"/>
        </w:rPr>
      </w:pPr>
    </w:p>
    <w:p w:rsidR="00C64FC7" w:rsidRPr="00B9050B" w:rsidRDefault="00C64FC7" w:rsidP="00C64FC7">
      <w:pPr>
        <w:pStyle w:val="ListParagraph"/>
        <w:numPr>
          <w:ilvl w:val="1"/>
          <w:numId w:val="7"/>
        </w:numPr>
        <w:spacing w:after="0" w:line="240" w:lineRule="auto"/>
        <w:ind w:hanging="508"/>
        <w:jc w:val="both"/>
        <w:rPr>
          <w:rFonts w:ascii="Garamond" w:hAnsi="Garamond"/>
          <w:sz w:val="24"/>
          <w:szCs w:val="24"/>
          <w:lang w:val="en-GB"/>
        </w:rPr>
      </w:pPr>
      <w:r w:rsidRPr="00B9050B">
        <w:rPr>
          <w:rFonts w:ascii="Garamond" w:hAnsi="Garamond"/>
          <w:sz w:val="24"/>
          <w:szCs w:val="24"/>
          <w:lang w:val="en-GB"/>
        </w:rPr>
        <w:t>Among major developed markets, the market capitalisation of UK decreased significantly by 6.5 percent while Hong Kong showed a decrease of 5.7 percent during February 2018. Australia, France and USA also showed a decrease in their market capitalisation by 3.7 percent, 3.5 percent and 3.0 percent respectively. Japan and Singapore also recorded decline in market capitalisation by 2.4 percent and 2.5 percent during the same period.</w:t>
      </w:r>
    </w:p>
    <w:p w:rsidR="00C64FC7" w:rsidRPr="00B9050B" w:rsidRDefault="00C64FC7" w:rsidP="00C64FC7">
      <w:pPr>
        <w:pStyle w:val="ListParagraph"/>
        <w:spacing w:after="0" w:line="240" w:lineRule="auto"/>
        <w:ind w:left="792"/>
        <w:jc w:val="both"/>
        <w:rPr>
          <w:rFonts w:ascii="Garamond" w:hAnsi="Garamond"/>
          <w:sz w:val="24"/>
          <w:szCs w:val="24"/>
          <w:lang w:val="en-GB"/>
        </w:rPr>
      </w:pPr>
    </w:p>
    <w:p w:rsidR="00C64FC7" w:rsidRPr="00F71DB8" w:rsidRDefault="00C64FC7" w:rsidP="00C64FC7">
      <w:pPr>
        <w:pStyle w:val="ListParagraph"/>
        <w:numPr>
          <w:ilvl w:val="1"/>
          <w:numId w:val="7"/>
        </w:numPr>
        <w:spacing w:after="0" w:line="240" w:lineRule="auto"/>
        <w:ind w:hanging="508"/>
        <w:jc w:val="both"/>
        <w:rPr>
          <w:rFonts w:ascii="Garamond" w:hAnsi="Garamond"/>
          <w:sz w:val="24"/>
          <w:szCs w:val="24"/>
          <w:lang w:val="en-GB"/>
        </w:rPr>
      </w:pPr>
      <w:r w:rsidRPr="00B9050B">
        <w:rPr>
          <w:rFonts w:ascii="Garamond" w:hAnsi="Garamond"/>
          <w:sz w:val="24"/>
          <w:szCs w:val="24"/>
          <w:lang w:val="en-GB"/>
        </w:rPr>
        <w:t>As regards the emerging markets, the market capitalisation of South Korea decreased by 7.0 percent while Argentina’s market capitalisation witnessed a decrease by 6.7 percent. The market capitalization of India and Colombia descended by 6.3 percent and 5.7 percent respectively. China and Mexico also showed decrease in their market capitalisation and fell by 5.2 percent and 4.2 percent respectively at the end of February 2018. On the other hand, the market capitalisation of South Africa, Russia and Brazil increased by 2.3 percent, 2.0 percent and 0.7 percent respectively during the same period.</w:t>
      </w:r>
    </w:p>
    <w:p w:rsidR="00C64FC7" w:rsidRPr="003251AC" w:rsidRDefault="00C64FC7" w:rsidP="00C64FC7">
      <w:pPr>
        <w:ind w:left="720"/>
        <w:contextualSpacing/>
        <w:jc w:val="both"/>
        <w:rPr>
          <w:rFonts w:ascii="Garamond" w:hAnsi="Garamond"/>
          <w:strike/>
          <w:color w:val="000000" w:themeColor="text1"/>
        </w:rPr>
      </w:pPr>
    </w:p>
    <w:p w:rsidR="00C64FC7" w:rsidRPr="003251AC" w:rsidRDefault="00C64FC7" w:rsidP="00C64FC7">
      <w:pPr>
        <w:ind w:left="720"/>
        <w:contextualSpacing/>
        <w:jc w:val="both"/>
        <w:rPr>
          <w:rFonts w:ascii="Garamond" w:hAnsi="Garamond"/>
          <w:strike/>
          <w:color w:val="000000" w:themeColor="text1"/>
        </w:rPr>
      </w:pPr>
    </w:p>
    <w:p w:rsidR="00C64FC7" w:rsidRPr="00B9050B" w:rsidRDefault="00C64FC7" w:rsidP="00C64FC7">
      <w:pPr>
        <w:jc w:val="center"/>
        <w:rPr>
          <w:rFonts w:ascii="Times New Roman" w:hAnsi="Times New Roman"/>
          <w:noProof/>
          <w:lang w:eastAsia="en-IN"/>
        </w:rPr>
      </w:pPr>
      <w:r w:rsidRPr="00B9050B">
        <w:rPr>
          <w:rFonts w:ascii="Garamond" w:hAnsi="Garamond"/>
          <w:b/>
          <w:color w:val="000000" w:themeColor="text1"/>
        </w:rPr>
        <w:t>Chart 10: Trend in Market Capitalisation of Major Exchanges (US$ Trillion)</w:t>
      </w:r>
      <w:r w:rsidRPr="00B9050B">
        <w:rPr>
          <w:rFonts w:ascii="Times New Roman" w:hAnsi="Times New Roman"/>
          <w:noProof/>
        </w:rPr>
        <w:t xml:space="preserve"> </w:t>
      </w:r>
    </w:p>
    <w:p w:rsidR="00C64FC7" w:rsidRPr="00B9050B" w:rsidRDefault="00C64FC7" w:rsidP="00C64FC7">
      <w:pPr>
        <w:rPr>
          <w:rFonts w:ascii="Times New Roman" w:hAnsi="Times New Roman"/>
          <w:lang w:eastAsia="en-IN"/>
        </w:rPr>
      </w:pPr>
      <w:r w:rsidRPr="00B9050B">
        <w:rPr>
          <w:rFonts w:ascii="Times New Roman" w:hAnsi="Times New Roman"/>
          <w:lang w:eastAsia="en-IN"/>
        </w:rPr>
        <w:t xml:space="preserve">         </w:t>
      </w:r>
      <w:r>
        <w:rPr>
          <w:noProof/>
          <w:lang w:val="en-IN" w:eastAsia="en-IN"/>
        </w:rPr>
        <w:drawing>
          <wp:inline distT="0" distB="0" distL="0" distR="0" wp14:anchorId="3C0F6DFE" wp14:editId="36FB7254">
            <wp:extent cx="5774400" cy="2527200"/>
            <wp:effectExtent l="0" t="0" r="17145" b="698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64FC7" w:rsidRPr="00B9050B" w:rsidRDefault="00C64FC7" w:rsidP="00C64FC7">
      <w:pPr>
        <w:rPr>
          <w:rFonts w:ascii="Garamond" w:hAnsi="Garamond"/>
          <w:i/>
          <w:iCs/>
          <w:color w:val="000000" w:themeColor="text1"/>
        </w:rPr>
      </w:pPr>
      <w:r w:rsidRPr="00B9050B">
        <w:rPr>
          <w:rFonts w:ascii="Garamond" w:hAnsi="Garamond"/>
          <w:b/>
          <w:i/>
          <w:iCs/>
          <w:color w:val="000000" w:themeColor="text1"/>
        </w:rPr>
        <w:t>Source</w:t>
      </w:r>
      <w:r w:rsidRPr="00B9050B">
        <w:rPr>
          <w:rFonts w:ascii="Garamond" w:hAnsi="Garamond"/>
          <w:i/>
          <w:iCs/>
          <w:color w:val="000000" w:themeColor="text1"/>
        </w:rPr>
        <w:t>: Bloomberg</w:t>
      </w:r>
    </w:p>
    <w:p w:rsidR="00C64FC7" w:rsidRPr="000C3365" w:rsidRDefault="00C64FC7" w:rsidP="00C64FC7">
      <w:pPr>
        <w:spacing w:line="20" w:lineRule="atLeast"/>
        <w:rPr>
          <w:rFonts w:ascii="Garamond" w:hAnsi="Garamond"/>
          <w:color w:val="000000" w:themeColor="text1"/>
        </w:rPr>
      </w:pPr>
      <w:r w:rsidRPr="000C3365">
        <w:rPr>
          <w:rFonts w:ascii="Garamond" w:hAnsi="Garamond"/>
          <w:b/>
          <w:color w:val="000000" w:themeColor="text1"/>
        </w:rPr>
        <w:t xml:space="preserve">Derivatives Market: </w:t>
      </w:r>
    </w:p>
    <w:p w:rsidR="00C64FC7" w:rsidRPr="000C3365" w:rsidRDefault="00C64FC7" w:rsidP="00C64FC7">
      <w:pPr>
        <w:pStyle w:val="ListParagraph"/>
        <w:spacing w:after="0" w:line="240" w:lineRule="auto"/>
        <w:ind w:left="709"/>
        <w:jc w:val="both"/>
        <w:rPr>
          <w:rFonts w:ascii="Garamond" w:hAnsi="Garamond"/>
          <w:b/>
          <w:color w:val="283214"/>
          <w:sz w:val="24"/>
          <w:szCs w:val="24"/>
          <w:highlight w:val="yellow"/>
          <w:lang w:val="en-IN"/>
        </w:rPr>
      </w:pPr>
    </w:p>
    <w:p w:rsidR="00C64FC7" w:rsidRPr="000C3365" w:rsidRDefault="00C64FC7" w:rsidP="00C64FC7">
      <w:pPr>
        <w:pStyle w:val="ListParagraph"/>
        <w:numPr>
          <w:ilvl w:val="1"/>
          <w:numId w:val="7"/>
        </w:numPr>
        <w:spacing w:after="0" w:line="240" w:lineRule="auto"/>
        <w:ind w:hanging="508"/>
        <w:jc w:val="both"/>
        <w:rPr>
          <w:rFonts w:ascii="Garamond" w:hAnsi="Garamond"/>
          <w:color w:val="000000"/>
          <w:sz w:val="24"/>
          <w:szCs w:val="24"/>
        </w:rPr>
      </w:pPr>
      <w:r w:rsidRPr="000C3365">
        <w:rPr>
          <w:rFonts w:ascii="Garamond" w:hAnsi="Garamond"/>
          <w:color w:val="000000"/>
          <w:sz w:val="24"/>
          <w:szCs w:val="24"/>
        </w:rPr>
        <w:t>Among the major stock exchanges covered in the review (Table A4 &amp; A5), during January 2018, the monthly notional turnover of index futures in CME Group was the highest at USD 5,960 billion followed by EUREX (USD 1,826 billion), Hong Kong Exchanges and Clearing (USD 1,272 billion) and Japan Exchange Group (USD 1,053 billion).  In case of Index options, Korea Exchange recorded the monthly turnover of USD 5,121 billion followed by CME Group (USD 3,800 billion) and EUREX (USD 1,420 billion). Korea Exchange recorded highest number of contracts traded in Index option category, with 68 million contracts traded in January 2018, followed by Chicago Board Options Exchange (55.7 million contracts), EUREX (31.4 million contracts) and TAIFEX (21.4 million contracts).</w:t>
      </w:r>
    </w:p>
    <w:p w:rsidR="00C64FC7" w:rsidRPr="000C3365" w:rsidRDefault="00C64FC7" w:rsidP="00C64FC7">
      <w:pPr>
        <w:spacing w:line="20" w:lineRule="atLeast"/>
        <w:ind w:left="720"/>
        <w:contextualSpacing/>
        <w:rPr>
          <w:rFonts w:ascii="Garamond" w:hAnsi="Garamond"/>
          <w:color w:val="000000"/>
        </w:rPr>
      </w:pPr>
    </w:p>
    <w:p w:rsidR="00C64FC7" w:rsidRPr="000C3365" w:rsidRDefault="00C64FC7" w:rsidP="00C64FC7">
      <w:pPr>
        <w:pStyle w:val="ListParagraph"/>
        <w:numPr>
          <w:ilvl w:val="1"/>
          <w:numId w:val="7"/>
        </w:numPr>
        <w:spacing w:after="0" w:line="240" w:lineRule="auto"/>
        <w:ind w:hanging="508"/>
        <w:jc w:val="both"/>
        <w:rPr>
          <w:rFonts w:ascii="Garamond" w:hAnsi="Garamond"/>
          <w:color w:val="000000"/>
          <w:sz w:val="24"/>
          <w:szCs w:val="24"/>
        </w:rPr>
      </w:pPr>
      <w:r w:rsidRPr="000C3365">
        <w:rPr>
          <w:rFonts w:ascii="Garamond" w:hAnsi="Garamond"/>
          <w:color w:val="000000"/>
          <w:sz w:val="24"/>
          <w:szCs w:val="24"/>
        </w:rPr>
        <w:lastRenderedPageBreak/>
        <w:t>In case of Stock Options, BM&amp;FBOVESPA recorded highest volume (70.1 million contracts) in terms of contracts traded on the major world exchanges followed by Nasdaq - US (68.1 million contracts), Chicago Board Options Exchange (45.1 million contracts), NYSE (38.8 million contracts) and Hong Kong Exchanges and Clearing (16.8 million contracts). In case of Stock Futures, Korea Exchange remains the number one exchange in terms of number of contracts traded with monthly volume of 33.1 million contracts, followed by Moscow Exchange (13.5 million contracts), EUREX (8.8 million contracts) and Thailand Futures Exchange (6.4 million contracts).</w:t>
      </w:r>
    </w:p>
    <w:p w:rsidR="00C64FC7" w:rsidRPr="000C3365" w:rsidRDefault="00C64FC7" w:rsidP="00C64FC7">
      <w:pPr>
        <w:spacing w:line="20" w:lineRule="atLeast"/>
        <w:ind w:left="720"/>
        <w:contextualSpacing/>
        <w:rPr>
          <w:rFonts w:ascii="Garamond" w:hAnsi="Garamond"/>
          <w:color w:val="000000" w:themeColor="text1"/>
        </w:rPr>
      </w:pPr>
    </w:p>
    <w:p w:rsidR="00C64FC7" w:rsidRPr="00257F21" w:rsidRDefault="00C64FC7" w:rsidP="00C64FC7">
      <w:pPr>
        <w:pStyle w:val="ListParagraph"/>
        <w:numPr>
          <w:ilvl w:val="0"/>
          <w:numId w:val="7"/>
        </w:numPr>
        <w:spacing w:after="0" w:line="240" w:lineRule="auto"/>
        <w:jc w:val="both"/>
        <w:rPr>
          <w:rFonts w:ascii="Garamond" w:hAnsi="Garamond"/>
          <w:b/>
          <w:color w:val="283214"/>
          <w:sz w:val="24"/>
          <w:szCs w:val="24"/>
          <w:lang w:val="en-IN"/>
        </w:rPr>
      </w:pPr>
      <w:r w:rsidRPr="00257F21">
        <w:rPr>
          <w:rFonts w:ascii="Garamond" w:hAnsi="Garamond"/>
          <w:b/>
          <w:color w:val="283214"/>
          <w:sz w:val="24"/>
          <w:szCs w:val="24"/>
          <w:lang w:val="en-IN"/>
        </w:rPr>
        <w:t>Review of Indian Economy</w:t>
      </w:r>
    </w:p>
    <w:p w:rsidR="00C64FC7" w:rsidRPr="00257F21" w:rsidRDefault="00C64FC7" w:rsidP="00C64FC7">
      <w:pPr>
        <w:pStyle w:val="ListParagraph"/>
        <w:numPr>
          <w:ilvl w:val="1"/>
          <w:numId w:val="7"/>
        </w:numPr>
        <w:spacing w:after="0" w:line="240" w:lineRule="auto"/>
        <w:jc w:val="both"/>
        <w:rPr>
          <w:rFonts w:ascii="Garamond" w:hAnsi="Garamond"/>
          <w:b/>
          <w:color w:val="283214"/>
          <w:sz w:val="24"/>
          <w:szCs w:val="24"/>
          <w:lang w:val="en-IN"/>
        </w:rPr>
      </w:pPr>
      <w:r w:rsidRPr="00257F21">
        <w:rPr>
          <w:rFonts w:ascii="Garamond" w:hAnsi="Garamond"/>
          <w:color w:val="000000"/>
          <w:sz w:val="24"/>
          <w:szCs w:val="24"/>
        </w:rPr>
        <w:t>As per the latest available release of Ministry of Statistics and Programme Implementation for quarterly estimates of GDP, for Q3 of 2017-18, quarterly GVA (Gross Value Added) at basic price of 2011-12 has shown a growth rate of 6.7 per cent (Y-o-Y) against 6.9 percent of same quarter of previous fiscal year. Agriculture sector's GVA at basic price has been estimated at 4.1 percent as against 7.5 per cent of same quarter of previous fiscal year. Manufacturing sector grew by 8.1 percent same as in Q3 of previous fiscal year. For the financial, real estate and professional services sector, quarterly GVA at basic prices, grew by 6.7 percent as compared to growth of 2.8 percent in previous fiscal year.</w:t>
      </w:r>
    </w:p>
    <w:p w:rsidR="00C64FC7" w:rsidRPr="00257F21" w:rsidRDefault="00C64FC7" w:rsidP="00C64FC7">
      <w:pPr>
        <w:ind w:left="792"/>
        <w:contextualSpacing/>
        <w:jc w:val="both"/>
        <w:rPr>
          <w:rFonts w:ascii="Garamond" w:hAnsi="Garamond"/>
          <w:color w:val="000000"/>
        </w:rPr>
      </w:pPr>
    </w:p>
    <w:p w:rsidR="00C64FC7" w:rsidRPr="00257F21" w:rsidRDefault="00C64FC7" w:rsidP="00C64FC7">
      <w:pPr>
        <w:pStyle w:val="ListParagraph"/>
        <w:numPr>
          <w:ilvl w:val="1"/>
          <w:numId w:val="7"/>
        </w:numPr>
        <w:spacing w:after="0" w:line="240" w:lineRule="auto"/>
        <w:jc w:val="both"/>
        <w:rPr>
          <w:rFonts w:ascii="Garamond" w:hAnsi="Garamond"/>
          <w:color w:val="000000"/>
          <w:sz w:val="24"/>
          <w:szCs w:val="24"/>
        </w:rPr>
      </w:pPr>
      <w:r w:rsidRPr="00257F21">
        <w:rPr>
          <w:rFonts w:ascii="Garamond" w:hAnsi="Garamond"/>
          <w:color w:val="000000"/>
          <w:sz w:val="24"/>
          <w:szCs w:val="24"/>
        </w:rPr>
        <w:t>GDP in FY 2016-17 has shown a growth rate of 7.2 percent (Y-o-Y). The World Bank has downgraded India's economic growth forecasts to 6.7 percent and 7.3 percent for 2017 and 2018 respectively.</w:t>
      </w:r>
    </w:p>
    <w:p w:rsidR="00C64FC7" w:rsidRPr="00257F21" w:rsidRDefault="00C64FC7" w:rsidP="00C64FC7">
      <w:pPr>
        <w:autoSpaceDE w:val="0"/>
        <w:autoSpaceDN w:val="0"/>
        <w:adjustRightInd w:val="0"/>
        <w:contextualSpacing/>
        <w:rPr>
          <w:rFonts w:ascii="Garamond" w:hAnsi="Garamond"/>
          <w:color w:val="000000"/>
        </w:rPr>
      </w:pPr>
    </w:p>
    <w:p w:rsidR="00C64FC7" w:rsidRPr="00257F21" w:rsidRDefault="00C64FC7" w:rsidP="00C64FC7">
      <w:pPr>
        <w:pStyle w:val="ListParagraph"/>
        <w:numPr>
          <w:ilvl w:val="1"/>
          <w:numId w:val="7"/>
        </w:numPr>
        <w:spacing w:after="0" w:line="240" w:lineRule="auto"/>
        <w:jc w:val="both"/>
        <w:rPr>
          <w:rFonts w:ascii="Garamond" w:hAnsi="Garamond"/>
          <w:color w:val="000000"/>
          <w:sz w:val="24"/>
          <w:szCs w:val="24"/>
        </w:rPr>
      </w:pPr>
      <w:r w:rsidRPr="00257F21">
        <w:rPr>
          <w:rFonts w:ascii="Garamond" w:hAnsi="Garamond"/>
          <w:color w:val="000000"/>
          <w:sz w:val="24"/>
          <w:szCs w:val="24"/>
        </w:rPr>
        <w:t>The Nikkei India Manufacturing PMI (Purchasing Managers’ Index) stood at 52.</w:t>
      </w:r>
      <w:r>
        <w:rPr>
          <w:rFonts w:ascii="Garamond" w:hAnsi="Garamond"/>
          <w:color w:val="000000"/>
          <w:sz w:val="24"/>
          <w:szCs w:val="24"/>
        </w:rPr>
        <w:t>1</w:t>
      </w:r>
      <w:r w:rsidRPr="00257F21">
        <w:rPr>
          <w:rFonts w:ascii="Garamond" w:hAnsi="Garamond"/>
          <w:color w:val="000000"/>
          <w:sz w:val="24"/>
          <w:szCs w:val="24"/>
        </w:rPr>
        <w:t xml:space="preserve"> in </w:t>
      </w:r>
      <w:r>
        <w:rPr>
          <w:rFonts w:ascii="Garamond" w:hAnsi="Garamond"/>
          <w:color w:val="000000"/>
          <w:sz w:val="24"/>
          <w:szCs w:val="24"/>
        </w:rPr>
        <w:t>February</w:t>
      </w:r>
      <w:r w:rsidRPr="00257F21">
        <w:rPr>
          <w:rFonts w:ascii="Garamond" w:hAnsi="Garamond"/>
          <w:color w:val="000000"/>
          <w:sz w:val="24"/>
          <w:szCs w:val="24"/>
        </w:rPr>
        <w:t xml:space="preserve"> against </w:t>
      </w:r>
      <w:r>
        <w:rPr>
          <w:rFonts w:ascii="Garamond" w:hAnsi="Garamond"/>
          <w:color w:val="000000"/>
          <w:sz w:val="24"/>
          <w:szCs w:val="24"/>
        </w:rPr>
        <w:t>52.4</w:t>
      </w:r>
      <w:r w:rsidRPr="00257F21">
        <w:rPr>
          <w:rFonts w:ascii="Garamond" w:hAnsi="Garamond"/>
          <w:color w:val="000000"/>
          <w:sz w:val="24"/>
          <w:szCs w:val="24"/>
        </w:rPr>
        <w:t xml:space="preserve"> in previous month. The latest Nikkei India Services PMI Index noted </w:t>
      </w:r>
      <w:r>
        <w:rPr>
          <w:rFonts w:ascii="Garamond" w:hAnsi="Garamond"/>
          <w:color w:val="000000"/>
          <w:sz w:val="24"/>
          <w:szCs w:val="24"/>
        </w:rPr>
        <w:t>47.8</w:t>
      </w:r>
      <w:r w:rsidRPr="00257F21">
        <w:rPr>
          <w:rFonts w:ascii="Garamond" w:hAnsi="Garamond"/>
          <w:color w:val="000000"/>
          <w:sz w:val="24"/>
          <w:szCs w:val="24"/>
        </w:rPr>
        <w:t xml:space="preserve"> against </w:t>
      </w:r>
      <w:r>
        <w:rPr>
          <w:rFonts w:ascii="Garamond" w:hAnsi="Garamond"/>
          <w:color w:val="000000"/>
          <w:sz w:val="24"/>
          <w:szCs w:val="24"/>
        </w:rPr>
        <w:t>51.7</w:t>
      </w:r>
      <w:r w:rsidRPr="00257F21">
        <w:rPr>
          <w:rFonts w:ascii="Garamond" w:hAnsi="Garamond"/>
          <w:color w:val="000000"/>
          <w:sz w:val="24"/>
          <w:szCs w:val="24"/>
        </w:rPr>
        <w:t xml:space="preserve"> of previous month.</w:t>
      </w:r>
    </w:p>
    <w:p w:rsidR="00C64FC7" w:rsidRPr="003251AC" w:rsidRDefault="00C64FC7" w:rsidP="00C64FC7">
      <w:pPr>
        <w:autoSpaceDE w:val="0"/>
        <w:autoSpaceDN w:val="0"/>
        <w:adjustRightInd w:val="0"/>
        <w:rPr>
          <w:rFonts w:ascii="Garamond" w:hAnsi="Garamond"/>
          <w:b/>
          <w:bCs/>
          <w:strike/>
          <w:lang w:val="en-IN"/>
        </w:rPr>
      </w:pPr>
    </w:p>
    <w:p w:rsidR="00C64FC7" w:rsidRPr="00890C82" w:rsidRDefault="00C64FC7" w:rsidP="00C64FC7">
      <w:pPr>
        <w:autoSpaceDE w:val="0"/>
        <w:autoSpaceDN w:val="0"/>
        <w:adjustRightInd w:val="0"/>
        <w:rPr>
          <w:rFonts w:ascii="Garamond" w:hAnsi="Garamond"/>
          <w:b/>
          <w:bCs/>
          <w:lang w:val="en-IN"/>
        </w:rPr>
      </w:pPr>
      <w:r w:rsidRPr="00890C82">
        <w:rPr>
          <w:rFonts w:ascii="Garamond" w:hAnsi="Garamond"/>
          <w:b/>
          <w:bCs/>
          <w:lang w:val="en-IN"/>
        </w:rPr>
        <w:t>Exhibit 3: Quarterly Estimates of GVA (Y-o-Y) (at 2011-12 prices)</w:t>
      </w:r>
    </w:p>
    <w:p w:rsidR="00C64FC7" w:rsidRPr="00890C82" w:rsidRDefault="00C64FC7" w:rsidP="00C64FC7">
      <w:pPr>
        <w:autoSpaceDE w:val="0"/>
        <w:autoSpaceDN w:val="0"/>
        <w:adjustRightInd w:val="0"/>
        <w:ind w:left="-90"/>
        <w:contextualSpacing/>
        <w:jc w:val="center"/>
        <w:rPr>
          <w:rFonts w:ascii="Garamond" w:hAnsi="Garamond"/>
          <w:b/>
          <w:bCs/>
          <w:i/>
          <w:iCs/>
          <w:lang w:val="en-IN"/>
        </w:rPr>
      </w:pPr>
    </w:p>
    <w:tbl>
      <w:tblPr>
        <w:tblW w:w="10635" w:type="dxa"/>
        <w:tblInd w:w="-647" w:type="dxa"/>
        <w:tblLook w:val="04A0" w:firstRow="1" w:lastRow="0" w:firstColumn="1" w:lastColumn="0" w:noHBand="0" w:noVBand="1"/>
      </w:tblPr>
      <w:tblGrid>
        <w:gridCol w:w="4052"/>
        <w:gridCol w:w="1399"/>
        <w:gridCol w:w="900"/>
        <w:gridCol w:w="900"/>
        <w:gridCol w:w="901"/>
        <w:gridCol w:w="1021"/>
        <w:gridCol w:w="798"/>
        <w:gridCol w:w="664"/>
      </w:tblGrid>
      <w:tr w:rsidR="00C64FC7" w:rsidRPr="00890C82" w:rsidTr="00FE1096">
        <w:trPr>
          <w:trHeight w:val="297"/>
        </w:trPr>
        <w:tc>
          <w:tcPr>
            <w:tcW w:w="4052"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eastAsia="en-IN"/>
              </w:rPr>
              <w:t>Items</w:t>
            </w:r>
          </w:p>
        </w:tc>
        <w:tc>
          <w:tcPr>
            <w:tcW w:w="4100" w:type="dxa"/>
            <w:gridSpan w:val="4"/>
            <w:tcBorders>
              <w:top w:val="single" w:sz="8" w:space="0" w:color="B3CC82"/>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eastAsia="en-IN"/>
              </w:rPr>
              <w:t>2016-17</w:t>
            </w:r>
          </w:p>
        </w:tc>
        <w:tc>
          <w:tcPr>
            <w:tcW w:w="2483" w:type="dxa"/>
            <w:gridSpan w:val="3"/>
            <w:tcBorders>
              <w:top w:val="single" w:sz="8" w:space="0" w:color="B3CC82"/>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eastAsia="en-IN"/>
              </w:rPr>
              <w:t>2017-18</w:t>
            </w:r>
          </w:p>
        </w:tc>
      </w:tr>
      <w:tr w:rsidR="00C64FC7" w:rsidRPr="00890C82" w:rsidTr="00FE1096">
        <w:trPr>
          <w:trHeight w:val="297"/>
        </w:trPr>
        <w:tc>
          <w:tcPr>
            <w:tcW w:w="4052" w:type="dxa"/>
            <w:vMerge/>
            <w:tcBorders>
              <w:top w:val="single" w:sz="8" w:space="0" w:color="B3CC82"/>
              <w:left w:val="single" w:sz="8" w:space="0" w:color="B3CC82"/>
              <w:bottom w:val="single" w:sz="8" w:space="0" w:color="B3CC82"/>
              <w:right w:val="single" w:sz="8" w:space="0" w:color="B3CC82"/>
            </w:tcBorders>
            <w:vAlign w:val="center"/>
            <w:hideMark/>
          </w:tcPr>
          <w:p w:rsidR="00C64FC7" w:rsidRPr="00890C82" w:rsidRDefault="00C64FC7" w:rsidP="00FE1096">
            <w:pPr>
              <w:rPr>
                <w:rFonts w:ascii="Garamond" w:eastAsia="Times New Roman" w:hAnsi="Garamond" w:cs="Calibri"/>
                <w:b/>
                <w:bCs/>
                <w:color w:val="000000"/>
                <w:lang w:val="en-IN" w:eastAsia="en-IN"/>
              </w:rPr>
            </w:pPr>
          </w:p>
        </w:tc>
        <w:tc>
          <w:tcPr>
            <w:tcW w:w="1399" w:type="dxa"/>
            <w:tcBorders>
              <w:top w:val="nil"/>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Q1</w:t>
            </w:r>
          </w:p>
        </w:tc>
        <w:tc>
          <w:tcPr>
            <w:tcW w:w="900" w:type="dxa"/>
            <w:tcBorders>
              <w:top w:val="nil"/>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Q2</w:t>
            </w:r>
          </w:p>
        </w:tc>
        <w:tc>
          <w:tcPr>
            <w:tcW w:w="900" w:type="dxa"/>
            <w:tcBorders>
              <w:top w:val="nil"/>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Q3</w:t>
            </w:r>
          </w:p>
        </w:tc>
        <w:tc>
          <w:tcPr>
            <w:tcW w:w="901" w:type="dxa"/>
            <w:tcBorders>
              <w:top w:val="nil"/>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Q4</w:t>
            </w:r>
          </w:p>
        </w:tc>
        <w:tc>
          <w:tcPr>
            <w:tcW w:w="1021" w:type="dxa"/>
            <w:tcBorders>
              <w:top w:val="nil"/>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Q1</w:t>
            </w:r>
          </w:p>
        </w:tc>
        <w:tc>
          <w:tcPr>
            <w:tcW w:w="798" w:type="dxa"/>
            <w:tcBorders>
              <w:top w:val="nil"/>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Q2</w:t>
            </w:r>
          </w:p>
        </w:tc>
        <w:tc>
          <w:tcPr>
            <w:tcW w:w="664" w:type="dxa"/>
            <w:tcBorders>
              <w:top w:val="nil"/>
              <w:left w:val="nil"/>
              <w:bottom w:val="single" w:sz="8" w:space="0" w:color="B3CC82"/>
              <w:right w:val="single" w:sz="8" w:space="0" w:color="B3CC82"/>
            </w:tcBorders>
            <w:shd w:val="clear" w:color="000000" w:fill="00B050"/>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Q3</w:t>
            </w:r>
          </w:p>
        </w:tc>
      </w:tr>
      <w:tr w:rsidR="00C64FC7" w:rsidRPr="00890C82" w:rsidTr="00FE1096">
        <w:trPr>
          <w:trHeight w:val="297"/>
        </w:trPr>
        <w:tc>
          <w:tcPr>
            <w:tcW w:w="4052" w:type="dxa"/>
            <w:tcBorders>
              <w:top w:val="nil"/>
              <w:left w:val="single" w:sz="8" w:space="0" w:color="B3CC82"/>
              <w:bottom w:val="single" w:sz="8" w:space="0" w:color="B3CC82"/>
              <w:right w:val="single" w:sz="8" w:space="0" w:color="B3CC82"/>
            </w:tcBorders>
            <w:shd w:val="clear" w:color="000000" w:fill="E6EED5"/>
            <w:vAlign w:val="center"/>
            <w:hideMark/>
          </w:tcPr>
          <w:p w:rsidR="00C64FC7" w:rsidRPr="00890C82" w:rsidRDefault="00C64FC7" w:rsidP="00FE1096">
            <w:pP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 xml:space="preserve">1. Agriculture &amp; allied activities </w:t>
            </w:r>
          </w:p>
        </w:tc>
        <w:tc>
          <w:tcPr>
            <w:tcW w:w="1399"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4.3</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5.5</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7.5</w:t>
            </w:r>
          </w:p>
        </w:tc>
        <w:tc>
          <w:tcPr>
            <w:tcW w:w="90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5.2</w:t>
            </w:r>
          </w:p>
        </w:tc>
        <w:tc>
          <w:tcPr>
            <w:tcW w:w="102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2.7</w:t>
            </w:r>
          </w:p>
        </w:tc>
        <w:tc>
          <w:tcPr>
            <w:tcW w:w="798"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2.7</w:t>
            </w:r>
          </w:p>
        </w:tc>
        <w:tc>
          <w:tcPr>
            <w:tcW w:w="664"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4.1</w:t>
            </w:r>
          </w:p>
        </w:tc>
      </w:tr>
      <w:tr w:rsidR="00C64FC7" w:rsidRPr="00890C82" w:rsidTr="00FE1096">
        <w:trPr>
          <w:trHeight w:val="297"/>
        </w:trPr>
        <w:tc>
          <w:tcPr>
            <w:tcW w:w="4052" w:type="dxa"/>
            <w:tcBorders>
              <w:top w:val="nil"/>
              <w:left w:val="single" w:sz="8" w:space="0" w:color="B3CC82"/>
              <w:bottom w:val="single" w:sz="8" w:space="0" w:color="B3CC82"/>
              <w:right w:val="single" w:sz="8" w:space="0" w:color="B3CC82"/>
            </w:tcBorders>
            <w:shd w:val="clear" w:color="000000" w:fill="E6EED5"/>
            <w:vAlign w:val="center"/>
            <w:hideMark/>
          </w:tcPr>
          <w:p w:rsidR="00C64FC7" w:rsidRPr="00890C82" w:rsidRDefault="00C64FC7" w:rsidP="00FE1096">
            <w:pP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2. Mining &amp; Quarrying</w:t>
            </w:r>
          </w:p>
        </w:tc>
        <w:tc>
          <w:tcPr>
            <w:tcW w:w="1399"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10.5</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9.1</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12.1</w:t>
            </w:r>
          </w:p>
        </w:tc>
        <w:tc>
          <w:tcPr>
            <w:tcW w:w="90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6.4</w:t>
            </w:r>
          </w:p>
        </w:tc>
        <w:tc>
          <w:tcPr>
            <w:tcW w:w="102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1.8</w:t>
            </w:r>
          </w:p>
        </w:tc>
        <w:tc>
          <w:tcPr>
            <w:tcW w:w="798"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7.1</w:t>
            </w:r>
          </w:p>
        </w:tc>
        <w:tc>
          <w:tcPr>
            <w:tcW w:w="664"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-0.1</w:t>
            </w:r>
          </w:p>
        </w:tc>
      </w:tr>
      <w:tr w:rsidR="00C64FC7" w:rsidRPr="00890C82" w:rsidTr="00FE1096">
        <w:trPr>
          <w:trHeight w:val="297"/>
        </w:trPr>
        <w:tc>
          <w:tcPr>
            <w:tcW w:w="4052" w:type="dxa"/>
            <w:tcBorders>
              <w:top w:val="nil"/>
              <w:left w:val="single" w:sz="8" w:space="0" w:color="B3CC82"/>
              <w:bottom w:val="single" w:sz="8" w:space="0" w:color="B3CC82"/>
              <w:right w:val="single" w:sz="8" w:space="0" w:color="B3CC82"/>
            </w:tcBorders>
            <w:shd w:val="clear" w:color="000000" w:fill="CDDDAC"/>
            <w:vAlign w:val="center"/>
            <w:hideMark/>
          </w:tcPr>
          <w:p w:rsidR="00C64FC7" w:rsidRPr="00890C82" w:rsidRDefault="00C64FC7" w:rsidP="00FE1096">
            <w:pP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3. Manufacturing</w:t>
            </w:r>
          </w:p>
        </w:tc>
        <w:tc>
          <w:tcPr>
            <w:tcW w:w="1399"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9.9</w:t>
            </w:r>
          </w:p>
        </w:tc>
        <w:tc>
          <w:tcPr>
            <w:tcW w:w="900"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7.7</w:t>
            </w:r>
          </w:p>
        </w:tc>
        <w:tc>
          <w:tcPr>
            <w:tcW w:w="900"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8.1</w:t>
            </w:r>
          </w:p>
        </w:tc>
        <w:tc>
          <w:tcPr>
            <w:tcW w:w="901"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5.3</w:t>
            </w:r>
          </w:p>
        </w:tc>
        <w:tc>
          <w:tcPr>
            <w:tcW w:w="1021"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-1.8</w:t>
            </w:r>
          </w:p>
        </w:tc>
        <w:tc>
          <w:tcPr>
            <w:tcW w:w="798"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6.9</w:t>
            </w:r>
          </w:p>
        </w:tc>
        <w:tc>
          <w:tcPr>
            <w:tcW w:w="664"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8.1</w:t>
            </w:r>
          </w:p>
        </w:tc>
      </w:tr>
      <w:tr w:rsidR="00C64FC7" w:rsidRPr="00890C82" w:rsidTr="00FE1096">
        <w:trPr>
          <w:trHeight w:val="581"/>
        </w:trPr>
        <w:tc>
          <w:tcPr>
            <w:tcW w:w="4052" w:type="dxa"/>
            <w:tcBorders>
              <w:top w:val="nil"/>
              <w:left w:val="single" w:sz="8" w:space="0" w:color="B3CC82"/>
              <w:bottom w:val="single" w:sz="8" w:space="0" w:color="B3CC82"/>
              <w:right w:val="single" w:sz="8" w:space="0" w:color="B3CC82"/>
            </w:tcBorders>
            <w:shd w:val="clear" w:color="000000" w:fill="E6EED5"/>
            <w:vAlign w:val="center"/>
            <w:hideMark/>
          </w:tcPr>
          <w:p w:rsidR="00C64FC7" w:rsidRPr="00890C82" w:rsidRDefault="00C64FC7" w:rsidP="00FE1096">
            <w:pP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4. Electricity, Gas, Water    Supply &amp; Other Utility Services</w:t>
            </w:r>
          </w:p>
        </w:tc>
        <w:tc>
          <w:tcPr>
            <w:tcW w:w="1399"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12.4</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7.1</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9.5</w:t>
            </w:r>
          </w:p>
        </w:tc>
        <w:tc>
          <w:tcPr>
            <w:tcW w:w="90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6.1</w:t>
            </w:r>
          </w:p>
        </w:tc>
        <w:tc>
          <w:tcPr>
            <w:tcW w:w="102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7.1</w:t>
            </w:r>
          </w:p>
        </w:tc>
        <w:tc>
          <w:tcPr>
            <w:tcW w:w="798"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7.7</w:t>
            </w:r>
          </w:p>
        </w:tc>
        <w:tc>
          <w:tcPr>
            <w:tcW w:w="664"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6.1</w:t>
            </w:r>
          </w:p>
        </w:tc>
      </w:tr>
      <w:tr w:rsidR="00C64FC7" w:rsidRPr="00890C82" w:rsidTr="00FE1096">
        <w:trPr>
          <w:trHeight w:val="297"/>
        </w:trPr>
        <w:tc>
          <w:tcPr>
            <w:tcW w:w="4052" w:type="dxa"/>
            <w:tcBorders>
              <w:top w:val="nil"/>
              <w:left w:val="single" w:sz="8" w:space="0" w:color="B3CC82"/>
              <w:bottom w:val="single" w:sz="8" w:space="0" w:color="B3CC82"/>
              <w:right w:val="single" w:sz="8" w:space="0" w:color="B3CC82"/>
            </w:tcBorders>
            <w:shd w:val="clear" w:color="000000" w:fill="E6EED5"/>
            <w:vAlign w:val="center"/>
            <w:hideMark/>
          </w:tcPr>
          <w:p w:rsidR="00C64FC7" w:rsidRPr="00890C82" w:rsidRDefault="00C64FC7" w:rsidP="00FE1096">
            <w:pPr>
              <w:rPr>
                <w:rFonts w:ascii="Garamond" w:eastAsia="Times New Roman" w:hAnsi="Garamond" w:cs="Calibri"/>
                <w:color w:val="000000"/>
                <w:sz w:val="20"/>
                <w:szCs w:val="20"/>
                <w:lang w:val="en-IN" w:eastAsia="en-IN"/>
              </w:rPr>
            </w:pPr>
            <w:r w:rsidRPr="00890C82">
              <w:rPr>
                <w:rFonts w:ascii="Garamond" w:eastAsia="Times New Roman" w:hAnsi="Garamond" w:cs="Calibri"/>
                <w:color w:val="000000"/>
                <w:sz w:val="20"/>
                <w:szCs w:val="20"/>
                <w:lang w:eastAsia="en-IN"/>
              </w:rPr>
              <w:t>5. Construction</w:t>
            </w:r>
          </w:p>
        </w:tc>
        <w:tc>
          <w:tcPr>
            <w:tcW w:w="1399"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3</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3.8</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2.8</w:t>
            </w:r>
          </w:p>
        </w:tc>
        <w:tc>
          <w:tcPr>
            <w:tcW w:w="90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-3.7</w:t>
            </w:r>
          </w:p>
        </w:tc>
        <w:tc>
          <w:tcPr>
            <w:tcW w:w="102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1.5</w:t>
            </w:r>
          </w:p>
        </w:tc>
        <w:tc>
          <w:tcPr>
            <w:tcW w:w="798"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2.8</w:t>
            </w:r>
          </w:p>
        </w:tc>
        <w:tc>
          <w:tcPr>
            <w:tcW w:w="664"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6.8</w:t>
            </w:r>
          </w:p>
        </w:tc>
      </w:tr>
      <w:tr w:rsidR="00C64FC7" w:rsidRPr="00890C82" w:rsidTr="00FE1096">
        <w:trPr>
          <w:trHeight w:val="581"/>
        </w:trPr>
        <w:tc>
          <w:tcPr>
            <w:tcW w:w="4052" w:type="dxa"/>
            <w:tcBorders>
              <w:top w:val="nil"/>
              <w:left w:val="single" w:sz="8" w:space="0" w:color="B3CC82"/>
              <w:bottom w:val="single" w:sz="8" w:space="0" w:color="B3CC82"/>
              <w:right w:val="single" w:sz="8" w:space="0" w:color="B3CC82"/>
            </w:tcBorders>
            <w:shd w:val="clear" w:color="000000" w:fill="CDDDAC"/>
            <w:vAlign w:val="center"/>
            <w:hideMark/>
          </w:tcPr>
          <w:p w:rsidR="00C64FC7" w:rsidRPr="00890C82" w:rsidRDefault="00C64FC7" w:rsidP="00FE1096">
            <w:pP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6. Trade, Hotel, Transport,  Communication and services related to broadcasting</w:t>
            </w:r>
          </w:p>
        </w:tc>
        <w:tc>
          <w:tcPr>
            <w:tcW w:w="1399"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8.9</w:t>
            </w:r>
          </w:p>
        </w:tc>
        <w:tc>
          <w:tcPr>
            <w:tcW w:w="900"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7.2</w:t>
            </w:r>
          </w:p>
        </w:tc>
        <w:tc>
          <w:tcPr>
            <w:tcW w:w="900"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7.5</w:t>
            </w:r>
          </w:p>
        </w:tc>
        <w:tc>
          <w:tcPr>
            <w:tcW w:w="901"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6.5</w:t>
            </w:r>
          </w:p>
        </w:tc>
        <w:tc>
          <w:tcPr>
            <w:tcW w:w="1021"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8.4</w:t>
            </w:r>
          </w:p>
        </w:tc>
        <w:tc>
          <w:tcPr>
            <w:tcW w:w="798"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9.3</w:t>
            </w:r>
          </w:p>
        </w:tc>
        <w:tc>
          <w:tcPr>
            <w:tcW w:w="664"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9</w:t>
            </w:r>
          </w:p>
        </w:tc>
      </w:tr>
      <w:tr w:rsidR="00C64FC7" w:rsidRPr="00890C82" w:rsidTr="00FE1096">
        <w:trPr>
          <w:trHeight w:val="297"/>
        </w:trPr>
        <w:tc>
          <w:tcPr>
            <w:tcW w:w="4052" w:type="dxa"/>
            <w:tcBorders>
              <w:top w:val="nil"/>
              <w:left w:val="single" w:sz="8" w:space="0" w:color="B3CC82"/>
              <w:bottom w:val="single" w:sz="8" w:space="0" w:color="B3CC82"/>
              <w:right w:val="single" w:sz="8" w:space="0" w:color="B3CC82"/>
            </w:tcBorders>
            <w:shd w:val="clear" w:color="000000" w:fill="E6EED5"/>
            <w:vAlign w:val="center"/>
            <w:hideMark/>
          </w:tcPr>
          <w:p w:rsidR="00C64FC7" w:rsidRPr="00890C82" w:rsidRDefault="00C64FC7" w:rsidP="00FE1096">
            <w:pP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7. Financial, Real Estate &amp; Professional Services</w:t>
            </w:r>
          </w:p>
        </w:tc>
        <w:tc>
          <w:tcPr>
            <w:tcW w:w="1399"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10.5</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8.3</w:t>
            </w:r>
          </w:p>
        </w:tc>
        <w:tc>
          <w:tcPr>
            <w:tcW w:w="900"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2.8</w:t>
            </w:r>
          </w:p>
        </w:tc>
        <w:tc>
          <w:tcPr>
            <w:tcW w:w="90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2.2</w:t>
            </w:r>
          </w:p>
        </w:tc>
        <w:tc>
          <w:tcPr>
            <w:tcW w:w="1021"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8.9</w:t>
            </w:r>
          </w:p>
        </w:tc>
        <w:tc>
          <w:tcPr>
            <w:tcW w:w="798"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6.4</w:t>
            </w:r>
          </w:p>
        </w:tc>
        <w:tc>
          <w:tcPr>
            <w:tcW w:w="664" w:type="dxa"/>
            <w:tcBorders>
              <w:top w:val="nil"/>
              <w:left w:val="nil"/>
              <w:bottom w:val="single" w:sz="8" w:space="0" w:color="B3CC82"/>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6.7</w:t>
            </w:r>
          </w:p>
        </w:tc>
      </w:tr>
      <w:tr w:rsidR="00C64FC7" w:rsidRPr="00890C82" w:rsidTr="00FE1096">
        <w:trPr>
          <w:trHeight w:val="581"/>
        </w:trPr>
        <w:tc>
          <w:tcPr>
            <w:tcW w:w="4052" w:type="dxa"/>
            <w:tcBorders>
              <w:top w:val="nil"/>
              <w:left w:val="single" w:sz="8" w:space="0" w:color="B3CC82"/>
              <w:bottom w:val="single" w:sz="8" w:space="0" w:color="B3CC82"/>
              <w:right w:val="single" w:sz="8" w:space="0" w:color="B3CC82"/>
            </w:tcBorders>
            <w:shd w:val="clear" w:color="000000" w:fill="CDDDAC"/>
            <w:vAlign w:val="center"/>
            <w:hideMark/>
          </w:tcPr>
          <w:p w:rsidR="00C64FC7" w:rsidRPr="00890C82" w:rsidRDefault="00C64FC7" w:rsidP="00FE1096">
            <w:pP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8. Public Administration, Defense and Other services</w:t>
            </w:r>
          </w:p>
        </w:tc>
        <w:tc>
          <w:tcPr>
            <w:tcW w:w="1399"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7.7</w:t>
            </w:r>
          </w:p>
        </w:tc>
        <w:tc>
          <w:tcPr>
            <w:tcW w:w="900"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8</w:t>
            </w:r>
          </w:p>
        </w:tc>
        <w:tc>
          <w:tcPr>
            <w:tcW w:w="900"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10.6</w:t>
            </w:r>
          </w:p>
        </w:tc>
        <w:tc>
          <w:tcPr>
            <w:tcW w:w="901"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eastAsia="en-IN"/>
              </w:rPr>
              <w:t>17</w:t>
            </w:r>
          </w:p>
        </w:tc>
        <w:tc>
          <w:tcPr>
            <w:tcW w:w="1021"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13.2</w:t>
            </w:r>
          </w:p>
        </w:tc>
        <w:tc>
          <w:tcPr>
            <w:tcW w:w="798"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5.6</w:t>
            </w:r>
          </w:p>
        </w:tc>
        <w:tc>
          <w:tcPr>
            <w:tcW w:w="664" w:type="dxa"/>
            <w:tcBorders>
              <w:top w:val="nil"/>
              <w:left w:val="nil"/>
              <w:bottom w:val="single" w:sz="8" w:space="0" w:color="B3CC82"/>
              <w:right w:val="single" w:sz="8" w:space="0" w:color="B3CC82"/>
            </w:tcBorders>
            <w:shd w:val="clear" w:color="000000" w:fill="CDDDAC"/>
            <w:vAlign w:val="center"/>
            <w:hideMark/>
          </w:tcPr>
          <w:p w:rsidR="00C64FC7" w:rsidRPr="00890C82" w:rsidRDefault="00C64FC7" w:rsidP="00FE1096">
            <w:pPr>
              <w:jc w:val="center"/>
              <w:rPr>
                <w:rFonts w:ascii="Garamond" w:eastAsia="Times New Roman" w:hAnsi="Garamond" w:cs="Calibri"/>
                <w:color w:val="000000"/>
                <w:lang w:val="en-IN" w:eastAsia="en-IN"/>
              </w:rPr>
            </w:pPr>
            <w:r w:rsidRPr="00890C82">
              <w:rPr>
                <w:rFonts w:ascii="Garamond" w:eastAsia="Times New Roman" w:hAnsi="Garamond" w:cs="Calibri"/>
                <w:color w:val="000000"/>
                <w:lang w:val="en-IN" w:eastAsia="en-IN"/>
              </w:rPr>
              <w:t>7.2</w:t>
            </w:r>
          </w:p>
        </w:tc>
      </w:tr>
      <w:tr w:rsidR="00C64FC7" w:rsidRPr="00890C82" w:rsidTr="00FE1096">
        <w:trPr>
          <w:trHeight w:val="283"/>
        </w:trPr>
        <w:tc>
          <w:tcPr>
            <w:tcW w:w="4052" w:type="dxa"/>
            <w:tcBorders>
              <w:top w:val="nil"/>
              <w:left w:val="single" w:sz="8" w:space="0" w:color="B3CC82"/>
              <w:bottom w:val="nil"/>
              <w:right w:val="single" w:sz="8" w:space="0" w:color="B3CC82"/>
            </w:tcBorders>
            <w:shd w:val="clear" w:color="000000" w:fill="E6EED5"/>
            <w:vAlign w:val="center"/>
            <w:hideMark/>
          </w:tcPr>
          <w:p w:rsidR="00C64FC7" w:rsidRPr="00890C82" w:rsidRDefault="00C64FC7" w:rsidP="00FE1096">
            <w:pPr>
              <w:rPr>
                <w:rFonts w:ascii="Garamond" w:eastAsia="Times New Roman" w:hAnsi="Garamond" w:cs="Calibri"/>
                <w:b/>
                <w:bCs/>
                <w:color w:val="000000"/>
                <w:lang w:val="en-IN" w:eastAsia="en-IN"/>
              </w:rPr>
            </w:pPr>
            <w:r w:rsidRPr="00890C82">
              <w:rPr>
                <w:rFonts w:ascii="Garamond" w:eastAsia="Times New Roman" w:hAnsi="Garamond" w:cs="Calibri"/>
                <w:b/>
                <w:bCs/>
                <w:color w:val="000000"/>
                <w:lang w:eastAsia="en-IN"/>
              </w:rPr>
              <w:t>Gross Value Added at Basic Price</w:t>
            </w:r>
          </w:p>
        </w:tc>
        <w:tc>
          <w:tcPr>
            <w:tcW w:w="1399"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8.3</w:t>
            </w:r>
          </w:p>
        </w:tc>
        <w:tc>
          <w:tcPr>
            <w:tcW w:w="900"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7.2</w:t>
            </w:r>
          </w:p>
        </w:tc>
        <w:tc>
          <w:tcPr>
            <w:tcW w:w="900"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6.9</w:t>
            </w:r>
          </w:p>
        </w:tc>
        <w:tc>
          <w:tcPr>
            <w:tcW w:w="901"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eastAsia="en-IN"/>
              </w:rPr>
              <w:t>5.6</w:t>
            </w:r>
          </w:p>
        </w:tc>
        <w:tc>
          <w:tcPr>
            <w:tcW w:w="1021"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5.6</w:t>
            </w:r>
          </w:p>
        </w:tc>
        <w:tc>
          <w:tcPr>
            <w:tcW w:w="798"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6.2</w:t>
            </w:r>
          </w:p>
        </w:tc>
        <w:tc>
          <w:tcPr>
            <w:tcW w:w="664"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6.7</w:t>
            </w:r>
          </w:p>
        </w:tc>
      </w:tr>
      <w:tr w:rsidR="00C64FC7" w:rsidRPr="00890C82" w:rsidTr="00FE1096">
        <w:trPr>
          <w:trHeight w:val="297"/>
        </w:trPr>
        <w:tc>
          <w:tcPr>
            <w:tcW w:w="4052" w:type="dxa"/>
            <w:tcBorders>
              <w:top w:val="nil"/>
              <w:left w:val="single" w:sz="8" w:space="0" w:color="B3CC82"/>
              <w:bottom w:val="single" w:sz="8" w:space="0" w:color="B3CC82"/>
              <w:right w:val="single" w:sz="8" w:space="0" w:color="B3CC82"/>
            </w:tcBorders>
            <w:shd w:val="clear" w:color="000000" w:fill="E6EED5"/>
            <w:vAlign w:val="center"/>
            <w:hideMark/>
          </w:tcPr>
          <w:p w:rsidR="00C64FC7" w:rsidRPr="00890C82" w:rsidRDefault="00C64FC7" w:rsidP="00FE1096">
            <w:pPr>
              <w:rPr>
                <w:rFonts w:ascii="Garamond" w:eastAsia="Times New Roman" w:hAnsi="Garamond" w:cs="Calibri"/>
                <w:b/>
                <w:bCs/>
                <w:color w:val="000000"/>
                <w:lang w:val="en-IN" w:eastAsia="en-IN"/>
              </w:rPr>
            </w:pPr>
            <w:r w:rsidRPr="00890C82">
              <w:rPr>
                <w:rFonts w:ascii="Garamond" w:eastAsia="Times New Roman" w:hAnsi="Garamond" w:cs="Calibri"/>
                <w:b/>
                <w:bCs/>
                <w:color w:val="000000"/>
                <w:lang w:eastAsia="en-IN"/>
              </w:rPr>
              <w:t>GDP</w:t>
            </w:r>
          </w:p>
        </w:tc>
        <w:tc>
          <w:tcPr>
            <w:tcW w:w="1399"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8.1</w:t>
            </w:r>
          </w:p>
        </w:tc>
        <w:tc>
          <w:tcPr>
            <w:tcW w:w="900"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7.6</w:t>
            </w:r>
          </w:p>
        </w:tc>
        <w:tc>
          <w:tcPr>
            <w:tcW w:w="900"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6.8</w:t>
            </w:r>
          </w:p>
        </w:tc>
        <w:tc>
          <w:tcPr>
            <w:tcW w:w="901"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eastAsia="en-IN"/>
              </w:rPr>
              <w:t>6.1</w:t>
            </w:r>
          </w:p>
        </w:tc>
        <w:tc>
          <w:tcPr>
            <w:tcW w:w="1021"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5.7</w:t>
            </w:r>
          </w:p>
        </w:tc>
        <w:tc>
          <w:tcPr>
            <w:tcW w:w="798"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6.5</w:t>
            </w:r>
          </w:p>
        </w:tc>
        <w:tc>
          <w:tcPr>
            <w:tcW w:w="664" w:type="dxa"/>
            <w:tcBorders>
              <w:top w:val="nil"/>
              <w:left w:val="nil"/>
              <w:bottom w:val="nil"/>
              <w:right w:val="single" w:sz="8" w:space="0" w:color="B3CC82"/>
            </w:tcBorders>
            <w:shd w:val="clear" w:color="000000" w:fill="E6EED5"/>
            <w:vAlign w:val="center"/>
            <w:hideMark/>
          </w:tcPr>
          <w:p w:rsidR="00C64FC7" w:rsidRPr="00890C82" w:rsidRDefault="00C64FC7" w:rsidP="00FE1096">
            <w:pPr>
              <w:jc w:val="center"/>
              <w:rPr>
                <w:rFonts w:ascii="Garamond" w:eastAsia="Times New Roman" w:hAnsi="Garamond" w:cs="Calibri"/>
                <w:b/>
                <w:bCs/>
                <w:color w:val="000000"/>
                <w:lang w:val="en-IN" w:eastAsia="en-IN"/>
              </w:rPr>
            </w:pPr>
            <w:r w:rsidRPr="00890C82">
              <w:rPr>
                <w:rFonts w:ascii="Garamond" w:eastAsia="Times New Roman" w:hAnsi="Garamond" w:cs="Calibri"/>
                <w:b/>
                <w:bCs/>
                <w:color w:val="000000"/>
                <w:lang w:val="en-IN" w:eastAsia="en-IN"/>
              </w:rPr>
              <w:t>7.2</w:t>
            </w:r>
          </w:p>
        </w:tc>
      </w:tr>
    </w:tbl>
    <w:p w:rsidR="00C64FC7" w:rsidRPr="00890C82" w:rsidRDefault="00C64FC7" w:rsidP="00C64FC7">
      <w:pPr>
        <w:autoSpaceDE w:val="0"/>
        <w:autoSpaceDN w:val="0"/>
        <w:adjustRightInd w:val="0"/>
        <w:ind w:left="-90"/>
        <w:contextualSpacing/>
        <w:rPr>
          <w:rFonts w:ascii="Garamond" w:hAnsi="Garamond"/>
          <w:i/>
          <w:iCs/>
          <w:lang w:val="en-IN"/>
        </w:rPr>
      </w:pPr>
      <w:r w:rsidRPr="00890C82">
        <w:rPr>
          <w:rFonts w:ascii="Garamond" w:hAnsi="Garamond"/>
          <w:b/>
          <w:bCs/>
          <w:i/>
          <w:iCs/>
          <w:lang w:val="en-IN"/>
        </w:rPr>
        <w:t xml:space="preserve">             Source: </w:t>
      </w:r>
      <w:r w:rsidRPr="00890C82">
        <w:rPr>
          <w:rFonts w:ascii="Garamond" w:hAnsi="Garamond"/>
          <w:i/>
          <w:iCs/>
          <w:lang w:val="en-IN"/>
        </w:rPr>
        <w:t>CSO</w:t>
      </w:r>
    </w:p>
    <w:p w:rsidR="00C64FC7" w:rsidRPr="003251AC" w:rsidRDefault="00C64FC7" w:rsidP="00C64FC7">
      <w:pPr>
        <w:autoSpaceDE w:val="0"/>
        <w:autoSpaceDN w:val="0"/>
        <w:adjustRightInd w:val="0"/>
        <w:contextualSpacing/>
        <w:rPr>
          <w:rFonts w:ascii="Garamond" w:hAnsi="Garamond"/>
          <w:i/>
          <w:iCs/>
          <w:strike/>
          <w:lang w:val="en-IN"/>
        </w:rPr>
      </w:pPr>
    </w:p>
    <w:p w:rsidR="00C64FC7" w:rsidRPr="00205286" w:rsidRDefault="00C64FC7" w:rsidP="00C64FC7">
      <w:pPr>
        <w:rPr>
          <w:rFonts w:ascii="Garamond" w:hAnsi="Garamond"/>
          <w:b/>
        </w:rPr>
      </w:pPr>
      <w:r w:rsidRPr="00205286">
        <w:rPr>
          <w:rFonts w:ascii="Garamond" w:hAnsi="Garamond"/>
          <w:b/>
        </w:rPr>
        <w:t>Index of Industrial Production</w:t>
      </w:r>
    </w:p>
    <w:p w:rsidR="00C64FC7" w:rsidRPr="00205286" w:rsidRDefault="00C64FC7" w:rsidP="00C64FC7">
      <w:pPr>
        <w:pStyle w:val="ListParagraph"/>
        <w:numPr>
          <w:ilvl w:val="1"/>
          <w:numId w:val="7"/>
        </w:numPr>
        <w:spacing w:after="0" w:line="240" w:lineRule="auto"/>
        <w:jc w:val="both"/>
        <w:rPr>
          <w:rFonts w:ascii="Garamond" w:hAnsi="Garamond"/>
          <w:color w:val="000000"/>
          <w:sz w:val="24"/>
          <w:szCs w:val="24"/>
        </w:rPr>
      </w:pPr>
      <w:r w:rsidRPr="00205286">
        <w:rPr>
          <w:rFonts w:ascii="Garamond" w:hAnsi="Garamond"/>
          <w:color w:val="000000"/>
          <w:sz w:val="24"/>
          <w:szCs w:val="24"/>
        </w:rPr>
        <w:lastRenderedPageBreak/>
        <w:t xml:space="preserve">India’s General Index of Industrial Production (IIP) increased by </w:t>
      </w:r>
      <w:r w:rsidRPr="00E52FF1">
        <w:rPr>
          <w:rFonts w:ascii="Garamond" w:hAnsi="Garamond"/>
          <w:color w:val="000000"/>
          <w:sz w:val="24"/>
          <w:szCs w:val="24"/>
        </w:rPr>
        <w:t>7.5</w:t>
      </w:r>
      <w:r>
        <w:rPr>
          <w:rFonts w:ascii="Garamond" w:hAnsi="Garamond"/>
          <w:color w:val="000000"/>
          <w:sz w:val="24"/>
          <w:szCs w:val="24"/>
        </w:rPr>
        <w:t xml:space="preserve"> </w:t>
      </w:r>
      <w:r w:rsidRPr="00205286">
        <w:rPr>
          <w:rFonts w:ascii="Garamond" w:hAnsi="Garamond"/>
          <w:color w:val="000000"/>
          <w:sz w:val="24"/>
          <w:szCs w:val="24"/>
        </w:rPr>
        <w:t xml:space="preserve">percent in </w:t>
      </w:r>
      <w:r>
        <w:rPr>
          <w:rFonts w:ascii="Garamond" w:hAnsi="Garamond"/>
          <w:color w:val="000000"/>
          <w:sz w:val="24"/>
          <w:szCs w:val="24"/>
        </w:rPr>
        <w:t>January 2018</w:t>
      </w:r>
      <w:r w:rsidRPr="00205286">
        <w:rPr>
          <w:rFonts w:ascii="Garamond" w:hAnsi="Garamond"/>
          <w:color w:val="000000"/>
          <w:sz w:val="24"/>
          <w:szCs w:val="24"/>
        </w:rPr>
        <w:t xml:space="preserve">, against </w:t>
      </w:r>
      <w:r>
        <w:rPr>
          <w:rFonts w:ascii="Garamond" w:hAnsi="Garamond"/>
          <w:color w:val="000000"/>
          <w:sz w:val="24"/>
          <w:szCs w:val="24"/>
        </w:rPr>
        <w:t>4.1</w:t>
      </w:r>
      <w:r w:rsidRPr="00205286">
        <w:rPr>
          <w:rFonts w:ascii="Garamond" w:hAnsi="Garamond"/>
          <w:color w:val="000000"/>
          <w:sz w:val="24"/>
          <w:szCs w:val="24"/>
        </w:rPr>
        <w:t xml:space="preserve"> percent growth recorded in </w:t>
      </w:r>
      <w:r>
        <w:rPr>
          <w:rFonts w:ascii="Garamond" w:hAnsi="Garamond"/>
          <w:color w:val="000000"/>
          <w:sz w:val="24"/>
          <w:szCs w:val="24"/>
        </w:rPr>
        <w:t>January 2018</w:t>
      </w:r>
      <w:r w:rsidRPr="00205286">
        <w:rPr>
          <w:rFonts w:ascii="Garamond" w:hAnsi="Garamond"/>
          <w:color w:val="000000"/>
          <w:sz w:val="24"/>
          <w:szCs w:val="24"/>
        </w:rPr>
        <w:t xml:space="preserve"> (both over the corresponding period in the previous year), with manufacturing growing by 8.</w:t>
      </w:r>
      <w:r>
        <w:rPr>
          <w:rFonts w:ascii="Garamond" w:hAnsi="Garamond"/>
          <w:color w:val="000000"/>
          <w:sz w:val="24"/>
          <w:szCs w:val="24"/>
        </w:rPr>
        <w:t>7</w:t>
      </w:r>
      <w:r w:rsidRPr="00205286">
        <w:rPr>
          <w:rFonts w:ascii="Garamond" w:hAnsi="Garamond"/>
          <w:color w:val="000000"/>
          <w:sz w:val="24"/>
          <w:szCs w:val="24"/>
        </w:rPr>
        <w:t xml:space="preserve"> percent as compared to its </w:t>
      </w:r>
      <w:r>
        <w:rPr>
          <w:rFonts w:ascii="Garamond" w:hAnsi="Garamond"/>
          <w:color w:val="000000"/>
          <w:sz w:val="24"/>
          <w:szCs w:val="24"/>
        </w:rPr>
        <w:t>4.3</w:t>
      </w:r>
      <w:r w:rsidRPr="00205286">
        <w:rPr>
          <w:rFonts w:ascii="Garamond" w:hAnsi="Garamond"/>
          <w:color w:val="000000"/>
          <w:sz w:val="24"/>
          <w:szCs w:val="24"/>
        </w:rPr>
        <w:t xml:space="preserve"> percent growth in previous year. Electricity grew at </w:t>
      </w:r>
      <w:r>
        <w:rPr>
          <w:rFonts w:ascii="Garamond" w:hAnsi="Garamond"/>
          <w:color w:val="000000"/>
          <w:sz w:val="24"/>
          <w:szCs w:val="24"/>
        </w:rPr>
        <w:t>7.6</w:t>
      </w:r>
      <w:r w:rsidRPr="00205286">
        <w:rPr>
          <w:rFonts w:ascii="Garamond" w:hAnsi="Garamond"/>
          <w:color w:val="000000"/>
          <w:sz w:val="24"/>
          <w:szCs w:val="24"/>
        </w:rPr>
        <w:t xml:space="preserve"> percent in as compared to </w:t>
      </w:r>
      <w:r>
        <w:rPr>
          <w:rFonts w:ascii="Garamond" w:hAnsi="Garamond"/>
          <w:color w:val="000000"/>
          <w:sz w:val="24"/>
          <w:szCs w:val="24"/>
        </w:rPr>
        <w:t>5.3</w:t>
      </w:r>
      <w:r w:rsidRPr="00205286">
        <w:rPr>
          <w:rFonts w:ascii="Garamond" w:hAnsi="Garamond"/>
          <w:color w:val="000000"/>
          <w:sz w:val="24"/>
          <w:szCs w:val="24"/>
        </w:rPr>
        <w:t xml:space="preserve"> percent growth in previous year. Mining grew by </w:t>
      </w:r>
      <w:r>
        <w:rPr>
          <w:rFonts w:ascii="Garamond" w:hAnsi="Garamond"/>
          <w:color w:val="000000"/>
          <w:sz w:val="24"/>
          <w:szCs w:val="24"/>
        </w:rPr>
        <w:t>0.1</w:t>
      </w:r>
      <w:r w:rsidRPr="00205286">
        <w:rPr>
          <w:rFonts w:ascii="Garamond" w:hAnsi="Garamond"/>
          <w:color w:val="000000"/>
          <w:sz w:val="24"/>
          <w:szCs w:val="24"/>
        </w:rPr>
        <w:t xml:space="preserve"> percent, compared to </w:t>
      </w:r>
      <w:r>
        <w:rPr>
          <w:rFonts w:ascii="Garamond" w:hAnsi="Garamond"/>
          <w:color w:val="000000"/>
          <w:sz w:val="24"/>
          <w:szCs w:val="24"/>
        </w:rPr>
        <w:t>2.5</w:t>
      </w:r>
      <w:r w:rsidRPr="00205286">
        <w:rPr>
          <w:rFonts w:ascii="Garamond" w:hAnsi="Garamond"/>
          <w:color w:val="000000"/>
          <w:sz w:val="24"/>
          <w:szCs w:val="24"/>
        </w:rPr>
        <w:t xml:space="preserve"> percent growth in previous year. During April-</w:t>
      </w:r>
      <w:r>
        <w:rPr>
          <w:rFonts w:ascii="Garamond" w:hAnsi="Garamond"/>
          <w:color w:val="000000"/>
          <w:sz w:val="24"/>
          <w:szCs w:val="24"/>
        </w:rPr>
        <w:t>January</w:t>
      </w:r>
      <w:r w:rsidRPr="00205286">
        <w:rPr>
          <w:rFonts w:ascii="Garamond" w:hAnsi="Garamond"/>
          <w:color w:val="000000"/>
          <w:sz w:val="24"/>
          <w:szCs w:val="24"/>
        </w:rPr>
        <w:t xml:space="preserve"> 2017-18, the IIP grew 3.</w:t>
      </w:r>
      <w:r>
        <w:rPr>
          <w:rFonts w:ascii="Garamond" w:hAnsi="Garamond"/>
          <w:color w:val="000000"/>
          <w:sz w:val="24"/>
          <w:szCs w:val="24"/>
        </w:rPr>
        <w:t>5</w:t>
      </w:r>
      <w:r w:rsidRPr="00205286">
        <w:rPr>
          <w:rFonts w:ascii="Garamond" w:hAnsi="Garamond"/>
          <w:color w:val="000000"/>
          <w:sz w:val="24"/>
          <w:szCs w:val="24"/>
        </w:rPr>
        <w:t xml:space="preserve"> percent, against 5.</w:t>
      </w:r>
      <w:r>
        <w:rPr>
          <w:rFonts w:ascii="Garamond" w:hAnsi="Garamond"/>
          <w:color w:val="000000"/>
          <w:sz w:val="24"/>
          <w:szCs w:val="24"/>
        </w:rPr>
        <w:t>0</w:t>
      </w:r>
      <w:r w:rsidRPr="00205286">
        <w:rPr>
          <w:rFonts w:ascii="Garamond" w:hAnsi="Garamond"/>
          <w:color w:val="000000"/>
          <w:sz w:val="24"/>
          <w:szCs w:val="24"/>
        </w:rPr>
        <w:t xml:space="preserve"> percent growth recorded in corresponding period in previous financial year.</w:t>
      </w:r>
    </w:p>
    <w:p w:rsidR="00C64FC7" w:rsidRPr="003251AC" w:rsidRDefault="00C64FC7" w:rsidP="00C64FC7">
      <w:pPr>
        <w:ind w:left="792"/>
        <w:contextualSpacing/>
        <w:rPr>
          <w:rFonts w:ascii="Garamond" w:hAnsi="Garamond"/>
          <w:strike/>
        </w:rPr>
      </w:pPr>
    </w:p>
    <w:p w:rsidR="00C64FC7" w:rsidRPr="00F83F62" w:rsidRDefault="00C64FC7" w:rsidP="00C64FC7">
      <w:pPr>
        <w:rPr>
          <w:rFonts w:ascii="Garamond" w:hAnsi="Garamond"/>
          <w:b/>
        </w:rPr>
      </w:pPr>
      <w:r w:rsidRPr="00F83F62">
        <w:rPr>
          <w:rFonts w:ascii="Garamond" w:hAnsi="Garamond"/>
          <w:b/>
        </w:rPr>
        <w:t>Inflation</w:t>
      </w:r>
    </w:p>
    <w:p w:rsidR="00C64FC7" w:rsidRPr="00F83F62" w:rsidRDefault="00C64FC7" w:rsidP="00C64FC7">
      <w:pPr>
        <w:pStyle w:val="ListParagraph"/>
        <w:numPr>
          <w:ilvl w:val="1"/>
          <w:numId w:val="7"/>
        </w:numPr>
        <w:spacing w:after="0" w:line="240" w:lineRule="auto"/>
        <w:jc w:val="both"/>
        <w:rPr>
          <w:rFonts w:ascii="Garamond" w:hAnsi="Garamond"/>
          <w:color w:val="000000"/>
          <w:sz w:val="24"/>
          <w:szCs w:val="24"/>
        </w:rPr>
      </w:pPr>
      <w:r w:rsidRPr="00F83F62">
        <w:rPr>
          <w:rFonts w:ascii="Garamond" w:hAnsi="Garamond"/>
          <w:color w:val="000000"/>
          <w:sz w:val="24"/>
          <w:szCs w:val="24"/>
        </w:rPr>
        <w:t xml:space="preserve">India's CPI inflation grew by </w:t>
      </w:r>
      <w:r>
        <w:rPr>
          <w:rFonts w:ascii="Garamond" w:hAnsi="Garamond"/>
          <w:color w:val="000000"/>
          <w:sz w:val="24"/>
          <w:szCs w:val="24"/>
        </w:rPr>
        <w:t>4.44</w:t>
      </w:r>
      <w:r w:rsidRPr="00F83F62">
        <w:rPr>
          <w:rFonts w:ascii="Garamond" w:hAnsi="Garamond"/>
          <w:color w:val="000000"/>
          <w:sz w:val="24"/>
          <w:szCs w:val="24"/>
        </w:rPr>
        <w:t xml:space="preserve"> percent in </w:t>
      </w:r>
      <w:r>
        <w:rPr>
          <w:rFonts w:ascii="Garamond" w:hAnsi="Garamond"/>
          <w:color w:val="000000"/>
          <w:sz w:val="24"/>
          <w:szCs w:val="24"/>
        </w:rPr>
        <w:t>February</w:t>
      </w:r>
      <w:r w:rsidRPr="00F83F62">
        <w:rPr>
          <w:rFonts w:ascii="Garamond" w:hAnsi="Garamond"/>
          <w:color w:val="000000"/>
          <w:sz w:val="24"/>
          <w:szCs w:val="24"/>
        </w:rPr>
        <w:t xml:space="preserve">, against </w:t>
      </w:r>
      <w:r>
        <w:rPr>
          <w:rFonts w:ascii="Garamond" w:hAnsi="Garamond"/>
          <w:color w:val="000000"/>
          <w:sz w:val="24"/>
          <w:szCs w:val="24"/>
        </w:rPr>
        <w:t>5.07</w:t>
      </w:r>
      <w:r w:rsidRPr="00F83F62">
        <w:rPr>
          <w:rFonts w:ascii="Garamond" w:hAnsi="Garamond"/>
          <w:color w:val="000000"/>
          <w:sz w:val="24"/>
          <w:szCs w:val="24"/>
        </w:rPr>
        <w:t xml:space="preserve"> in previous month. Food prices (as measured by CFPI) showed an increase of </w:t>
      </w:r>
      <w:r>
        <w:rPr>
          <w:rFonts w:ascii="Garamond" w:hAnsi="Garamond"/>
          <w:color w:val="000000"/>
          <w:sz w:val="24"/>
          <w:szCs w:val="24"/>
        </w:rPr>
        <w:t>3.26</w:t>
      </w:r>
      <w:r w:rsidRPr="00F83F62">
        <w:rPr>
          <w:rFonts w:ascii="Garamond" w:hAnsi="Garamond"/>
          <w:color w:val="000000"/>
          <w:sz w:val="24"/>
          <w:szCs w:val="24"/>
        </w:rPr>
        <w:t xml:space="preserve"> percent as compared to growth of </w:t>
      </w:r>
      <w:r>
        <w:rPr>
          <w:rFonts w:ascii="Garamond" w:hAnsi="Garamond"/>
          <w:color w:val="000000"/>
          <w:sz w:val="24"/>
          <w:szCs w:val="24"/>
        </w:rPr>
        <w:t>4.70</w:t>
      </w:r>
      <w:r w:rsidRPr="00F83F62">
        <w:rPr>
          <w:rFonts w:ascii="Garamond" w:hAnsi="Garamond"/>
          <w:color w:val="000000"/>
          <w:sz w:val="24"/>
          <w:szCs w:val="24"/>
        </w:rPr>
        <w:t xml:space="preserve"> percent in last month. The Repo rate currently stands at 6.00 percent. </w:t>
      </w:r>
    </w:p>
    <w:p w:rsidR="00C64FC7" w:rsidRPr="003251AC" w:rsidRDefault="00C64FC7" w:rsidP="00C64FC7">
      <w:pPr>
        <w:rPr>
          <w:rFonts w:ascii="Garamond" w:hAnsi="Garamond"/>
          <w:strike/>
          <w:color w:val="000000"/>
        </w:rPr>
      </w:pPr>
    </w:p>
    <w:p w:rsidR="00C64FC7" w:rsidRPr="00D64453" w:rsidRDefault="00C64FC7" w:rsidP="00C64FC7">
      <w:pPr>
        <w:rPr>
          <w:rFonts w:ascii="Garamond" w:hAnsi="Garamond"/>
          <w:b/>
          <w:color w:val="283214"/>
        </w:rPr>
      </w:pPr>
      <w:r w:rsidRPr="00D64453">
        <w:rPr>
          <w:rFonts w:ascii="Garamond" w:hAnsi="Garamond"/>
          <w:b/>
          <w:color w:val="283214"/>
        </w:rPr>
        <w:t>Trade – Exports and Imports</w:t>
      </w:r>
    </w:p>
    <w:p w:rsidR="00C64FC7" w:rsidRPr="00D64453" w:rsidRDefault="00C64FC7" w:rsidP="00C64FC7">
      <w:pPr>
        <w:pStyle w:val="ListParagraph"/>
        <w:numPr>
          <w:ilvl w:val="1"/>
          <w:numId w:val="7"/>
        </w:numPr>
        <w:spacing w:after="0" w:line="240" w:lineRule="auto"/>
        <w:jc w:val="both"/>
        <w:rPr>
          <w:rFonts w:ascii="Garamond" w:hAnsi="Garamond"/>
          <w:color w:val="000000"/>
          <w:sz w:val="24"/>
          <w:szCs w:val="24"/>
        </w:rPr>
      </w:pPr>
      <w:r w:rsidRPr="00D64453">
        <w:rPr>
          <w:rFonts w:ascii="Garamond" w:hAnsi="Garamond"/>
          <w:color w:val="000000"/>
          <w:sz w:val="24"/>
          <w:szCs w:val="24"/>
        </w:rPr>
        <w:t xml:space="preserve">Exports during </w:t>
      </w:r>
      <w:r>
        <w:rPr>
          <w:rFonts w:ascii="Garamond" w:hAnsi="Garamond"/>
          <w:color w:val="000000"/>
          <w:sz w:val="24"/>
          <w:szCs w:val="24"/>
        </w:rPr>
        <w:t>February</w:t>
      </w:r>
      <w:r w:rsidRPr="00D64453">
        <w:rPr>
          <w:rFonts w:ascii="Garamond" w:hAnsi="Garamond"/>
          <w:color w:val="000000"/>
          <w:sz w:val="24"/>
          <w:szCs w:val="24"/>
        </w:rPr>
        <w:t xml:space="preserve"> 2018 grew at </w:t>
      </w:r>
      <w:r>
        <w:rPr>
          <w:rFonts w:ascii="Garamond" w:hAnsi="Garamond"/>
          <w:color w:val="000000"/>
          <w:sz w:val="24"/>
          <w:szCs w:val="24"/>
        </w:rPr>
        <w:t>4.48</w:t>
      </w:r>
      <w:r w:rsidRPr="00D64453">
        <w:rPr>
          <w:rFonts w:ascii="Garamond" w:hAnsi="Garamond"/>
          <w:color w:val="000000"/>
          <w:sz w:val="24"/>
          <w:szCs w:val="24"/>
        </w:rPr>
        <w:t xml:space="preserve"> percent in dollar terms valued at USD </w:t>
      </w:r>
      <w:r>
        <w:rPr>
          <w:rFonts w:ascii="Garamond" w:hAnsi="Garamond"/>
          <w:color w:val="000000"/>
          <w:sz w:val="24"/>
          <w:szCs w:val="24"/>
        </w:rPr>
        <w:t>25.83</w:t>
      </w:r>
      <w:r w:rsidRPr="00D64453">
        <w:rPr>
          <w:rFonts w:ascii="Garamond" w:hAnsi="Garamond"/>
          <w:color w:val="000000"/>
          <w:sz w:val="24"/>
          <w:szCs w:val="24"/>
        </w:rPr>
        <w:t xml:space="preserve"> billion as compared to USD </w:t>
      </w:r>
      <w:r>
        <w:rPr>
          <w:rFonts w:ascii="Garamond" w:hAnsi="Garamond"/>
          <w:color w:val="000000"/>
          <w:sz w:val="24"/>
          <w:szCs w:val="24"/>
        </w:rPr>
        <w:t>24.73</w:t>
      </w:r>
      <w:r w:rsidRPr="00D64453">
        <w:rPr>
          <w:rFonts w:ascii="Garamond" w:hAnsi="Garamond"/>
          <w:color w:val="000000"/>
          <w:sz w:val="24"/>
          <w:szCs w:val="24"/>
        </w:rPr>
        <w:t xml:space="preserve"> billion during same month of last year. Imports increased by </w:t>
      </w:r>
      <w:r>
        <w:rPr>
          <w:rFonts w:ascii="Garamond" w:hAnsi="Garamond"/>
          <w:color w:val="000000"/>
          <w:sz w:val="24"/>
          <w:szCs w:val="24"/>
        </w:rPr>
        <w:t>10.41</w:t>
      </w:r>
      <w:r w:rsidRPr="00D64453">
        <w:rPr>
          <w:rFonts w:ascii="Garamond" w:hAnsi="Garamond"/>
          <w:color w:val="000000"/>
          <w:sz w:val="24"/>
          <w:szCs w:val="24"/>
        </w:rPr>
        <w:t xml:space="preserve"> percent to USD </w:t>
      </w:r>
      <w:r>
        <w:rPr>
          <w:rFonts w:ascii="Garamond" w:hAnsi="Garamond"/>
          <w:color w:val="000000"/>
          <w:sz w:val="24"/>
          <w:szCs w:val="24"/>
        </w:rPr>
        <w:t>37.81</w:t>
      </w:r>
      <w:r w:rsidRPr="00D64453">
        <w:rPr>
          <w:rFonts w:ascii="Garamond" w:hAnsi="Garamond"/>
          <w:color w:val="000000"/>
          <w:sz w:val="24"/>
          <w:szCs w:val="24"/>
        </w:rPr>
        <w:t xml:space="preserve"> billion from </w:t>
      </w:r>
      <w:r>
        <w:rPr>
          <w:rFonts w:ascii="Garamond" w:hAnsi="Garamond"/>
          <w:color w:val="000000"/>
          <w:sz w:val="24"/>
          <w:szCs w:val="24"/>
        </w:rPr>
        <w:t>34.25</w:t>
      </w:r>
      <w:r w:rsidRPr="00D64453">
        <w:rPr>
          <w:rFonts w:ascii="Garamond" w:hAnsi="Garamond"/>
          <w:color w:val="000000"/>
          <w:sz w:val="24"/>
          <w:szCs w:val="24"/>
        </w:rPr>
        <w:t xml:space="preserve"> billion during the same month of last year. The merchandise trade deficit was USD </w:t>
      </w:r>
      <w:r>
        <w:rPr>
          <w:rFonts w:ascii="Garamond" w:hAnsi="Garamond"/>
          <w:color w:val="000000"/>
          <w:sz w:val="24"/>
          <w:szCs w:val="24"/>
        </w:rPr>
        <w:t>11.98</w:t>
      </w:r>
      <w:r w:rsidRPr="00D64453">
        <w:rPr>
          <w:rFonts w:ascii="Garamond" w:hAnsi="Garamond"/>
          <w:color w:val="000000"/>
          <w:sz w:val="24"/>
          <w:szCs w:val="24"/>
        </w:rPr>
        <w:t xml:space="preserve"> billion in during </w:t>
      </w:r>
      <w:r>
        <w:rPr>
          <w:rFonts w:ascii="Garamond" w:hAnsi="Garamond"/>
          <w:color w:val="000000"/>
          <w:sz w:val="24"/>
          <w:szCs w:val="24"/>
        </w:rPr>
        <w:t>February</w:t>
      </w:r>
      <w:r w:rsidRPr="00D64453">
        <w:rPr>
          <w:rFonts w:ascii="Garamond" w:hAnsi="Garamond"/>
          <w:color w:val="000000"/>
          <w:sz w:val="24"/>
          <w:szCs w:val="24"/>
        </w:rPr>
        <w:t xml:space="preserve"> 2018, against the deficit of USD </w:t>
      </w:r>
      <w:r>
        <w:rPr>
          <w:rFonts w:ascii="Garamond" w:hAnsi="Garamond"/>
          <w:color w:val="000000"/>
          <w:sz w:val="24"/>
          <w:szCs w:val="24"/>
        </w:rPr>
        <w:t>9.52</w:t>
      </w:r>
      <w:r w:rsidRPr="00D64453">
        <w:rPr>
          <w:rFonts w:ascii="Garamond" w:hAnsi="Garamond"/>
          <w:color w:val="000000"/>
          <w:sz w:val="24"/>
          <w:szCs w:val="24"/>
        </w:rPr>
        <w:t xml:space="preserve"> billion of </w:t>
      </w:r>
      <w:r>
        <w:rPr>
          <w:rFonts w:ascii="Garamond" w:hAnsi="Garamond"/>
          <w:color w:val="000000"/>
          <w:sz w:val="24"/>
          <w:szCs w:val="24"/>
        </w:rPr>
        <w:t>February 2018</w:t>
      </w:r>
      <w:r w:rsidRPr="00D64453">
        <w:rPr>
          <w:rFonts w:ascii="Garamond" w:hAnsi="Garamond"/>
          <w:color w:val="000000"/>
          <w:sz w:val="24"/>
          <w:szCs w:val="24"/>
        </w:rPr>
        <w:t xml:space="preserve">. Taking merchandise and services together, overall trade deficit for April- </w:t>
      </w:r>
      <w:r>
        <w:rPr>
          <w:rFonts w:ascii="Garamond" w:hAnsi="Garamond"/>
          <w:color w:val="000000"/>
          <w:sz w:val="24"/>
          <w:szCs w:val="24"/>
        </w:rPr>
        <w:t>February</w:t>
      </w:r>
      <w:r w:rsidRPr="00D64453">
        <w:rPr>
          <w:rFonts w:ascii="Garamond" w:hAnsi="Garamond"/>
          <w:color w:val="000000"/>
          <w:sz w:val="24"/>
          <w:szCs w:val="24"/>
        </w:rPr>
        <w:t xml:space="preserve"> 2017-18 was estimated at USD </w:t>
      </w:r>
      <w:r>
        <w:rPr>
          <w:rFonts w:ascii="Garamond" w:hAnsi="Garamond"/>
          <w:color w:val="000000"/>
          <w:sz w:val="24"/>
          <w:szCs w:val="24"/>
        </w:rPr>
        <w:t>85.70</w:t>
      </w:r>
      <w:r w:rsidRPr="00D64453">
        <w:rPr>
          <w:rFonts w:ascii="Garamond" w:hAnsi="Garamond"/>
          <w:color w:val="000000"/>
          <w:sz w:val="24"/>
          <w:szCs w:val="24"/>
        </w:rPr>
        <w:t xml:space="preserve"> billion, against the deficit of USD </w:t>
      </w:r>
      <w:r>
        <w:rPr>
          <w:rFonts w:ascii="Garamond" w:hAnsi="Garamond"/>
          <w:color w:val="000000"/>
          <w:sz w:val="24"/>
          <w:szCs w:val="24"/>
        </w:rPr>
        <w:t>44.38</w:t>
      </w:r>
      <w:r w:rsidRPr="00D64453">
        <w:rPr>
          <w:rFonts w:ascii="Garamond" w:hAnsi="Garamond"/>
          <w:color w:val="000000"/>
          <w:sz w:val="24"/>
          <w:szCs w:val="24"/>
        </w:rPr>
        <w:t xml:space="preserve"> billion during April-</w:t>
      </w:r>
      <w:r>
        <w:rPr>
          <w:rFonts w:ascii="Garamond" w:hAnsi="Garamond"/>
          <w:color w:val="000000"/>
          <w:sz w:val="24"/>
          <w:szCs w:val="24"/>
        </w:rPr>
        <w:t>February</w:t>
      </w:r>
      <w:r w:rsidRPr="00D64453">
        <w:rPr>
          <w:rFonts w:ascii="Garamond" w:hAnsi="Garamond"/>
          <w:color w:val="000000"/>
          <w:sz w:val="24"/>
          <w:szCs w:val="24"/>
        </w:rPr>
        <w:t xml:space="preserve"> 2016-17.</w:t>
      </w:r>
    </w:p>
    <w:p w:rsidR="00C64FC7" w:rsidRPr="003251AC" w:rsidRDefault="00C64FC7" w:rsidP="00C64FC7">
      <w:pPr>
        <w:ind w:left="792"/>
        <w:contextualSpacing/>
        <w:jc w:val="both"/>
        <w:rPr>
          <w:rFonts w:ascii="Garamond" w:hAnsi="Garamond"/>
          <w:b/>
          <w:strike/>
          <w:color w:val="283214"/>
        </w:rPr>
      </w:pPr>
    </w:p>
    <w:p w:rsidR="00C64FC7" w:rsidRPr="00FF381C" w:rsidRDefault="00C64FC7" w:rsidP="00C64FC7">
      <w:pPr>
        <w:rPr>
          <w:rFonts w:ascii="Garamond" w:hAnsi="Garamond"/>
          <w:b/>
          <w:color w:val="283214"/>
        </w:rPr>
      </w:pPr>
      <w:r w:rsidRPr="00FF381C">
        <w:rPr>
          <w:rFonts w:ascii="Garamond" w:hAnsi="Garamond"/>
          <w:b/>
          <w:color w:val="283214"/>
        </w:rPr>
        <w:t>Foreign Exchange Reserves</w:t>
      </w:r>
    </w:p>
    <w:p w:rsidR="00C64FC7" w:rsidRPr="00FF381C" w:rsidRDefault="00C64FC7" w:rsidP="00C64FC7">
      <w:pPr>
        <w:pStyle w:val="ListParagraph"/>
        <w:numPr>
          <w:ilvl w:val="1"/>
          <w:numId w:val="7"/>
        </w:numPr>
        <w:spacing w:after="0" w:line="240" w:lineRule="auto"/>
        <w:jc w:val="both"/>
        <w:rPr>
          <w:rFonts w:ascii="Garamond" w:hAnsi="Garamond"/>
          <w:color w:val="000000"/>
          <w:sz w:val="24"/>
          <w:szCs w:val="24"/>
        </w:rPr>
      </w:pPr>
      <w:r w:rsidRPr="00FF381C">
        <w:rPr>
          <w:rFonts w:ascii="Garamond" w:hAnsi="Garamond"/>
          <w:color w:val="000000"/>
          <w:sz w:val="24"/>
          <w:szCs w:val="24"/>
        </w:rPr>
        <w:t>Since the end of March 2017, forex reserves have increased by about USD 50,635.90 million. The reserves were recorded at USD 420.59</w:t>
      </w:r>
      <w:r>
        <w:rPr>
          <w:rFonts w:ascii="Garamond" w:hAnsi="Garamond"/>
          <w:color w:val="000000"/>
          <w:sz w:val="24"/>
          <w:szCs w:val="24"/>
        </w:rPr>
        <w:t xml:space="preserve"> </w:t>
      </w:r>
      <w:r w:rsidRPr="00FF381C">
        <w:rPr>
          <w:rFonts w:ascii="Garamond" w:hAnsi="Garamond"/>
          <w:color w:val="000000"/>
          <w:sz w:val="24"/>
          <w:szCs w:val="24"/>
        </w:rPr>
        <w:t xml:space="preserve">billion as on </w:t>
      </w:r>
      <w:r>
        <w:rPr>
          <w:rFonts w:ascii="Garamond" w:hAnsi="Garamond"/>
          <w:color w:val="000000"/>
          <w:sz w:val="24"/>
          <w:szCs w:val="24"/>
        </w:rPr>
        <w:t>23</w:t>
      </w:r>
      <w:r w:rsidRPr="00FF381C">
        <w:rPr>
          <w:rFonts w:ascii="Garamond" w:hAnsi="Garamond"/>
          <w:color w:val="000000"/>
          <w:sz w:val="24"/>
          <w:szCs w:val="24"/>
        </w:rPr>
        <w:t xml:space="preserve"> </w:t>
      </w:r>
      <w:r>
        <w:rPr>
          <w:rFonts w:ascii="Garamond" w:hAnsi="Garamond"/>
          <w:color w:val="000000"/>
          <w:sz w:val="24"/>
          <w:szCs w:val="24"/>
        </w:rPr>
        <w:t xml:space="preserve">February </w:t>
      </w:r>
      <w:r w:rsidRPr="00FF381C">
        <w:rPr>
          <w:rFonts w:ascii="Garamond" w:hAnsi="Garamond"/>
          <w:color w:val="000000"/>
          <w:sz w:val="24"/>
          <w:szCs w:val="24"/>
        </w:rPr>
        <w:t>2018. (Exhibit 4)</w:t>
      </w:r>
    </w:p>
    <w:p w:rsidR="00C64FC7" w:rsidRPr="00FF381C" w:rsidRDefault="00C64FC7" w:rsidP="00C64FC7">
      <w:pPr>
        <w:rPr>
          <w:rFonts w:ascii="Garamond" w:hAnsi="Garamond"/>
          <w:b/>
          <w:bCs/>
          <w:lang w:val="en-IN"/>
        </w:rPr>
      </w:pPr>
    </w:p>
    <w:p w:rsidR="00C64FC7" w:rsidRPr="00FF381C" w:rsidRDefault="00C64FC7" w:rsidP="00C64FC7">
      <w:pPr>
        <w:tabs>
          <w:tab w:val="left" w:pos="0"/>
        </w:tabs>
        <w:contextualSpacing/>
        <w:rPr>
          <w:rFonts w:ascii="Garamond" w:hAnsi="Garamond"/>
          <w:b/>
          <w:bCs/>
          <w:lang w:val="en-IN"/>
        </w:rPr>
      </w:pPr>
      <w:r w:rsidRPr="00FF381C">
        <w:rPr>
          <w:rFonts w:ascii="Garamond" w:hAnsi="Garamond"/>
          <w:b/>
          <w:bCs/>
          <w:lang w:val="en-IN"/>
        </w:rPr>
        <w:t>Exhibit 4: Foreign Exchange Reserves                                                               (USD billion)</w:t>
      </w:r>
    </w:p>
    <w:tbl>
      <w:tblPr>
        <w:tblW w:w="9520" w:type="dxa"/>
        <w:tblInd w:w="-10" w:type="dxa"/>
        <w:tblLook w:val="04A0" w:firstRow="1" w:lastRow="0" w:firstColumn="1" w:lastColumn="0" w:noHBand="0" w:noVBand="1"/>
      </w:tblPr>
      <w:tblGrid>
        <w:gridCol w:w="3120"/>
        <w:gridCol w:w="1600"/>
        <w:gridCol w:w="1600"/>
        <w:gridCol w:w="1600"/>
        <w:gridCol w:w="1600"/>
      </w:tblGrid>
      <w:tr w:rsidR="00C64FC7" w:rsidRPr="00FF381C" w:rsidTr="00FE1096">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rsidR="00C64FC7" w:rsidRPr="00FF381C" w:rsidRDefault="00C64FC7" w:rsidP="00FE1096">
            <w:pPr>
              <w:jc w:val="center"/>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 </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64FC7" w:rsidRPr="00FF381C" w:rsidRDefault="00C64FC7" w:rsidP="00FE1096">
            <w:pPr>
              <w:jc w:val="right"/>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23 Feb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64FC7" w:rsidRPr="00FF381C" w:rsidRDefault="00C64FC7" w:rsidP="00FE1096">
            <w:pPr>
              <w:jc w:val="right"/>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26 Jan 2018</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64FC7" w:rsidRPr="00FF381C" w:rsidRDefault="00C64FC7" w:rsidP="00FE1096">
            <w:pPr>
              <w:jc w:val="right"/>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29 Dec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rsidR="00C64FC7" w:rsidRPr="00FF381C" w:rsidRDefault="00C64FC7" w:rsidP="00FE1096">
            <w:pPr>
              <w:jc w:val="right"/>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24 Nov 2017</w:t>
            </w:r>
          </w:p>
        </w:tc>
      </w:tr>
      <w:tr w:rsidR="00C64FC7" w:rsidRPr="00FF381C" w:rsidTr="00FE1096">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64FC7" w:rsidRPr="00FF381C" w:rsidRDefault="00C64FC7" w:rsidP="00FE1096">
            <w:pPr>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420.6</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417.8</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409.4</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400.7</w:t>
            </w:r>
          </w:p>
        </w:tc>
      </w:tr>
      <w:tr w:rsidR="00C64FC7" w:rsidRPr="00FF381C" w:rsidTr="00FE1096">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64FC7" w:rsidRPr="00FF381C" w:rsidRDefault="00C64FC7" w:rsidP="00FE1096">
            <w:pPr>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395.5</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393.7</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385.1</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376.3</w:t>
            </w:r>
          </w:p>
        </w:tc>
      </w:tr>
      <w:tr w:rsidR="00C64FC7" w:rsidRPr="00FF381C" w:rsidTr="00FE1096">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64FC7" w:rsidRPr="00FF381C" w:rsidRDefault="00C64FC7" w:rsidP="00FE1096">
            <w:pPr>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21.5</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20.4</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20.7</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20.7</w:t>
            </w:r>
          </w:p>
        </w:tc>
      </w:tr>
      <w:tr w:rsidR="00C64FC7" w:rsidRPr="00FF381C" w:rsidTr="00FE1096">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64FC7" w:rsidRPr="00FF381C" w:rsidRDefault="00C64FC7" w:rsidP="00FE1096">
            <w:pPr>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1.5</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1.5</w:t>
            </w:r>
          </w:p>
        </w:tc>
      </w:tr>
      <w:tr w:rsidR="00C64FC7" w:rsidRPr="00FF381C" w:rsidTr="00FE1096">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rsidR="00C64FC7" w:rsidRPr="00FF381C" w:rsidRDefault="00C64FC7" w:rsidP="00FE1096">
            <w:pPr>
              <w:rPr>
                <w:rFonts w:ascii="Garamond" w:eastAsia="Times New Roman" w:hAnsi="Garamond" w:cs="Calibri"/>
                <w:b/>
                <w:bCs/>
                <w:color w:val="000000"/>
                <w:lang w:val="en-IN" w:eastAsia="en-IN"/>
              </w:rPr>
            </w:pPr>
            <w:r w:rsidRPr="00FF381C">
              <w:rPr>
                <w:rFonts w:ascii="Garamond" w:eastAsia="Times New Roman" w:hAnsi="Garamond" w:cs="Calibri"/>
                <w:b/>
                <w:bCs/>
                <w:color w:val="000000"/>
                <w:lang w:val="en-IN" w:eastAsia="en-IN"/>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2.1</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2.1</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2.0</w:t>
            </w:r>
          </w:p>
        </w:tc>
        <w:tc>
          <w:tcPr>
            <w:tcW w:w="1600" w:type="dxa"/>
            <w:tcBorders>
              <w:top w:val="nil"/>
              <w:left w:val="nil"/>
              <w:bottom w:val="single" w:sz="8" w:space="0" w:color="4F81BD"/>
              <w:right w:val="single" w:sz="8" w:space="0" w:color="4F81BD"/>
            </w:tcBorders>
            <w:shd w:val="clear" w:color="000000" w:fill="FFFFFF"/>
            <w:noWrap/>
            <w:vAlign w:val="center"/>
            <w:hideMark/>
          </w:tcPr>
          <w:p w:rsidR="00C64FC7" w:rsidRPr="00FF381C" w:rsidRDefault="00C64FC7" w:rsidP="00FE1096">
            <w:pPr>
              <w:jc w:val="right"/>
              <w:rPr>
                <w:rFonts w:ascii="Garamond" w:eastAsia="Times New Roman" w:hAnsi="Garamond" w:cs="Calibri"/>
                <w:color w:val="000000"/>
                <w:lang w:val="en-IN" w:eastAsia="en-IN"/>
              </w:rPr>
            </w:pPr>
            <w:r w:rsidRPr="00FF381C">
              <w:rPr>
                <w:rFonts w:ascii="Garamond" w:eastAsia="Times New Roman" w:hAnsi="Garamond" w:cs="Calibri"/>
                <w:color w:val="000000"/>
                <w:lang w:val="en-IN" w:eastAsia="en-IN"/>
              </w:rPr>
              <w:t>2.3</w:t>
            </w:r>
          </w:p>
        </w:tc>
      </w:tr>
    </w:tbl>
    <w:p w:rsidR="00C64FC7" w:rsidRPr="00FF381C" w:rsidRDefault="00C64FC7" w:rsidP="00C64FC7">
      <w:pPr>
        <w:ind w:left="480"/>
        <w:contextualSpacing/>
        <w:rPr>
          <w:rFonts w:ascii="Garamond" w:hAnsi="Garamond"/>
          <w:color w:val="000000" w:themeColor="text1"/>
        </w:rPr>
      </w:pPr>
      <w:r w:rsidRPr="00FF381C">
        <w:rPr>
          <w:rFonts w:ascii="Garamond" w:hAnsi="Garamond"/>
          <w:b/>
          <w:bCs/>
          <w:i/>
          <w:iCs/>
        </w:rPr>
        <w:t xml:space="preserve"> Source:</w:t>
      </w:r>
      <w:r w:rsidRPr="00FF381C">
        <w:rPr>
          <w:rFonts w:ascii="Garamond" w:hAnsi="Garamond"/>
          <w:i/>
          <w:iCs/>
        </w:rPr>
        <w:t xml:space="preserve"> RBI</w:t>
      </w:r>
    </w:p>
    <w:p w:rsidR="00C64FC7" w:rsidRPr="00FF381C" w:rsidRDefault="00C64FC7" w:rsidP="00C64FC7">
      <w:pPr>
        <w:rPr>
          <w:rFonts w:ascii="Garamond" w:hAnsi="Garamond"/>
          <w:b/>
          <w:color w:val="283214"/>
          <w:highlight w:val="yellow"/>
          <w:lang w:val="en-IN"/>
        </w:rPr>
      </w:pPr>
    </w:p>
    <w:p w:rsidR="00C64FC7" w:rsidRPr="003251AC" w:rsidRDefault="00C64FC7" w:rsidP="00C64FC7">
      <w:pPr>
        <w:rPr>
          <w:rFonts w:ascii="Garamond" w:hAnsi="Garamond"/>
          <w:b/>
          <w:strike/>
          <w:color w:val="283214"/>
          <w:highlight w:val="yellow"/>
          <w:lang w:val="en-IN"/>
        </w:rPr>
      </w:pPr>
      <w:r w:rsidRPr="003251AC">
        <w:rPr>
          <w:rFonts w:ascii="Garamond" w:hAnsi="Garamond"/>
          <w:b/>
          <w:strike/>
          <w:color w:val="283214"/>
          <w:highlight w:val="yellow"/>
          <w:lang w:val="en-IN"/>
        </w:rPr>
        <w:br w:type="page"/>
      </w:r>
    </w:p>
    <w:p w:rsidR="00C64FC7" w:rsidRPr="003251AC" w:rsidRDefault="00C64FC7" w:rsidP="00C64FC7">
      <w:pPr>
        <w:jc w:val="both"/>
        <w:rPr>
          <w:rFonts w:ascii="Garamond" w:hAnsi="Garamond"/>
          <w:b/>
          <w:strike/>
          <w:color w:val="283214"/>
          <w:highlight w:val="yellow"/>
          <w:lang w:val="en-IN"/>
        </w:rPr>
      </w:pPr>
    </w:p>
    <w:p w:rsidR="00C64FC7" w:rsidRPr="009D706D" w:rsidRDefault="00C64FC7" w:rsidP="00C64FC7">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9D706D">
        <w:rPr>
          <w:rFonts w:ascii="Garamond" w:eastAsiaTheme="minorHAnsi" w:hAnsi="Garamond"/>
          <w:b/>
          <w:color w:val="000000" w:themeColor="text1"/>
          <w:sz w:val="26"/>
          <w:szCs w:val="26"/>
          <w:lang w:val="en-GB"/>
        </w:rPr>
        <w:t>Annex Tables</w:t>
      </w:r>
      <w:r w:rsidRPr="009D706D">
        <w:rPr>
          <w:rFonts w:ascii="Garamond" w:eastAsiaTheme="minorHAnsi" w:hAnsi="Garamond"/>
          <w:b/>
          <w:color w:val="000000" w:themeColor="text1"/>
          <w:sz w:val="24"/>
          <w:szCs w:val="24"/>
          <w:lang w:val="en-GB"/>
        </w:rPr>
        <w:t>:</w:t>
      </w:r>
    </w:p>
    <w:p w:rsidR="00C64FC7" w:rsidRPr="009D706D" w:rsidRDefault="00C64FC7" w:rsidP="00C64FC7">
      <w:pPr>
        <w:spacing w:line="20" w:lineRule="atLeast"/>
        <w:jc w:val="both"/>
        <w:rPr>
          <w:rFonts w:ascii="Garamond" w:hAnsi="Garamond"/>
          <w:b/>
          <w:color w:val="000000" w:themeColor="text1"/>
        </w:rPr>
      </w:pPr>
      <w:r w:rsidRPr="009D706D">
        <w:rPr>
          <w:rFonts w:ascii="Garamond" w:hAnsi="Garamond"/>
          <w:b/>
          <w:color w:val="000000" w:themeColor="text1"/>
        </w:rPr>
        <w:t>Table A1: Trend in major International Indices</w:t>
      </w:r>
    </w:p>
    <w:tbl>
      <w:tblPr>
        <w:tblpPr w:leftFromText="180" w:rightFromText="180" w:vertAnchor="text" w:tblpXSpec="center" w:tblpY="1"/>
        <w:tblOverlap w:val="never"/>
        <w:tblW w:w="10160" w:type="dxa"/>
        <w:jc w:val="center"/>
        <w:tblLayout w:type="fixed"/>
        <w:tblLook w:val="04A0" w:firstRow="1" w:lastRow="0" w:firstColumn="1" w:lastColumn="0" w:noHBand="0" w:noVBand="1"/>
      </w:tblPr>
      <w:tblGrid>
        <w:gridCol w:w="2230"/>
        <w:gridCol w:w="2438"/>
        <w:gridCol w:w="1044"/>
        <w:gridCol w:w="1510"/>
        <w:gridCol w:w="1451"/>
        <w:gridCol w:w="1487"/>
      </w:tblGrid>
      <w:tr w:rsidR="00C64FC7" w:rsidRPr="00316980" w:rsidTr="00FE1096">
        <w:trPr>
          <w:trHeight w:val="439"/>
          <w:jc w:val="center"/>
        </w:trPr>
        <w:tc>
          <w:tcPr>
            <w:tcW w:w="2230" w:type="dxa"/>
            <w:tcBorders>
              <w:top w:val="single" w:sz="8" w:space="0" w:color="auto"/>
              <w:left w:val="single" w:sz="8" w:space="0" w:color="auto"/>
              <w:bottom w:val="single" w:sz="8" w:space="0" w:color="auto"/>
              <w:right w:val="single" w:sz="8" w:space="0" w:color="auto"/>
            </w:tcBorders>
            <w:shd w:val="clear" w:color="auto" w:fill="00B050"/>
            <w:vAlign w:val="center"/>
            <w:hideMark/>
          </w:tcPr>
          <w:p w:rsidR="00C64FC7" w:rsidRPr="00316980" w:rsidRDefault="00C64FC7" w:rsidP="00FE1096">
            <w:pPr>
              <w:jc w:val="center"/>
              <w:rPr>
                <w:rFonts w:eastAsia="Times New Roman"/>
                <w:b/>
                <w:bCs/>
                <w:sz w:val="20"/>
                <w:szCs w:val="20"/>
              </w:rPr>
            </w:pPr>
            <w:r w:rsidRPr="00316980">
              <w:rPr>
                <w:rFonts w:eastAsia="Times New Roman"/>
                <w:b/>
                <w:bCs/>
                <w:sz w:val="20"/>
                <w:szCs w:val="20"/>
              </w:rPr>
              <w:t>Country</w:t>
            </w:r>
          </w:p>
        </w:tc>
        <w:tc>
          <w:tcPr>
            <w:tcW w:w="2438" w:type="dxa"/>
            <w:tcBorders>
              <w:top w:val="single" w:sz="8" w:space="0" w:color="auto"/>
              <w:left w:val="nil"/>
              <w:bottom w:val="single" w:sz="8" w:space="0" w:color="auto"/>
              <w:right w:val="single" w:sz="8" w:space="0" w:color="auto"/>
            </w:tcBorders>
            <w:shd w:val="clear" w:color="auto" w:fill="00B050"/>
            <w:vAlign w:val="center"/>
            <w:hideMark/>
          </w:tcPr>
          <w:p w:rsidR="00C64FC7" w:rsidRPr="00316980" w:rsidRDefault="00C64FC7" w:rsidP="00FE1096">
            <w:pPr>
              <w:jc w:val="center"/>
              <w:rPr>
                <w:rFonts w:eastAsia="Times New Roman"/>
                <w:b/>
                <w:bCs/>
                <w:sz w:val="20"/>
                <w:szCs w:val="20"/>
              </w:rPr>
            </w:pPr>
            <w:r w:rsidRPr="00316980">
              <w:rPr>
                <w:rFonts w:eastAsia="Times New Roman"/>
                <w:b/>
                <w:bCs/>
                <w:sz w:val="20"/>
                <w:szCs w:val="20"/>
              </w:rPr>
              <w:t>Index</w:t>
            </w:r>
          </w:p>
        </w:tc>
        <w:tc>
          <w:tcPr>
            <w:tcW w:w="1044" w:type="dxa"/>
            <w:tcBorders>
              <w:top w:val="single" w:sz="8" w:space="0" w:color="auto"/>
              <w:left w:val="nil"/>
              <w:bottom w:val="single" w:sz="8" w:space="0" w:color="auto"/>
              <w:right w:val="single" w:sz="4" w:space="0" w:color="auto"/>
            </w:tcBorders>
            <w:shd w:val="clear" w:color="auto" w:fill="00B050"/>
            <w:vAlign w:val="center"/>
            <w:hideMark/>
          </w:tcPr>
          <w:p w:rsidR="00C64FC7" w:rsidRDefault="00C64FC7" w:rsidP="00FE1096">
            <w:pPr>
              <w:jc w:val="center"/>
              <w:rPr>
                <w:rFonts w:eastAsia="Times New Roman"/>
                <w:b/>
                <w:bCs/>
                <w:sz w:val="20"/>
                <w:szCs w:val="20"/>
              </w:rPr>
            </w:pPr>
            <w:r w:rsidRPr="00C52346">
              <w:rPr>
                <w:rFonts w:eastAsia="Times New Roman"/>
                <w:b/>
                <w:bCs/>
                <w:sz w:val="20"/>
                <w:szCs w:val="20"/>
              </w:rPr>
              <w:t>As on</w:t>
            </w:r>
          </w:p>
          <w:p w:rsidR="00C64FC7" w:rsidRPr="00316980" w:rsidRDefault="00C64FC7" w:rsidP="00FE1096">
            <w:pPr>
              <w:jc w:val="center"/>
              <w:rPr>
                <w:rFonts w:eastAsia="Times New Roman"/>
                <w:b/>
                <w:bCs/>
                <w:sz w:val="20"/>
                <w:szCs w:val="20"/>
              </w:rPr>
            </w:pPr>
            <w:r>
              <w:rPr>
                <w:rFonts w:eastAsia="Times New Roman"/>
                <w:b/>
                <w:bCs/>
                <w:sz w:val="20"/>
                <w:szCs w:val="20"/>
              </w:rPr>
              <w:t>March*,2016</w:t>
            </w:r>
          </w:p>
        </w:tc>
        <w:tc>
          <w:tcPr>
            <w:tcW w:w="1510" w:type="dxa"/>
            <w:tcBorders>
              <w:top w:val="single" w:sz="4" w:space="0" w:color="auto"/>
              <w:left w:val="single" w:sz="4" w:space="0" w:color="auto"/>
              <w:bottom w:val="single" w:sz="8" w:space="0" w:color="auto"/>
              <w:right w:val="single" w:sz="4" w:space="0" w:color="auto"/>
            </w:tcBorders>
            <w:shd w:val="clear" w:color="auto" w:fill="00B050"/>
            <w:vAlign w:val="center"/>
          </w:tcPr>
          <w:p w:rsidR="00C64FC7" w:rsidRPr="00210451" w:rsidRDefault="00C64FC7" w:rsidP="00FE1096">
            <w:pPr>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1451" w:type="dxa"/>
            <w:tcBorders>
              <w:top w:val="single" w:sz="8" w:space="0" w:color="auto"/>
              <w:left w:val="single" w:sz="4" w:space="0" w:color="auto"/>
              <w:bottom w:val="single" w:sz="8" w:space="0" w:color="auto"/>
              <w:right w:val="single" w:sz="8" w:space="0" w:color="auto"/>
            </w:tcBorders>
            <w:shd w:val="clear" w:color="auto" w:fill="00B050"/>
            <w:vAlign w:val="center"/>
          </w:tcPr>
          <w:p w:rsidR="00C64FC7" w:rsidRDefault="00C64FC7" w:rsidP="00FE1096">
            <w:pPr>
              <w:jc w:val="center"/>
              <w:rPr>
                <w:rFonts w:eastAsia="Times New Roman"/>
                <w:b/>
                <w:sz w:val="20"/>
                <w:szCs w:val="20"/>
              </w:rPr>
            </w:pPr>
            <w:r>
              <w:rPr>
                <w:rFonts w:eastAsia="Times New Roman"/>
                <w:b/>
                <w:sz w:val="20"/>
                <w:szCs w:val="20"/>
              </w:rPr>
              <w:t>As on</w:t>
            </w:r>
          </w:p>
          <w:p w:rsidR="00C64FC7" w:rsidRPr="00544AC7" w:rsidRDefault="00C64FC7" w:rsidP="00FE1096">
            <w:pPr>
              <w:jc w:val="center"/>
              <w:rPr>
                <w:rFonts w:eastAsia="Times New Roman"/>
                <w:b/>
                <w:sz w:val="20"/>
                <w:szCs w:val="20"/>
              </w:rPr>
            </w:pPr>
            <w:r>
              <w:rPr>
                <w:rFonts w:eastAsia="Times New Roman"/>
                <w:b/>
                <w:sz w:val="20"/>
                <w:szCs w:val="20"/>
              </w:rPr>
              <w:t>January*, 2018</w:t>
            </w:r>
          </w:p>
        </w:tc>
        <w:tc>
          <w:tcPr>
            <w:tcW w:w="1487" w:type="dxa"/>
            <w:tcBorders>
              <w:top w:val="single" w:sz="8" w:space="0" w:color="auto"/>
              <w:left w:val="single" w:sz="4" w:space="0" w:color="auto"/>
              <w:bottom w:val="single" w:sz="8" w:space="0" w:color="auto"/>
              <w:right w:val="single" w:sz="8" w:space="0" w:color="auto"/>
            </w:tcBorders>
            <w:shd w:val="clear" w:color="auto" w:fill="00B050"/>
            <w:vAlign w:val="center"/>
          </w:tcPr>
          <w:p w:rsidR="00C64FC7" w:rsidRDefault="00C64FC7" w:rsidP="00FE1096">
            <w:pPr>
              <w:jc w:val="center"/>
              <w:rPr>
                <w:rFonts w:eastAsia="Times New Roman"/>
                <w:b/>
                <w:sz w:val="20"/>
                <w:szCs w:val="20"/>
              </w:rPr>
            </w:pPr>
            <w:r>
              <w:rPr>
                <w:rFonts w:eastAsia="Times New Roman"/>
                <w:b/>
                <w:sz w:val="20"/>
                <w:szCs w:val="20"/>
              </w:rPr>
              <w:t>As on</w:t>
            </w:r>
          </w:p>
          <w:p w:rsidR="00C64FC7" w:rsidRDefault="00C64FC7" w:rsidP="00FE1096">
            <w:pPr>
              <w:jc w:val="center"/>
              <w:rPr>
                <w:rFonts w:eastAsia="Times New Roman"/>
                <w:b/>
                <w:sz w:val="20"/>
                <w:szCs w:val="20"/>
              </w:rPr>
            </w:pPr>
            <w:r>
              <w:rPr>
                <w:rFonts w:eastAsia="Times New Roman"/>
                <w:b/>
                <w:sz w:val="20"/>
                <w:szCs w:val="20"/>
              </w:rPr>
              <w:t>Febuary*, 2018</w:t>
            </w:r>
          </w:p>
          <w:p w:rsidR="00C64FC7" w:rsidRPr="00BC0828" w:rsidRDefault="00C64FC7" w:rsidP="00FE1096">
            <w:pPr>
              <w:jc w:val="center"/>
              <w:rPr>
                <w:rFonts w:eastAsia="Times New Roman"/>
                <w:b/>
                <w:sz w:val="20"/>
                <w:szCs w:val="20"/>
              </w:rPr>
            </w:pPr>
          </w:p>
        </w:tc>
      </w:tr>
      <w:tr w:rsidR="00C64FC7" w:rsidRPr="00316980" w:rsidTr="00FE1096">
        <w:trPr>
          <w:trHeight w:val="121"/>
          <w:jc w:val="center"/>
        </w:trPr>
        <w:tc>
          <w:tcPr>
            <w:tcW w:w="2230" w:type="dxa"/>
            <w:tcBorders>
              <w:top w:val="nil"/>
              <w:left w:val="single" w:sz="8" w:space="0" w:color="auto"/>
              <w:bottom w:val="single" w:sz="8" w:space="0" w:color="auto"/>
              <w:right w:val="single" w:sz="8" w:space="0" w:color="auto"/>
            </w:tcBorders>
            <w:shd w:val="clear" w:color="auto" w:fill="00B050"/>
            <w:vAlign w:val="center"/>
            <w:hideMark/>
          </w:tcPr>
          <w:p w:rsidR="00C64FC7" w:rsidRPr="00316980" w:rsidRDefault="00C64FC7" w:rsidP="00FE1096">
            <w:pPr>
              <w:jc w:val="center"/>
              <w:rPr>
                <w:rFonts w:eastAsia="Times New Roman"/>
                <w:i/>
                <w:iCs/>
                <w:sz w:val="20"/>
                <w:szCs w:val="20"/>
              </w:rPr>
            </w:pPr>
            <w:r w:rsidRPr="00316980">
              <w:rPr>
                <w:rFonts w:eastAsia="Times New Roman"/>
                <w:i/>
                <w:iCs/>
                <w:sz w:val="20"/>
                <w:szCs w:val="20"/>
              </w:rPr>
              <w:t>1</w:t>
            </w:r>
          </w:p>
        </w:tc>
        <w:tc>
          <w:tcPr>
            <w:tcW w:w="2438" w:type="dxa"/>
            <w:tcBorders>
              <w:top w:val="nil"/>
              <w:left w:val="nil"/>
              <w:bottom w:val="single" w:sz="8" w:space="0" w:color="auto"/>
              <w:right w:val="single" w:sz="8" w:space="0" w:color="auto"/>
            </w:tcBorders>
            <w:shd w:val="clear" w:color="auto" w:fill="00B050"/>
            <w:vAlign w:val="center"/>
            <w:hideMark/>
          </w:tcPr>
          <w:p w:rsidR="00C64FC7" w:rsidRPr="00316980" w:rsidRDefault="00C64FC7" w:rsidP="00FE1096">
            <w:pPr>
              <w:jc w:val="center"/>
              <w:rPr>
                <w:rFonts w:eastAsia="Times New Roman"/>
                <w:i/>
                <w:iCs/>
                <w:sz w:val="20"/>
                <w:szCs w:val="20"/>
              </w:rPr>
            </w:pPr>
            <w:r w:rsidRPr="00316980">
              <w:rPr>
                <w:rFonts w:eastAsia="Times New Roman"/>
                <w:i/>
                <w:iCs/>
                <w:sz w:val="20"/>
                <w:szCs w:val="20"/>
              </w:rPr>
              <w:t>2</w:t>
            </w:r>
          </w:p>
        </w:tc>
        <w:tc>
          <w:tcPr>
            <w:tcW w:w="1044" w:type="dxa"/>
            <w:tcBorders>
              <w:top w:val="nil"/>
              <w:left w:val="single" w:sz="8" w:space="0" w:color="auto"/>
              <w:bottom w:val="single" w:sz="8" w:space="0" w:color="auto"/>
              <w:right w:val="single" w:sz="4" w:space="0" w:color="auto"/>
            </w:tcBorders>
            <w:shd w:val="clear" w:color="auto" w:fill="00B050"/>
            <w:vAlign w:val="center"/>
            <w:hideMark/>
          </w:tcPr>
          <w:p w:rsidR="00C64FC7" w:rsidRPr="00316980" w:rsidRDefault="00C64FC7" w:rsidP="00FE1096">
            <w:pPr>
              <w:jc w:val="center"/>
              <w:rPr>
                <w:rFonts w:eastAsia="Times New Roman"/>
                <w:i/>
                <w:iCs/>
                <w:sz w:val="20"/>
                <w:szCs w:val="20"/>
              </w:rPr>
            </w:pPr>
            <w:r>
              <w:rPr>
                <w:rFonts w:eastAsia="Times New Roman"/>
                <w:i/>
                <w:iCs/>
                <w:sz w:val="20"/>
                <w:szCs w:val="20"/>
              </w:rPr>
              <w:t>3</w:t>
            </w:r>
          </w:p>
        </w:tc>
        <w:tc>
          <w:tcPr>
            <w:tcW w:w="1510" w:type="dxa"/>
            <w:tcBorders>
              <w:top w:val="nil"/>
              <w:left w:val="single" w:sz="4" w:space="0" w:color="auto"/>
              <w:bottom w:val="single" w:sz="8" w:space="0" w:color="auto"/>
              <w:right w:val="single" w:sz="4" w:space="0" w:color="auto"/>
            </w:tcBorders>
            <w:shd w:val="clear" w:color="auto" w:fill="00B050"/>
            <w:vAlign w:val="center"/>
          </w:tcPr>
          <w:p w:rsidR="00C64FC7" w:rsidRDefault="00C64FC7" w:rsidP="00FE1096">
            <w:pPr>
              <w:jc w:val="center"/>
              <w:rPr>
                <w:rFonts w:eastAsia="Times New Roman"/>
                <w:i/>
                <w:iCs/>
                <w:sz w:val="20"/>
                <w:szCs w:val="20"/>
              </w:rPr>
            </w:pPr>
            <w:r>
              <w:rPr>
                <w:rFonts w:eastAsia="Times New Roman"/>
                <w:i/>
                <w:iCs/>
                <w:sz w:val="20"/>
                <w:szCs w:val="20"/>
              </w:rPr>
              <w:t>4</w:t>
            </w:r>
          </w:p>
        </w:tc>
        <w:tc>
          <w:tcPr>
            <w:tcW w:w="1451" w:type="dxa"/>
            <w:tcBorders>
              <w:top w:val="nil"/>
              <w:left w:val="single" w:sz="4" w:space="0" w:color="auto"/>
              <w:bottom w:val="single" w:sz="8" w:space="0" w:color="auto"/>
              <w:right w:val="single" w:sz="8" w:space="0" w:color="auto"/>
            </w:tcBorders>
            <w:shd w:val="clear" w:color="auto" w:fill="00B050"/>
            <w:vAlign w:val="center"/>
          </w:tcPr>
          <w:p w:rsidR="00C64FC7" w:rsidRDefault="00C64FC7" w:rsidP="00FE1096">
            <w:pPr>
              <w:jc w:val="center"/>
              <w:rPr>
                <w:rFonts w:eastAsia="Times New Roman"/>
                <w:i/>
                <w:iCs/>
                <w:sz w:val="20"/>
                <w:szCs w:val="20"/>
              </w:rPr>
            </w:pPr>
            <w:r>
              <w:rPr>
                <w:rFonts w:eastAsia="Times New Roman"/>
                <w:i/>
                <w:iCs/>
                <w:sz w:val="20"/>
                <w:szCs w:val="20"/>
              </w:rPr>
              <w:t>5</w:t>
            </w:r>
          </w:p>
        </w:tc>
        <w:tc>
          <w:tcPr>
            <w:tcW w:w="1487" w:type="dxa"/>
            <w:tcBorders>
              <w:top w:val="nil"/>
              <w:left w:val="single" w:sz="4" w:space="0" w:color="auto"/>
              <w:bottom w:val="single" w:sz="8" w:space="0" w:color="auto"/>
              <w:right w:val="single" w:sz="8" w:space="0" w:color="auto"/>
            </w:tcBorders>
            <w:shd w:val="clear" w:color="auto" w:fill="00B050"/>
            <w:vAlign w:val="center"/>
          </w:tcPr>
          <w:p w:rsidR="00C64FC7" w:rsidRDefault="00C64FC7" w:rsidP="00FE1096">
            <w:pPr>
              <w:jc w:val="center"/>
              <w:rPr>
                <w:rFonts w:eastAsia="Times New Roman"/>
                <w:i/>
                <w:iCs/>
                <w:sz w:val="20"/>
                <w:szCs w:val="20"/>
              </w:rPr>
            </w:pPr>
            <w:r>
              <w:rPr>
                <w:rFonts w:eastAsia="Times New Roman"/>
                <w:i/>
                <w:iCs/>
                <w:sz w:val="20"/>
                <w:szCs w:val="20"/>
              </w:rPr>
              <w:t>6</w:t>
            </w:r>
          </w:p>
        </w:tc>
      </w:tr>
      <w:tr w:rsidR="00C64FC7" w:rsidRPr="00316980" w:rsidTr="00FE1096">
        <w:trPr>
          <w:trHeight w:val="157"/>
          <w:jc w:val="center"/>
        </w:trPr>
        <w:tc>
          <w:tcPr>
            <w:tcW w:w="2230" w:type="dxa"/>
            <w:tcBorders>
              <w:top w:val="single" w:sz="8" w:space="0" w:color="auto"/>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Australia</w:t>
            </w:r>
          </w:p>
        </w:tc>
        <w:tc>
          <w:tcPr>
            <w:tcW w:w="2438" w:type="dxa"/>
            <w:tcBorders>
              <w:top w:val="single" w:sz="8" w:space="0" w:color="auto"/>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All Ordinaries</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5151.8</w:t>
            </w:r>
          </w:p>
        </w:tc>
        <w:tc>
          <w:tcPr>
            <w:tcW w:w="1510" w:type="dxa"/>
            <w:tcBorders>
              <w:top w:val="nil"/>
              <w:left w:val="nil"/>
              <w:bottom w:val="nil"/>
              <w:right w:val="single" w:sz="8" w:space="0" w:color="auto"/>
            </w:tcBorders>
            <w:shd w:val="clear" w:color="auto" w:fill="auto"/>
          </w:tcPr>
          <w:p w:rsidR="00C64FC7" w:rsidRDefault="00C64FC7" w:rsidP="00FE1096">
            <w:pPr>
              <w:jc w:val="right"/>
              <w:rPr>
                <w:sz w:val="20"/>
                <w:szCs w:val="20"/>
              </w:rPr>
            </w:pPr>
            <w:r>
              <w:rPr>
                <w:sz w:val="20"/>
                <w:szCs w:val="20"/>
              </w:rPr>
              <w:t>5903.8</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6146.47</w:t>
            </w:r>
          </w:p>
        </w:tc>
        <w:tc>
          <w:tcPr>
            <w:tcW w:w="1487" w:type="dxa"/>
            <w:tcBorders>
              <w:top w:val="nil"/>
              <w:left w:val="single" w:sz="8" w:space="0" w:color="auto"/>
              <w:bottom w:val="nil"/>
              <w:right w:val="single" w:sz="8" w:space="0" w:color="auto"/>
            </w:tcBorders>
            <w:shd w:val="clear" w:color="auto" w:fill="auto"/>
          </w:tcPr>
          <w:p w:rsidR="00C64FC7" w:rsidRPr="00D0331D" w:rsidRDefault="00C64FC7" w:rsidP="00FE1096">
            <w:pPr>
              <w:jc w:val="right"/>
              <w:rPr>
                <w:sz w:val="20"/>
                <w:szCs w:val="20"/>
              </w:rPr>
            </w:pPr>
            <w:r>
              <w:rPr>
                <w:sz w:val="20"/>
                <w:szCs w:val="20"/>
              </w:rPr>
              <w:t>6117.34</w:t>
            </w:r>
          </w:p>
        </w:tc>
      </w:tr>
      <w:tr w:rsidR="00C64FC7" w:rsidRPr="00316980" w:rsidTr="00FE1096">
        <w:trPr>
          <w:trHeight w:val="152"/>
          <w:jc w:val="center"/>
        </w:trPr>
        <w:tc>
          <w:tcPr>
            <w:tcW w:w="2230" w:type="dxa"/>
            <w:tcBorders>
              <w:top w:val="nil"/>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France</w:t>
            </w:r>
          </w:p>
        </w:tc>
        <w:tc>
          <w:tcPr>
            <w:tcW w:w="2438" w:type="dxa"/>
            <w:tcBorders>
              <w:top w:val="nil"/>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CAC 40</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4385.1</w:t>
            </w:r>
          </w:p>
        </w:tc>
        <w:tc>
          <w:tcPr>
            <w:tcW w:w="1510" w:type="dxa"/>
            <w:tcBorders>
              <w:top w:val="nil"/>
              <w:left w:val="nil"/>
              <w:bottom w:val="nil"/>
              <w:right w:val="single" w:sz="8" w:space="0" w:color="auto"/>
            </w:tcBorders>
            <w:shd w:val="clear" w:color="auto" w:fill="auto"/>
          </w:tcPr>
          <w:p w:rsidR="00C64FC7" w:rsidRDefault="00C64FC7" w:rsidP="00FE1096">
            <w:pPr>
              <w:jc w:val="right"/>
              <w:rPr>
                <w:sz w:val="20"/>
                <w:szCs w:val="20"/>
              </w:rPr>
            </w:pPr>
            <w:r>
              <w:rPr>
                <w:sz w:val="20"/>
                <w:szCs w:val="20"/>
              </w:rPr>
              <w:t>5089.6</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5481.93</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5320.49</w:t>
            </w:r>
          </w:p>
        </w:tc>
      </w:tr>
      <w:tr w:rsidR="00C64FC7" w:rsidRPr="00316980" w:rsidTr="00FE1096">
        <w:trPr>
          <w:trHeight w:val="129"/>
          <w:jc w:val="center"/>
        </w:trPr>
        <w:tc>
          <w:tcPr>
            <w:tcW w:w="2230" w:type="dxa"/>
            <w:tcBorders>
              <w:top w:val="nil"/>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Germany</w:t>
            </w:r>
          </w:p>
        </w:tc>
        <w:tc>
          <w:tcPr>
            <w:tcW w:w="2438" w:type="dxa"/>
            <w:tcBorders>
              <w:top w:val="nil"/>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Dax</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9965.5</w:t>
            </w:r>
          </w:p>
        </w:tc>
        <w:tc>
          <w:tcPr>
            <w:tcW w:w="1510" w:type="dxa"/>
            <w:tcBorders>
              <w:top w:val="nil"/>
              <w:left w:val="nil"/>
              <w:bottom w:val="nil"/>
              <w:right w:val="single" w:sz="8" w:space="0" w:color="auto"/>
            </w:tcBorders>
            <w:shd w:val="clear" w:color="auto" w:fill="auto"/>
          </w:tcPr>
          <w:p w:rsidR="00C64FC7" w:rsidRDefault="00C64FC7" w:rsidP="00FE1096">
            <w:pPr>
              <w:jc w:val="right"/>
              <w:rPr>
                <w:sz w:val="20"/>
                <w:szCs w:val="20"/>
              </w:rPr>
            </w:pPr>
            <w:r>
              <w:rPr>
                <w:sz w:val="20"/>
                <w:szCs w:val="20"/>
              </w:rPr>
              <w:t>12256.4</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13189.48</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12435.85</w:t>
            </w:r>
          </w:p>
        </w:tc>
      </w:tr>
      <w:tr w:rsidR="00C64FC7" w:rsidRPr="00316980" w:rsidTr="00FE1096">
        <w:trPr>
          <w:trHeight w:val="205"/>
          <w:jc w:val="center"/>
        </w:trPr>
        <w:tc>
          <w:tcPr>
            <w:tcW w:w="2230" w:type="dxa"/>
            <w:tcBorders>
              <w:top w:val="nil"/>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Hong Kong HSI</w:t>
            </w:r>
          </w:p>
        </w:tc>
        <w:tc>
          <w:tcPr>
            <w:tcW w:w="2438" w:type="dxa"/>
            <w:tcBorders>
              <w:top w:val="nil"/>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Hang Seng</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20776.7</w:t>
            </w:r>
          </w:p>
        </w:tc>
        <w:tc>
          <w:tcPr>
            <w:tcW w:w="1510" w:type="dxa"/>
            <w:tcBorders>
              <w:top w:val="nil"/>
              <w:left w:val="nil"/>
              <w:bottom w:val="nil"/>
              <w:right w:val="single" w:sz="8" w:space="0" w:color="auto"/>
            </w:tcBorders>
            <w:shd w:val="clear" w:color="auto" w:fill="auto"/>
          </w:tcPr>
          <w:p w:rsidR="00C64FC7" w:rsidRDefault="00C64FC7" w:rsidP="00FE1096">
            <w:pPr>
              <w:jc w:val="right"/>
              <w:rPr>
                <w:sz w:val="20"/>
                <w:szCs w:val="20"/>
              </w:rPr>
            </w:pPr>
            <w:r>
              <w:rPr>
                <w:sz w:val="20"/>
                <w:szCs w:val="20"/>
              </w:rPr>
              <w:t>24111.6</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32887.27</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30844.72</w:t>
            </w:r>
          </w:p>
        </w:tc>
      </w:tr>
      <w:tr w:rsidR="00C64FC7" w:rsidRPr="00316980" w:rsidTr="00FE1096">
        <w:trPr>
          <w:trHeight w:val="158"/>
          <w:jc w:val="center"/>
        </w:trPr>
        <w:tc>
          <w:tcPr>
            <w:tcW w:w="2230" w:type="dxa"/>
            <w:tcBorders>
              <w:top w:val="nil"/>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Japan NIKKEI</w:t>
            </w:r>
          </w:p>
        </w:tc>
        <w:tc>
          <w:tcPr>
            <w:tcW w:w="2438" w:type="dxa"/>
            <w:tcBorders>
              <w:top w:val="nil"/>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Nikkei 225</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16758.7</w:t>
            </w:r>
          </w:p>
        </w:tc>
        <w:tc>
          <w:tcPr>
            <w:tcW w:w="1510" w:type="dxa"/>
            <w:tcBorders>
              <w:top w:val="nil"/>
              <w:left w:val="nil"/>
              <w:bottom w:val="nil"/>
              <w:right w:val="single" w:sz="8" w:space="0" w:color="auto"/>
            </w:tcBorders>
            <w:shd w:val="clear" w:color="auto" w:fill="auto"/>
          </w:tcPr>
          <w:p w:rsidR="00C64FC7" w:rsidRDefault="00C64FC7" w:rsidP="00FE1096">
            <w:pPr>
              <w:jc w:val="right"/>
              <w:rPr>
                <w:sz w:val="20"/>
                <w:szCs w:val="20"/>
              </w:rPr>
            </w:pPr>
            <w:r>
              <w:rPr>
                <w:sz w:val="20"/>
                <w:szCs w:val="20"/>
              </w:rPr>
              <w:t>18909.3</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23098.29</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22068.24</w:t>
            </w:r>
          </w:p>
        </w:tc>
      </w:tr>
      <w:tr w:rsidR="00C64FC7" w:rsidRPr="00316980" w:rsidTr="00FE1096">
        <w:trPr>
          <w:trHeight w:val="205"/>
          <w:jc w:val="center"/>
        </w:trPr>
        <w:tc>
          <w:tcPr>
            <w:tcW w:w="2230" w:type="dxa"/>
            <w:tcBorders>
              <w:top w:val="nil"/>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Singapore STI</w:t>
            </w:r>
          </w:p>
        </w:tc>
        <w:tc>
          <w:tcPr>
            <w:tcW w:w="2438" w:type="dxa"/>
            <w:tcBorders>
              <w:top w:val="nil"/>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Straits Times</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2840.9</w:t>
            </w:r>
          </w:p>
        </w:tc>
        <w:tc>
          <w:tcPr>
            <w:tcW w:w="1510" w:type="dxa"/>
            <w:tcBorders>
              <w:top w:val="nil"/>
              <w:left w:val="nil"/>
              <w:bottom w:val="nil"/>
              <w:right w:val="single" w:sz="8" w:space="0" w:color="auto"/>
            </w:tcBorders>
            <w:shd w:val="clear" w:color="auto" w:fill="auto"/>
          </w:tcPr>
          <w:p w:rsidR="00C64FC7" w:rsidRDefault="00C64FC7" w:rsidP="00FE1096">
            <w:pPr>
              <w:jc w:val="right"/>
              <w:rPr>
                <w:sz w:val="20"/>
                <w:szCs w:val="20"/>
              </w:rPr>
            </w:pPr>
            <w:r>
              <w:rPr>
                <w:sz w:val="20"/>
                <w:szCs w:val="20"/>
              </w:rPr>
              <w:t>3175.1</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3533.99</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3517.94</w:t>
            </w:r>
          </w:p>
        </w:tc>
      </w:tr>
      <w:tr w:rsidR="00C64FC7" w:rsidRPr="00316980" w:rsidTr="00FE1096">
        <w:trPr>
          <w:trHeight w:val="362"/>
          <w:jc w:val="center"/>
        </w:trPr>
        <w:tc>
          <w:tcPr>
            <w:tcW w:w="2230" w:type="dxa"/>
            <w:tcBorders>
              <w:top w:val="nil"/>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 xml:space="preserve">UK </w:t>
            </w:r>
          </w:p>
        </w:tc>
        <w:tc>
          <w:tcPr>
            <w:tcW w:w="2438" w:type="dxa"/>
            <w:tcBorders>
              <w:top w:val="nil"/>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FTSE 100</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6174.9</w:t>
            </w:r>
          </w:p>
        </w:tc>
        <w:tc>
          <w:tcPr>
            <w:tcW w:w="1510" w:type="dxa"/>
            <w:tcBorders>
              <w:top w:val="nil"/>
              <w:left w:val="nil"/>
              <w:bottom w:val="nil"/>
              <w:right w:val="single" w:sz="8" w:space="0" w:color="auto"/>
            </w:tcBorders>
            <w:shd w:val="clear" w:color="auto" w:fill="auto"/>
          </w:tcPr>
          <w:p w:rsidR="00C64FC7" w:rsidRDefault="00C64FC7" w:rsidP="00FE1096">
            <w:pPr>
              <w:jc w:val="right"/>
              <w:rPr>
                <w:sz w:val="20"/>
                <w:szCs w:val="20"/>
              </w:rPr>
            </w:pPr>
            <w:r>
              <w:rPr>
                <w:sz w:val="20"/>
                <w:szCs w:val="20"/>
              </w:rPr>
              <w:t>7322.9</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7533.55</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7231.91</w:t>
            </w:r>
          </w:p>
        </w:tc>
      </w:tr>
      <w:tr w:rsidR="00C64FC7" w:rsidRPr="00316980" w:rsidTr="00FE1096">
        <w:trPr>
          <w:trHeight w:val="369"/>
          <w:jc w:val="center"/>
        </w:trPr>
        <w:tc>
          <w:tcPr>
            <w:tcW w:w="2230" w:type="dxa"/>
            <w:tcBorders>
              <w:top w:val="nil"/>
              <w:left w:val="single" w:sz="8" w:space="0" w:color="auto"/>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USA DOW JONES</w:t>
            </w:r>
          </w:p>
        </w:tc>
        <w:tc>
          <w:tcPr>
            <w:tcW w:w="2438" w:type="dxa"/>
            <w:tcBorders>
              <w:top w:val="nil"/>
              <w:left w:val="nil"/>
              <w:bottom w:val="nil"/>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Dow Jones Industrial Average</w:t>
            </w:r>
          </w:p>
        </w:tc>
        <w:tc>
          <w:tcPr>
            <w:tcW w:w="1044" w:type="dxa"/>
            <w:tcBorders>
              <w:top w:val="nil"/>
              <w:left w:val="single" w:sz="8" w:space="0" w:color="auto"/>
              <w:bottom w:val="nil"/>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17685.1</w:t>
            </w:r>
          </w:p>
        </w:tc>
        <w:tc>
          <w:tcPr>
            <w:tcW w:w="1510" w:type="dxa"/>
            <w:tcBorders>
              <w:top w:val="nil"/>
              <w:left w:val="nil"/>
              <w:right w:val="single" w:sz="8" w:space="0" w:color="auto"/>
            </w:tcBorders>
            <w:shd w:val="clear" w:color="auto" w:fill="auto"/>
          </w:tcPr>
          <w:p w:rsidR="00C64FC7" w:rsidRDefault="00C64FC7" w:rsidP="00FE1096">
            <w:pPr>
              <w:jc w:val="right"/>
              <w:rPr>
                <w:sz w:val="20"/>
                <w:szCs w:val="20"/>
              </w:rPr>
            </w:pPr>
            <w:r>
              <w:rPr>
                <w:sz w:val="20"/>
                <w:szCs w:val="20"/>
              </w:rPr>
              <w:t>20663.2</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26149.39</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25029.20</w:t>
            </w:r>
          </w:p>
        </w:tc>
      </w:tr>
      <w:tr w:rsidR="00C64FC7" w:rsidRPr="00316980" w:rsidTr="00FE1096">
        <w:trPr>
          <w:trHeight w:val="450"/>
          <w:jc w:val="center"/>
        </w:trPr>
        <w:tc>
          <w:tcPr>
            <w:tcW w:w="2230" w:type="dxa"/>
            <w:tcBorders>
              <w:top w:val="nil"/>
              <w:left w:val="single" w:sz="8" w:space="0" w:color="auto"/>
              <w:bottom w:val="single" w:sz="4" w:space="0" w:color="auto"/>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Pr>
                <w:sz w:val="20"/>
              </w:rPr>
              <w:t xml:space="preserve">USA </w:t>
            </w:r>
            <w:r w:rsidRPr="006A570B">
              <w:rPr>
                <w:sz w:val="20"/>
              </w:rPr>
              <w:t>NASDAQ Composite</w:t>
            </w:r>
          </w:p>
        </w:tc>
        <w:tc>
          <w:tcPr>
            <w:tcW w:w="2438" w:type="dxa"/>
            <w:tcBorders>
              <w:top w:val="nil"/>
              <w:left w:val="nil"/>
              <w:bottom w:val="single" w:sz="4" w:space="0" w:color="auto"/>
              <w:right w:val="single" w:sz="8" w:space="0" w:color="auto"/>
            </w:tcBorders>
            <w:shd w:val="clear" w:color="auto" w:fill="auto"/>
            <w:vAlign w:val="bottom"/>
            <w:hideMark/>
          </w:tcPr>
          <w:p w:rsidR="00C64FC7" w:rsidRPr="006A570B" w:rsidRDefault="00C64FC7" w:rsidP="00FE1096">
            <w:pPr>
              <w:pStyle w:val="NoSpacing"/>
              <w:spacing w:line="360" w:lineRule="auto"/>
              <w:rPr>
                <w:sz w:val="20"/>
              </w:rPr>
            </w:pPr>
            <w:r w:rsidRPr="006A570B">
              <w:rPr>
                <w:sz w:val="20"/>
              </w:rPr>
              <w:t>Nasdaq Composite</w:t>
            </w:r>
          </w:p>
        </w:tc>
        <w:tc>
          <w:tcPr>
            <w:tcW w:w="1044" w:type="dxa"/>
            <w:tcBorders>
              <w:top w:val="nil"/>
              <w:left w:val="single" w:sz="8" w:space="0" w:color="auto"/>
              <w:bottom w:val="single" w:sz="8" w:space="0" w:color="auto"/>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4869.8</w:t>
            </w:r>
          </w:p>
        </w:tc>
        <w:tc>
          <w:tcPr>
            <w:tcW w:w="1510" w:type="dxa"/>
            <w:tcBorders>
              <w:top w:val="nil"/>
              <w:left w:val="nil"/>
              <w:bottom w:val="single" w:sz="4" w:space="0" w:color="auto"/>
              <w:right w:val="single" w:sz="8" w:space="0" w:color="auto"/>
            </w:tcBorders>
            <w:shd w:val="clear" w:color="auto" w:fill="auto"/>
          </w:tcPr>
          <w:p w:rsidR="00C64FC7" w:rsidRDefault="00C64FC7" w:rsidP="00FE1096">
            <w:pPr>
              <w:jc w:val="right"/>
              <w:rPr>
                <w:sz w:val="20"/>
                <w:szCs w:val="20"/>
              </w:rPr>
            </w:pPr>
            <w:r>
              <w:rPr>
                <w:sz w:val="20"/>
                <w:szCs w:val="20"/>
              </w:rPr>
              <w:t>5911.7</w:t>
            </w:r>
          </w:p>
        </w:tc>
        <w:tc>
          <w:tcPr>
            <w:tcW w:w="1451" w:type="dxa"/>
            <w:tcBorders>
              <w:top w:val="nil"/>
              <w:left w:val="single" w:sz="8" w:space="0" w:color="auto"/>
              <w:bottom w:val="single" w:sz="4" w:space="0" w:color="auto"/>
              <w:right w:val="single" w:sz="8" w:space="0" w:color="auto"/>
            </w:tcBorders>
            <w:shd w:val="clear" w:color="auto" w:fill="auto"/>
          </w:tcPr>
          <w:p w:rsidR="00C64FC7" w:rsidRDefault="00C64FC7" w:rsidP="00FE1096">
            <w:pPr>
              <w:jc w:val="right"/>
              <w:rPr>
                <w:sz w:val="20"/>
                <w:szCs w:val="20"/>
              </w:rPr>
            </w:pPr>
            <w:r>
              <w:rPr>
                <w:sz w:val="20"/>
                <w:szCs w:val="20"/>
              </w:rPr>
              <w:t>7411.48</w:t>
            </w:r>
          </w:p>
        </w:tc>
        <w:tc>
          <w:tcPr>
            <w:tcW w:w="1487" w:type="dxa"/>
            <w:tcBorders>
              <w:top w:val="nil"/>
              <w:left w:val="single" w:sz="8" w:space="0" w:color="auto"/>
              <w:bottom w:val="single" w:sz="4" w:space="0" w:color="auto"/>
              <w:right w:val="single" w:sz="8" w:space="0" w:color="auto"/>
            </w:tcBorders>
            <w:shd w:val="clear" w:color="auto" w:fill="auto"/>
          </w:tcPr>
          <w:p w:rsidR="00C64FC7" w:rsidRDefault="00C64FC7" w:rsidP="00FE1096">
            <w:pPr>
              <w:jc w:val="right"/>
              <w:rPr>
                <w:sz w:val="20"/>
                <w:szCs w:val="20"/>
              </w:rPr>
            </w:pPr>
            <w:r>
              <w:rPr>
                <w:sz w:val="20"/>
                <w:szCs w:val="20"/>
              </w:rPr>
              <w:t>7273.01</w:t>
            </w:r>
          </w:p>
        </w:tc>
      </w:tr>
      <w:tr w:rsidR="00C64FC7" w:rsidRPr="00316980" w:rsidTr="00FE1096">
        <w:trPr>
          <w:trHeight w:val="262"/>
          <w:jc w:val="center"/>
        </w:trPr>
        <w:tc>
          <w:tcPr>
            <w:tcW w:w="2230" w:type="dxa"/>
            <w:tcBorders>
              <w:top w:val="single" w:sz="4" w:space="0" w:color="auto"/>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India (BSE)</w:t>
            </w:r>
          </w:p>
        </w:tc>
        <w:tc>
          <w:tcPr>
            <w:tcW w:w="2438" w:type="dxa"/>
            <w:tcBorders>
              <w:top w:val="single" w:sz="4" w:space="0" w:color="auto"/>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Sensex</w:t>
            </w:r>
          </w:p>
        </w:tc>
        <w:tc>
          <w:tcPr>
            <w:tcW w:w="1044" w:type="dxa"/>
            <w:tcBorders>
              <w:top w:val="single" w:sz="8" w:space="0" w:color="auto"/>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25341.9</w:t>
            </w:r>
          </w:p>
        </w:tc>
        <w:tc>
          <w:tcPr>
            <w:tcW w:w="1510" w:type="dxa"/>
            <w:tcBorders>
              <w:top w:val="single" w:sz="4" w:space="0" w:color="auto"/>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29620.5</w:t>
            </w:r>
          </w:p>
        </w:tc>
        <w:tc>
          <w:tcPr>
            <w:tcW w:w="1451" w:type="dxa"/>
            <w:tcBorders>
              <w:top w:val="single" w:sz="4" w:space="0" w:color="auto"/>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35965.02</w:t>
            </w:r>
          </w:p>
        </w:tc>
        <w:tc>
          <w:tcPr>
            <w:tcW w:w="1487" w:type="dxa"/>
            <w:tcBorders>
              <w:top w:val="single" w:sz="4" w:space="0" w:color="auto"/>
              <w:left w:val="single" w:sz="8" w:space="0" w:color="auto"/>
              <w:bottom w:val="nil"/>
              <w:right w:val="single" w:sz="8" w:space="0" w:color="auto"/>
            </w:tcBorders>
            <w:shd w:val="clear" w:color="auto" w:fill="auto"/>
          </w:tcPr>
          <w:p w:rsidR="00C64FC7" w:rsidRDefault="00C64FC7" w:rsidP="00FE1096">
            <w:pPr>
              <w:jc w:val="right"/>
              <w:rPr>
                <w:sz w:val="20"/>
                <w:szCs w:val="20"/>
                <w:lang w:val="en-IN"/>
              </w:rPr>
            </w:pPr>
            <w:r>
              <w:rPr>
                <w:sz w:val="20"/>
                <w:szCs w:val="20"/>
              </w:rPr>
              <w:t>34184.04</w:t>
            </w:r>
          </w:p>
        </w:tc>
      </w:tr>
      <w:tr w:rsidR="00C64FC7" w:rsidRPr="00316980" w:rsidTr="00FE1096">
        <w:trPr>
          <w:trHeight w:val="158"/>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India (NSE)</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Nifty</w:t>
            </w:r>
            <w:r>
              <w:rPr>
                <w:sz w:val="20"/>
              </w:rPr>
              <w:t xml:space="preserve"> 50</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7738.4</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9173.8</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11027.70</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10492.85</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Brazil</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Bovespa</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50055.3</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64984.1</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84912.70</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85353.59</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Chile</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Stock Market Select</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3937.5</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4783.4</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5855.38</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5602.83</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China</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Shanghai SE Composite IX</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3003.9</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3222.5</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3480.83</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3259.41</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Colombia</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IGBC General</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9871.5</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10150.7</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12113.25</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11411.08</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Egypt</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Hermes</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687.3</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1167.8</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1496.52</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1528.22</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Hungary</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Budapest Stock Exchange</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26451.0</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31634.3</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40188.51</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38112.00</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Indonesia</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Jakatra Composite</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4845.4</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5568.1</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6605.63</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6597.22</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Malaysia</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FTSE Bursa Malaysia KLCI</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1717.6</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1740.1</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1868.58</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1856.20</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Mexico</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Bolsa</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45881.1</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48541.6</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50456.17</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47437.93</w:t>
            </w:r>
          </w:p>
        </w:tc>
      </w:tr>
      <w:tr w:rsidR="00C64FC7" w:rsidRPr="00316980" w:rsidTr="00FE1096">
        <w:trPr>
          <w:trHeight w:val="158"/>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Pakistan</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Karachi 30</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19167.5</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25615.6</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22018.81</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21755.84</w:t>
            </w:r>
          </w:p>
        </w:tc>
      </w:tr>
      <w:tr w:rsidR="00C64FC7" w:rsidRPr="00316980" w:rsidTr="00FE1096">
        <w:trPr>
          <w:trHeight w:val="144"/>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Russia</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Russian Traded</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1203.3</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1509.7</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1812.81</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1818.18</w:t>
            </w:r>
          </w:p>
        </w:tc>
      </w:tr>
      <w:tr w:rsidR="00C64FC7" w:rsidRPr="00316980" w:rsidTr="00FE1096">
        <w:trPr>
          <w:trHeight w:val="164"/>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South Africa</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FTSE/JSE Africa All Share</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52250.3</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52056.1</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59506.12</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58325.09</w:t>
            </w:r>
          </w:p>
        </w:tc>
      </w:tr>
      <w:tr w:rsidR="00C64FC7" w:rsidRPr="00316980" w:rsidTr="00FE1096">
        <w:trPr>
          <w:trHeight w:val="205"/>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Taiwan</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Taiwan Taiex</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8744.8</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9811.5</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11103.79</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10815.47</w:t>
            </w:r>
          </w:p>
        </w:tc>
      </w:tr>
      <w:tr w:rsidR="00C64FC7" w:rsidRPr="00316980" w:rsidTr="00FE1096">
        <w:trPr>
          <w:trHeight w:val="333"/>
          <w:jc w:val="center"/>
        </w:trPr>
        <w:tc>
          <w:tcPr>
            <w:tcW w:w="2230" w:type="dxa"/>
            <w:tcBorders>
              <w:top w:val="nil"/>
              <w:left w:val="single" w:sz="8" w:space="0" w:color="auto"/>
              <w:bottom w:val="nil"/>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Thailand</w:t>
            </w:r>
          </w:p>
        </w:tc>
        <w:tc>
          <w:tcPr>
            <w:tcW w:w="2438" w:type="dxa"/>
            <w:tcBorders>
              <w:top w:val="nil"/>
              <w:left w:val="single" w:sz="8" w:space="0" w:color="auto"/>
              <w:bottom w:val="nil"/>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Stock Exchange of Thai</w:t>
            </w:r>
          </w:p>
        </w:tc>
        <w:tc>
          <w:tcPr>
            <w:tcW w:w="1044" w:type="dxa"/>
            <w:tcBorders>
              <w:top w:val="nil"/>
              <w:left w:val="single" w:sz="8" w:space="0" w:color="auto"/>
              <w:bottom w:val="nil"/>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1407.7</w:t>
            </w:r>
          </w:p>
        </w:tc>
        <w:tc>
          <w:tcPr>
            <w:tcW w:w="1510" w:type="dxa"/>
            <w:tcBorders>
              <w:top w:val="nil"/>
              <w:left w:val="nil"/>
              <w:bottom w:val="nil"/>
              <w:right w:val="single" w:sz="8" w:space="0" w:color="auto"/>
            </w:tcBorders>
            <w:shd w:val="clear" w:color="auto" w:fill="auto"/>
            <w:vAlign w:val="center"/>
          </w:tcPr>
          <w:p w:rsidR="00C64FC7" w:rsidRDefault="00C64FC7" w:rsidP="00FE1096">
            <w:pPr>
              <w:jc w:val="right"/>
              <w:rPr>
                <w:sz w:val="20"/>
                <w:szCs w:val="20"/>
              </w:rPr>
            </w:pPr>
            <w:r>
              <w:rPr>
                <w:sz w:val="20"/>
                <w:szCs w:val="20"/>
              </w:rPr>
              <w:t>1575.1</w:t>
            </w:r>
          </w:p>
        </w:tc>
        <w:tc>
          <w:tcPr>
            <w:tcW w:w="1451" w:type="dxa"/>
            <w:tcBorders>
              <w:top w:val="nil"/>
              <w:left w:val="single" w:sz="8" w:space="0" w:color="auto"/>
              <w:bottom w:val="nil"/>
              <w:right w:val="single" w:sz="8" w:space="0" w:color="auto"/>
            </w:tcBorders>
            <w:shd w:val="clear" w:color="auto" w:fill="auto"/>
          </w:tcPr>
          <w:p w:rsidR="00C64FC7" w:rsidRDefault="00C64FC7" w:rsidP="00FE1096">
            <w:pPr>
              <w:jc w:val="center"/>
              <w:rPr>
                <w:sz w:val="20"/>
                <w:szCs w:val="20"/>
              </w:rPr>
            </w:pPr>
            <w:r>
              <w:rPr>
                <w:sz w:val="20"/>
                <w:szCs w:val="20"/>
              </w:rPr>
              <w:t>1826.61</w:t>
            </w:r>
          </w:p>
        </w:tc>
        <w:tc>
          <w:tcPr>
            <w:tcW w:w="1487" w:type="dxa"/>
            <w:tcBorders>
              <w:top w:val="nil"/>
              <w:left w:val="single" w:sz="8" w:space="0" w:color="auto"/>
              <w:bottom w:val="nil"/>
              <w:right w:val="single" w:sz="8" w:space="0" w:color="auto"/>
            </w:tcBorders>
            <w:shd w:val="clear" w:color="auto" w:fill="auto"/>
          </w:tcPr>
          <w:p w:rsidR="00C64FC7" w:rsidRDefault="00C64FC7" w:rsidP="00FE1096">
            <w:pPr>
              <w:jc w:val="right"/>
              <w:rPr>
                <w:sz w:val="20"/>
                <w:szCs w:val="20"/>
              </w:rPr>
            </w:pPr>
            <w:r>
              <w:rPr>
                <w:sz w:val="20"/>
                <w:szCs w:val="20"/>
              </w:rPr>
              <w:t>1830.13</w:t>
            </w:r>
          </w:p>
        </w:tc>
      </w:tr>
      <w:tr w:rsidR="00C64FC7" w:rsidRPr="00316980" w:rsidTr="00FE1096">
        <w:trPr>
          <w:trHeight w:val="58"/>
          <w:jc w:val="center"/>
        </w:trPr>
        <w:tc>
          <w:tcPr>
            <w:tcW w:w="2230" w:type="dxa"/>
            <w:tcBorders>
              <w:top w:val="nil"/>
              <w:left w:val="single" w:sz="8" w:space="0" w:color="auto"/>
              <w:bottom w:val="single" w:sz="8" w:space="0" w:color="auto"/>
              <w:right w:val="nil"/>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Turkey</w:t>
            </w:r>
          </w:p>
        </w:tc>
        <w:tc>
          <w:tcPr>
            <w:tcW w:w="2438" w:type="dxa"/>
            <w:tcBorders>
              <w:top w:val="nil"/>
              <w:left w:val="single" w:sz="8" w:space="0" w:color="auto"/>
              <w:bottom w:val="single" w:sz="8" w:space="0" w:color="auto"/>
              <w:right w:val="single" w:sz="8" w:space="0" w:color="auto"/>
            </w:tcBorders>
            <w:shd w:val="clear" w:color="auto" w:fill="auto"/>
            <w:vAlign w:val="center"/>
            <w:hideMark/>
          </w:tcPr>
          <w:p w:rsidR="00C64FC7" w:rsidRPr="008331BE" w:rsidRDefault="00C64FC7" w:rsidP="00FE1096">
            <w:pPr>
              <w:pStyle w:val="NoSpacing"/>
              <w:spacing w:line="360" w:lineRule="auto"/>
              <w:rPr>
                <w:sz w:val="20"/>
              </w:rPr>
            </w:pPr>
            <w:r w:rsidRPr="008331BE">
              <w:rPr>
                <w:sz w:val="20"/>
              </w:rPr>
              <w:t>ISE National 100</w:t>
            </w:r>
          </w:p>
        </w:tc>
        <w:tc>
          <w:tcPr>
            <w:tcW w:w="1044" w:type="dxa"/>
            <w:tcBorders>
              <w:top w:val="nil"/>
              <w:left w:val="single" w:sz="8" w:space="0" w:color="auto"/>
              <w:bottom w:val="single" w:sz="8" w:space="0" w:color="auto"/>
              <w:right w:val="single" w:sz="8" w:space="0" w:color="auto"/>
            </w:tcBorders>
            <w:shd w:val="clear" w:color="auto" w:fill="auto"/>
            <w:vAlign w:val="center"/>
          </w:tcPr>
          <w:p w:rsidR="00C64FC7" w:rsidRDefault="00C64FC7" w:rsidP="00FE1096">
            <w:pPr>
              <w:jc w:val="right"/>
              <w:rPr>
                <w:color w:val="000000"/>
                <w:sz w:val="20"/>
                <w:szCs w:val="20"/>
              </w:rPr>
            </w:pPr>
            <w:r>
              <w:rPr>
                <w:color w:val="000000"/>
                <w:sz w:val="20"/>
                <w:szCs w:val="20"/>
              </w:rPr>
              <w:t>83268.0</w:t>
            </w:r>
          </w:p>
        </w:tc>
        <w:tc>
          <w:tcPr>
            <w:tcW w:w="1510" w:type="dxa"/>
            <w:tcBorders>
              <w:top w:val="nil"/>
              <w:left w:val="nil"/>
              <w:bottom w:val="single" w:sz="8" w:space="0" w:color="auto"/>
              <w:right w:val="single" w:sz="8" w:space="0" w:color="auto"/>
            </w:tcBorders>
            <w:shd w:val="clear" w:color="auto" w:fill="auto"/>
            <w:vAlign w:val="center"/>
          </w:tcPr>
          <w:p w:rsidR="00C64FC7" w:rsidRDefault="00C64FC7" w:rsidP="00FE1096">
            <w:pPr>
              <w:jc w:val="right"/>
              <w:rPr>
                <w:sz w:val="20"/>
                <w:szCs w:val="20"/>
              </w:rPr>
            </w:pPr>
            <w:r>
              <w:rPr>
                <w:sz w:val="20"/>
                <w:szCs w:val="20"/>
              </w:rPr>
              <w:t>88947.4</w:t>
            </w:r>
          </w:p>
        </w:tc>
        <w:tc>
          <w:tcPr>
            <w:tcW w:w="1451" w:type="dxa"/>
            <w:tcBorders>
              <w:top w:val="nil"/>
              <w:left w:val="single" w:sz="8" w:space="0" w:color="auto"/>
              <w:bottom w:val="single" w:sz="8" w:space="0" w:color="auto"/>
              <w:right w:val="single" w:sz="8" w:space="0" w:color="auto"/>
            </w:tcBorders>
            <w:shd w:val="clear" w:color="auto" w:fill="auto"/>
          </w:tcPr>
          <w:p w:rsidR="00C64FC7" w:rsidRPr="00F503DC" w:rsidRDefault="00C64FC7" w:rsidP="00FE1096">
            <w:pPr>
              <w:jc w:val="center"/>
              <w:rPr>
                <w:sz w:val="20"/>
                <w:szCs w:val="20"/>
              </w:rPr>
            </w:pPr>
            <w:r>
              <w:rPr>
                <w:color w:val="000000"/>
                <w:sz w:val="20"/>
                <w:szCs w:val="20"/>
              </w:rPr>
              <w:t>119044.4</w:t>
            </w:r>
          </w:p>
        </w:tc>
        <w:tc>
          <w:tcPr>
            <w:tcW w:w="1487" w:type="dxa"/>
            <w:tcBorders>
              <w:top w:val="nil"/>
              <w:left w:val="single" w:sz="8" w:space="0" w:color="auto"/>
              <w:bottom w:val="single" w:sz="8" w:space="0" w:color="auto"/>
              <w:right w:val="single" w:sz="8" w:space="0" w:color="auto"/>
            </w:tcBorders>
            <w:shd w:val="clear" w:color="auto" w:fill="auto"/>
          </w:tcPr>
          <w:p w:rsidR="00C64FC7" w:rsidRDefault="00C64FC7" w:rsidP="00FE1096">
            <w:pPr>
              <w:jc w:val="right"/>
              <w:rPr>
                <w:color w:val="000000"/>
                <w:sz w:val="20"/>
                <w:szCs w:val="20"/>
              </w:rPr>
            </w:pPr>
            <w:r>
              <w:rPr>
                <w:color w:val="000000"/>
                <w:sz w:val="20"/>
                <w:szCs w:val="20"/>
              </w:rPr>
              <w:t>118950.8</w:t>
            </w:r>
          </w:p>
        </w:tc>
      </w:tr>
    </w:tbl>
    <w:p w:rsidR="00C64FC7" w:rsidRPr="009D706D" w:rsidRDefault="00C64FC7" w:rsidP="00C64FC7">
      <w:pPr>
        <w:spacing w:line="20" w:lineRule="atLeast"/>
        <w:jc w:val="both"/>
        <w:rPr>
          <w:rFonts w:ascii="Garamond" w:hAnsi="Garamond"/>
          <w:color w:val="000000" w:themeColor="text1"/>
          <w:sz w:val="18"/>
          <w:szCs w:val="18"/>
        </w:rPr>
      </w:pPr>
    </w:p>
    <w:p w:rsidR="00C64FC7" w:rsidRPr="009D706D" w:rsidRDefault="00C64FC7" w:rsidP="00C64FC7">
      <w:pPr>
        <w:spacing w:line="20" w:lineRule="atLeast"/>
        <w:jc w:val="both"/>
        <w:rPr>
          <w:rFonts w:ascii="Garamond" w:hAnsi="Garamond"/>
          <w:color w:val="000000" w:themeColor="text1"/>
          <w:sz w:val="18"/>
          <w:szCs w:val="18"/>
        </w:rPr>
      </w:pPr>
      <w:r w:rsidRPr="009D706D">
        <w:rPr>
          <w:rFonts w:ascii="Garamond" w:hAnsi="Garamond"/>
          <w:color w:val="000000" w:themeColor="text1"/>
          <w:sz w:val="18"/>
          <w:szCs w:val="18"/>
        </w:rPr>
        <w:t>*Indices are as on last trading day of the month,</w:t>
      </w:r>
    </w:p>
    <w:p w:rsidR="00C64FC7" w:rsidRPr="009D706D" w:rsidRDefault="00C64FC7" w:rsidP="00C64FC7">
      <w:pPr>
        <w:spacing w:line="20" w:lineRule="atLeast"/>
        <w:jc w:val="both"/>
        <w:rPr>
          <w:rFonts w:ascii="Garamond" w:hAnsi="Garamond"/>
          <w:color w:val="000000" w:themeColor="text1"/>
          <w:sz w:val="18"/>
          <w:szCs w:val="18"/>
        </w:rPr>
      </w:pPr>
      <w:r w:rsidRPr="009D706D">
        <w:rPr>
          <w:rFonts w:ascii="Garamond" w:hAnsi="Garamond"/>
          <w:b/>
          <w:color w:val="000000" w:themeColor="text1"/>
          <w:sz w:val="18"/>
          <w:szCs w:val="18"/>
        </w:rPr>
        <w:t>Source</w:t>
      </w:r>
      <w:r w:rsidRPr="009D706D">
        <w:rPr>
          <w:rFonts w:ascii="Garamond" w:hAnsi="Garamond"/>
          <w:color w:val="000000" w:themeColor="text1"/>
          <w:sz w:val="18"/>
          <w:szCs w:val="18"/>
        </w:rPr>
        <w:t>: Bloomberg</w:t>
      </w:r>
    </w:p>
    <w:p w:rsidR="00C64FC7" w:rsidRDefault="00C64FC7" w:rsidP="00C64FC7">
      <w:pPr>
        <w:rPr>
          <w:rFonts w:ascii="Garamond" w:hAnsi="Garamond"/>
          <w:b/>
          <w:strike/>
          <w:color w:val="000000" w:themeColor="text1"/>
        </w:rPr>
      </w:pPr>
      <w:r w:rsidRPr="003251AC">
        <w:rPr>
          <w:rFonts w:ascii="Garamond" w:hAnsi="Garamond"/>
          <w:b/>
          <w:strike/>
          <w:color w:val="000000" w:themeColor="text1"/>
        </w:rPr>
        <w:br w:type="page"/>
      </w:r>
    </w:p>
    <w:p w:rsidR="00C64FC7" w:rsidRPr="003251AC" w:rsidRDefault="00C64FC7" w:rsidP="00C64FC7">
      <w:pPr>
        <w:rPr>
          <w:rFonts w:ascii="Garamond" w:hAnsi="Garamond"/>
          <w:b/>
          <w:color w:val="000000" w:themeColor="text1"/>
        </w:rPr>
      </w:pPr>
      <w:r w:rsidRPr="003251AC">
        <w:rPr>
          <w:rFonts w:ascii="Garamond" w:hAnsi="Garamond"/>
          <w:b/>
          <w:color w:val="000000" w:themeColor="text1"/>
        </w:rPr>
        <w:lastRenderedPageBreak/>
        <w:t>Table A2: Volatility and P/E Ratio of Major International Indices</w:t>
      </w:r>
    </w:p>
    <w:p w:rsidR="00C64FC7" w:rsidRPr="003251AC" w:rsidRDefault="00C64FC7" w:rsidP="00C64FC7">
      <w:pPr>
        <w:rPr>
          <w:rFonts w:ascii="Garamond" w:hAnsi="Garamond"/>
          <w:b/>
          <w:color w:val="000000" w:themeColor="text1"/>
        </w:rPr>
      </w:pPr>
    </w:p>
    <w:tbl>
      <w:tblPr>
        <w:tblW w:w="9680" w:type="dxa"/>
        <w:tblInd w:w="-10" w:type="dxa"/>
        <w:tblLook w:val="04A0" w:firstRow="1" w:lastRow="0" w:firstColumn="1" w:lastColumn="0" w:noHBand="0" w:noVBand="1"/>
      </w:tblPr>
      <w:tblGrid>
        <w:gridCol w:w="2300"/>
        <w:gridCol w:w="2580"/>
        <w:gridCol w:w="1920"/>
        <w:gridCol w:w="683"/>
        <w:gridCol w:w="1920"/>
        <w:gridCol w:w="683"/>
      </w:tblGrid>
      <w:tr w:rsidR="00C64FC7" w:rsidRPr="003251AC" w:rsidTr="00FE1096">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Index</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Volatility (per cent)</w:t>
            </w:r>
          </w:p>
        </w:tc>
        <w:tc>
          <w:tcPr>
            <w:tcW w:w="240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 xml:space="preserve">P/E Ratio </w:t>
            </w:r>
          </w:p>
        </w:tc>
      </w:tr>
      <w:tr w:rsidR="00C64FC7" w:rsidRPr="003251AC" w:rsidTr="00FE1096">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C64FC7" w:rsidRPr="003251AC" w:rsidRDefault="00C64FC7" w:rsidP="00FE1096">
            <w:pPr>
              <w:rPr>
                <w:rFonts w:ascii="Times New Roman" w:eastAsia="Times New Roman" w:hAnsi="Times New Roman"/>
                <w:b/>
                <w:bCs/>
                <w:color w:val="000000"/>
                <w:sz w:val="20"/>
                <w:szCs w:val="20"/>
                <w:lang w:val="en-IN" w:eastAsia="en-IN"/>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C64FC7" w:rsidRPr="003251AC" w:rsidRDefault="00C64FC7" w:rsidP="00FE1096">
            <w:pPr>
              <w:rPr>
                <w:rFonts w:ascii="Times New Roman" w:eastAsia="Times New Roman" w:hAnsi="Times New Roman"/>
                <w:b/>
                <w:bCs/>
                <w:color w:val="000000"/>
                <w:sz w:val="20"/>
                <w:szCs w:val="20"/>
                <w:lang w:val="en-IN" w:eastAsia="en-IN"/>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C64FC7" w:rsidRPr="003251AC" w:rsidRDefault="00C64FC7" w:rsidP="00FE1096">
            <w:pPr>
              <w:rPr>
                <w:rFonts w:ascii="Times New Roman" w:eastAsia="Times New Roman" w:hAnsi="Times New Roman"/>
                <w:b/>
                <w:bCs/>
                <w:color w:val="000000"/>
                <w:sz w:val="20"/>
                <w:szCs w:val="20"/>
                <w:lang w:val="en-IN" w:eastAsia="en-IN"/>
              </w:rPr>
            </w:pPr>
          </w:p>
        </w:tc>
        <w:tc>
          <w:tcPr>
            <w:tcW w:w="2400" w:type="dxa"/>
            <w:gridSpan w:val="2"/>
            <w:vMerge/>
            <w:tcBorders>
              <w:top w:val="single" w:sz="8" w:space="0" w:color="auto"/>
              <w:left w:val="single" w:sz="8" w:space="0" w:color="000000"/>
              <w:bottom w:val="single" w:sz="8" w:space="0" w:color="000000"/>
              <w:right w:val="single" w:sz="8" w:space="0" w:color="000000"/>
            </w:tcBorders>
            <w:vAlign w:val="center"/>
            <w:hideMark/>
          </w:tcPr>
          <w:p w:rsidR="00C64FC7" w:rsidRPr="003251AC" w:rsidRDefault="00C64FC7" w:rsidP="00FE1096">
            <w:pPr>
              <w:rPr>
                <w:rFonts w:ascii="Times New Roman" w:eastAsia="Times New Roman" w:hAnsi="Times New Roman"/>
                <w:b/>
                <w:bCs/>
                <w:color w:val="000000"/>
                <w:sz w:val="20"/>
                <w:szCs w:val="20"/>
                <w:lang w:val="en-IN" w:eastAsia="en-IN"/>
              </w:rPr>
            </w:pPr>
          </w:p>
        </w:tc>
      </w:tr>
      <w:tr w:rsidR="00C64FC7" w:rsidRPr="003251AC" w:rsidTr="00FE1096">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C64FC7" w:rsidRPr="003251AC" w:rsidRDefault="00C64FC7" w:rsidP="00FE1096">
            <w:pPr>
              <w:rPr>
                <w:rFonts w:ascii="Times New Roman" w:eastAsia="Times New Roman" w:hAnsi="Times New Roman"/>
                <w:b/>
                <w:bCs/>
                <w:color w:val="000000"/>
                <w:sz w:val="20"/>
                <w:szCs w:val="20"/>
                <w:lang w:val="en-IN" w:eastAsia="en-IN"/>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C64FC7" w:rsidRPr="003251AC" w:rsidRDefault="00C64FC7" w:rsidP="00FE1096">
            <w:pPr>
              <w:rPr>
                <w:rFonts w:ascii="Times New Roman" w:eastAsia="Times New Roman" w:hAnsi="Times New Roman"/>
                <w:b/>
                <w:bCs/>
                <w:color w:val="000000"/>
                <w:sz w:val="20"/>
                <w:szCs w:val="20"/>
                <w:lang w:val="en-IN" w:eastAsia="en-IN"/>
              </w:rPr>
            </w:pPr>
          </w:p>
        </w:tc>
        <w:tc>
          <w:tcPr>
            <w:tcW w:w="1920" w:type="dxa"/>
            <w:tcBorders>
              <w:top w:val="nil"/>
              <w:left w:val="nil"/>
              <w:bottom w:val="nil"/>
              <w:right w:val="single" w:sz="8" w:space="0" w:color="auto"/>
            </w:tcBorders>
            <w:shd w:val="clear" w:color="000000" w:fill="00B050"/>
            <w:noWrap/>
            <w:vAlign w:val="bottom"/>
            <w:hideMark/>
          </w:tcPr>
          <w:p w:rsidR="00C64FC7" w:rsidRPr="003251AC" w:rsidRDefault="00C64FC7" w:rsidP="00FE1096">
            <w:pPr>
              <w:jc w:val="right"/>
              <w:rPr>
                <w:rFonts w:ascii="Times New Roman" w:eastAsia="Times New Roman" w:hAnsi="Times New Roman"/>
                <w:b/>
                <w:bCs/>
                <w:color w:val="000000"/>
                <w:lang w:val="en-IN" w:eastAsia="en-IN"/>
              </w:rPr>
            </w:pPr>
            <w:r w:rsidRPr="003251AC">
              <w:rPr>
                <w:rFonts w:ascii="Times New Roman" w:eastAsia="Times New Roman" w:hAnsi="Times New Roman"/>
                <w:b/>
                <w:bCs/>
                <w:color w:val="000000"/>
                <w:lang w:val="en-IN" w:eastAsia="en-IN"/>
              </w:rPr>
              <w:t>Jan-18</w:t>
            </w:r>
          </w:p>
        </w:tc>
        <w:tc>
          <w:tcPr>
            <w:tcW w:w="480" w:type="dxa"/>
            <w:tcBorders>
              <w:top w:val="nil"/>
              <w:left w:val="nil"/>
              <w:bottom w:val="nil"/>
              <w:right w:val="single" w:sz="8" w:space="0" w:color="auto"/>
            </w:tcBorders>
            <w:shd w:val="clear" w:color="000000" w:fill="00B050"/>
            <w:noWrap/>
            <w:vAlign w:val="bottom"/>
            <w:hideMark/>
          </w:tcPr>
          <w:p w:rsidR="00C64FC7" w:rsidRPr="003251AC" w:rsidRDefault="00C64FC7" w:rsidP="00FE1096">
            <w:pPr>
              <w:jc w:val="right"/>
              <w:rPr>
                <w:rFonts w:ascii="Times New Roman" w:eastAsia="Times New Roman" w:hAnsi="Times New Roman"/>
                <w:b/>
                <w:bCs/>
                <w:color w:val="000000"/>
                <w:lang w:val="en-IN" w:eastAsia="en-IN"/>
              </w:rPr>
            </w:pPr>
            <w:r w:rsidRPr="003251AC">
              <w:rPr>
                <w:rFonts w:ascii="Times New Roman" w:eastAsia="Times New Roman" w:hAnsi="Times New Roman"/>
                <w:b/>
                <w:bCs/>
                <w:color w:val="000000"/>
                <w:lang w:val="en-IN" w:eastAsia="en-IN"/>
              </w:rPr>
              <w:t>Feb-18</w:t>
            </w:r>
          </w:p>
        </w:tc>
        <w:tc>
          <w:tcPr>
            <w:tcW w:w="1920" w:type="dxa"/>
            <w:tcBorders>
              <w:top w:val="nil"/>
              <w:left w:val="nil"/>
              <w:bottom w:val="nil"/>
              <w:right w:val="single" w:sz="8" w:space="0" w:color="auto"/>
            </w:tcBorders>
            <w:shd w:val="clear" w:color="000000" w:fill="00B050"/>
            <w:noWrap/>
            <w:vAlign w:val="bottom"/>
            <w:hideMark/>
          </w:tcPr>
          <w:p w:rsidR="00C64FC7" w:rsidRPr="003251AC" w:rsidRDefault="00C64FC7" w:rsidP="00FE1096">
            <w:pPr>
              <w:jc w:val="right"/>
              <w:rPr>
                <w:rFonts w:ascii="Times New Roman" w:eastAsia="Times New Roman" w:hAnsi="Times New Roman"/>
                <w:b/>
                <w:bCs/>
                <w:color w:val="000000"/>
                <w:lang w:val="en-IN" w:eastAsia="en-IN"/>
              </w:rPr>
            </w:pPr>
            <w:r w:rsidRPr="003251AC">
              <w:rPr>
                <w:rFonts w:ascii="Times New Roman" w:eastAsia="Times New Roman" w:hAnsi="Times New Roman"/>
                <w:b/>
                <w:bCs/>
                <w:color w:val="000000"/>
                <w:lang w:val="en-IN" w:eastAsia="en-IN"/>
              </w:rPr>
              <w:t>Jan-18</w:t>
            </w:r>
          </w:p>
        </w:tc>
        <w:tc>
          <w:tcPr>
            <w:tcW w:w="480" w:type="dxa"/>
            <w:tcBorders>
              <w:top w:val="nil"/>
              <w:left w:val="nil"/>
              <w:bottom w:val="nil"/>
              <w:right w:val="single" w:sz="8" w:space="0" w:color="auto"/>
            </w:tcBorders>
            <w:shd w:val="clear" w:color="000000" w:fill="00B050"/>
            <w:noWrap/>
            <w:vAlign w:val="bottom"/>
            <w:hideMark/>
          </w:tcPr>
          <w:p w:rsidR="00C64FC7" w:rsidRPr="003251AC" w:rsidRDefault="00C64FC7" w:rsidP="00FE1096">
            <w:pPr>
              <w:jc w:val="right"/>
              <w:rPr>
                <w:rFonts w:ascii="Times New Roman" w:eastAsia="Times New Roman" w:hAnsi="Times New Roman"/>
                <w:b/>
                <w:bCs/>
                <w:color w:val="000000"/>
                <w:lang w:val="en-IN" w:eastAsia="en-IN"/>
              </w:rPr>
            </w:pPr>
            <w:r w:rsidRPr="003251AC">
              <w:rPr>
                <w:rFonts w:ascii="Times New Roman" w:eastAsia="Times New Roman" w:hAnsi="Times New Roman"/>
                <w:b/>
                <w:bCs/>
                <w:color w:val="000000"/>
                <w:lang w:val="en-IN" w:eastAsia="en-IN"/>
              </w:rPr>
              <w:t>Feb-18</w:t>
            </w:r>
          </w:p>
        </w:tc>
      </w:tr>
      <w:tr w:rsidR="00C64FC7" w:rsidRPr="003251AC" w:rsidTr="00FE1096">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1</w:t>
            </w:r>
          </w:p>
        </w:tc>
        <w:tc>
          <w:tcPr>
            <w:tcW w:w="2580" w:type="dxa"/>
            <w:tcBorders>
              <w:top w:val="nil"/>
              <w:left w:val="nil"/>
              <w:bottom w:val="single" w:sz="8" w:space="0" w:color="auto"/>
              <w:right w:val="nil"/>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2</w:t>
            </w:r>
          </w:p>
        </w:tc>
        <w:tc>
          <w:tcPr>
            <w:tcW w:w="1920"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3</w:t>
            </w:r>
          </w:p>
        </w:tc>
        <w:tc>
          <w:tcPr>
            <w:tcW w:w="480" w:type="dxa"/>
            <w:tcBorders>
              <w:top w:val="single" w:sz="8" w:space="0" w:color="auto"/>
              <w:left w:val="nil"/>
              <w:bottom w:val="single" w:sz="8" w:space="0" w:color="auto"/>
              <w:right w:val="single" w:sz="8" w:space="0" w:color="auto"/>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4</w:t>
            </w:r>
          </w:p>
        </w:tc>
        <w:tc>
          <w:tcPr>
            <w:tcW w:w="1920" w:type="dxa"/>
            <w:tcBorders>
              <w:top w:val="single" w:sz="8" w:space="0" w:color="auto"/>
              <w:left w:val="nil"/>
              <w:bottom w:val="single" w:sz="8" w:space="0" w:color="auto"/>
              <w:right w:val="single" w:sz="8" w:space="0" w:color="auto"/>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5</w:t>
            </w:r>
          </w:p>
        </w:tc>
        <w:tc>
          <w:tcPr>
            <w:tcW w:w="480" w:type="dxa"/>
            <w:tcBorders>
              <w:top w:val="single" w:sz="8" w:space="0" w:color="auto"/>
              <w:left w:val="nil"/>
              <w:bottom w:val="single" w:sz="8" w:space="0" w:color="auto"/>
              <w:right w:val="single" w:sz="8" w:space="0" w:color="auto"/>
            </w:tcBorders>
            <w:shd w:val="clear" w:color="000000" w:fill="00B050"/>
            <w:noWrap/>
            <w:vAlign w:val="bottom"/>
            <w:hideMark/>
          </w:tcPr>
          <w:p w:rsidR="00C64FC7" w:rsidRPr="003251AC" w:rsidRDefault="00C64FC7" w:rsidP="00FE1096">
            <w:pPr>
              <w:jc w:val="cente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6</w:t>
            </w:r>
          </w:p>
        </w:tc>
      </w:tr>
      <w:tr w:rsidR="00C64FC7" w:rsidRPr="003251AC" w:rsidTr="00FE1096">
        <w:trPr>
          <w:trHeight w:val="315"/>
        </w:trPr>
        <w:tc>
          <w:tcPr>
            <w:tcW w:w="2300" w:type="dxa"/>
            <w:tcBorders>
              <w:top w:val="nil"/>
              <w:left w:val="single" w:sz="8" w:space="0" w:color="auto"/>
              <w:bottom w:val="nil"/>
              <w:right w:val="nil"/>
            </w:tcBorders>
            <w:shd w:val="clear" w:color="000000" w:fill="00B050"/>
            <w:noWrap/>
            <w:vAlign w:val="bottom"/>
            <w:hideMark/>
          </w:tcPr>
          <w:p w:rsidR="00C64FC7" w:rsidRPr="003251AC" w:rsidRDefault="00C64FC7" w:rsidP="00FE1096">
            <w:pP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Developed Markets</w:t>
            </w:r>
          </w:p>
        </w:tc>
        <w:tc>
          <w:tcPr>
            <w:tcW w:w="2580" w:type="dxa"/>
            <w:tcBorders>
              <w:top w:val="nil"/>
              <w:left w:val="nil"/>
              <w:bottom w:val="single" w:sz="8" w:space="0" w:color="auto"/>
              <w:right w:val="nil"/>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1920" w:type="dxa"/>
            <w:tcBorders>
              <w:top w:val="nil"/>
              <w:left w:val="nil"/>
              <w:bottom w:val="single" w:sz="8" w:space="0" w:color="auto"/>
              <w:right w:val="nil"/>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480" w:type="dxa"/>
            <w:tcBorders>
              <w:top w:val="nil"/>
              <w:left w:val="nil"/>
              <w:bottom w:val="single" w:sz="8" w:space="0" w:color="auto"/>
              <w:right w:val="nil"/>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1920" w:type="dxa"/>
            <w:tcBorders>
              <w:top w:val="nil"/>
              <w:left w:val="nil"/>
              <w:bottom w:val="single" w:sz="8" w:space="0" w:color="auto"/>
              <w:right w:val="nil"/>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480" w:type="dxa"/>
            <w:tcBorders>
              <w:top w:val="nil"/>
              <w:left w:val="nil"/>
              <w:bottom w:val="single" w:sz="8" w:space="0" w:color="auto"/>
              <w:right w:val="single" w:sz="8" w:space="0" w:color="auto"/>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r>
      <w:tr w:rsidR="00C64FC7" w:rsidRPr="003251AC" w:rsidTr="00FE1096">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Australia</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All Ordinaries</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0.4</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1.0</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16.5</w:t>
            </w:r>
          </w:p>
        </w:tc>
      </w:tr>
      <w:tr w:rsidR="00C64FC7" w:rsidRPr="003251AC" w:rsidTr="00FE1096">
        <w:trPr>
          <w:trHeight w:val="300"/>
        </w:trPr>
        <w:tc>
          <w:tcPr>
            <w:tcW w:w="230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France</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CAC 40</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15.2</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14.7</w:t>
            </w:r>
          </w:p>
        </w:tc>
      </w:tr>
      <w:tr w:rsidR="00C64FC7" w:rsidRPr="003251AC" w:rsidTr="00FE1096">
        <w:trPr>
          <w:trHeight w:val="300"/>
        </w:trPr>
        <w:tc>
          <w:tcPr>
            <w:tcW w:w="230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Germany</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Dax</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12.9</w:t>
            </w:r>
          </w:p>
        </w:tc>
      </w:tr>
      <w:tr w:rsidR="00C64FC7" w:rsidRPr="003251AC" w:rsidTr="00FE1096">
        <w:trPr>
          <w:trHeight w:val="300"/>
        </w:trPr>
        <w:tc>
          <w:tcPr>
            <w:tcW w:w="230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Hong Kong HSI</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Hang Seng</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0.8</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1.8</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12.9</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12.0</w:t>
            </w:r>
          </w:p>
        </w:tc>
      </w:tr>
      <w:tr w:rsidR="00C64FC7" w:rsidRPr="003251AC" w:rsidTr="00FE1096">
        <w:trPr>
          <w:trHeight w:val="300"/>
        </w:trPr>
        <w:tc>
          <w:tcPr>
            <w:tcW w:w="230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Japan NIKKEI</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Nikkei 225</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1.0</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1.7</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NA</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NA</w:t>
            </w:r>
          </w:p>
        </w:tc>
      </w:tr>
      <w:tr w:rsidR="00C64FC7" w:rsidRPr="003251AC" w:rsidTr="00FE1096">
        <w:trPr>
          <w:trHeight w:val="300"/>
        </w:trPr>
        <w:tc>
          <w:tcPr>
            <w:tcW w:w="230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Singapore STI</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Straits Times</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1.0</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14.4</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14.2</w:t>
            </w:r>
          </w:p>
        </w:tc>
      </w:tr>
      <w:tr w:rsidR="00C64FC7" w:rsidRPr="003251AC" w:rsidTr="00FE1096">
        <w:trPr>
          <w:trHeight w:val="300"/>
        </w:trPr>
        <w:tc>
          <w:tcPr>
            <w:tcW w:w="230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xml:space="preserve">UK </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FTSE 100</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0.5</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1.0</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14.5</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13.7</w:t>
            </w:r>
          </w:p>
        </w:tc>
      </w:tr>
      <w:tr w:rsidR="00C64FC7" w:rsidRPr="003251AC" w:rsidTr="00FE1096">
        <w:trPr>
          <w:trHeight w:val="300"/>
        </w:trPr>
        <w:tc>
          <w:tcPr>
            <w:tcW w:w="230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USA DOW JONES</w:t>
            </w:r>
          </w:p>
        </w:tc>
        <w:tc>
          <w:tcPr>
            <w:tcW w:w="2580" w:type="dxa"/>
            <w:tcBorders>
              <w:top w:val="nil"/>
              <w:left w:val="nil"/>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Dow Jones Industrial Average</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1.9</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18.0</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16.9</w:t>
            </w:r>
          </w:p>
        </w:tc>
      </w:tr>
      <w:tr w:rsidR="00C64FC7" w:rsidRPr="003251AC" w:rsidTr="00FE1096">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USA NASDAQ Composite</w:t>
            </w:r>
          </w:p>
        </w:tc>
        <w:tc>
          <w:tcPr>
            <w:tcW w:w="2580" w:type="dxa"/>
            <w:tcBorders>
              <w:top w:val="nil"/>
              <w:left w:val="nil"/>
              <w:bottom w:val="single" w:sz="8" w:space="0" w:color="auto"/>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Nasdaq Composite</w:t>
            </w:r>
          </w:p>
        </w:tc>
        <w:tc>
          <w:tcPr>
            <w:tcW w:w="1920" w:type="dxa"/>
            <w:tcBorders>
              <w:top w:val="nil"/>
              <w:left w:val="single" w:sz="8" w:space="0" w:color="auto"/>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0.7</w:t>
            </w:r>
          </w:p>
        </w:tc>
        <w:tc>
          <w:tcPr>
            <w:tcW w:w="480" w:type="dxa"/>
            <w:tcBorders>
              <w:top w:val="nil"/>
              <w:left w:val="nil"/>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1.8</w:t>
            </w:r>
          </w:p>
        </w:tc>
        <w:tc>
          <w:tcPr>
            <w:tcW w:w="1920" w:type="dxa"/>
            <w:tcBorders>
              <w:top w:val="nil"/>
              <w:left w:val="nil"/>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22.8</w:t>
            </w:r>
          </w:p>
        </w:tc>
        <w:tc>
          <w:tcPr>
            <w:tcW w:w="480" w:type="dxa"/>
            <w:tcBorders>
              <w:top w:val="nil"/>
              <w:left w:val="nil"/>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22.1</w:t>
            </w:r>
          </w:p>
        </w:tc>
      </w:tr>
      <w:tr w:rsidR="00C64FC7" w:rsidRPr="003251AC" w:rsidTr="00FE1096">
        <w:trPr>
          <w:trHeight w:val="315"/>
        </w:trPr>
        <w:tc>
          <w:tcPr>
            <w:tcW w:w="2300" w:type="dxa"/>
            <w:tcBorders>
              <w:top w:val="nil"/>
              <w:left w:val="single" w:sz="8" w:space="0" w:color="auto"/>
              <w:bottom w:val="nil"/>
              <w:right w:val="nil"/>
            </w:tcBorders>
            <w:shd w:val="clear" w:color="000000" w:fill="00B050"/>
            <w:noWrap/>
            <w:vAlign w:val="bottom"/>
            <w:hideMark/>
          </w:tcPr>
          <w:p w:rsidR="00C64FC7" w:rsidRPr="003251AC" w:rsidRDefault="00C64FC7" w:rsidP="00FE1096">
            <w:pPr>
              <w:rPr>
                <w:rFonts w:ascii="Times New Roman" w:eastAsia="Times New Roman" w:hAnsi="Times New Roman"/>
                <w:b/>
                <w:bCs/>
                <w:color w:val="000000"/>
                <w:sz w:val="20"/>
                <w:szCs w:val="20"/>
                <w:lang w:val="en-IN" w:eastAsia="en-IN"/>
              </w:rPr>
            </w:pPr>
            <w:r w:rsidRPr="003251AC">
              <w:rPr>
                <w:rFonts w:ascii="Times New Roman" w:eastAsia="Times New Roman" w:hAnsi="Times New Roman"/>
                <w:b/>
                <w:bCs/>
                <w:color w:val="000000"/>
                <w:sz w:val="20"/>
                <w:szCs w:val="20"/>
                <w:lang w:val="en-IN" w:eastAsia="en-IN"/>
              </w:rPr>
              <w:t>Emerging Markets</w:t>
            </w:r>
          </w:p>
        </w:tc>
        <w:tc>
          <w:tcPr>
            <w:tcW w:w="2580" w:type="dxa"/>
            <w:tcBorders>
              <w:top w:val="nil"/>
              <w:left w:val="nil"/>
              <w:bottom w:val="single" w:sz="8" w:space="0" w:color="auto"/>
              <w:right w:val="nil"/>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1920" w:type="dxa"/>
            <w:tcBorders>
              <w:top w:val="nil"/>
              <w:left w:val="single" w:sz="8" w:space="0" w:color="auto"/>
              <w:bottom w:val="nil"/>
              <w:right w:val="nil"/>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480" w:type="dxa"/>
            <w:tcBorders>
              <w:top w:val="nil"/>
              <w:left w:val="single" w:sz="8" w:space="0" w:color="auto"/>
              <w:bottom w:val="nil"/>
              <w:right w:val="nil"/>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1920" w:type="dxa"/>
            <w:tcBorders>
              <w:top w:val="nil"/>
              <w:left w:val="nil"/>
              <w:bottom w:val="single" w:sz="8" w:space="0" w:color="auto"/>
              <w:right w:val="single" w:sz="8" w:space="0" w:color="auto"/>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c>
          <w:tcPr>
            <w:tcW w:w="480" w:type="dxa"/>
            <w:tcBorders>
              <w:top w:val="nil"/>
              <w:left w:val="nil"/>
              <w:bottom w:val="single" w:sz="8" w:space="0" w:color="auto"/>
              <w:right w:val="single" w:sz="8" w:space="0" w:color="auto"/>
            </w:tcBorders>
            <w:shd w:val="clear" w:color="000000" w:fill="00B050"/>
            <w:noWrap/>
            <w:vAlign w:val="bottom"/>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 </w:t>
            </w:r>
          </w:p>
        </w:tc>
      </w:tr>
      <w:tr w:rsidR="00C64FC7" w:rsidRPr="003251AC" w:rsidTr="00FE1096">
        <w:trPr>
          <w:trHeight w:val="300"/>
        </w:trPr>
        <w:tc>
          <w:tcPr>
            <w:tcW w:w="2300" w:type="dxa"/>
            <w:tcBorders>
              <w:top w:val="single" w:sz="8" w:space="0" w:color="auto"/>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India (BSE)</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S&amp;P Sensex</w:t>
            </w:r>
          </w:p>
        </w:tc>
        <w:tc>
          <w:tcPr>
            <w:tcW w:w="1920" w:type="dxa"/>
            <w:tcBorders>
              <w:top w:val="single" w:sz="8" w:space="0" w:color="auto"/>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0.5</w:t>
            </w:r>
          </w:p>
        </w:tc>
        <w:tc>
          <w:tcPr>
            <w:tcW w:w="480" w:type="dxa"/>
            <w:tcBorders>
              <w:top w:val="single" w:sz="8" w:space="0" w:color="auto"/>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0.9</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25.2</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24.5</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India (NSE)</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Nifty 50</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0.5</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0.9</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23.7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23.0</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Argentina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Indice Bolsa General</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2.3</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14.9</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Brazil</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Bovespa</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1.5</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13.1</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Chile</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Stock Market Select</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0.5</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0.9</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19.8</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18.7</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China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Shanghai SE Composite IX</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1.7</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13.5</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12.8</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Colombia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IGBC General</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0.9</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15.0</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14.1</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Egypt</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Hermes</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0.8</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0.8</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10.9</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11.4</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Hungary</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Budapest Stock Exchange</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0.9</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1.1</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11.2</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10.8</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Indonesia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Jakatra Composite</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0.7</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17.3</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16.9</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Malaysia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FTSE Bursa Malaysia KLCI</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0.4</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0.8</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16.5</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Mexico</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Bolsa</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0.9</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17.1</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16.1</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Pakistan</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Karachi 30</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1.1</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1.0</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9.7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9.3</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Russia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Russian Traded</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6.8</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6.5</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South Korea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Kospi Index</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NA</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NA</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South Africa</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FTSE/JSE Africa All Share</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0.7</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1.4</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16.4</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16.3</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Taiwan</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Taiwan Taiex</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1.9</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13.4</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13.1</w:t>
            </w:r>
          </w:p>
        </w:tc>
      </w:tr>
      <w:tr w:rsidR="00C64FC7" w:rsidRPr="003251AC" w:rsidTr="00FE1096">
        <w:trPr>
          <w:trHeight w:val="300"/>
        </w:trPr>
        <w:tc>
          <w:tcPr>
            <w:tcW w:w="230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Thailand</w:t>
            </w:r>
          </w:p>
        </w:tc>
        <w:tc>
          <w:tcPr>
            <w:tcW w:w="2580" w:type="dxa"/>
            <w:tcBorders>
              <w:top w:val="nil"/>
              <w:left w:val="single" w:sz="8" w:space="0" w:color="auto"/>
              <w:bottom w:val="nil"/>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Stock Exchange of Thai</w:t>
            </w:r>
          </w:p>
        </w:tc>
        <w:tc>
          <w:tcPr>
            <w:tcW w:w="1920" w:type="dxa"/>
            <w:tcBorders>
              <w:top w:val="nil"/>
              <w:left w:val="single" w:sz="8" w:space="0" w:color="auto"/>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0.5</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0.6</w:t>
            </w:r>
          </w:p>
        </w:tc>
        <w:tc>
          <w:tcPr>
            <w:tcW w:w="192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16.6</w:t>
            </w:r>
          </w:p>
        </w:tc>
        <w:tc>
          <w:tcPr>
            <w:tcW w:w="480" w:type="dxa"/>
            <w:tcBorders>
              <w:top w:val="nil"/>
              <w:left w:val="nil"/>
              <w:bottom w:val="nil"/>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16.6</w:t>
            </w:r>
          </w:p>
        </w:tc>
      </w:tr>
      <w:tr w:rsidR="00C64FC7" w:rsidRPr="003251AC" w:rsidTr="00FE1096">
        <w:trPr>
          <w:trHeight w:val="315"/>
        </w:trPr>
        <w:tc>
          <w:tcPr>
            <w:tcW w:w="2300" w:type="dxa"/>
            <w:tcBorders>
              <w:top w:val="nil"/>
              <w:left w:val="single" w:sz="8" w:space="0" w:color="auto"/>
              <w:bottom w:val="single" w:sz="8" w:space="0" w:color="auto"/>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Turkey</w:t>
            </w:r>
          </w:p>
        </w:tc>
        <w:tc>
          <w:tcPr>
            <w:tcW w:w="2580" w:type="dxa"/>
            <w:tcBorders>
              <w:top w:val="nil"/>
              <w:left w:val="single" w:sz="8" w:space="0" w:color="auto"/>
              <w:bottom w:val="single" w:sz="8" w:space="0" w:color="auto"/>
              <w:right w:val="nil"/>
            </w:tcBorders>
            <w:shd w:val="clear" w:color="auto" w:fill="auto"/>
            <w:noWrap/>
            <w:hideMark/>
          </w:tcPr>
          <w:p w:rsidR="00C64FC7" w:rsidRPr="003251AC" w:rsidRDefault="00C64FC7" w:rsidP="00FE1096">
            <w:pPr>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ISE National 100</w:t>
            </w:r>
          </w:p>
        </w:tc>
        <w:tc>
          <w:tcPr>
            <w:tcW w:w="1920" w:type="dxa"/>
            <w:tcBorders>
              <w:top w:val="nil"/>
              <w:left w:val="single" w:sz="8" w:space="0" w:color="auto"/>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1.3</w:t>
            </w:r>
          </w:p>
        </w:tc>
        <w:tc>
          <w:tcPr>
            <w:tcW w:w="480" w:type="dxa"/>
            <w:tcBorders>
              <w:top w:val="nil"/>
              <w:left w:val="nil"/>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1.2</w:t>
            </w:r>
          </w:p>
        </w:tc>
        <w:tc>
          <w:tcPr>
            <w:tcW w:w="1920" w:type="dxa"/>
            <w:tcBorders>
              <w:top w:val="nil"/>
              <w:left w:val="nil"/>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8.6</w:t>
            </w:r>
          </w:p>
        </w:tc>
        <w:tc>
          <w:tcPr>
            <w:tcW w:w="480" w:type="dxa"/>
            <w:tcBorders>
              <w:top w:val="nil"/>
              <w:left w:val="nil"/>
              <w:bottom w:val="single" w:sz="8" w:space="0" w:color="auto"/>
              <w:right w:val="single" w:sz="8" w:space="0" w:color="auto"/>
            </w:tcBorders>
            <w:shd w:val="clear" w:color="auto" w:fill="auto"/>
            <w:noWrap/>
            <w:hideMark/>
          </w:tcPr>
          <w:p w:rsidR="00C64FC7" w:rsidRPr="003251AC" w:rsidRDefault="00C64FC7" w:rsidP="00FE1096">
            <w:pPr>
              <w:jc w:val="right"/>
              <w:rPr>
                <w:rFonts w:ascii="Times New Roman" w:eastAsia="Times New Roman" w:hAnsi="Times New Roman"/>
                <w:color w:val="000000"/>
                <w:sz w:val="20"/>
                <w:szCs w:val="20"/>
                <w:lang w:val="en-IN" w:eastAsia="en-IN"/>
              </w:rPr>
            </w:pPr>
            <w:r w:rsidRPr="003251AC">
              <w:rPr>
                <w:rFonts w:ascii="Times New Roman" w:eastAsia="Times New Roman" w:hAnsi="Times New Roman"/>
                <w:color w:val="000000"/>
                <w:sz w:val="20"/>
                <w:szCs w:val="20"/>
                <w:lang w:val="en-IN" w:eastAsia="en-IN"/>
              </w:rPr>
              <w:t>8.6</w:t>
            </w:r>
          </w:p>
        </w:tc>
      </w:tr>
    </w:tbl>
    <w:p w:rsidR="00C64FC7" w:rsidRPr="003251AC" w:rsidRDefault="00C64FC7" w:rsidP="00C64FC7">
      <w:pPr>
        <w:rPr>
          <w:rFonts w:ascii="Garamond" w:hAnsi="Garamond"/>
          <w:color w:val="000000" w:themeColor="text1"/>
        </w:rPr>
      </w:pPr>
      <w:r w:rsidRPr="003251AC">
        <w:rPr>
          <w:rFonts w:ascii="Garamond" w:hAnsi="Garamond"/>
          <w:color w:val="000000" w:themeColor="text1"/>
          <w:sz w:val="18"/>
          <w:szCs w:val="18"/>
        </w:rPr>
        <w:t>NA.: Not Available</w:t>
      </w:r>
    </w:p>
    <w:p w:rsidR="00C64FC7" w:rsidRPr="003251AC" w:rsidRDefault="00C64FC7" w:rsidP="00C64FC7">
      <w:pPr>
        <w:rPr>
          <w:rFonts w:ascii="Garamond" w:hAnsi="Garamond"/>
          <w:color w:val="000000" w:themeColor="text1"/>
          <w:sz w:val="18"/>
          <w:szCs w:val="18"/>
        </w:rPr>
      </w:pPr>
      <w:r w:rsidRPr="003251AC">
        <w:rPr>
          <w:rFonts w:ascii="Garamond" w:hAnsi="Garamond"/>
          <w:b/>
          <w:color w:val="000000" w:themeColor="text1"/>
          <w:sz w:val="18"/>
          <w:szCs w:val="18"/>
        </w:rPr>
        <w:t>Source</w:t>
      </w:r>
      <w:r w:rsidRPr="003251AC">
        <w:rPr>
          <w:rFonts w:ascii="Garamond" w:hAnsi="Garamond"/>
          <w:color w:val="000000" w:themeColor="text1"/>
          <w:sz w:val="18"/>
          <w:szCs w:val="18"/>
        </w:rPr>
        <w:t xml:space="preserve">: Bloomberg, </w:t>
      </w:r>
    </w:p>
    <w:p w:rsidR="00C64FC7" w:rsidRPr="003251AC" w:rsidRDefault="00C64FC7" w:rsidP="00C64FC7">
      <w:pPr>
        <w:rPr>
          <w:rFonts w:ascii="Garamond" w:hAnsi="Garamond"/>
          <w:strike/>
          <w:color w:val="000000" w:themeColor="text1"/>
        </w:rPr>
      </w:pPr>
    </w:p>
    <w:p w:rsidR="00C64FC7" w:rsidRPr="003251AC" w:rsidRDefault="00C64FC7" w:rsidP="00C64FC7">
      <w:pPr>
        <w:rPr>
          <w:rFonts w:ascii="Garamond" w:hAnsi="Garamond"/>
          <w:strike/>
          <w:color w:val="000000" w:themeColor="text1"/>
        </w:rPr>
      </w:pPr>
      <w:r w:rsidRPr="003251AC">
        <w:rPr>
          <w:rFonts w:ascii="Garamond" w:hAnsi="Garamond"/>
          <w:strike/>
          <w:color w:val="000000" w:themeColor="text1"/>
        </w:rPr>
        <w:br w:type="page"/>
      </w:r>
    </w:p>
    <w:p w:rsidR="00C64FC7" w:rsidRPr="005811D6" w:rsidRDefault="00C64FC7" w:rsidP="00C64FC7">
      <w:pPr>
        <w:rPr>
          <w:rFonts w:ascii="Garamond" w:hAnsi="Garamond"/>
          <w:b/>
          <w:color w:val="000000" w:themeColor="text1"/>
        </w:rPr>
      </w:pPr>
      <w:r w:rsidRPr="005811D6">
        <w:rPr>
          <w:rFonts w:ascii="Garamond" w:hAnsi="Garamond"/>
          <w:b/>
          <w:color w:val="000000" w:themeColor="text1"/>
        </w:rPr>
        <w:lastRenderedPageBreak/>
        <w:t>Table A3: Investment Flows – New capital Raised by Shares and Bonds in the Major Exchanges</w:t>
      </w:r>
    </w:p>
    <w:tbl>
      <w:tblPr>
        <w:tblW w:w="10020" w:type="dxa"/>
        <w:tblLook w:val="04A0" w:firstRow="1" w:lastRow="0" w:firstColumn="1" w:lastColumn="0" w:noHBand="0" w:noVBand="1"/>
      </w:tblPr>
      <w:tblGrid>
        <w:gridCol w:w="3060"/>
        <w:gridCol w:w="1160"/>
        <w:gridCol w:w="1160"/>
        <w:gridCol w:w="1160"/>
        <w:gridCol w:w="1160"/>
        <w:gridCol w:w="1160"/>
        <w:gridCol w:w="1160"/>
      </w:tblGrid>
      <w:tr w:rsidR="00C64FC7" w:rsidRPr="005811D6" w:rsidTr="00FE1096">
        <w:trPr>
          <w:trHeight w:val="435"/>
        </w:trPr>
        <w:tc>
          <w:tcPr>
            <w:tcW w:w="3060"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rsidR="00C64FC7" w:rsidRPr="005811D6" w:rsidRDefault="00C64FC7" w:rsidP="00FE1096">
            <w:pPr>
              <w:jc w:val="center"/>
              <w:rPr>
                <w:rFonts w:eastAsia="Times New Roman" w:cs="Calibri"/>
                <w:b/>
                <w:bCs/>
                <w:color w:val="000000"/>
                <w:lang w:val="en-IN" w:eastAsia="en-IN"/>
              </w:rPr>
            </w:pPr>
            <w:r w:rsidRPr="005811D6">
              <w:rPr>
                <w:rFonts w:eastAsia="Times New Roman" w:cs="Calibri"/>
                <w:b/>
                <w:bCs/>
                <w:color w:val="000000"/>
                <w:lang w:val="en-IN" w:eastAsia="en-IN"/>
              </w:rPr>
              <w:t>Stock Exchange</w:t>
            </w:r>
          </w:p>
        </w:tc>
        <w:tc>
          <w:tcPr>
            <w:tcW w:w="3480" w:type="dxa"/>
            <w:gridSpan w:val="3"/>
            <w:tcBorders>
              <w:top w:val="single" w:sz="8" w:space="0" w:color="auto"/>
              <w:left w:val="nil"/>
              <w:bottom w:val="single" w:sz="4" w:space="0" w:color="auto"/>
              <w:right w:val="single" w:sz="4" w:space="0" w:color="auto"/>
            </w:tcBorders>
            <w:shd w:val="clear" w:color="000000" w:fill="00B050"/>
            <w:noWrap/>
            <w:vAlign w:val="center"/>
            <w:hideMark/>
          </w:tcPr>
          <w:p w:rsidR="00C64FC7" w:rsidRPr="005811D6" w:rsidRDefault="00C64FC7" w:rsidP="00FE1096">
            <w:pPr>
              <w:jc w:val="center"/>
              <w:rPr>
                <w:rFonts w:eastAsia="Times New Roman" w:cs="Calibri"/>
                <w:b/>
                <w:bCs/>
                <w:color w:val="000000"/>
                <w:lang w:val="en-IN" w:eastAsia="en-IN"/>
              </w:rPr>
            </w:pPr>
            <w:r w:rsidRPr="005811D6">
              <w:rPr>
                <w:rFonts w:eastAsia="Times New Roman" w:cs="Calibri"/>
                <w:b/>
                <w:bCs/>
                <w:color w:val="000000"/>
                <w:lang w:val="en-IN" w:eastAsia="en-IN"/>
              </w:rPr>
              <w:t>Dec-17</w:t>
            </w:r>
          </w:p>
        </w:tc>
        <w:tc>
          <w:tcPr>
            <w:tcW w:w="3480" w:type="dxa"/>
            <w:gridSpan w:val="3"/>
            <w:tcBorders>
              <w:top w:val="single" w:sz="8" w:space="0" w:color="auto"/>
              <w:left w:val="nil"/>
              <w:bottom w:val="single" w:sz="4" w:space="0" w:color="auto"/>
              <w:right w:val="single" w:sz="8" w:space="0" w:color="000000"/>
            </w:tcBorders>
            <w:shd w:val="clear" w:color="000000" w:fill="00B050"/>
            <w:noWrap/>
            <w:vAlign w:val="center"/>
            <w:hideMark/>
          </w:tcPr>
          <w:p w:rsidR="00C64FC7" w:rsidRPr="005811D6" w:rsidRDefault="00C64FC7" w:rsidP="00FE1096">
            <w:pPr>
              <w:jc w:val="center"/>
              <w:rPr>
                <w:rFonts w:eastAsia="Times New Roman" w:cs="Calibri"/>
                <w:b/>
                <w:bCs/>
                <w:color w:val="000000"/>
                <w:lang w:val="en-IN" w:eastAsia="en-IN"/>
              </w:rPr>
            </w:pPr>
            <w:r w:rsidRPr="005811D6">
              <w:rPr>
                <w:rFonts w:eastAsia="Times New Roman" w:cs="Calibri"/>
                <w:b/>
                <w:bCs/>
                <w:color w:val="000000"/>
                <w:lang w:val="en-IN" w:eastAsia="en-IN"/>
              </w:rPr>
              <w:t>Jan-18</w:t>
            </w:r>
          </w:p>
        </w:tc>
      </w:tr>
      <w:tr w:rsidR="00C64FC7" w:rsidRPr="005811D6" w:rsidTr="00FE1096">
        <w:trPr>
          <w:trHeight w:val="705"/>
        </w:trPr>
        <w:tc>
          <w:tcPr>
            <w:tcW w:w="3060" w:type="dxa"/>
            <w:vMerge/>
            <w:tcBorders>
              <w:top w:val="single" w:sz="8" w:space="0" w:color="auto"/>
              <w:left w:val="single" w:sz="8" w:space="0" w:color="auto"/>
              <w:bottom w:val="single" w:sz="4" w:space="0" w:color="000000"/>
              <w:right w:val="single" w:sz="4" w:space="0" w:color="auto"/>
            </w:tcBorders>
            <w:vAlign w:val="center"/>
            <w:hideMark/>
          </w:tcPr>
          <w:p w:rsidR="00C64FC7" w:rsidRPr="005811D6" w:rsidRDefault="00C64FC7" w:rsidP="00FE1096">
            <w:pPr>
              <w:rPr>
                <w:rFonts w:eastAsia="Times New Roman" w:cs="Calibri"/>
                <w:b/>
                <w:bCs/>
                <w:color w:val="000000"/>
                <w:lang w:val="en-IN" w:eastAsia="en-IN"/>
              </w:rPr>
            </w:pPr>
          </w:p>
        </w:tc>
        <w:tc>
          <w:tcPr>
            <w:tcW w:w="1160" w:type="dxa"/>
            <w:tcBorders>
              <w:top w:val="nil"/>
              <w:left w:val="nil"/>
              <w:bottom w:val="single" w:sz="4" w:space="0" w:color="auto"/>
              <w:right w:val="single" w:sz="4" w:space="0" w:color="auto"/>
            </w:tcBorders>
            <w:shd w:val="clear" w:color="000000" w:fill="00B050"/>
            <w:vAlign w:val="center"/>
            <w:hideMark/>
          </w:tcPr>
          <w:p w:rsidR="00C64FC7" w:rsidRPr="005811D6" w:rsidRDefault="00C64FC7" w:rsidP="00FE1096">
            <w:pPr>
              <w:jc w:val="center"/>
              <w:rPr>
                <w:rFonts w:eastAsia="Times New Roman" w:cs="Calibri"/>
                <w:b/>
                <w:bCs/>
                <w:color w:val="000000"/>
                <w:sz w:val="20"/>
                <w:szCs w:val="20"/>
                <w:lang w:val="en-IN" w:eastAsia="en-IN"/>
              </w:rPr>
            </w:pPr>
            <w:r w:rsidRPr="005811D6">
              <w:rPr>
                <w:rFonts w:eastAsia="Times New Roman" w:cs="Calibri"/>
                <w:b/>
                <w:bCs/>
                <w:color w:val="000000"/>
                <w:sz w:val="20"/>
                <w:szCs w:val="20"/>
                <w:lang w:val="en-IN" w:eastAsia="en-IN"/>
              </w:rPr>
              <w:t>Bonds</w:t>
            </w:r>
            <w:r w:rsidRPr="005811D6">
              <w:rPr>
                <w:rFonts w:eastAsia="Times New Roman" w:cs="Calibri"/>
                <w:b/>
                <w:bCs/>
                <w:color w:val="000000"/>
                <w:sz w:val="20"/>
                <w:szCs w:val="20"/>
                <w:lang w:val="en-IN" w:eastAsia="en-IN"/>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C64FC7" w:rsidRPr="005811D6" w:rsidRDefault="00C64FC7" w:rsidP="00FE1096">
            <w:pPr>
              <w:jc w:val="center"/>
              <w:rPr>
                <w:rFonts w:eastAsia="Times New Roman" w:cs="Calibri"/>
                <w:b/>
                <w:bCs/>
                <w:color w:val="000000"/>
                <w:sz w:val="20"/>
                <w:szCs w:val="20"/>
                <w:lang w:val="en-IN" w:eastAsia="en-IN"/>
              </w:rPr>
            </w:pPr>
            <w:r w:rsidRPr="005811D6">
              <w:rPr>
                <w:rFonts w:eastAsia="Times New Roman" w:cs="Calibri"/>
                <w:b/>
                <w:bCs/>
                <w:color w:val="000000"/>
                <w:sz w:val="20"/>
                <w:szCs w:val="20"/>
                <w:lang w:val="en-IN" w:eastAsia="en-IN"/>
              </w:rPr>
              <w:t>Equity</w:t>
            </w:r>
            <w:r w:rsidRPr="005811D6">
              <w:rPr>
                <w:rFonts w:eastAsia="Times New Roman" w:cs="Calibri"/>
                <w:b/>
                <w:bCs/>
                <w:color w:val="000000"/>
                <w:sz w:val="20"/>
                <w:szCs w:val="20"/>
                <w:lang w:val="en-IN" w:eastAsia="en-IN"/>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C64FC7" w:rsidRPr="005811D6" w:rsidRDefault="00C64FC7" w:rsidP="00FE1096">
            <w:pPr>
              <w:jc w:val="center"/>
              <w:rPr>
                <w:rFonts w:eastAsia="Times New Roman" w:cs="Calibri"/>
                <w:b/>
                <w:bCs/>
                <w:color w:val="000000"/>
                <w:sz w:val="20"/>
                <w:szCs w:val="20"/>
                <w:lang w:val="en-IN" w:eastAsia="en-IN"/>
              </w:rPr>
            </w:pPr>
            <w:r w:rsidRPr="005811D6">
              <w:rPr>
                <w:rFonts w:eastAsia="Times New Roman" w:cs="Calibri"/>
                <w:b/>
                <w:bCs/>
                <w:color w:val="000000"/>
                <w:sz w:val="20"/>
                <w:szCs w:val="20"/>
                <w:lang w:val="en-IN" w:eastAsia="en-IN"/>
              </w:rPr>
              <w:t>Total</w:t>
            </w:r>
            <w:r w:rsidRPr="005811D6">
              <w:rPr>
                <w:rFonts w:eastAsia="Times New Roman" w:cs="Calibri"/>
                <w:b/>
                <w:bCs/>
                <w:color w:val="000000"/>
                <w:sz w:val="20"/>
                <w:szCs w:val="20"/>
                <w:lang w:val="en-IN" w:eastAsia="en-IN"/>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C64FC7" w:rsidRPr="005811D6" w:rsidRDefault="00C64FC7" w:rsidP="00FE1096">
            <w:pPr>
              <w:jc w:val="center"/>
              <w:rPr>
                <w:rFonts w:eastAsia="Times New Roman" w:cs="Calibri"/>
                <w:b/>
                <w:bCs/>
                <w:color w:val="000000"/>
                <w:sz w:val="20"/>
                <w:szCs w:val="20"/>
                <w:lang w:val="en-IN" w:eastAsia="en-IN"/>
              </w:rPr>
            </w:pPr>
            <w:r w:rsidRPr="005811D6">
              <w:rPr>
                <w:rFonts w:eastAsia="Times New Roman" w:cs="Calibri"/>
                <w:b/>
                <w:bCs/>
                <w:color w:val="000000"/>
                <w:sz w:val="20"/>
                <w:szCs w:val="20"/>
                <w:lang w:val="en-IN" w:eastAsia="en-IN"/>
              </w:rPr>
              <w:t>Bonds</w:t>
            </w:r>
            <w:r w:rsidRPr="005811D6">
              <w:rPr>
                <w:rFonts w:eastAsia="Times New Roman" w:cs="Calibri"/>
                <w:b/>
                <w:bCs/>
                <w:color w:val="000000"/>
                <w:sz w:val="20"/>
                <w:szCs w:val="20"/>
                <w:lang w:val="en-IN" w:eastAsia="en-IN"/>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rsidR="00C64FC7" w:rsidRPr="005811D6" w:rsidRDefault="00C64FC7" w:rsidP="00FE1096">
            <w:pPr>
              <w:jc w:val="center"/>
              <w:rPr>
                <w:rFonts w:eastAsia="Times New Roman" w:cs="Calibri"/>
                <w:b/>
                <w:bCs/>
                <w:color w:val="000000"/>
                <w:sz w:val="20"/>
                <w:szCs w:val="20"/>
                <w:lang w:val="en-IN" w:eastAsia="en-IN"/>
              </w:rPr>
            </w:pPr>
            <w:r w:rsidRPr="005811D6">
              <w:rPr>
                <w:rFonts w:eastAsia="Times New Roman" w:cs="Calibri"/>
                <w:b/>
                <w:bCs/>
                <w:color w:val="000000"/>
                <w:sz w:val="20"/>
                <w:szCs w:val="20"/>
                <w:lang w:val="en-IN" w:eastAsia="en-IN"/>
              </w:rPr>
              <w:t>Equity</w:t>
            </w:r>
            <w:r w:rsidRPr="005811D6">
              <w:rPr>
                <w:rFonts w:eastAsia="Times New Roman" w:cs="Calibri"/>
                <w:b/>
                <w:bCs/>
                <w:color w:val="000000"/>
                <w:sz w:val="20"/>
                <w:szCs w:val="20"/>
                <w:lang w:val="en-IN" w:eastAsia="en-IN"/>
              </w:rPr>
              <w:br/>
              <w:t>(USD Million)</w:t>
            </w:r>
          </w:p>
        </w:tc>
        <w:tc>
          <w:tcPr>
            <w:tcW w:w="1160" w:type="dxa"/>
            <w:tcBorders>
              <w:top w:val="nil"/>
              <w:left w:val="nil"/>
              <w:bottom w:val="single" w:sz="4" w:space="0" w:color="auto"/>
              <w:right w:val="single" w:sz="8" w:space="0" w:color="auto"/>
            </w:tcBorders>
            <w:shd w:val="clear" w:color="000000" w:fill="00B050"/>
            <w:vAlign w:val="center"/>
            <w:hideMark/>
          </w:tcPr>
          <w:p w:rsidR="00C64FC7" w:rsidRPr="005811D6" w:rsidRDefault="00C64FC7" w:rsidP="00FE1096">
            <w:pPr>
              <w:jc w:val="center"/>
              <w:rPr>
                <w:rFonts w:eastAsia="Times New Roman" w:cs="Calibri"/>
                <w:b/>
                <w:bCs/>
                <w:color w:val="000000"/>
                <w:sz w:val="20"/>
                <w:szCs w:val="20"/>
                <w:lang w:val="en-IN" w:eastAsia="en-IN"/>
              </w:rPr>
            </w:pPr>
            <w:r w:rsidRPr="005811D6">
              <w:rPr>
                <w:rFonts w:eastAsia="Times New Roman" w:cs="Calibri"/>
                <w:b/>
                <w:bCs/>
                <w:color w:val="000000"/>
                <w:sz w:val="20"/>
                <w:szCs w:val="20"/>
                <w:lang w:val="en-IN" w:eastAsia="en-IN"/>
              </w:rPr>
              <w:t>Total</w:t>
            </w:r>
            <w:r w:rsidRPr="005811D6">
              <w:rPr>
                <w:rFonts w:eastAsia="Times New Roman" w:cs="Calibri"/>
                <w:b/>
                <w:bCs/>
                <w:color w:val="000000"/>
                <w:sz w:val="20"/>
                <w:szCs w:val="20"/>
                <w:lang w:val="en-IN" w:eastAsia="en-IN"/>
              </w:rPr>
              <w:br/>
              <w:t>(USD Million)</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Australian Securities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5,000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5,000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1,214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1,214</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BME Spanish Exchanges</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704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704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2,345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2,345</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Bolsa de Comercio de Buenos Aires</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7,831</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7,831</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12,849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12,849</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Borsa Istanbul</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3,840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3,876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8,313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8,349</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Euronext</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6,885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6,885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4,722</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4,722</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Hong Kong Exchanges and Clearing</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18,043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9,878</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27,921</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15,534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7,586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23,119</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Irish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599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612</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4,973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5,007</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Japan Exchange Group Inc.</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9,286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9,610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18,896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Johannesburg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4,020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704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4,724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2,393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253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2,646</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Korea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32,438</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658</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33,097</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37,545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37</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37,582</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London SE Group</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16,285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5,595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21,880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57,290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875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58,165</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Moscow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33,235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28</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33,263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20,650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20,650</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Nasdaq - US</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924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924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536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536</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Nasdaq Nordic Exchanges</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4,093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172</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4,265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4,248</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4,251</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NYSE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4,044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4,044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11,131</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11,131</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Oslo Bors</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5,399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500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5,899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4,738</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4,787</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Shanghai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7,322</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7,322</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14,404</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14,404</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Shenzhen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3,260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11,213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14,473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4,981</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8,645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13,625</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Singapore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37,558</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53</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37,611</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19,142</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19,142</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SIX Swiss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2,580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196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2,776</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3,825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3,825</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Tel-Aviv Stock Exchange</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2,799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287</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3,085</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3,159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30</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3,189</w:t>
            </w:r>
          </w:p>
        </w:tc>
      </w:tr>
      <w:tr w:rsidR="00C64FC7" w:rsidRPr="005811D6" w:rsidTr="00FE1096">
        <w:trPr>
          <w:trHeight w:val="300"/>
        </w:trPr>
        <w:tc>
          <w:tcPr>
            <w:tcW w:w="3060" w:type="dxa"/>
            <w:tcBorders>
              <w:top w:val="nil"/>
              <w:left w:val="single" w:sz="8" w:space="0" w:color="auto"/>
              <w:bottom w:val="nil"/>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TMX Group</w:t>
            </w:r>
          </w:p>
        </w:tc>
        <w:tc>
          <w:tcPr>
            <w:tcW w:w="116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167</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5,612</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5,779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199</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3,167</w:t>
            </w:r>
          </w:p>
        </w:tc>
        <w:tc>
          <w:tcPr>
            <w:tcW w:w="11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3,367</w:t>
            </w:r>
          </w:p>
        </w:tc>
      </w:tr>
      <w:tr w:rsidR="00C64FC7" w:rsidRPr="005811D6" w:rsidTr="00FE1096">
        <w:trPr>
          <w:trHeight w:val="315"/>
        </w:trPr>
        <w:tc>
          <w:tcPr>
            <w:tcW w:w="3060" w:type="dxa"/>
            <w:tcBorders>
              <w:top w:val="nil"/>
              <w:left w:val="single" w:sz="8" w:space="0" w:color="auto"/>
              <w:bottom w:val="single" w:sz="8" w:space="0" w:color="auto"/>
              <w:right w:val="nil"/>
            </w:tcBorders>
            <w:shd w:val="clear" w:color="auto" w:fill="auto"/>
            <w:noWrap/>
            <w:vAlign w:val="bottom"/>
            <w:hideMark/>
          </w:tcPr>
          <w:p w:rsidR="00C64FC7" w:rsidRPr="005811D6" w:rsidRDefault="00C64FC7" w:rsidP="00FE1096">
            <w:pPr>
              <w:rPr>
                <w:rFonts w:eastAsia="Times New Roman" w:cs="Calibri"/>
                <w:color w:val="000000"/>
                <w:sz w:val="18"/>
                <w:szCs w:val="18"/>
                <w:lang w:val="en-IN" w:eastAsia="en-IN"/>
              </w:rPr>
            </w:pPr>
            <w:r w:rsidRPr="005811D6">
              <w:rPr>
                <w:rFonts w:eastAsia="Times New Roman" w:cs="Calibri"/>
                <w:color w:val="000000"/>
                <w:sz w:val="18"/>
                <w:szCs w:val="18"/>
                <w:lang w:val="en-IN" w:eastAsia="en-IN"/>
              </w:rPr>
              <w:t>Warsaw Stock Exchange</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100</w:t>
            </w:r>
          </w:p>
        </w:tc>
        <w:tc>
          <w:tcPr>
            <w:tcW w:w="11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100</w:t>
            </w:r>
          </w:p>
        </w:tc>
        <w:tc>
          <w:tcPr>
            <w:tcW w:w="11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NA</w:t>
            </w:r>
          </w:p>
        </w:tc>
        <w:tc>
          <w:tcPr>
            <w:tcW w:w="11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74</w:t>
            </w:r>
          </w:p>
        </w:tc>
        <w:tc>
          <w:tcPr>
            <w:tcW w:w="11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lang w:val="en-IN" w:eastAsia="en-IN"/>
              </w:rPr>
            </w:pPr>
            <w:r w:rsidRPr="005811D6">
              <w:rPr>
                <w:rFonts w:ascii="Times New Roman" w:eastAsia="Times New Roman" w:hAnsi="Times New Roman"/>
                <w:color w:val="000000"/>
                <w:lang w:val="en-IN" w:eastAsia="en-IN"/>
              </w:rPr>
              <w:t>74</w:t>
            </w:r>
          </w:p>
        </w:tc>
      </w:tr>
    </w:tbl>
    <w:p w:rsidR="00C64FC7" w:rsidRPr="005811D6" w:rsidRDefault="00C64FC7" w:rsidP="00C64FC7">
      <w:pPr>
        <w:rPr>
          <w:rFonts w:ascii="Garamond" w:hAnsi="Garamond"/>
          <w:b/>
          <w:color w:val="000000" w:themeColor="text1"/>
        </w:rPr>
      </w:pPr>
    </w:p>
    <w:p w:rsidR="00C64FC7" w:rsidRPr="005811D6" w:rsidRDefault="00C64FC7" w:rsidP="00C64FC7">
      <w:pPr>
        <w:rPr>
          <w:rFonts w:ascii="Garamond" w:hAnsi="Garamond"/>
          <w:b/>
          <w:color w:val="000000" w:themeColor="text1"/>
        </w:rPr>
      </w:pPr>
      <w:r w:rsidRPr="005811D6">
        <w:rPr>
          <w:rFonts w:ascii="Garamond" w:hAnsi="Garamond"/>
          <w:b/>
          <w:color w:val="000000" w:themeColor="text1"/>
        </w:rPr>
        <w:t xml:space="preserve"> </w:t>
      </w:r>
    </w:p>
    <w:p w:rsidR="00C64FC7" w:rsidRPr="005811D6" w:rsidRDefault="00C64FC7" w:rsidP="00C64FC7">
      <w:pPr>
        <w:rPr>
          <w:rFonts w:ascii="Garamond" w:hAnsi="Garamond"/>
          <w:color w:val="000000" w:themeColor="text1"/>
          <w:sz w:val="18"/>
          <w:szCs w:val="18"/>
        </w:rPr>
      </w:pPr>
    </w:p>
    <w:p w:rsidR="00C64FC7" w:rsidRPr="005811D6" w:rsidRDefault="00C64FC7" w:rsidP="00C64FC7">
      <w:pPr>
        <w:rPr>
          <w:rFonts w:ascii="Garamond" w:hAnsi="Garamond"/>
          <w:color w:val="000000" w:themeColor="text1"/>
        </w:rPr>
      </w:pPr>
      <w:r w:rsidRPr="005811D6">
        <w:rPr>
          <w:rFonts w:ascii="Garamond" w:hAnsi="Garamond"/>
          <w:color w:val="000000" w:themeColor="text1"/>
          <w:sz w:val="18"/>
          <w:szCs w:val="18"/>
        </w:rPr>
        <w:t>NA: Not Available</w:t>
      </w:r>
    </w:p>
    <w:p w:rsidR="00C64FC7" w:rsidRPr="005811D6" w:rsidRDefault="00C64FC7" w:rsidP="00C64FC7">
      <w:pPr>
        <w:rPr>
          <w:rFonts w:ascii="Garamond" w:hAnsi="Garamond"/>
          <w:color w:val="000000" w:themeColor="text1"/>
        </w:rPr>
      </w:pPr>
      <w:r w:rsidRPr="005811D6">
        <w:rPr>
          <w:rFonts w:ascii="Garamond" w:hAnsi="Garamond"/>
          <w:b/>
          <w:color w:val="000000" w:themeColor="text1"/>
          <w:sz w:val="18"/>
          <w:szCs w:val="18"/>
        </w:rPr>
        <w:t>Source</w:t>
      </w:r>
      <w:r w:rsidRPr="005811D6">
        <w:rPr>
          <w:rFonts w:ascii="Garamond" w:hAnsi="Garamond"/>
          <w:color w:val="000000" w:themeColor="text1"/>
          <w:sz w:val="18"/>
          <w:szCs w:val="18"/>
        </w:rPr>
        <w:t>: World Federation of Exchanges</w:t>
      </w:r>
    </w:p>
    <w:p w:rsidR="00C64FC7" w:rsidRPr="005811D6" w:rsidRDefault="00C64FC7" w:rsidP="00C64FC7">
      <w:pPr>
        <w:rPr>
          <w:rFonts w:ascii="Garamond" w:hAnsi="Garamond"/>
          <w:b/>
          <w:color w:val="000000" w:themeColor="text1"/>
        </w:rPr>
      </w:pPr>
    </w:p>
    <w:p w:rsidR="00C64FC7" w:rsidRPr="005811D6" w:rsidRDefault="00C64FC7" w:rsidP="00C64FC7">
      <w:pPr>
        <w:rPr>
          <w:rFonts w:ascii="Garamond" w:hAnsi="Garamond"/>
          <w:b/>
          <w:color w:val="000000" w:themeColor="text1"/>
        </w:rPr>
      </w:pPr>
      <w:r w:rsidRPr="005811D6">
        <w:rPr>
          <w:rFonts w:ascii="Garamond" w:hAnsi="Garamond"/>
          <w:b/>
          <w:color w:val="000000" w:themeColor="text1"/>
        </w:rPr>
        <w:br w:type="page"/>
      </w:r>
    </w:p>
    <w:p w:rsidR="00C64FC7" w:rsidRPr="005811D6" w:rsidRDefault="00C64FC7" w:rsidP="00C64FC7">
      <w:pPr>
        <w:rPr>
          <w:rFonts w:ascii="Garamond" w:hAnsi="Garamond"/>
          <w:b/>
          <w:color w:val="000000" w:themeColor="text1"/>
        </w:rPr>
      </w:pPr>
      <w:r w:rsidRPr="005811D6">
        <w:rPr>
          <w:rFonts w:ascii="Garamond" w:hAnsi="Garamond"/>
          <w:b/>
          <w:color w:val="000000" w:themeColor="text1"/>
        </w:rPr>
        <w:lastRenderedPageBreak/>
        <w:t xml:space="preserve">Table A4: Monthly Turnover in Derivatives (Stock options and Stock futures) in major Stock Exchanges    </w:t>
      </w:r>
    </w:p>
    <w:tbl>
      <w:tblPr>
        <w:tblW w:w="9120" w:type="dxa"/>
        <w:tblLook w:val="04A0" w:firstRow="1" w:lastRow="0" w:firstColumn="1" w:lastColumn="0" w:noHBand="0" w:noVBand="1"/>
      </w:tblPr>
      <w:tblGrid>
        <w:gridCol w:w="3020"/>
        <w:gridCol w:w="1660"/>
        <w:gridCol w:w="1500"/>
        <w:gridCol w:w="1560"/>
        <w:gridCol w:w="1380"/>
      </w:tblGrid>
      <w:tr w:rsidR="00C64FC7" w:rsidRPr="005811D6" w:rsidTr="00FE1096">
        <w:trPr>
          <w:trHeight w:val="255"/>
        </w:trPr>
        <w:tc>
          <w:tcPr>
            <w:tcW w:w="3020"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Exchange</w:t>
            </w:r>
          </w:p>
        </w:tc>
        <w:tc>
          <w:tcPr>
            <w:tcW w:w="610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Jan-18</w:t>
            </w:r>
          </w:p>
        </w:tc>
      </w:tr>
      <w:tr w:rsidR="00C64FC7" w:rsidRPr="005811D6" w:rsidTr="00FE1096">
        <w:trPr>
          <w:trHeight w:val="300"/>
        </w:trPr>
        <w:tc>
          <w:tcPr>
            <w:tcW w:w="3020" w:type="dxa"/>
            <w:vMerge/>
            <w:tcBorders>
              <w:top w:val="single" w:sz="8" w:space="0" w:color="auto"/>
              <w:left w:val="single" w:sz="8" w:space="0" w:color="auto"/>
              <w:bottom w:val="single" w:sz="8" w:space="0" w:color="000000"/>
              <w:right w:val="nil"/>
            </w:tcBorders>
            <w:vAlign w:val="center"/>
            <w:hideMark/>
          </w:tcPr>
          <w:p w:rsidR="00C64FC7" w:rsidRPr="005811D6" w:rsidRDefault="00C64FC7" w:rsidP="00FE1096">
            <w:pPr>
              <w:rPr>
                <w:rFonts w:ascii="Times New Roman" w:eastAsia="Times New Roman" w:hAnsi="Times New Roman"/>
                <w:b/>
                <w:bCs/>
                <w:color w:val="000000"/>
                <w:sz w:val="20"/>
                <w:szCs w:val="20"/>
                <w:lang w:val="en-IN" w:eastAsia="en-IN"/>
              </w:rPr>
            </w:pPr>
          </w:p>
        </w:tc>
        <w:tc>
          <w:tcPr>
            <w:tcW w:w="31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Stock options</w:t>
            </w:r>
          </w:p>
        </w:tc>
        <w:tc>
          <w:tcPr>
            <w:tcW w:w="294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Stock futures</w:t>
            </w:r>
          </w:p>
        </w:tc>
      </w:tr>
      <w:tr w:rsidR="00C64FC7" w:rsidRPr="005811D6" w:rsidTr="00FE1096">
        <w:trPr>
          <w:trHeight w:val="1035"/>
        </w:trPr>
        <w:tc>
          <w:tcPr>
            <w:tcW w:w="3020" w:type="dxa"/>
            <w:vMerge/>
            <w:tcBorders>
              <w:top w:val="single" w:sz="8" w:space="0" w:color="auto"/>
              <w:left w:val="single" w:sz="8" w:space="0" w:color="auto"/>
              <w:bottom w:val="single" w:sz="8" w:space="0" w:color="000000"/>
              <w:right w:val="nil"/>
            </w:tcBorders>
            <w:vAlign w:val="center"/>
            <w:hideMark/>
          </w:tcPr>
          <w:p w:rsidR="00C64FC7" w:rsidRPr="005811D6" w:rsidRDefault="00C64FC7" w:rsidP="00FE1096">
            <w:pPr>
              <w:rPr>
                <w:rFonts w:ascii="Times New Roman" w:eastAsia="Times New Roman" w:hAnsi="Times New Roman"/>
                <w:b/>
                <w:bCs/>
                <w:color w:val="000000"/>
                <w:sz w:val="20"/>
                <w:szCs w:val="20"/>
                <w:lang w:val="en-IN" w:eastAsia="en-IN"/>
              </w:rPr>
            </w:pPr>
          </w:p>
        </w:tc>
        <w:tc>
          <w:tcPr>
            <w:tcW w:w="1660" w:type="dxa"/>
            <w:tcBorders>
              <w:top w:val="nil"/>
              <w:left w:val="single" w:sz="8" w:space="0" w:color="auto"/>
              <w:bottom w:val="nil"/>
              <w:right w:val="single" w:sz="4"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Number of</w:t>
            </w:r>
            <w:r w:rsidRPr="005811D6">
              <w:rPr>
                <w:rFonts w:ascii="Times New Roman" w:eastAsia="Times New Roman" w:hAnsi="Times New Roman"/>
                <w:b/>
                <w:bCs/>
                <w:color w:val="000000"/>
                <w:sz w:val="20"/>
                <w:szCs w:val="20"/>
                <w:lang w:val="en-IN" w:eastAsia="en-IN"/>
              </w:rPr>
              <w:br/>
              <w:t>contracts traded</w:t>
            </w:r>
          </w:p>
        </w:tc>
        <w:tc>
          <w:tcPr>
            <w:tcW w:w="1500" w:type="dxa"/>
            <w:tcBorders>
              <w:top w:val="nil"/>
              <w:left w:val="nil"/>
              <w:bottom w:val="nil"/>
              <w:right w:val="single" w:sz="4"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Notional</w:t>
            </w:r>
            <w:r w:rsidRPr="005811D6">
              <w:rPr>
                <w:rFonts w:ascii="Times New Roman" w:eastAsia="Times New Roman" w:hAnsi="Times New Roman"/>
                <w:b/>
                <w:bCs/>
                <w:color w:val="000000"/>
                <w:sz w:val="20"/>
                <w:szCs w:val="20"/>
                <w:lang w:val="en-IN" w:eastAsia="en-IN"/>
              </w:rPr>
              <w:br/>
              <w:t>turnover</w:t>
            </w:r>
            <w:r w:rsidRPr="005811D6">
              <w:rPr>
                <w:rFonts w:ascii="Times New Roman" w:eastAsia="Times New Roman" w:hAnsi="Times New Roman"/>
                <w:b/>
                <w:bCs/>
                <w:color w:val="000000"/>
                <w:sz w:val="20"/>
                <w:szCs w:val="20"/>
                <w:lang w:val="en-IN" w:eastAsia="en-IN"/>
              </w:rPr>
              <w:br/>
              <w:t>(USD Million)</w:t>
            </w:r>
          </w:p>
        </w:tc>
        <w:tc>
          <w:tcPr>
            <w:tcW w:w="1560" w:type="dxa"/>
            <w:tcBorders>
              <w:top w:val="nil"/>
              <w:left w:val="nil"/>
              <w:bottom w:val="nil"/>
              <w:right w:val="single" w:sz="4"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Number of</w:t>
            </w:r>
            <w:r w:rsidRPr="005811D6">
              <w:rPr>
                <w:rFonts w:ascii="Times New Roman" w:eastAsia="Times New Roman" w:hAnsi="Times New Roman"/>
                <w:b/>
                <w:bCs/>
                <w:color w:val="000000"/>
                <w:sz w:val="20"/>
                <w:szCs w:val="20"/>
                <w:lang w:val="en-IN" w:eastAsia="en-IN"/>
              </w:rPr>
              <w:br/>
              <w:t>contracts traded</w:t>
            </w:r>
          </w:p>
        </w:tc>
        <w:tc>
          <w:tcPr>
            <w:tcW w:w="1380" w:type="dxa"/>
            <w:tcBorders>
              <w:top w:val="nil"/>
              <w:left w:val="nil"/>
              <w:bottom w:val="nil"/>
              <w:right w:val="single" w:sz="8"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Notional</w:t>
            </w:r>
            <w:r w:rsidRPr="005811D6">
              <w:rPr>
                <w:rFonts w:ascii="Times New Roman" w:eastAsia="Times New Roman" w:hAnsi="Times New Roman"/>
                <w:b/>
                <w:bCs/>
                <w:color w:val="000000"/>
                <w:sz w:val="20"/>
                <w:szCs w:val="20"/>
                <w:lang w:val="en-IN" w:eastAsia="en-IN"/>
              </w:rPr>
              <w:br/>
              <w:t>turnover (USD Million)</w:t>
            </w:r>
          </w:p>
        </w:tc>
      </w:tr>
      <w:tr w:rsidR="00C64FC7" w:rsidRPr="005811D6" w:rsidTr="00FE1096">
        <w:trPr>
          <w:trHeight w:val="28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Americas</w:t>
            </w:r>
          </w:p>
        </w:tc>
        <w:tc>
          <w:tcPr>
            <w:tcW w:w="166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0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6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8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BM&amp;FBOVESPA</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7,01,03,958</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53,844</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Bolsa de Comercio de Buenos Aires</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35,31,975</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Chicago Board Options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4,51,22,980</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Nasdaq - US</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6,80,77,666</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NYSE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3,88,14,166</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11,257</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Asia - Pacific</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Australian Securities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57,21,013</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12,980</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44,308</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156</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Hong Kong Exchanges and Clearing</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1,68,49,976</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59,645</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16,501</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115</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Japan Exchange Group</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82,525</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Korea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18,93,921</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3,30,59,478</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35,674</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TAIFEX</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24,854</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177</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21,57,867</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13,808</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Thailand Futures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63,98,097</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Europe - Africa - Middle East</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Athens Derivatives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2,275</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11,73,166</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225</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BME Spanish Exchanges</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16,98,900</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1,525</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4,03,794</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303</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Borsa Istanbul</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4,62,272</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99</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27,07,203</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706</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EUREX</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1,64,54,982</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93,063</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87,52,683</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29,173</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Euronext</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68,89,681</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27,740</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7,353</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45</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Johannesburg Stock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12,39,426</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56</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6,14,040</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811</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Moscow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84,360</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35</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1,34,62,314</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4,868</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Nasdaq Nordic Exchanges</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20,36,788</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3,454</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2,42,681</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849</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Oslo Bors</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182</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353</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39</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36</w:t>
            </w:r>
          </w:p>
        </w:tc>
      </w:tr>
      <w:tr w:rsidR="00C64FC7" w:rsidRPr="005811D6" w:rsidTr="00FE1096">
        <w:trPr>
          <w:trHeight w:val="255"/>
        </w:trPr>
        <w:tc>
          <w:tcPr>
            <w:tcW w:w="3020"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Tehran Stock Exchange</w:t>
            </w:r>
          </w:p>
        </w:tc>
        <w:tc>
          <w:tcPr>
            <w:tcW w:w="16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4,20,810</w:t>
            </w:r>
          </w:p>
        </w:tc>
        <w:tc>
          <w:tcPr>
            <w:tcW w:w="150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c>
          <w:tcPr>
            <w:tcW w:w="15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c>
          <w:tcPr>
            <w:tcW w:w="13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r>
      <w:tr w:rsidR="00C64FC7" w:rsidRPr="005811D6" w:rsidTr="00FE1096">
        <w:trPr>
          <w:trHeight w:val="270"/>
        </w:trPr>
        <w:tc>
          <w:tcPr>
            <w:tcW w:w="3020" w:type="dxa"/>
            <w:tcBorders>
              <w:top w:val="nil"/>
              <w:left w:val="single" w:sz="8" w:space="0" w:color="auto"/>
              <w:bottom w:val="single" w:sz="8" w:space="0" w:color="auto"/>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Tel-Aviv Stock Exchange</w:t>
            </w:r>
          </w:p>
        </w:tc>
        <w:tc>
          <w:tcPr>
            <w:tcW w:w="16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50,502</w:t>
            </w:r>
          </w:p>
        </w:tc>
        <w:tc>
          <w:tcPr>
            <w:tcW w:w="150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344</w:t>
            </w:r>
          </w:p>
        </w:tc>
        <w:tc>
          <w:tcPr>
            <w:tcW w:w="15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8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bl>
    <w:p w:rsidR="00C64FC7" w:rsidRPr="005811D6" w:rsidRDefault="00C64FC7" w:rsidP="00C64FC7">
      <w:pPr>
        <w:rPr>
          <w:rFonts w:ascii="Garamond" w:hAnsi="Garamond"/>
          <w:b/>
          <w:color w:val="000000" w:themeColor="text1"/>
        </w:rPr>
      </w:pPr>
    </w:p>
    <w:p w:rsidR="00C64FC7" w:rsidRPr="005811D6" w:rsidRDefault="00C64FC7" w:rsidP="00C64FC7">
      <w:pPr>
        <w:rPr>
          <w:rFonts w:ascii="Garamond" w:hAnsi="Garamond"/>
          <w:color w:val="000000" w:themeColor="text1"/>
          <w:sz w:val="18"/>
          <w:szCs w:val="18"/>
        </w:rPr>
      </w:pPr>
      <w:r w:rsidRPr="005811D6">
        <w:rPr>
          <w:rFonts w:ascii="Garamond" w:hAnsi="Garamond"/>
          <w:color w:val="000000" w:themeColor="text1"/>
          <w:sz w:val="18"/>
          <w:szCs w:val="18"/>
        </w:rPr>
        <w:t xml:space="preserve"> </w:t>
      </w:r>
    </w:p>
    <w:p w:rsidR="00C64FC7" w:rsidRPr="005811D6" w:rsidRDefault="00C64FC7" w:rsidP="00C64FC7">
      <w:pPr>
        <w:rPr>
          <w:rFonts w:ascii="Garamond" w:hAnsi="Garamond"/>
          <w:color w:val="000000" w:themeColor="text1"/>
        </w:rPr>
      </w:pPr>
      <w:r w:rsidRPr="005811D6">
        <w:rPr>
          <w:rFonts w:ascii="Garamond" w:hAnsi="Garamond"/>
          <w:color w:val="000000" w:themeColor="text1"/>
          <w:sz w:val="18"/>
          <w:szCs w:val="18"/>
        </w:rPr>
        <w:t>NA: Not Available</w:t>
      </w:r>
    </w:p>
    <w:p w:rsidR="00C64FC7" w:rsidRPr="005811D6" w:rsidRDefault="00C64FC7" w:rsidP="00C64FC7">
      <w:pPr>
        <w:rPr>
          <w:rFonts w:ascii="Garamond" w:hAnsi="Garamond"/>
          <w:b/>
          <w:color w:val="000000" w:themeColor="text1"/>
        </w:rPr>
      </w:pPr>
      <w:r w:rsidRPr="005811D6">
        <w:rPr>
          <w:rFonts w:ascii="Garamond" w:hAnsi="Garamond"/>
          <w:b/>
          <w:color w:val="000000" w:themeColor="text1"/>
          <w:sz w:val="18"/>
          <w:szCs w:val="18"/>
        </w:rPr>
        <w:t>Source</w:t>
      </w:r>
      <w:r w:rsidRPr="005811D6">
        <w:rPr>
          <w:rFonts w:ascii="Garamond" w:hAnsi="Garamond"/>
          <w:color w:val="000000" w:themeColor="text1"/>
          <w:sz w:val="18"/>
          <w:szCs w:val="18"/>
        </w:rPr>
        <w:t>: World Federation of Exchanges</w:t>
      </w:r>
    </w:p>
    <w:p w:rsidR="00C64FC7" w:rsidRPr="005811D6" w:rsidRDefault="00C64FC7" w:rsidP="00C64FC7">
      <w:pPr>
        <w:rPr>
          <w:rFonts w:ascii="Garamond" w:hAnsi="Garamond"/>
          <w:b/>
          <w:color w:val="000000" w:themeColor="text1"/>
        </w:rPr>
      </w:pPr>
    </w:p>
    <w:p w:rsidR="00C64FC7" w:rsidRPr="005811D6" w:rsidRDefault="00C64FC7" w:rsidP="00C64FC7">
      <w:pPr>
        <w:rPr>
          <w:rFonts w:ascii="Garamond" w:hAnsi="Garamond"/>
          <w:color w:val="000000" w:themeColor="text1"/>
        </w:rPr>
      </w:pPr>
      <w:r w:rsidRPr="005811D6">
        <w:rPr>
          <w:rFonts w:ascii="Garamond" w:hAnsi="Garamond"/>
          <w:color w:val="000000" w:themeColor="text1"/>
        </w:rPr>
        <w:br w:type="page"/>
      </w:r>
    </w:p>
    <w:p w:rsidR="00C64FC7" w:rsidRPr="005811D6" w:rsidRDefault="00C64FC7" w:rsidP="00C64FC7">
      <w:pPr>
        <w:rPr>
          <w:rFonts w:ascii="Garamond" w:hAnsi="Garamond"/>
          <w:b/>
          <w:color w:val="000000" w:themeColor="text1"/>
        </w:rPr>
      </w:pPr>
      <w:r w:rsidRPr="005811D6">
        <w:rPr>
          <w:rFonts w:ascii="Garamond" w:hAnsi="Garamond"/>
          <w:b/>
          <w:color w:val="000000" w:themeColor="text1"/>
        </w:rPr>
        <w:lastRenderedPageBreak/>
        <w:t xml:space="preserve">Table A5: Monthly Turnover in Derivatives (Index options and Index futures) in major Stock Exchanges </w:t>
      </w:r>
    </w:p>
    <w:tbl>
      <w:tblPr>
        <w:tblW w:w="8803" w:type="dxa"/>
        <w:tblLook w:val="04A0" w:firstRow="1" w:lastRow="0" w:firstColumn="1" w:lastColumn="0" w:noHBand="0" w:noVBand="1"/>
      </w:tblPr>
      <w:tblGrid>
        <w:gridCol w:w="2963"/>
        <w:gridCol w:w="1480"/>
        <w:gridCol w:w="1480"/>
        <w:gridCol w:w="1520"/>
        <w:gridCol w:w="1360"/>
      </w:tblGrid>
      <w:tr w:rsidR="00C64FC7" w:rsidRPr="005811D6" w:rsidTr="00FE1096">
        <w:trPr>
          <w:trHeight w:val="255"/>
        </w:trPr>
        <w:tc>
          <w:tcPr>
            <w:tcW w:w="2963" w:type="dxa"/>
            <w:vMerge w:val="restart"/>
            <w:tcBorders>
              <w:top w:val="single" w:sz="8" w:space="0" w:color="auto"/>
              <w:left w:val="single" w:sz="8" w:space="0" w:color="auto"/>
              <w:bottom w:val="nil"/>
              <w:right w:val="nil"/>
            </w:tcBorders>
            <w:shd w:val="clear" w:color="000000" w:fill="00B050"/>
            <w:noWrap/>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Exchange</w:t>
            </w:r>
          </w:p>
        </w:tc>
        <w:tc>
          <w:tcPr>
            <w:tcW w:w="584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Jan-18</w:t>
            </w:r>
          </w:p>
        </w:tc>
      </w:tr>
      <w:tr w:rsidR="00C64FC7" w:rsidRPr="005811D6" w:rsidTr="00FE1096">
        <w:trPr>
          <w:trHeight w:val="300"/>
        </w:trPr>
        <w:tc>
          <w:tcPr>
            <w:tcW w:w="2963" w:type="dxa"/>
            <w:vMerge/>
            <w:tcBorders>
              <w:top w:val="single" w:sz="8" w:space="0" w:color="auto"/>
              <w:left w:val="single" w:sz="8" w:space="0" w:color="auto"/>
              <w:bottom w:val="nil"/>
              <w:right w:val="nil"/>
            </w:tcBorders>
            <w:vAlign w:val="center"/>
            <w:hideMark/>
          </w:tcPr>
          <w:p w:rsidR="00C64FC7" w:rsidRPr="005811D6" w:rsidRDefault="00C64FC7" w:rsidP="00FE1096">
            <w:pPr>
              <w:rPr>
                <w:rFonts w:ascii="Times New Roman" w:eastAsia="Times New Roman" w:hAnsi="Times New Roman"/>
                <w:b/>
                <w:bCs/>
                <w:color w:val="000000"/>
                <w:sz w:val="20"/>
                <w:szCs w:val="20"/>
                <w:lang w:val="en-IN" w:eastAsia="en-IN"/>
              </w:rPr>
            </w:pPr>
          </w:p>
        </w:tc>
        <w:tc>
          <w:tcPr>
            <w:tcW w:w="29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Stock index options</w:t>
            </w:r>
          </w:p>
        </w:tc>
        <w:tc>
          <w:tcPr>
            <w:tcW w:w="2880" w:type="dxa"/>
            <w:gridSpan w:val="2"/>
            <w:tcBorders>
              <w:top w:val="single" w:sz="4" w:space="0" w:color="auto"/>
              <w:left w:val="nil"/>
              <w:bottom w:val="single" w:sz="4" w:space="0" w:color="auto"/>
              <w:right w:val="single" w:sz="8" w:space="0" w:color="000000"/>
            </w:tcBorders>
            <w:shd w:val="clear" w:color="000000" w:fill="00B050"/>
            <w:noWrap/>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Stock index futures</w:t>
            </w:r>
          </w:p>
        </w:tc>
      </w:tr>
      <w:tr w:rsidR="00C64FC7" w:rsidRPr="005811D6" w:rsidTr="00FE1096">
        <w:trPr>
          <w:trHeight w:val="1035"/>
        </w:trPr>
        <w:tc>
          <w:tcPr>
            <w:tcW w:w="2963" w:type="dxa"/>
            <w:vMerge/>
            <w:tcBorders>
              <w:top w:val="single" w:sz="8" w:space="0" w:color="auto"/>
              <w:left w:val="single" w:sz="8" w:space="0" w:color="auto"/>
              <w:bottom w:val="nil"/>
              <w:right w:val="nil"/>
            </w:tcBorders>
            <w:vAlign w:val="center"/>
            <w:hideMark/>
          </w:tcPr>
          <w:p w:rsidR="00C64FC7" w:rsidRPr="005811D6" w:rsidRDefault="00C64FC7" w:rsidP="00FE1096">
            <w:pPr>
              <w:rPr>
                <w:rFonts w:ascii="Times New Roman" w:eastAsia="Times New Roman" w:hAnsi="Times New Roman"/>
                <w:b/>
                <w:bCs/>
                <w:color w:val="000000"/>
                <w:sz w:val="20"/>
                <w:szCs w:val="20"/>
                <w:lang w:val="en-IN" w:eastAsia="en-IN"/>
              </w:rPr>
            </w:pPr>
          </w:p>
        </w:tc>
        <w:tc>
          <w:tcPr>
            <w:tcW w:w="1480" w:type="dxa"/>
            <w:tcBorders>
              <w:top w:val="nil"/>
              <w:left w:val="single" w:sz="8" w:space="0" w:color="auto"/>
              <w:bottom w:val="nil"/>
              <w:right w:val="single" w:sz="4"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Number of contracts traded</w:t>
            </w:r>
          </w:p>
        </w:tc>
        <w:tc>
          <w:tcPr>
            <w:tcW w:w="1480" w:type="dxa"/>
            <w:tcBorders>
              <w:top w:val="nil"/>
              <w:left w:val="nil"/>
              <w:bottom w:val="nil"/>
              <w:right w:val="single" w:sz="4"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Notional</w:t>
            </w:r>
            <w:r w:rsidRPr="005811D6">
              <w:rPr>
                <w:rFonts w:ascii="Times New Roman" w:eastAsia="Times New Roman" w:hAnsi="Times New Roman"/>
                <w:b/>
                <w:bCs/>
                <w:color w:val="000000"/>
                <w:sz w:val="20"/>
                <w:szCs w:val="20"/>
                <w:lang w:val="en-IN" w:eastAsia="en-IN"/>
              </w:rPr>
              <w:br/>
              <w:t>turnover</w:t>
            </w:r>
            <w:r w:rsidRPr="005811D6">
              <w:rPr>
                <w:rFonts w:ascii="Times New Roman" w:eastAsia="Times New Roman" w:hAnsi="Times New Roman"/>
                <w:b/>
                <w:bCs/>
                <w:color w:val="000000"/>
                <w:sz w:val="20"/>
                <w:szCs w:val="20"/>
                <w:lang w:val="en-IN" w:eastAsia="en-IN"/>
              </w:rPr>
              <w:br/>
              <w:t>(USD Million)</w:t>
            </w:r>
          </w:p>
        </w:tc>
        <w:tc>
          <w:tcPr>
            <w:tcW w:w="1520" w:type="dxa"/>
            <w:tcBorders>
              <w:top w:val="nil"/>
              <w:left w:val="nil"/>
              <w:bottom w:val="nil"/>
              <w:right w:val="single" w:sz="4"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Number of contracts traded</w:t>
            </w:r>
          </w:p>
        </w:tc>
        <w:tc>
          <w:tcPr>
            <w:tcW w:w="1360" w:type="dxa"/>
            <w:tcBorders>
              <w:top w:val="nil"/>
              <w:left w:val="nil"/>
              <w:bottom w:val="nil"/>
              <w:right w:val="single" w:sz="4" w:space="0" w:color="auto"/>
            </w:tcBorders>
            <w:shd w:val="clear" w:color="000000" w:fill="00B050"/>
            <w:vAlign w:val="center"/>
            <w:hideMark/>
          </w:tcPr>
          <w:p w:rsidR="00C64FC7" w:rsidRPr="005811D6" w:rsidRDefault="00C64FC7" w:rsidP="00FE1096">
            <w:pPr>
              <w:jc w:val="cente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Notional</w:t>
            </w:r>
            <w:r w:rsidRPr="005811D6">
              <w:rPr>
                <w:rFonts w:ascii="Times New Roman" w:eastAsia="Times New Roman" w:hAnsi="Times New Roman"/>
                <w:b/>
                <w:bCs/>
                <w:color w:val="000000"/>
                <w:sz w:val="20"/>
                <w:szCs w:val="20"/>
                <w:lang w:val="en-IN" w:eastAsia="en-IN"/>
              </w:rPr>
              <w:br/>
              <w:t>turnover</w:t>
            </w:r>
            <w:r w:rsidRPr="005811D6">
              <w:rPr>
                <w:rFonts w:ascii="Times New Roman" w:eastAsia="Times New Roman" w:hAnsi="Times New Roman"/>
                <w:b/>
                <w:bCs/>
                <w:color w:val="000000"/>
                <w:sz w:val="20"/>
                <w:szCs w:val="20"/>
                <w:lang w:val="en-IN" w:eastAsia="en-IN"/>
              </w:rPr>
              <w:br/>
              <w:t>(USD Million)</w:t>
            </w:r>
          </w:p>
        </w:tc>
      </w:tr>
      <w:tr w:rsidR="00C64FC7" w:rsidRPr="005811D6" w:rsidTr="00FE1096">
        <w:trPr>
          <w:trHeight w:val="240"/>
        </w:trPr>
        <w:tc>
          <w:tcPr>
            <w:tcW w:w="2963" w:type="dxa"/>
            <w:tcBorders>
              <w:top w:val="single" w:sz="8" w:space="0" w:color="auto"/>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Americas</w:t>
            </w:r>
          </w:p>
        </w:tc>
        <w:tc>
          <w:tcPr>
            <w:tcW w:w="148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48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2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60" w:type="dxa"/>
            <w:tcBorders>
              <w:top w:val="single" w:sz="8" w:space="0" w:color="auto"/>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BM&amp;FBOVESPA</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15,49,426</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15,288</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3,94,56,534</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2,34,464</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Chicago Board Options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5,57,43,740</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CME Group</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1,99,55,687</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38,00,320</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4,40,56,005</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59,60,480</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ICE Futures US</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0</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25,41,410</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1,96,797</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MexDer</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1,004</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26</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39,665</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1,041</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Nasdaq - US</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3,96,160</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Asia - Pacific</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Australian Securities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8,74,425</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43,027</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6,88,531</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82,493</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Hong Kong Exchanges and Clearing</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40,52,655</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5,00,328</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98,79,758</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12,71,640</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Japan Exchange Group</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30,34,126</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2,38,94,730</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10,53,120</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Korea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6,80,26,317</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51,21,100</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74,06,274</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3,94,635</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Singapore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7,68,064</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1,44,81,011</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TAIFEX</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2,14,46,387</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4,05,091</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63,57,111</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3,33,174</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Thailand Futures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1,56,661</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37,57,092</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b/>
                <w:bCs/>
                <w:color w:val="000000"/>
                <w:sz w:val="20"/>
                <w:szCs w:val="20"/>
                <w:lang w:val="en-IN" w:eastAsia="en-IN"/>
              </w:rPr>
            </w:pPr>
            <w:r w:rsidRPr="005811D6">
              <w:rPr>
                <w:rFonts w:ascii="Times New Roman" w:eastAsia="Times New Roman" w:hAnsi="Times New Roman"/>
                <w:b/>
                <w:bCs/>
                <w:color w:val="000000"/>
                <w:sz w:val="20"/>
                <w:szCs w:val="20"/>
                <w:lang w:val="en-IN" w:eastAsia="en-IN"/>
              </w:rPr>
              <w:t>Europe - Africa - Middle East</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 </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Athens Derivatives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9,502</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52</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75,349</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410</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BME Spanish Exchanges</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4,11,618</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5,261</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6,47,075</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69,357</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Borsa Istanbul</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11,394</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44</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43,03,570</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16,622</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EUREX</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3,14,33,049</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14,20,480</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2,97,64,314</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18,25,850</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Euronext</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13,85,587</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94,841</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30,08,112</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2,51,355</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Johannesburg Stock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3,79,147</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100</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9,70,105</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26,612</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Moscow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32,96,682</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7,955</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91,44,154</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22,652</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Nasdaq Nordic Exchanges</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4,61,758</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9,465</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32,30,805</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64,946</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Oslo Bors</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52</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511</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197</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w:t>
            </w:r>
          </w:p>
        </w:tc>
      </w:tr>
      <w:tr w:rsidR="00C64FC7" w:rsidRPr="005811D6" w:rsidTr="00FE1096">
        <w:trPr>
          <w:trHeight w:val="255"/>
        </w:trPr>
        <w:tc>
          <w:tcPr>
            <w:tcW w:w="2963" w:type="dxa"/>
            <w:tcBorders>
              <w:top w:val="nil"/>
              <w:left w:val="single" w:sz="8" w:space="0" w:color="auto"/>
              <w:bottom w:val="nil"/>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Tel-Aviv Stock Exchange</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32,97,945</w:t>
            </w:r>
          </w:p>
        </w:tc>
        <w:tc>
          <w:tcPr>
            <w:tcW w:w="148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52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c>
          <w:tcPr>
            <w:tcW w:w="1360" w:type="dxa"/>
            <w:tcBorders>
              <w:top w:val="nil"/>
              <w:left w:val="nil"/>
              <w:bottom w:val="nil"/>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NA</w:t>
            </w:r>
          </w:p>
        </w:tc>
      </w:tr>
      <w:tr w:rsidR="00C64FC7" w:rsidRPr="005811D6" w:rsidTr="00FE1096">
        <w:trPr>
          <w:trHeight w:val="270"/>
        </w:trPr>
        <w:tc>
          <w:tcPr>
            <w:tcW w:w="2963" w:type="dxa"/>
            <w:tcBorders>
              <w:top w:val="nil"/>
              <w:left w:val="single" w:sz="8" w:space="0" w:color="auto"/>
              <w:bottom w:val="single" w:sz="8" w:space="0" w:color="auto"/>
              <w:right w:val="single" w:sz="8" w:space="0" w:color="auto"/>
            </w:tcBorders>
            <w:shd w:val="clear" w:color="auto" w:fill="auto"/>
            <w:noWrap/>
            <w:vAlign w:val="bottom"/>
            <w:hideMark/>
          </w:tcPr>
          <w:p w:rsidR="00C64FC7" w:rsidRPr="005811D6" w:rsidRDefault="00C64FC7" w:rsidP="00FE1096">
            <w:pPr>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Warsaw Stock Exchange</w:t>
            </w:r>
          </w:p>
        </w:tc>
        <w:tc>
          <w:tcPr>
            <w:tcW w:w="148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23,829</w:t>
            </w:r>
          </w:p>
        </w:tc>
        <w:tc>
          <w:tcPr>
            <w:tcW w:w="148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182</w:t>
            </w:r>
          </w:p>
        </w:tc>
        <w:tc>
          <w:tcPr>
            <w:tcW w:w="152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2,54,096</w:t>
            </w:r>
          </w:p>
        </w:tc>
        <w:tc>
          <w:tcPr>
            <w:tcW w:w="1360" w:type="dxa"/>
            <w:tcBorders>
              <w:top w:val="nil"/>
              <w:left w:val="nil"/>
              <w:bottom w:val="single" w:sz="8" w:space="0" w:color="auto"/>
              <w:right w:val="single" w:sz="8" w:space="0" w:color="auto"/>
            </w:tcBorders>
            <w:shd w:val="clear" w:color="auto" w:fill="auto"/>
            <w:noWrap/>
            <w:vAlign w:val="bottom"/>
            <w:hideMark/>
          </w:tcPr>
          <w:p w:rsidR="00C64FC7" w:rsidRPr="005811D6" w:rsidRDefault="00C64FC7" w:rsidP="00FE1096">
            <w:pPr>
              <w:jc w:val="right"/>
              <w:rPr>
                <w:rFonts w:ascii="Times New Roman" w:eastAsia="Times New Roman" w:hAnsi="Times New Roman"/>
                <w:color w:val="000000"/>
                <w:sz w:val="20"/>
                <w:szCs w:val="20"/>
                <w:lang w:val="en-IN" w:eastAsia="en-IN"/>
              </w:rPr>
            </w:pPr>
            <w:r w:rsidRPr="005811D6">
              <w:rPr>
                <w:rFonts w:ascii="Times New Roman" w:eastAsia="Times New Roman" w:hAnsi="Times New Roman"/>
                <w:color w:val="000000"/>
                <w:sz w:val="20"/>
                <w:szCs w:val="20"/>
                <w:lang w:val="en-IN" w:eastAsia="en-IN"/>
              </w:rPr>
              <w:t>3,891</w:t>
            </w:r>
          </w:p>
        </w:tc>
      </w:tr>
    </w:tbl>
    <w:p w:rsidR="00C64FC7" w:rsidRPr="005811D6" w:rsidRDefault="00C64FC7" w:rsidP="00C64FC7">
      <w:pPr>
        <w:rPr>
          <w:rFonts w:ascii="Garamond" w:hAnsi="Garamond"/>
          <w:b/>
          <w:color w:val="000000" w:themeColor="text1"/>
        </w:rPr>
      </w:pPr>
      <w:r w:rsidRPr="005811D6">
        <w:rPr>
          <w:rFonts w:ascii="Garamond" w:hAnsi="Garamond"/>
          <w:b/>
          <w:color w:val="000000" w:themeColor="text1"/>
        </w:rPr>
        <w:t xml:space="preserve">      </w:t>
      </w:r>
    </w:p>
    <w:p w:rsidR="00C64FC7" w:rsidRPr="005811D6" w:rsidRDefault="00C64FC7" w:rsidP="00C64FC7">
      <w:pPr>
        <w:rPr>
          <w:rFonts w:ascii="Garamond" w:hAnsi="Garamond"/>
          <w:color w:val="000000" w:themeColor="text1"/>
        </w:rPr>
      </w:pPr>
      <w:r w:rsidRPr="005811D6">
        <w:rPr>
          <w:rFonts w:ascii="Garamond" w:hAnsi="Garamond"/>
          <w:color w:val="000000" w:themeColor="text1"/>
          <w:sz w:val="18"/>
          <w:szCs w:val="18"/>
        </w:rPr>
        <w:t>NA: Not Available</w:t>
      </w:r>
    </w:p>
    <w:p w:rsidR="00C64FC7" w:rsidRPr="005811D6" w:rsidRDefault="00C64FC7" w:rsidP="00C64FC7">
      <w:pPr>
        <w:rPr>
          <w:rFonts w:ascii="Garamond" w:hAnsi="Garamond"/>
          <w:b/>
          <w:color w:val="000000" w:themeColor="text1"/>
        </w:rPr>
      </w:pPr>
      <w:r w:rsidRPr="005811D6">
        <w:rPr>
          <w:rFonts w:ascii="Garamond" w:hAnsi="Garamond"/>
          <w:b/>
          <w:color w:val="000000" w:themeColor="text1"/>
          <w:sz w:val="18"/>
          <w:szCs w:val="18"/>
        </w:rPr>
        <w:t>Source</w:t>
      </w:r>
      <w:r w:rsidRPr="005811D6">
        <w:rPr>
          <w:rFonts w:ascii="Garamond" w:hAnsi="Garamond"/>
          <w:color w:val="000000" w:themeColor="text1"/>
          <w:sz w:val="18"/>
          <w:szCs w:val="18"/>
        </w:rPr>
        <w:t>: World Federation of Exchanges</w:t>
      </w:r>
      <w:r w:rsidRPr="005811D6">
        <w:rPr>
          <w:rFonts w:ascii="Garamond" w:hAnsi="Garamond"/>
          <w:b/>
          <w:color w:val="000000" w:themeColor="text1"/>
        </w:rPr>
        <w:br w:type="page"/>
      </w:r>
    </w:p>
    <w:p w:rsidR="00C64FC7" w:rsidRPr="005811D6" w:rsidRDefault="00C64FC7" w:rsidP="00C64FC7">
      <w:pPr>
        <w:spacing w:line="20" w:lineRule="atLeast"/>
        <w:jc w:val="both"/>
        <w:rPr>
          <w:rFonts w:ascii="Garamond" w:hAnsi="Garamond"/>
          <w:b/>
          <w:color w:val="000000" w:themeColor="text1"/>
        </w:rPr>
      </w:pPr>
    </w:p>
    <w:p w:rsidR="00C64FC7" w:rsidRPr="009F49A6" w:rsidRDefault="00C64FC7" w:rsidP="00C64FC7">
      <w:pPr>
        <w:spacing w:line="20" w:lineRule="atLeast"/>
        <w:jc w:val="both"/>
        <w:rPr>
          <w:rFonts w:ascii="Garamond" w:hAnsi="Garamond"/>
          <w:color w:val="000000"/>
        </w:rPr>
      </w:pPr>
      <w:r w:rsidRPr="009F49A6">
        <w:rPr>
          <w:rFonts w:ascii="Garamond" w:hAnsi="Garamond"/>
          <w:b/>
          <w:color w:val="000000" w:themeColor="text1"/>
        </w:rPr>
        <w:t xml:space="preserve">Table A6: Market Capitalisation of major Stock Exchanges                            </w:t>
      </w:r>
      <w:r w:rsidRPr="009F49A6">
        <w:rPr>
          <w:rFonts w:ascii="Garamond" w:hAnsi="Garamond"/>
          <w:color w:val="000000"/>
        </w:rPr>
        <w:t>(US$ Million)</w:t>
      </w:r>
    </w:p>
    <w:p w:rsidR="00C64FC7" w:rsidRPr="009F49A6" w:rsidRDefault="00C64FC7" w:rsidP="00C64FC7">
      <w:pPr>
        <w:spacing w:line="20" w:lineRule="atLeast"/>
        <w:jc w:val="both"/>
        <w:rPr>
          <w:rFonts w:ascii="Garamond" w:hAnsi="Garamond"/>
          <w:b/>
          <w:color w:val="000000" w:themeColor="text1"/>
        </w:rPr>
      </w:pPr>
    </w:p>
    <w:tbl>
      <w:tblPr>
        <w:tblW w:w="10307" w:type="dxa"/>
        <w:tblInd w:w="-483" w:type="dxa"/>
        <w:tblLook w:val="04A0" w:firstRow="1" w:lastRow="0" w:firstColumn="1" w:lastColumn="0" w:noHBand="0" w:noVBand="1"/>
      </w:tblPr>
      <w:tblGrid>
        <w:gridCol w:w="3139"/>
        <w:gridCol w:w="1569"/>
        <w:gridCol w:w="1930"/>
        <w:gridCol w:w="1760"/>
        <w:gridCol w:w="1909"/>
      </w:tblGrid>
      <w:tr w:rsidR="00C64FC7" w:rsidRPr="00881F8A" w:rsidTr="00FE1096">
        <w:trPr>
          <w:trHeight w:val="301"/>
        </w:trPr>
        <w:tc>
          <w:tcPr>
            <w:tcW w:w="3139"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b/>
                <w:bCs/>
                <w:color w:val="000000"/>
              </w:rPr>
            </w:pPr>
            <w:r w:rsidRPr="00881F8A">
              <w:rPr>
                <w:rFonts w:ascii="Times New Roman" w:eastAsia="Times New Roman" w:hAnsi="Times New Roman"/>
                <w:b/>
                <w:bCs/>
                <w:color w:val="000000"/>
              </w:rPr>
              <w:t>Stock Exchange</w:t>
            </w:r>
          </w:p>
        </w:tc>
        <w:tc>
          <w:tcPr>
            <w:tcW w:w="1569" w:type="dxa"/>
            <w:tcBorders>
              <w:top w:val="single" w:sz="8" w:space="0" w:color="auto"/>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b/>
                <w:bCs/>
                <w:color w:val="000000"/>
              </w:rPr>
            </w:pPr>
            <w:r w:rsidRPr="00881F8A">
              <w:rPr>
                <w:rFonts w:ascii="Times New Roman" w:eastAsia="Times New Roman" w:hAnsi="Times New Roman"/>
                <w:b/>
                <w:bCs/>
                <w:color w:val="000000"/>
              </w:rPr>
              <w:t>Dec-17</w:t>
            </w:r>
          </w:p>
        </w:tc>
        <w:tc>
          <w:tcPr>
            <w:tcW w:w="1930" w:type="dxa"/>
            <w:tcBorders>
              <w:top w:val="single" w:sz="8" w:space="0" w:color="auto"/>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b/>
                <w:bCs/>
                <w:color w:val="000000"/>
              </w:rPr>
            </w:pPr>
            <w:r w:rsidRPr="00881F8A">
              <w:rPr>
                <w:rFonts w:ascii="Times New Roman" w:eastAsia="Times New Roman" w:hAnsi="Times New Roman"/>
                <w:b/>
                <w:bCs/>
                <w:color w:val="000000"/>
              </w:rPr>
              <w:t>Jan-18</w:t>
            </w:r>
          </w:p>
        </w:tc>
        <w:tc>
          <w:tcPr>
            <w:tcW w:w="1760" w:type="dxa"/>
            <w:tcBorders>
              <w:top w:val="single" w:sz="8" w:space="0" w:color="auto"/>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b/>
                <w:bCs/>
                <w:color w:val="000000"/>
              </w:rPr>
            </w:pPr>
            <w:r w:rsidRPr="00881F8A">
              <w:rPr>
                <w:rFonts w:ascii="Times New Roman" w:eastAsia="Times New Roman" w:hAnsi="Times New Roman"/>
                <w:b/>
                <w:bCs/>
                <w:color w:val="000000"/>
              </w:rPr>
              <w:t>Feb-18</w:t>
            </w:r>
          </w:p>
        </w:tc>
        <w:tc>
          <w:tcPr>
            <w:tcW w:w="1909" w:type="dxa"/>
            <w:tcBorders>
              <w:top w:val="single" w:sz="8" w:space="0" w:color="auto"/>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b/>
                <w:bCs/>
                <w:color w:val="000000"/>
              </w:rPr>
            </w:pPr>
            <w:r w:rsidRPr="00881F8A">
              <w:rPr>
                <w:rFonts w:ascii="Times New Roman" w:eastAsia="Times New Roman" w:hAnsi="Times New Roman"/>
                <w:b/>
                <w:bCs/>
                <w:color w:val="000000"/>
              </w:rPr>
              <w:t>M-o-M change(%)</w:t>
            </w:r>
          </w:p>
        </w:tc>
      </w:tr>
      <w:tr w:rsidR="00C64FC7" w:rsidRPr="00881F8A" w:rsidTr="00FE1096">
        <w:trPr>
          <w:trHeight w:val="316"/>
        </w:trPr>
        <w:tc>
          <w:tcPr>
            <w:tcW w:w="3139" w:type="dxa"/>
            <w:tcBorders>
              <w:top w:val="nil"/>
              <w:left w:val="single" w:sz="8" w:space="0" w:color="auto"/>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i/>
                <w:iCs/>
                <w:color w:val="000000"/>
              </w:rPr>
            </w:pPr>
            <w:r w:rsidRPr="00881F8A">
              <w:rPr>
                <w:rFonts w:ascii="Times New Roman" w:eastAsia="Times New Roman" w:hAnsi="Times New Roman"/>
                <w:i/>
                <w:iCs/>
                <w:color w:val="000000"/>
              </w:rPr>
              <w:t>1</w:t>
            </w:r>
          </w:p>
        </w:tc>
        <w:tc>
          <w:tcPr>
            <w:tcW w:w="1569" w:type="dxa"/>
            <w:tcBorders>
              <w:top w:val="nil"/>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i/>
                <w:iCs/>
                <w:color w:val="000000"/>
              </w:rPr>
            </w:pPr>
            <w:r w:rsidRPr="00881F8A">
              <w:rPr>
                <w:rFonts w:ascii="Times New Roman" w:eastAsia="Times New Roman" w:hAnsi="Times New Roman"/>
                <w:i/>
                <w:iCs/>
                <w:color w:val="000000"/>
              </w:rPr>
              <w:t>2</w:t>
            </w:r>
          </w:p>
        </w:tc>
        <w:tc>
          <w:tcPr>
            <w:tcW w:w="1930" w:type="dxa"/>
            <w:tcBorders>
              <w:top w:val="nil"/>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i/>
                <w:iCs/>
                <w:color w:val="000000"/>
              </w:rPr>
            </w:pPr>
            <w:r w:rsidRPr="00881F8A">
              <w:rPr>
                <w:rFonts w:ascii="Times New Roman" w:eastAsia="Times New Roman" w:hAnsi="Times New Roman"/>
                <w:i/>
                <w:iCs/>
                <w:color w:val="000000"/>
              </w:rPr>
              <w:t>3</w:t>
            </w:r>
          </w:p>
        </w:tc>
        <w:tc>
          <w:tcPr>
            <w:tcW w:w="1760" w:type="dxa"/>
            <w:tcBorders>
              <w:top w:val="nil"/>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i/>
                <w:iCs/>
                <w:color w:val="000000"/>
              </w:rPr>
            </w:pPr>
            <w:r w:rsidRPr="00881F8A">
              <w:rPr>
                <w:rFonts w:ascii="Times New Roman" w:eastAsia="Times New Roman" w:hAnsi="Times New Roman"/>
                <w:i/>
                <w:iCs/>
                <w:color w:val="000000"/>
              </w:rPr>
              <w:t>4</w:t>
            </w:r>
          </w:p>
        </w:tc>
        <w:tc>
          <w:tcPr>
            <w:tcW w:w="1909" w:type="dxa"/>
            <w:tcBorders>
              <w:top w:val="nil"/>
              <w:left w:val="nil"/>
              <w:bottom w:val="single" w:sz="8" w:space="0" w:color="auto"/>
              <w:right w:val="single" w:sz="8" w:space="0" w:color="auto"/>
            </w:tcBorders>
            <w:shd w:val="clear" w:color="000000" w:fill="00B050"/>
            <w:noWrap/>
            <w:vAlign w:val="bottom"/>
            <w:hideMark/>
          </w:tcPr>
          <w:p w:rsidR="00C64FC7" w:rsidRPr="00881F8A" w:rsidRDefault="00C64FC7" w:rsidP="00FE1096">
            <w:pPr>
              <w:jc w:val="center"/>
              <w:rPr>
                <w:rFonts w:ascii="Times New Roman" w:eastAsia="Times New Roman" w:hAnsi="Times New Roman"/>
                <w:i/>
                <w:iCs/>
                <w:color w:val="000000"/>
              </w:rPr>
            </w:pPr>
            <w:r w:rsidRPr="00881F8A">
              <w:rPr>
                <w:rFonts w:ascii="Times New Roman" w:eastAsia="Times New Roman" w:hAnsi="Times New Roman"/>
                <w:i/>
                <w:iCs/>
                <w:color w:val="000000"/>
              </w:rPr>
              <w:t>5</w:t>
            </w:r>
          </w:p>
        </w:tc>
      </w:tr>
      <w:tr w:rsidR="00C64FC7" w:rsidRPr="00881F8A" w:rsidTr="00FE1096">
        <w:trPr>
          <w:trHeight w:val="301"/>
        </w:trPr>
        <w:tc>
          <w:tcPr>
            <w:tcW w:w="3139" w:type="dxa"/>
            <w:tcBorders>
              <w:top w:val="nil"/>
              <w:left w:val="single" w:sz="8" w:space="0" w:color="auto"/>
              <w:bottom w:val="single" w:sz="8" w:space="0" w:color="auto"/>
              <w:right w:val="nil"/>
            </w:tcBorders>
            <w:shd w:val="clear" w:color="000000" w:fill="00B050"/>
            <w:noWrap/>
            <w:vAlign w:val="bottom"/>
            <w:hideMark/>
          </w:tcPr>
          <w:p w:rsidR="00C64FC7" w:rsidRPr="00881F8A" w:rsidRDefault="00C64FC7" w:rsidP="00FE1096">
            <w:pPr>
              <w:rPr>
                <w:rFonts w:ascii="Times New Roman" w:eastAsia="Times New Roman" w:hAnsi="Times New Roman"/>
                <w:b/>
                <w:bCs/>
                <w:color w:val="000000"/>
              </w:rPr>
            </w:pPr>
            <w:r w:rsidRPr="00881F8A">
              <w:rPr>
                <w:rFonts w:ascii="Times New Roman" w:eastAsia="Times New Roman" w:hAnsi="Times New Roman"/>
                <w:b/>
                <w:bCs/>
                <w:color w:val="000000"/>
              </w:rPr>
              <w:t>Developed Markets</w:t>
            </w:r>
          </w:p>
        </w:tc>
        <w:tc>
          <w:tcPr>
            <w:tcW w:w="1569" w:type="dxa"/>
            <w:tcBorders>
              <w:top w:val="nil"/>
              <w:left w:val="nil"/>
              <w:bottom w:val="single" w:sz="8" w:space="0" w:color="auto"/>
              <w:right w:val="nil"/>
            </w:tcBorders>
            <w:shd w:val="clear" w:color="000000" w:fill="00B050"/>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930" w:type="dxa"/>
            <w:tcBorders>
              <w:top w:val="nil"/>
              <w:left w:val="nil"/>
              <w:bottom w:val="single" w:sz="8" w:space="0" w:color="auto"/>
              <w:right w:val="nil"/>
            </w:tcBorders>
            <w:shd w:val="clear" w:color="000000" w:fill="00B050"/>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760" w:type="dxa"/>
            <w:tcBorders>
              <w:top w:val="nil"/>
              <w:left w:val="nil"/>
              <w:bottom w:val="single" w:sz="8" w:space="0" w:color="auto"/>
              <w:right w:val="nil"/>
            </w:tcBorders>
            <w:shd w:val="clear" w:color="000000" w:fill="00B050"/>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909" w:type="dxa"/>
            <w:tcBorders>
              <w:top w:val="nil"/>
              <w:left w:val="nil"/>
              <w:bottom w:val="single" w:sz="8" w:space="0" w:color="auto"/>
              <w:right w:val="single" w:sz="8" w:space="0" w:color="auto"/>
            </w:tcBorders>
            <w:shd w:val="clear" w:color="000000" w:fill="00B050"/>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Australia</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1,407,396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1,458,409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1,404,789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(3.7)</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France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2,535,935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2,703,229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2,608,779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(3.5)</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Germany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2,428,815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2,565,898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2,405,860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(6.2)</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Hong Kong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5,386,255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5,902,293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5,568,750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(5.7)</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Japan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6,329,868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6,692,251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6,530,628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(2.4)</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Singapore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566,887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590,182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575,190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(2.5)</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UK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3,803,374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3,946,169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3,691,487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(6.5)</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USA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29,644,397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31,342,089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30,413,918 </w:t>
            </w:r>
          </w:p>
        </w:tc>
        <w:tc>
          <w:tcPr>
            <w:tcW w:w="1909" w:type="dxa"/>
            <w:tcBorders>
              <w:top w:val="nil"/>
              <w:left w:val="nil"/>
              <w:bottom w:val="nil"/>
              <w:right w:val="single" w:sz="8" w:space="0" w:color="auto"/>
            </w:tcBorders>
            <w:shd w:val="clear" w:color="auto" w:fill="auto"/>
            <w:noWrap/>
            <w:vAlign w:val="bottom"/>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(3.0)</w:t>
            </w:r>
          </w:p>
        </w:tc>
      </w:tr>
      <w:tr w:rsidR="00C64FC7" w:rsidRPr="00881F8A" w:rsidTr="00FE1096">
        <w:trPr>
          <w:trHeight w:val="271"/>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930" w:type="dxa"/>
            <w:tcBorders>
              <w:top w:val="nil"/>
              <w:left w:val="nil"/>
              <w:bottom w:val="single" w:sz="8" w:space="0" w:color="auto"/>
              <w:right w:val="single" w:sz="8" w:space="0" w:color="auto"/>
            </w:tcBorders>
            <w:shd w:val="clear" w:color="000000" w:fill="FFFFFF"/>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760" w:type="dxa"/>
            <w:tcBorders>
              <w:top w:val="nil"/>
              <w:left w:val="nil"/>
              <w:bottom w:val="nil"/>
              <w:right w:val="nil"/>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p>
        </w:tc>
        <w:tc>
          <w:tcPr>
            <w:tcW w:w="1909" w:type="dxa"/>
            <w:tcBorders>
              <w:top w:val="nil"/>
              <w:left w:val="single" w:sz="8" w:space="0" w:color="auto"/>
              <w:bottom w:val="single" w:sz="8" w:space="0" w:color="auto"/>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p>
        </w:tc>
      </w:tr>
      <w:tr w:rsidR="00C64FC7" w:rsidRPr="00881F8A" w:rsidTr="00FE1096">
        <w:trPr>
          <w:trHeight w:val="301"/>
        </w:trPr>
        <w:tc>
          <w:tcPr>
            <w:tcW w:w="3139" w:type="dxa"/>
            <w:tcBorders>
              <w:top w:val="single" w:sz="8" w:space="0" w:color="auto"/>
              <w:left w:val="single" w:sz="8" w:space="0" w:color="auto"/>
              <w:bottom w:val="single" w:sz="8" w:space="0" w:color="auto"/>
              <w:right w:val="nil"/>
            </w:tcBorders>
            <w:shd w:val="clear" w:color="000000" w:fill="00B050"/>
            <w:vAlign w:val="bottom"/>
            <w:hideMark/>
          </w:tcPr>
          <w:p w:rsidR="00C64FC7" w:rsidRPr="00881F8A" w:rsidRDefault="00C64FC7" w:rsidP="00FE1096">
            <w:pPr>
              <w:rPr>
                <w:rFonts w:ascii="Times New Roman" w:eastAsia="Times New Roman" w:hAnsi="Times New Roman"/>
                <w:b/>
                <w:bCs/>
                <w:color w:val="000000"/>
              </w:rPr>
            </w:pPr>
            <w:r w:rsidRPr="00881F8A">
              <w:rPr>
                <w:rFonts w:ascii="Times New Roman" w:eastAsia="Times New Roman" w:hAnsi="Times New Roman"/>
                <w:b/>
                <w:bCs/>
                <w:color w:val="000000"/>
              </w:rPr>
              <w:t>Emerging Markets</w:t>
            </w:r>
          </w:p>
        </w:tc>
        <w:tc>
          <w:tcPr>
            <w:tcW w:w="1569" w:type="dxa"/>
            <w:tcBorders>
              <w:top w:val="single" w:sz="8" w:space="0" w:color="auto"/>
              <w:left w:val="nil"/>
              <w:bottom w:val="single" w:sz="8" w:space="0" w:color="auto"/>
              <w:right w:val="nil"/>
            </w:tcBorders>
            <w:shd w:val="clear" w:color="000000" w:fill="00B050"/>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930" w:type="dxa"/>
            <w:tcBorders>
              <w:top w:val="nil"/>
              <w:left w:val="nil"/>
              <w:bottom w:val="single" w:sz="8" w:space="0" w:color="auto"/>
              <w:right w:val="nil"/>
            </w:tcBorders>
            <w:shd w:val="clear" w:color="000000" w:fill="00B050"/>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760" w:type="dxa"/>
            <w:tcBorders>
              <w:top w:val="single" w:sz="8" w:space="0" w:color="auto"/>
              <w:left w:val="nil"/>
              <w:bottom w:val="single" w:sz="8" w:space="0" w:color="auto"/>
              <w:right w:val="nil"/>
            </w:tcBorders>
            <w:shd w:val="clear" w:color="000000" w:fill="00B050"/>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w:t>
            </w:r>
          </w:p>
        </w:tc>
        <w:tc>
          <w:tcPr>
            <w:tcW w:w="1909" w:type="dxa"/>
            <w:tcBorders>
              <w:top w:val="nil"/>
              <w:left w:val="nil"/>
              <w:bottom w:val="single" w:sz="8" w:space="0" w:color="auto"/>
              <w:right w:val="single" w:sz="8" w:space="0" w:color="auto"/>
            </w:tcBorders>
            <w:shd w:val="clear" w:color="000000" w:fill="00B050"/>
            <w:vAlign w:val="bottom"/>
            <w:hideMark/>
          </w:tcPr>
          <w:p w:rsidR="00C64FC7" w:rsidRPr="00881F8A" w:rsidRDefault="00C64FC7" w:rsidP="00FE1096">
            <w:pPr>
              <w:jc w:val="center"/>
              <w:rPr>
                <w:rFonts w:ascii="Arial" w:eastAsia="Times New Roman" w:hAnsi="Arial" w:cs="Arial"/>
                <w:color w:val="000000"/>
                <w:sz w:val="20"/>
                <w:szCs w:val="20"/>
              </w:rPr>
            </w:pP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India</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2,386,341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2,423,928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2,270,798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(6.3)</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Argentina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106,688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119,812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111,769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(6.7)</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Brazil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891,558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1,012,542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1,019,294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0.7</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Chile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295,410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313,953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308,772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(1.7)</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China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7,724,010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8,252,150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7,824,166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(5.2)</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Colombia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119,928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136,966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129,129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(5.7)</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Egypt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50,176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52,219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53,712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2.9</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Hungary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30,956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33,304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31,319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(6.0)</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Indonesia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514,817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541,638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529,610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(2.2)</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Malaysia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448,239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481,104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475,170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(1.2)</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Mexico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373,630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403,845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387,029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(4.2)</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Pakistan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77,338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82,853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81,231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(2.0)</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Russia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588,405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655,191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667,977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2.0</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South Korea</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1,718,143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1,817,683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1,690,138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(7.0)</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South Africa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583,437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602,256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616,329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2.3</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Taiwan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1,208,786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1,279,413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1,242,423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(2.9)</w:t>
            </w:r>
          </w:p>
        </w:tc>
      </w:tr>
      <w:tr w:rsidR="00C64FC7" w:rsidRPr="00881F8A" w:rsidTr="00FE1096">
        <w:trPr>
          <w:trHeight w:val="256"/>
        </w:trPr>
        <w:tc>
          <w:tcPr>
            <w:tcW w:w="3139" w:type="dxa"/>
            <w:tcBorders>
              <w:top w:val="nil"/>
              <w:left w:val="single" w:sz="8" w:space="0" w:color="auto"/>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Thailand </w:t>
            </w:r>
          </w:p>
        </w:tc>
        <w:tc>
          <w:tcPr>
            <w:tcW w:w="1569"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529,470 </w:t>
            </w:r>
          </w:p>
        </w:tc>
        <w:tc>
          <w:tcPr>
            <w:tcW w:w="193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574,748 </w:t>
            </w:r>
          </w:p>
        </w:tc>
        <w:tc>
          <w:tcPr>
            <w:tcW w:w="1760" w:type="dxa"/>
            <w:tcBorders>
              <w:top w:val="nil"/>
              <w:left w:val="nil"/>
              <w:bottom w:val="nil"/>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573,540 </w:t>
            </w:r>
          </w:p>
        </w:tc>
        <w:tc>
          <w:tcPr>
            <w:tcW w:w="1909" w:type="dxa"/>
            <w:tcBorders>
              <w:top w:val="nil"/>
              <w:left w:val="nil"/>
              <w:bottom w:val="nil"/>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(0.2)</w:t>
            </w:r>
          </w:p>
        </w:tc>
      </w:tr>
      <w:tr w:rsidR="00C64FC7" w:rsidRPr="00881F8A" w:rsidTr="00FE1096">
        <w:trPr>
          <w:trHeight w:val="271"/>
        </w:trPr>
        <w:tc>
          <w:tcPr>
            <w:tcW w:w="3139" w:type="dxa"/>
            <w:tcBorders>
              <w:top w:val="nil"/>
              <w:left w:val="single" w:sz="8" w:space="0" w:color="auto"/>
              <w:bottom w:val="single" w:sz="8" w:space="0" w:color="auto"/>
              <w:right w:val="nil"/>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Turkey </w:t>
            </w:r>
          </w:p>
        </w:tc>
        <w:tc>
          <w:tcPr>
            <w:tcW w:w="1569" w:type="dxa"/>
            <w:tcBorders>
              <w:top w:val="nil"/>
              <w:left w:val="single" w:sz="8" w:space="0" w:color="auto"/>
              <w:bottom w:val="single" w:sz="8" w:space="0" w:color="auto"/>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225,226 </w:t>
            </w:r>
          </w:p>
        </w:tc>
        <w:tc>
          <w:tcPr>
            <w:tcW w:w="1930" w:type="dxa"/>
            <w:tcBorders>
              <w:top w:val="nil"/>
              <w:left w:val="nil"/>
              <w:bottom w:val="single" w:sz="8" w:space="0" w:color="auto"/>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239,585 </w:t>
            </w:r>
          </w:p>
        </w:tc>
        <w:tc>
          <w:tcPr>
            <w:tcW w:w="1760" w:type="dxa"/>
            <w:tcBorders>
              <w:top w:val="nil"/>
              <w:left w:val="nil"/>
              <w:bottom w:val="single" w:sz="8" w:space="0" w:color="auto"/>
              <w:right w:val="single" w:sz="8" w:space="0" w:color="auto"/>
            </w:tcBorders>
            <w:shd w:val="clear" w:color="auto" w:fill="auto"/>
            <w:noWrap/>
            <w:vAlign w:val="bottom"/>
            <w:hideMark/>
          </w:tcPr>
          <w:p w:rsidR="00C64FC7" w:rsidRPr="00881F8A" w:rsidRDefault="00C64FC7" w:rsidP="00FE1096">
            <w:pPr>
              <w:rPr>
                <w:rFonts w:ascii="Arial" w:eastAsia="Times New Roman" w:hAnsi="Arial" w:cs="Arial"/>
                <w:color w:val="000000"/>
                <w:sz w:val="20"/>
                <w:szCs w:val="20"/>
              </w:rPr>
            </w:pPr>
            <w:r w:rsidRPr="00881F8A">
              <w:rPr>
                <w:rFonts w:ascii="Arial" w:eastAsia="Times New Roman" w:hAnsi="Arial" w:cs="Arial"/>
                <w:color w:val="000000"/>
                <w:sz w:val="20"/>
                <w:szCs w:val="20"/>
              </w:rPr>
              <w:t xml:space="preserve">             239,353 </w:t>
            </w:r>
          </w:p>
        </w:tc>
        <w:tc>
          <w:tcPr>
            <w:tcW w:w="1909" w:type="dxa"/>
            <w:tcBorders>
              <w:top w:val="nil"/>
              <w:left w:val="nil"/>
              <w:bottom w:val="single" w:sz="8" w:space="0" w:color="auto"/>
              <w:right w:val="single" w:sz="8" w:space="0" w:color="auto"/>
            </w:tcBorders>
            <w:shd w:val="clear" w:color="auto" w:fill="auto"/>
            <w:noWrap/>
            <w:vAlign w:val="center"/>
            <w:hideMark/>
          </w:tcPr>
          <w:p w:rsidR="00C64FC7" w:rsidRPr="00881F8A" w:rsidRDefault="00C64FC7" w:rsidP="00FE1096">
            <w:pPr>
              <w:jc w:val="center"/>
              <w:rPr>
                <w:rFonts w:ascii="Arial" w:eastAsia="Times New Roman" w:hAnsi="Arial" w:cs="Arial"/>
                <w:color w:val="000000"/>
                <w:sz w:val="20"/>
                <w:szCs w:val="20"/>
              </w:rPr>
            </w:pPr>
            <w:r w:rsidRPr="00881F8A">
              <w:rPr>
                <w:rFonts w:ascii="Arial" w:eastAsia="Times New Roman" w:hAnsi="Arial" w:cs="Arial"/>
                <w:color w:val="000000"/>
                <w:sz w:val="20"/>
                <w:szCs w:val="20"/>
              </w:rPr>
              <w:t>(0.1)</w:t>
            </w:r>
          </w:p>
        </w:tc>
      </w:tr>
    </w:tbl>
    <w:p w:rsidR="00C64FC7" w:rsidRPr="009F49A6" w:rsidRDefault="00C64FC7" w:rsidP="00C64FC7">
      <w:pPr>
        <w:spacing w:line="20" w:lineRule="atLeast"/>
        <w:jc w:val="both"/>
        <w:rPr>
          <w:rFonts w:ascii="Garamond" w:hAnsi="Garamond"/>
          <w:b/>
          <w:color w:val="000000" w:themeColor="text1"/>
        </w:rPr>
      </w:pPr>
    </w:p>
    <w:p w:rsidR="00C64FC7" w:rsidRPr="009F49A6" w:rsidRDefault="00C64FC7" w:rsidP="00C64FC7">
      <w:pPr>
        <w:spacing w:line="20" w:lineRule="atLeast"/>
        <w:jc w:val="both"/>
        <w:rPr>
          <w:rFonts w:ascii="Garamond" w:hAnsi="Garamond"/>
          <w:i/>
          <w:iCs/>
          <w:color w:val="000000" w:themeColor="text1"/>
        </w:rPr>
      </w:pPr>
      <w:r w:rsidRPr="009F49A6">
        <w:rPr>
          <w:rFonts w:ascii="Garamond" w:hAnsi="Garamond"/>
          <w:i/>
          <w:iCs/>
          <w:color w:val="000000" w:themeColor="text1"/>
        </w:rPr>
        <w:t>M-o-M: Month on Month.</w:t>
      </w:r>
    </w:p>
    <w:p w:rsidR="00C64FC7" w:rsidRPr="009F49A6" w:rsidRDefault="00C64FC7" w:rsidP="00C64FC7">
      <w:pPr>
        <w:spacing w:line="20" w:lineRule="atLeast"/>
        <w:jc w:val="both"/>
        <w:rPr>
          <w:rFonts w:ascii="Garamond" w:hAnsi="Garamond"/>
          <w:i/>
          <w:iCs/>
          <w:color w:val="000000" w:themeColor="text1"/>
        </w:rPr>
      </w:pPr>
      <w:r w:rsidRPr="009F49A6">
        <w:rPr>
          <w:rFonts w:ascii="Garamond" w:hAnsi="Garamond"/>
          <w:b/>
          <w:i/>
          <w:iCs/>
          <w:color w:val="000000" w:themeColor="text1"/>
        </w:rPr>
        <w:t>Source</w:t>
      </w:r>
      <w:r w:rsidRPr="009F49A6">
        <w:rPr>
          <w:rFonts w:ascii="Garamond" w:hAnsi="Garamond"/>
          <w:i/>
          <w:iCs/>
          <w:color w:val="000000" w:themeColor="text1"/>
        </w:rPr>
        <w:t>: Bloomberg</w:t>
      </w: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3251AC" w:rsidRDefault="00C64FC7" w:rsidP="00C64FC7">
      <w:pPr>
        <w:spacing w:line="20" w:lineRule="atLeast"/>
        <w:jc w:val="both"/>
        <w:rPr>
          <w:rFonts w:ascii="Garamond" w:hAnsi="Garamond"/>
          <w:b/>
          <w:strike/>
          <w:color w:val="000000" w:themeColor="text1"/>
        </w:rPr>
      </w:pPr>
    </w:p>
    <w:p w:rsidR="00C64FC7" w:rsidRPr="00636F0D" w:rsidRDefault="00C64FC7" w:rsidP="00C64FC7">
      <w:pPr>
        <w:spacing w:line="20" w:lineRule="atLeast"/>
        <w:jc w:val="both"/>
        <w:rPr>
          <w:rFonts w:ascii="Garamond" w:hAnsi="Garamond"/>
          <w:b/>
          <w:color w:val="000000" w:themeColor="text1"/>
        </w:rPr>
      </w:pPr>
      <w:r w:rsidRPr="00636F0D">
        <w:rPr>
          <w:rFonts w:ascii="Garamond" w:hAnsi="Garamond"/>
          <w:b/>
          <w:color w:val="000000" w:themeColor="text1"/>
        </w:rPr>
        <w:lastRenderedPageBreak/>
        <w:t>Sources: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OECD database</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Bureau of Economic Analysis (US)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Bureau of Labor Statistics (US)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The Conference Board (US)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 xml:space="preserve">The Federal Reserve System (US) </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Institute for Supply Management (US)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Office for National Statistics (UK)</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Bank of England (UK)</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The Cabinet Office (Japan)</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Statistics Bureau, Director-General for Policy Planning (Statistical Standards) (Japan)</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Bank of Japan</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Eurostat (EA18 and EU27)</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European Central Bank (EA18)</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i/>
          <w:color w:val="000000" w:themeColor="text1"/>
        </w:rPr>
        <w:t>InstitutoBrasileiro de Geografia e Estatística</w:t>
      </w:r>
      <w:r w:rsidRPr="00636F0D">
        <w:rPr>
          <w:rFonts w:ascii="Garamond" w:hAnsi="Garamond"/>
          <w:color w:val="000000" w:themeColor="text1"/>
        </w:rPr>
        <w:t xml:space="preserve"> (Brazilian Institute of Geography and Statistics)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i/>
          <w:color w:val="000000" w:themeColor="text1"/>
        </w:rPr>
        <w:t>Banco Central do Brasil</w:t>
      </w:r>
      <w:r w:rsidRPr="00636F0D">
        <w:rPr>
          <w:rFonts w:ascii="Garamond" w:hAnsi="Garamond"/>
          <w:color w:val="000000" w:themeColor="text1"/>
        </w:rPr>
        <w:t xml:space="preserve"> (Central Bank of Brazil)</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Federal State Statistics Service (Russian Federation)</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The Central Bank of the Russian Federation</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The Central Statistical Office (India)</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Office of the Economic Adviser to the Government of India</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The Reserve Bank of India</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 xml:space="preserve">National Bureau of Statistics of China </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Peoples Bank of China</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Markit Financial Information Services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World Federation of Exchanges</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Bloomberg</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BSE Ltd.</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The National Stock Exchange</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The Bank of Korea</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Bank Indonesia</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Central Bank of The Republic of Turkey</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IMF</w:t>
      </w:r>
    </w:p>
    <w:p w:rsidR="00C64FC7" w:rsidRPr="00636F0D" w:rsidRDefault="00C64FC7" w:rsidP="00C64FC7">
      <w:pPr>
        <w:numPr>
          <w:ilvl w:val="0"/>
          <w:numId w:val="6"/>
        </w:numPr>
        <w:spacing w:line="20" w:lineRule="atLeast"/>
        <w:contextualSpacing/>
        <w:jc w:val="both"/>
        <w:rPr>
          <w:rFonts w:ascii="Garamond" w:hAnsi="Garamond"/>
          <w:color w:val="000000" w:themeColor="text1"/>
        </w:rPr>
      </w:pPr>
      <w:r w:rsidRPr="00636F0D">
        <w:rPr>
          <w:rFonts w:ascii="Garamond" w:hAnsi="Garamond"/>
          <w:color w:val="000000" w:themeColor="text1"/>
        </w:rPr>
        <w:t>World Bank</w:t>
      </w:r>
    </w:p>
    <w:p w:rsidR="00C64FC7" w:rsidRPr="00636F0D" w:rsidRDefault="00C64FC7" w:rsidP="00C64FC7">
      <w:pPr>
        <w:spacing w:line="20" w:lineRule="atLeast"/>
        <w:jc w:val="center"/>
        <w:rPr>
          <w:rFonts w:ascii="Garamond" w:eastAsia="Times New Roman" w:hAnsi="Garamond" w:cs="Garamond"/>
        </w:rPr>
      </w:pPr>
    </w:p>
    <w:p w:rsidR="00C64FC7" w:rsidRDefault="00C64FC7" w:rsidP="00C64FC7">
      <w:pPr>
        <w:rPr>
          <w:rFonts w:ascii="Garamond" w:eastAsia="Times New Roman" w:hAnsi="Garamond" w:cs="Garamond"/>
        </w:rPr>
      </w:pPr>
      <w:r>
        <w:rPr>
          <w:rFonts w:ascii="Garamond" w:eastAsia="Times New Roman" w:hAnsi="Garamond" w:cs="Garamond"/>
        </w:rPr>
        <w:br w:type="page"/>
      </w:r>
    </w:p>
    <w:p w:rsidR="00C64FC7" w:rsidRPr="005D4FDA" w:rsidRDefault="00C64FC7" w:rsidP="00C64FC7">
      <w:pPr>
        <w:jc w:val="center"/>
        <w:rPr>
          <w:rFonts w:ascii="Garamond" w:hAnsi="Garamond"/>
          <w:color w:val="1F3864" w:themeColor="accent5" w:themeShade="80"/>
          <w:sz w:val="36"/>
        </w:rPr>
      </w:pPr>
      <w:r w:rsidRPr="005D4FDA">
        <w:rPr>
          <w:rFonts w:ascii="Garamond" w:hAnsi="Garamond"/>
          <w:color w:val="1F3864" w:themeColor="accent5" w:themeShade="80"/>
          <w:sz w:val="36"/>
        </w:rPr>
        <w:lastRenderedPageBreak/>
        <w:t xml:space="preserve">HIGHLIGHTS OF DEVELOPMENTS IN </w:t>
      </w:r>
    </w:p>
    <w:p w:rsidR="00C64FC7" w:rsidRPr="00636F0D" w:rsidRDefault="00C64FC7" w:rsidP="00C64FC7">
      <w:pPr>
        <w:spacing w:line="20" w:lineRule="atLeast"/>
        <w:jc w:val="center"/>
        <w:rPr>
          <w:rFonts w:ascii="Garamond" w:eastAsia="Times New Roman" w:hAnsi="Garamond" w:cs="Garamond"/>
        </w:rPr>
      </w:pPr>
      <w:r w:rsidRPr="005D4FDA">
        <w:rPr>
          <w:rFonts w:ascii="Garamond" w:hAnsi="Garamond"/>
          <w:color w:val="1F3864" w:themeColor="accent5" w:themeShade="80"/>
          <w:sz w:val="36"/>
        </w:rPr>
        <w:t>INTERNATIONAL SECURITIES MARKETS</w:t>
      </w:r>
    </w:p>
    <w:p w:rsidR="00C64FC7" w:rsidRPr="003251AC" w:rsidRDefault="00C64FC7" w:rsidP="00C64FC7">
      <w:pPr>
        <w:spacing w:line="20" w:lineRule="atLeast"/>
        <w:jc w:val="center"/>
        <w:rPr>
          <w:rFonts w:ascii="Garamond" w:eastAsia="Times New Roman" w:hAnsi="Garamond" w:cs="Garamond"/>
          <w:strike/>
        </w:rPr>
      </w:pPr>
    </w:p>
    <w:p w:rsidR="00C64FC7" w:rsidRPr="000B6ABB" w:rsidRDefault="00C64FC7" w:rsidP="00C64FC7">
      <w:pPr>
        <w:pStyle w:val="ListParagraph"/>
        <w:numPr>
          <w:ilvl w:val="0"/>
          <w:numId w:val="8"/>
        </w:numPr>
        <w:spacing w:after="160"/>
        <w:ind w:left="426"/>
        <w:jc w:val="both"/>
        <w:rPr>
          <w:rFonts w:ascii="Garamond" w:hAnsi="Garamond"/>
          <w:b/>
          <w:sz w:val="24"/>
          <w:szCs w:val="24"/>
        </w:rPr>
      </w:pPr>
      <w:r w:rsidRPr="000B6ABB">
        <w:rPr>
          <w:rFonts w:ascii="Garamond" w:hAnsi="Garamond"/>
          <w:b/>
          <w:color w:val="002060"/>
          <w:sz w:val="24"/>
          <w:szCs w:val="24"/>
        </w:rPr>
        <w:t>SEC Adopts Statement and Interpretive Guidance on Public Company Cybersecurity Disclosures</w:t>
      </w:r>
    </w:p>
    <w:p w:rsidR="00C64FC7" w:rsidRDefault="00C64FC7" w:rsidP="00C64FC7">
      <w:pPr>
        <w:pStyle w:val="ListParagraph"/>
        <w:spacing w:after="160"/>
        <w:ind w:left="426"/>
        <w:jc w:val="both"/>
        <w:rPr>
          <w:rFonts w:ascii="Garamond" w:hAnsi="Garamond"/>
          <w:color w:val="000000" w:themeColor="text1"/>
          <w:sz w:val="24"/>
          <w:szCs w:val="24"/>
        </w:rPr>
      </w:pPr>
      <w:r w:rsidRPr="003D1D8D">
        <w:rPr>
          <w:rFonts w:ascii="Garamond" w:hAnsi="Garamond"/>
          <w:i/>
          <w:color w:val="002060"/>
          <w:sz w:val="24"/>
          <w:szCs w:val="24"/>
        </w:rPr>
        <w:t>21</w:t>
      </w:r>
      <w:r w:rsidRPr="003D1D8D">
        <w:rPr>
          <w:rFonts w:ascii="Garamond" w:hAnsi="Garamond"/>
          <w:i/>
          <w:color w:val="002060"/>
          <w:sz w:val="24"/>
          <w:szCs w:val="24"/>
          <w:vertAlign w:val="superscript"/>
        </w:rPr>
        <w:t>st</w:t>
      </w:r>
      <w:r w:rsidRPr="003D1D8D">
        <w:rPr>
          <w:rFonts w:ascii="Garamond" w:hAnsi="Garamond"/>
          <w:i/>
          <w:color w:val="002060"/>
          <w:sz w:val="24"/>
          <w:szCs w:val="24"/>
        </w:rPr>
        <w:t xml:space="preserve"> February 2018</w:t>
      </w:r>
      <w:r>
        <w:rPr>
          <w:rFonts w:ascii="Garamond" w:hAnsi="Garamond"/>
          <w:color w:val="002060"/>
          <w:sz w:val="24"/>
          <w:szCs w:val="24"/>
        </w:rPr>
        <w:t>:</w:t>
      </w:r>
      <w:r w:rsidRPr="001C22DD">
        <w:rPr>
          <w:rFonts w:ascii="Garamond" w:hAnsi="Garamond"/>
          <w:color w:val="002060"/>
          <w:sz w:val="24"/>
          <w:szCs w:val="24"/>
        </w:rPr>
        <w:t xml:space="preserve"> </w:t>
      </w:r>
      <w:r w:rsidRPr="009E7CCB">
        <w:rPr>
          <w:rFonts w:ascii="Garamond" w:hAnsi="Garamond"/>
          <w:color w:val="000000" w:themeColor="text1"/>
          <w:sz w:val="24"/>
          <w:szCs w:val="24"/>
        </w:rPr>
        <w:t xml:space="preserve">SEC </w:t>
      </w:r>
      <w:r>
        <w:rPr>
          <w:rFonts w:ascii="Garamond" w:hAnsi="Garamond"/>
          <w:color w:val="000000" w:themeColor="text1"/>
          <w:sz w:val="24"/>
          <w:szCs w:val="24"/>
        </w:rPr>
        <w:t xml:space="preserve">approved </w:t>
      </w:r>
      <w:r w:rsidRPr="009E7CCB">
        <w:rPr>
          <w:rFonts w:ascii="Garamond" w:hAnsi="Garamond"/>
          <w:color w:val="000000" w:themeColor="text1"/>
          <w:sz w:val="24"/>
          <w:szCs w:val="24"/>
        </w:rPr>
        <w:t>a statement and interpretive guidance to assist public companies in preparing disclosures about cybersecurity risks and incidents</w:t>
      </w:r>
      <w:r>
        <w:rPr>
          <w:rFonts w:ascii="Garamond" w:hAnsi="Garamond"/>
          <w:color w:val="000000" w:themeColor="text1"/>
          <w:sz w:val="24"/>
          <w:szCs w:val="24"/>
        </w:rPr>
        <w:t xml:space="preserve">. As </w:t>
      </w:r>
      <w:r w:rsidRPr="00C97FAB">
        <w:rPr>
          <w:rFonts w:ascii="Garamond" w:hAnsi="Garamond"/>
          <w:color w:val="000000" w:themeColor="text1"/>
          <w:sz w:val="24"/>
          <w:szCs w:val="24"/>
        </w:rPr>
        <w:t>SEC Chairman Jay Clayton</w:t>
      </w:r>
      <w:r>
        <w:rPr>
          <w:rFonts w:ascii="Garamond" w:hAnsi="Garamond"/>
          <w:color w:val="000000" w:themeColor="text1"/>
          <w:sz w:val="24"/>
          <w:szCs w:val="24"/>
        </w:rPr>
        <w:t xml:space="preserve"> said “</w:t>
      </w:r>
      <w:r w:rsidRPr="00C97FAB">
        <w:rPr>
          <w:rFonts w:ascii="Garamond" w:hAnsi="Garamond"/>
          <w:color w:val="000000" w:themeColor="text1"/>
          <w:sz w:val="24"/>
          <w:szCs w:val="24"/>
        </w:rPr>
        <w:t>I believe that providing the Commission’s views on these matters will promote clearer and more robust disclosure by companies about cybersecurity risks and incidents, resulting in more complete informati</w:t>
      </w:r>
      <w:r>
        <w:rPr>
          <w:rFonts w:ascii="Garamond" w:hAnsi="Garamond"/>
          <w:color w:val="000000" w:themeColor="text1"/>
          <w:sz w:val="24"/>
          <w:szCs w:val="24"/>
        </w:rPr>
        <w:t xml:space="preserve">on being available to investors. </w:t>
      </w:r>
      <w:r w:rsidRPr="00C97FAB">
        <w:rPr>
          <w:rFonts w:ascii="Garamond" w:hAnsi="Garamond"/>
          <w:color w:val="000000" w:themeColor="text1"/>
          <w:sz w:val="24"/>
          <w:szCs w:val="24"/>
        </w:rPr>
        <w:t>In particular, I urge public companies to examine their controls and procedures, with not only their securities law disclosure obligations in mind, but also reputational considerations around sales of securities by executives.</w:t>
      </w:r>
      <w:r>
        <w:rPr>
          <w:rFonts w:ascii="Garamond" w:hAnsi="Garamond"/>
          <w:color w:val="000000" w:themeColor="text1"/>
          <w:sz w:val="24"/>
          <w:szCs w:val="24"/>
        </w:rPr>
        <w:t>”</w:t>
      </w:r>
    </w:p>
    <w:p w:rsidR="00C64FC7" w:rsidRDefault="00C64FC7" w:rsidP="00C64FC7">
      <w:pPr>
        <w:pStyle w:val="ListParagraph"/>
        <w:spacing w:after="160"/>
        <w:ind w:left="426"/>
        <w:jc w:val="both"/>
        <w:rPr>
          <w:rFonts w:ascii="Garamond" w:hAnsi="Garamond"/>
          <w:sz w:val="24"/>
          <w:szCs w:val="24"/>
        </w:rPr>
      </w:pPr>
    </w:p>
    <w:p w:rsidR="00C64FC7" w:rsidRDefault="00C64FC7" w:rsidP="00C64FC7">
      <w:pPr>
        <w:pStyle w:val="ListParagraph"/>
        <w:spacing w:after="160"/>
        <w:ind w:left="426"/>
        <w:jc w:val="both"/>
        <w:rPr>
          <w:rFonts w:ascii="Garamond" w:hAnsi="Garamond"/>
          <w:sz w:val="24"/>
          <w:szCs w:val="24"/>
        </w:rPr>
      </w:pPr>
      <w:r>
        <w:rPr>
          <w:rFonts w:ascii="Garamond" w:hAnsi="Garamond"/>
          <w:sz w:val="24"/>
          <w:szCs w:val="24"/>
        </w:rPr>
        <w:t>The statement</w:t>
      </w:r>
      <w:r w:rsidRPr="000B6ABB">
        <w:rPr>
          <w:rFonts w:ascii="Garamond" w:hAnsi="Garamond"/>
          <w:sz w:val="24"/>
          <w:szCs w:val="24"/>
        </w:rPr>
        <w:t xml:space="preserve"> provides the Commission’s views about public companies’ disclosure obligations under existing law with respect to matters involving cybersecurity risk and incidents.  </w:t>
      </w:r>
      <w:r>
        <w:rPr>
          <w:rFonts w:ascii="Garamond" w:hAnsi="Garamond"/>
          <w:sz w:val="24"/>
          <w:szCs w:val="24"/>
        </w:rPr>
        <w:t>It further highlights</w:t>
      </w:r>
      <w:r w:rsidRPr="000B6ABB">
        <w:rPr>
          <w:rFonts w:ascii="Garamond" w:hAnsi="Garamond"/>
          <w:sz w:val="24"/>
          <w:szCs w:val="24"/>
        </w:rPr>
        <w:t xml:space="preserve"> the significance of cybersecurity policies and procedures and the application of disclosure controls and procedures, insider trading prohibitions, and Regulation FD and selective disclosure prohibitions in the cybersecurity context.</w:t>
      </w:r>
    </w:p>
    <w:p w:rsidR="00C64FC7" w:rsidRDefault="00C64FC7" w:rsidP="00C64FC7">
      <w:pPr>
        <w:pStyle w:val="ListParagraph"/>
        <w:spacing w:after="160"/>
        <w:ind w:left="426"/>
        <w:jc w:val="both"/>
        <w:rPr>
          <w:rFonts w:ascii="Garamond" w:hAnsi="Garamond"/>
          <w:i/>
          <w:color w:val="44546A" w:themeColor="text2"/>
          <w:sz w:val="24"/>
          <w:szCs w:val="24"/>
        </w:rPr>
      </w:pPr>
      <w:r w:rsidRPr="00E63386">
        <w:rPr>
          <w:rFonts w:ascii="Garamond" w:hAnsi="Garamond"/>
          <w:i/>
          <w:color w:val="44546A" w:themeColor="text2"/>
          <w:sz w:val="24"/>
          <w:szCs w:val="24"/>
        </w:rPr>
        <w:t xml:space="preserve">Soruce: </w:t>
      </w:r>
      <w:hyperlink r:id="rId35" w:history="1">
        <w:r w:rsidRPr="009D33AF">
          <w:rPr>
            <w:rStyle w:val="Hyperlink"/>
            <w:rFonts w:ascii="Garamond" w:hAnsi="Garamond"/>
            <w:i/>
            <w:sz w:val="24"/>
            <w:szCs w:val="24"/>
          </w:rPr>
          <w:t>https://www.sec.gov/news/press-release/2018-22</w:t>
        </w:r>
      </w:hyperlink>
    </w:p>
    <w:p w:rsidR="00C64FC7" w:rsidRDefault="00C64FC7" w:rsidP="00C64FC7">
      <w:pPr>
        <w:pStyle w:val="ListParagraph"/>
        <w:spacing w:after="160"/>
        <w:ind w:left="426"/>
        <w:jc w:val="both"/>
        <w:rPr>
          <w:rFonts w:ascii="Garamond" w:hAnsi="Garamond"/>
          <w:i/>
          <w:color w:val="44546A" w:themeColor="text2"/>
          <w:sz w:val="24"/>
          <w:szCs w:val="24"/>
        </w:rPr>
      </w:pPr>
    </w:p>
    <w:p w:rsidR="00C64FC7" w:rsidRPr="000B6ABB" w:rsidRDefault="00C64FC7" w:rsidP="00C64FC7">
      <w:pPr>
        <w:pStyle w:val="ListParagraph"/>
        <w:numPr>
          <w:ilvl w:val="0"/>
          <w:numId w:val="8"/>
        </w:numPr>
        <w:spacing w:after="160"/>
        <w:ind w:left="426"/>
        <w:jc w:val="both"/>
        <w:rPr>
          <w:rFonts w:ascii="Garamond" w:hAnsi="Garamond"/>
          <w:b/>
          <w:sz w:val="24"/>
          <w:szCs w:val="24"/>
        </w:rPr>
      </w:pPr>
      <w:r w:rsidRPr="00150C2D">
        <w:rPr>
          <w:rFonts w:ascii="Garamond" w:hAnsi="Garamond"/>
          <w:b/>
          <w:color w:val="002060"/>
          <w:sz w:val="24"/>
          <w:szCs w:val="24"/>
        </w:rPr>
        <w:t>IOSCO consults on guidance to address conflicts of interest in the equity capital raising process</w:t>
      </w:r>
    </w:p>
    <w:p w:rsidR="00C64FC7" w:rsidRPr="00C517E4" w:rsidRDefault="00C64FC7" w:rsidP="00C64FC7">
      <w:pPr>
        <w:pStyle w:val="ListParagraph"/>
        <w:spacing w:after="160"/>
        <w:ind w:left="426"/>
        <w:jc w:val="both"/>
        <w:rPr>
          <w:rFonts w:ascii="Garamond" w:hAnsi="Garamond"/>
          <w:color w:val="000000" w:themeColor="text1"/>
          <w:sz w:val="24"/>
          <w:szCs w:val="24"/>
        </w:rPr>
      </w:pPr>
      <w:r w:rsidRPr="00C517E4">
        <w:rPr>
          <w:rFonts w:ascii="Garamond" w:hAnsi="Garamond"/>
          <w:color w:val="000000" w:themeColor="text1"/>
          <w:sz w:val="24"/>
          <w:szCs w:val="24"/>
        </w:rPr>
        <w:t xml:space="preserve">21st February 2018: </w:t>
      </w:r>
      <w:r w:rsidRPr="00777F7F">
        <w:rPr>
          <w:rFonts w:ascii="Garamond" w:hAnsi="Garamond"/>
          <w:color w:val="000000" w:themeColor="text1"/>
          <w:sz w:val="24"/>
          <w:szCs w:val="24"/>
        </w:rPr>
        <w:t xml:space="preserve">Conflicts of interest and associated conduct risks </w:t>
      </w:r>
      <w:r>
        <w:rPr>
          <w:rFonts w:ascii="Garamond" w:hAnsi="Garamond"/>
          <w:color w:val="000000" w:themeColor="text1"/>
          <w:sz w:val="24"/>
          <w:szCs w:val="24"/>
        </w:rPr>
        <w:t>resulted</w:t>
      </w:r>
      <w:r w:rsidRPr="00777F7F">
        <w:rPr>
          <w:rFonts w:ascii="Garamond" w:hAnsi="Garamond"/>
          <w:color w:val="000000" w:themeColor="text1"/>
          <w:sz w:val="24"/>
          <w:szCs w:val="24"/>
        </w:rPr>
        <w:t xml:space="preserve"> from the role of intermediaries can </w:t>
      </w:r>
      <w:r>
        <w:rPr>
          <w:rFonts w:ascii="Garamond" w:hAnsi="Garamond"/>
          <w:color w:val="000000" w:themeColor="text1"/>
          <w:sz w:val="24"/>
          <w:szCs w:val="24"/>
        </w:rPr>
        <w:t xml:space="preserve">challenge </w:t>
      </w:r>
      <w:r w:rsidRPr="00777F7F">
        <w:rPr>
          <w:rFonts w:ascii="Garamond" w:hAnsi="Garamond"/>
          <w:color w:val="000000" w:themeColor="text1"/>
          <w:sz w:val="24"/>
          <w:szCs w:val="24"/>
        </w:rPr>
        <w:t xml:space="preserve">the </w:t>
      </w:r>
      <w:r>
        <w:rPr>
          <w:rFonts w:ascii="Garamond" w:hAnsi="Garamond"/>
          <w:color w:val="000000" w:themeColor="text1"/>
          <w:sz w:val="24"/>
          <w:szCs w:val="24"/>
        </w:rPr>
        <w:t>trust</w:t>
      </w:r>
      <w:r w:rsidRPr="00777F7F">
        <w:rPr>
          <w:rFonts w:ascii="Garamond" w:hAnsi="Garamond"/>
          <w:color w:val="000000" w:themeColor="text1"/>
          <w:sz w:val="24"/>
          <w:szCs w:val="24"/>
        </w:rPr>
        <w:t xml:space="preserve"> </w:t>
      </w:r>
      <w:r>
        <w:rPr>
          <w:rFonts w:ascii="Garamond" w:hAnsi="Garamond"/>
          <w:color w:val="000000" w:themeColor="text1"/>
          <w:sz w:val="24"/>
          <w:szCs w:val="24"/>
        </w:rPr>
        <w:t xml:space="preserve">of investors </w:t>
      </w:r>
      <w:r w:rsidRPr="00777F7F">
        <w:rPr>
          <w:rFonts w:ascii="Garamond" w:hAnsi="Garamond"/>
          <w:color w:val="000000" w:themeColor="text1"/>
          <w:sz w:val="24"/>
          <w:szCs w:val="24"/>
        </w:rPr>
        <w:t>and efficiency of equity capital raising. To help regulators identify and address</w:t>
      </w:r>
      <w:r>
        <w:rPr>
          <w:rFonts w:ascii="Garamond" w:hAnsi="Garamond"/>
          <w:color w:val="000000" w:themeColor="text1"/>
          <w:sz w:val="24"/>
          <w:szCs w:val="24"/>
        </w:rPr>
        <w:t xml:space="preserve"> </w:t>
      </w:r>
      <w:r w:rsidRPr="00777F7F">
        <w:rPr>
          <w:rFonts w:ascii="Garamond" w:hAnsi="Garamond"/>
          <w:color w:val="000000" w:themeColor="text1"/>
          <w:sz w:val="24"/>
          <w:szCs w:val="24"/>
        </w:rPr>
        <w:t xml:space="preserve">these issues, IOSCO </w:t>
      </w:r>
      <w:r>
        <w:rPr>
          <w:rFonts w:ascii="Garamond" w:hAnsi="Garamond"/>
          <w:color w:val="000000" w:themeColor="text1"/>
          <w:sz w:val="24"/>
          <w:szCs w:val="24"/>
        </w:rPr>
        <w:t>in its February release</w:t>
      </w:r>
      <w:r w:rsidRPr="00777F7F">
        <w:rPr>
          <w:rFonts w:ascii="Garamond" w:hAnsi="Garamond"/>
          <w:color w:val="000000" w:themeColor="text1"/>
          <w:sz w:val="24"/>
          <w:szCs w:val="24"/>
        </w:rPr>
        <w:t xml:space="preserve"> issued </w:t>
      </w:r>
      <w:r>
        <w:rPr>
          <w:rFonts w:ascii="Garamond" w:hAnsi="Garamond"/>
          <w:color w:val="000000" w:themeColor="text1"/>
          <w:sz w:val="24"/>
          <w:szCs w:val="24"/>
        </w:rPr>
        <w:t>a</w:t>
      </w:r>
      <w:r w:rsidRPr="00777F7F">
        <w:rPr>
          <w:rFonts w:ascii="Garamond" w:hAnsi="Garamond"/>
          <w:color w:val="000000" w:themeColor="text1"/>
          <w:sz w:val="24"/>
          <w:szCs w:val="24"/>
        </w:rPr>
        <w:t xml:space="preserve"> consultation report </w:t>
      </w:r>
      <w:hyperlink r:id="rId36" w:history="1">
        <w:r w:rsidRPr="00777F7F">
          <w:rPr>
            <w:rStyle w:val="Hyperlink"/>
            <w:rFonts w:ascii="Garamond" w:hAnsi="Garamond"/>
            <w:sz w:val="24"/>
            <w:szCs w:val="24"/>
          </w:rPr>
          <w:t>Conflicts of interest and associated conduct risks during the equity capital raising process</w:t>
        </w:r>
      </w:hyperlink>
      <w:r w:rsidRPr="00777F7F">
        <w:rPr>
          <w:rFonts w:ascii="Garamond" w:hAnsi="Garamond"/>
          <w:color w:val="000000" w:themeColor="text1"/>
          <w:sz w:val="24"/>
          <w:szCs w:val="24"/>
        </w:rPr>
        <w:t>.</w:t>
      </w:r>
    </w:p>
    <w:p w:rsidR="00C64FC7" w:rsidRDefault="00C64FC7" w:rsidP="00C64FC7">
      <w:pPr>
        <w:pStyle w:val="ListParagraph"/>
        <w:spacing w:after="160"/>
        <w:ind w:left="426"/>
        <w:jc w:val="both"/>
        <w:rPr>
          <w:rFonts w:ascii="Garamond" w:hAnsi="Garamond"/>
          <w:color w:val="000000" w:themeColor="text1"/>
          <w:sz w:val="24"/>
          <w:szCs w:val="24"/>
        </w:rPr>
      </w:pPr>
    </w:p>
    <w:p w:rsidR="00C64FC7" w:rsidRDefault="00C64FC7" w:rsidP="00C64FC7">
      <w:pPr>
        <w:pStyle w:val="ListParagraph"/>
        <w:spacing w:after="160"/>
        <w:ind w:left="426"/>
        <w:jc w:val="both"/>
        <w:rPr>
          <w:rFonts w:ascii="Garamond" w:hAnsi="Garamond"/>
          <w:color w:val="000000" w:themeColor="text1"/>
          <w:sz w:val="24"/>
          <w:szCs w:val="24"/>
        </w:rPr>
      </w:pPr>
      <w:r>
        <w:rPr>
          <w:rFonts w:ascii="Garamond" w:hAnsi="Garamond"/>
          <w:color w:val="000000" w:themeColor="text1"/>
          <w:sz w:val="24"/>
          <w:szCs w:val="24"/>
        </w:rPr>
        <w:t>The report provides guidance on:</w:t>
      </w:r>
    </w:p>
    <w:p w:rsidR="00C64FC7" w:rsidRPr="007478A3" w:rsidRDefault="00C64FC7" w:rsidP="00C64FC7">
      <w:pPr>
        <w:pStyle w:val="ListParagraph"/>
        <w:numPr>
          <w:ilvl w:val="0"/>
          <w:numId w:val="32"/>
        </w:numPr>
        <w:spacing w:after="160"/>
        <w:jc w:val="both"/>
        <w:rPr>
          <w:rFonts w:ascii="Garamond" w:hAnsi="Garamond"/>
          <w:color w:val="000000" w:themeColor="text1"/>
          <w:sz w:val="24"/>
          <w:szCs w:val="24"/>
        </w:rPr>
      </w:pPr>
      <w:r w:rsidRPr="007478A3">
        <w:rPr>
          <w:rFonts w:ascii="Garamond" w:hAnsi="Garamond"/>
          <w:color w:val="000000" w:themeColor="text1"/>
          <w:sz w:val="24"/>
          <w:szCs w:val="24"/>
        </w:rPr>
        <w:t>Guidance to address conflicts of interest and pressure on analysts during the formative, preoffering</w:t>
      </w:r>
      <w:r>
        <w:rPr>
          <w:rFonts w:ascii="Garamond" w:hAnsi="Garamond"/>
          <w:color w:val="000000" w:themeColor="text1"/>
          <w:sz w:val="24"/>
          <w:szCs w:val="24"/>
        </w:rPr>
        <w:t xml:space="preserve"> </w:t>
      </w:r>
      <w:r w:rsidRPr="007478A3">
        <w:rPr>
          <w:rFonts w:ascii="Garamond" w:hAnsi="Garamond"/>
          <w:color w:val="000000" w:themeColor="text1"/>
          <w:sz w:val="24"/>
          <w:szCs w:val="24"/>
        </w:rPr>
        <w:t>phase of a capital raising</w:t>
      </w:r>
    </w:p>
    <w:p w:rsidR="00C64FC7" w:rsidRDefault="00C64FC7" w:rsidP="00C64FC7">
      <w:pPr>
        <w:pStyle w:val="ListParagraph"/>
        <w:numPr>
          <w:ilvl w:val="0"/>
          <w:numId w:val="32"/>
        </w:numPr>
        <w:spacing w:after="160"/>
        <w:jc w:val="both"/>
        <w:rPr>
          <w:rFonts w:ascii="Garamond" w:hAnsi="Garamond"/>
          <w:color w:val="000000" w:themeColor="text1"/>
          <w:sz w:val="24"/>
          <w:szCs w:val="24"/>
        </w:rPr>
      </w:pPr>
      <w:r w:rsidRPr="007478A3">
        <w:rPr>
          <w:rFonts w:ascii="Garamond" w:hAnsi="Garamond"/>
          <w:color w:val="000000" w:themeColor="text1"/>
          <w:sz w:val="24"/>
          <w:szCs w:val="24"/>
        </w:rPr>
        <w:t>Guidance to address conflicts of interest during the allocation of securities</w:t>
      </w:r>
    </w:p>
    <w:p w:rsidR="00C64FC7" w:rsidRDefault="00C64FC7" w:rsidP="00C64FC7">
      <w:pPr>
        <w:pStyle w:val="ListParagraph"/>
        <w:numPr>
          <w:ilvl w:val="0"/>
          <w:numId w:val="32"/>
        </w:numPr>
        <w:spacing w:after="160"/>
        <w:jc w:val="both"/>
        <w:rPr>
          <w:rFonts w:ascii="Garamond" w:hAnsi="Garamond"/>
          <w:color w:val="000000" w:themeColor="text1"/>
          <w:sz w:val="24"/>
          <w:szCs w:val="24"/>
        </w:rPr>
      </w:pPr>
      <w:r w:rsidRPr="007478A3">
        <w:rPr>
          <w:rFonts w:ascii="Garamond" w:hAnsi="Garamond"/>
          <w:color w:val="000000" w:themeColor="text1"/>
          <w:sz w:val="24"/>
          <w:szCs w:val="24"/>
        </w:rPr>
        <w:t>Guidance to address conflicts of interest in the pricing of securities offerings; and</w:t>
      </w:r>
    </w:p>
    <w:p w:rsidR="00C64FC7" w:rsidRPr="007478A3" w:rsidRDefault="00C64FC7" w:rsidP="00C64FC7">
      <w:pPr>
        <w:pStyle w:val="ListParagraph"/>
        <w:numPr>
          <w:ilvl w:val="0"/>
          <w:numId w:val="32"/>
        </w:numPr>
        <w:spacing w:after="160"/>
        <w:jc w:val="both"/>
        <w:rPr>
          <w:rFonts w:ascii="Garamond" w:hAnsi="Garamond"/>
          <w:color w:val="000000" w:themeColor="text1"/>
          <w:sz w:val="24"/>
          <w:szCs w:val="24"/>
        </w:rPr>
      </w:pPr>
      <w:r w:rsidRPr="007478A3">
        <w:rPr>
          <w:rFonts w:ascii="Garamond" w:hAnsi="Garamond"/>
          <w:color w:val="000000" w:themeColor="text1"/>
          <w:sz w:val="24"/>
          <w:szCs w:val="24"/>
        </w:rPr>
        <w:t>Guidance to address conflicts of interest and conduct risks stemming from personal</w:t>
      </w:r>
      <w:r>
        <w:rPr>
          <w:rFonts w:ascii="Garamond" w:hAnsi="Garamond"/>
          <w:color w:val="000000" w:themeColor="text1"/>
          <w:sz w:val="24"/>
          <w:szCs w:val="24"/>
        </w:rPr>
        <w:t xml:space="preserve"> </w:t>
      </w:r>
      <w:r w:rsidRPr="007478A3">
        <w:rPr>
          <w:rFonts w:ascii="Garamond" w:hAnsi="Garamond"/>
          <w:color w:val="000000" w:themeColor="text1"/>
          <w:sz w:val="24"/>
          <w:szCs w:val="24"/>
        </w:rPr>
        <w:t>transactions by staff employed within firms managing a securities offering</w:t>
      </w:r>
    </w:p>
    <w:p w:rsidR="00C64FC7" w:rsidRDefault="00C64FC7" w:rsidP="00C64FC7">
      <w:pPr>
        <w:pStyle w:val="ListParagraph"/>
        <w:spacing w:after="160"/>
        <w:ind w:left="426"/>
        <w:jc w:val="both"/>
        <w:rPr>
          <w:rFonts w:ascii="Garamond" w:hAnsi="Garamond"/>
          <w:color w:val="000000" w:themeColor="text1"/>
          <w:sz w:val="24"/>
          <w:szCs w:val="24"/>
        </w:rPr>
      </w:pPr>
    </w:p>
    <w:p w:rsidR="00C64FC7" w:rsidRDefault="00C64FC7" w:rsidP="00C64FC7">
      <w:pPr>
        <w:pStyle w:val="ListParagraph"/>
        <w:spacing w:after="160"/>
        <w:ind w:left="426"/>
        <w:jc w:val="both"/>
        <w:rPr>
          <w:rFonts w:ascii="Garamond" w:hAnsi="Garamond"/>
          <w:color w:val="000000" w:themeColor="text1"/>
          <w:sz w:val="24"/>
          <w:szCs w:val="24"/>
        </w:rPr>
      </w:pPr>
      <w:r>
        <w:rPr>
          <w:rFonts w:ascii="Garamond" w:hAnsi="Garamond"/>
          <w:color w:val="000000" w:themeColor="text1"/>
          <w:sz w:val="24"/>
          <w:szCs w:val="24"/>
        </w:rPr>
        <w:t xml:space="preserve">IOSCO circulated a survey to members and </w:t>
      </w:r>
      <w:r w:rsidRPr="00355A9C">
        <w:rPr>
          <w:rFonts w:ascii="Garamond" w:hAnsi="Garamond"/>
          <w:color w:val="000000" w:themeColor="text1"/>
          <w:sz w:val="24"/>
          <w:szCs w:val="24"/>
        </w:rPr>
        <w:t xml:space="preserve">responses to </w:t>
      </w:r>
      <w:r>
        <w:rPr>
          <w:rFonts w:ascii="Garamond" w:hAnsi="Garamond"/>
          <w:color w:val="000000" w:themeColor="text1"/>
          <w:sz w:val="24"/>
          <w:szCs w:val="24"/>
        </w:rPr>
        <w:t>the</w:t>
      </w:r>
      <w:r w:rsidRPr="00355A9C">
        <w:rPr>
          <w:rFonts w:ascii="Garamond" w:hAnsi="Garamond"/>
          <w:color w:val="000000" w:themeColor="text1"/>
          <w:sz w:val="24"/>
          <w:szCs w:val="24"/>
        </w:rPr>
        <w:t xml:space="preserve"> survey indicated that while different jurisdictions share some</w:t>
      </w:r>
      <w:r>
        <w:rPr>
          <w:rFonts w:ascii="Garamond" w:hAnsi="Garamond"/>
          <w:color w:val="000000" w:themeColor="text1"/>
          <w:sz w:val="24"/>
          <w:szCs w:val="24"/>
        </w:rPr>
        <w:t xml:space="preserve"> </w:t>
      </w:r>
      <w:r w:rsidRPr="00355A9C">
        <w:rPr>
          <w:rFonts w:ascii="Garamond" w:hAnsi="Garamond"/>
          <w:color w:val="000000" w:themeColor="text1"/>
          <w:sz w:val="24"/>
          <w:szCs w:val="24"/>
        </w:rPr>
        <w:t>common characteristics, they tend to have different market practices and different legal and regulatory</w:t>
      </w:r>
      <w:r>
        <w:rPr>
          <w:rFonts w:ascii="Garamond" w:hAnsi="Garamond"/>
          <w:color w:val="000000" w:themeColor="text1"/>
          <w:sz w:val="24"/>
          <w:szCs w:val="24"/>
        </w:rPr>
        <w:t xml:space="preserve"> </w:t>
      </w:r>
      <w:r w:rsidRPr="00355A9C">
        <w:rPr>
          <w:rFonts w:ascii="Garamond" w:hAnsi="Garamond"/>
          <w:color w:val="000000" w:themeColor="text1"/>
          <w:sz w:val="24"/>
          <w:szCs w:val="24"/>
        </w:rPr>
        <w:t xml:space="preserve">frameworks governing the equity capital raising process. </w:t>
      </w:r>
      <w:r>
        <w:rPr>
          <w:rFonts w:ascii="Garamond" w:hAnsi="Garamond"/>
          <w:color w:val="000000" w:themeColor="text1"/>
          <w:sz w:val="24"/>
          <w:szCs w:val="24"/>
        </w:rPr>
        <w:t>Consequently</w:t>
      </w:r>
      <w:r w:rsidRPr="00355A9C">
        <w:rPr>
          <w:rFonts w:ascii="Garamond" w:hAnsi="Garamond"/>
          <w:color w:val="000000" w:themeColor="text1"/>
          <w:sz w:val="24"/>
          <w:szCs w:val="24"/>
        </w:rPr>
        <w:t>, the severity of the conflicts of</w:t>
      </w:r>
      <w:r>
        <w:rPr>
          <w:rFonts w:ascii="Garamond" w:hAnsi="Garamond"/>
          <w:color w:val="000000" w:themeColor="text1"/>
          <w:sz w:val="24"/>
          <w:szCs w:val="24"/>
        </w:rPr>
        <w:t xml:space="preserve"> </w:t>
      </w:r>
      <w:r w:rsidRPr="00355A9C">
        <w:rPr>
          <w:rFonts w:ascii="Garamond" w:hAnsi="Garamond"/>
          <w:color w:val="000000" w:themeColor="text1"/>
          <w:sz w:val="24"/>
          <w:szCs w:val="24"/>
        </w:rPr>
        <w:t>interest and associated misconduct risks, and the harm they can inflict, vary across jurisdictions.</w:t>
      </w:r>
      <w:r>
        <w:rPr>
          <w:rFonts w:ascii="Garamond" w:hAnsi="Garamond"/>
          <w:color w:val="000000" w:themeColor="text1"/>
          <w:sz w:val="24"/>
          <w:szCs w:val="24"/>
        </w:rPr>
        <w:t xml:space="preserve"> Thus</w:t>
      </w:r>
      <w:r w:rsidRPr="00355A9C">
        <w:rPr>
          <w:rFonts w:ascii="Garamond" w:hAnsi="Garamond"/>
          <w:color w:val="000000" w:themeColor="text1"/>
          <w:sz w:val="24"/>
          <w:szCs w:val="24"/>
        </w:rPr>
        <w:t xml:space="preserve">, the guidance </w:t>
      </w:r>
      <w:r>
        <w:rPr>
          <w:rFonts w:ascii="Garamond" w:hAnsi="Garamond"/>
          <w:color w:val="000000" w:themeColor="text1"/>
          <w:sz w:val="24"/>
          <w:szCs w:val="24"/>
        </w:rPr>
        <w:t xml:space="preserve">intended to guide its </w:t>
      </w:r>
      <w:r w:rsidRPr="00355A9C">
        <w:rPr>
          <w:rFonts w:ascii="Garamond" w:hAnsi="Garamond"/>
          <w:color w:val="000000" w:themeColor="text1"/>
          <w:sz w:val="24"/>
          <w:szCs w:val="24"/>
        </w:rPr>
        <w:t>IOSCO members with a degree of flexibility over</w:t>
      </w:r>
      <w:r>
        <w:rPr>
          <w:rFonts w:ascii="Garamond" w:hAnsi="Garamond"/>
          <w:color w:val="000000" w:themeColor="text1"/>
          <w:sz w:val="24"/>
          <w:szCs w:val="24"/>
        </w:rPr>
        <w:t xml:space="preserve"> </w:t>
      </w:r>
      <w:r w:rsidRPr="00355A9C">
        <w:rPr>
          <w:rFonts w:ascii="Garamond" w:hAnsi="Garamond"/>
          <w:color w:val="000000" w:themeColor="text1"/>
          <w:sz w:val="24"/>
          <w:szCs w:val="24"/>
        </w:rPr>
        <w:t>how they implement the measures domestically, to ensure that these measures are appropriate for the</w:t>
      </w:r>
      <w:r>
        <w:rPr>
          <w:rFonts w:ascii="Garamond" w:hAnsi="Garamond"/>
          <w:color w:val="000000" w:themeColor="text1"/>
          <w:sz w:val="24"/>
          <w:szCs w:val="24"/>
        </w:rPr>
        <w:t xml:space="preserve"> </w:t>
      </w:r>
      <w:r w:rsidRPr="00355A9C">
        <w:rPr>
          <w:rFonts w:ascii="Garamond" w:hAnsi="Garamond"/>
          <w:color w:val="000000" w:themeColor="text1"/>
          <w:sz w:val="24"/>
          <w:szCs w:val="24"/>
        </w:rPr>
        <w:t>legal and regulatory framework and the specific risks arising in each jurisdiction.</w:t>
      </w:r>
    </w:p>
    <w:p w:rsidR="00C64FC7" w:rsidRPr="00C517E4" w:rsidRDefault="00C64FC7" w:rsidP="00C64FC7">
      <w:pPr>
        <w:pStyle w:val="ListParagraph"/>
        <w:spacing w:after="160"/>
        <w:ind w:left="426"/>
        <w:jc w:val="both"/>
        <w:rPr>
          <w:rFonts w:ascii="Garamond" w:hAnsi="Garamond"/>
          <w:color w:val="000000" w:themeColor="text1"/>
          <w:sz w:val="24"/>
          <w:szCs w:val="24"/>
        </w:rPr>
      </w:pPr>
    </w:p>
    <w:p w:rsidR="00C64FC7" w:rsidRPr="00C517E4" w:rsidRDefault="00C64FC7" w:rsidP="00C64FC7">
      <w:pPr>
        <w:pStyle w:val="ListParagraph"/>
        <w:spacing w:after="160"/>
        <w:ind w:left="426"/>
        <w:jc w:val="both"/>
        <w:rPr>
          <w:rStyle w:val="Hyperlink"/>
          <w:i/>
        </w:rPr>
      </w:pPr>
      <w:r w:rsidRPr="00C517E4">
        <w:rPr>
          <w:rFonts w:ascii="Garamond" w:hAnsi="Garamond"/>
          <w:color w:val="44546A" w:themeColor="text2"/>
          <w:sz w:val="24"/>
          <w:szCs w:val="24"/>
        </w:rPr>
        <w:lastRenderedPageBreak/>
        <w:t>Soruce:</w:t>
      </w:r>
      <w:r w:rsidRPr="00C517E4">
        <w:rPr>
          <w:rStyle w:val="Hyperlink"/>
          <w:i/>
        </w:rPr>
        <w:t xml:space="preserve"> </w:t>
      </w:r>
      <w:r w:rsidRPr="00152D45">
        <w:rPr>
          <w:rStyle w:val="Hyperlink"/>
          <w:i/>
        </w:rPr>
        <w:t>https://www.iosco.org/news/pdf/IOSCONEWS488.pdf</w:t>
      </w:r>
    </w:p>
    <w:p w:rsidR="00C64FC7" w:rsidRPr="00C517E4" w:rsidRDefault="00C64FC7" w:rsidP="00C64FC7">
      <w:pPr>
        <w:pStyle w:val="ListParagraph"/>
        <w:spacing w:after="160"/>
        <w:ind w:left="426"/>
        <w:jc w:val="both"/>
        <w:rPr>
          <w:rFonts w:ascii="Garamond" w:hAnsi="Garamond"/>
          <w:color w:val="000000" w:themeColor="text1"/>
          <w:sz w:val="24"/>
          <w:szCs w:val="24"/>
        </w:rPr>
      </w:pPr>
    </w:p>
    <w:p w:rsidR="00C64FC7" w:rsidRPr="00C517E4" w:rsidRDefault="00C64FC7" w:rsidP="00C64FC7">
      <w:pPr>
        <w:spacing w:after="160"/>
        <w:jc w:val="both"/>
        <w:rPr>
          <w:rFonts w:ascii="Garamond" w:hAnsi="Garamond"/>
          <w:i/>
        </w:rPr>
      </w:pPr>
    </w:p>
    <w:p w:rsidR="00C64FC7" w:rsidRPr="003251AC" w:rsidRDefault="00C64FC7" w:rsidP="00C64FC7">
      <w:pPr>
        <w:spacing w:line="20" w:lineRule="atLeast"/>
        <w:jc w:val="center"/>
        <w:rPr>
          <w:rFonts w:ascii="Garamond" w:eastAsia="Times New Roman" w:hAnsi="Garamond" w:cs="Garamond"/>
          <w:strike/>
        </w:rPr>
      </w:pPr>
    </w:p>
    <w:p w:rsidR="00C64FC7" w:rsidRPr="003251AC" w:rsidRDefault="00C64FC7" w:rsidP="00C64FC7">
      <w:pPr>
        <w:spacing w:line="20" w:lineRule="atLeast"/>
        <w:jc w:val="center"/>
        <w:rPr>
          <w:rFonts w:ascii="Garamond" w:eastAsia="Times New Roman" w:hAnsi="Garamond" w:cs="Garamond"/>
          <w:strike/>
        </w:rPr>
      </w:pPr>
    </w:p>
    <w:p w:rsidR="00C64FC7" w:rsidRPr="003251AC" w:rsidRDefault="00C64FC7" w:rsidP="00C64FC7">
      <w:pPr>
        <w:spacing w:line="20" w:lineRule="atLeast"/>
        <w:jc w:val="center"/>
        <w:rPr>
          <w:rFonts w:ascii="Garamond" w:eastAsia="Times New Roman" w:hAnsi="Garamond" w:cs="Garamond"/>
          <w:strike/>
        </w:rPr>
      </w:pPr>
    </w:p>
    <w:p w:rsidR="00C64FC7" w:rsidRPr="003251AC" w:rsidRDefault="00C64FC7" w:rsidP="00C64FC7">
      <w:pPr>
        <w:spacing w:line="20" w:lineRule="atLeast"/>
        <w:jc w:val="center"/>
        <w:rPr>
          <w:rFonts w:ascii="Garamond" w:eastAsia="Times New Roman" w:hAnsi="Garamond" w:cs="Garamond"/>
          <w:strike/>
        </w:rPr>
      </w:pPr>
    </w:p>
    <w:p w:rsidR="0003625D" w:rsidRPr="0053744E" w:rsidRDefault="0003625D" w:rsidP="00B25DA6">
      <w:pPr>
        <w:jc w:val="center"/>
        <w:outlineLvl w:val="0"/>
        <w:rPr>
          <w:rFonts w:ascii="Garamond" w:hAnsi="Garamond"/>
          <w:b/>
          <w:color w:val="000099"/>
        </w:rPr>
      </w:pPr>
    </w:p>
    <w:sectPr w:rsidR="0003625D" w:rsidRPr="0053744E" w:rsidSect="00406C29">
      <w:footerReference w:type="default" r:id="rId37"/>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F4" w:rsidRDefault="009842F4" w:rsidP="00E07645">
      <w:r>
        <w:separator/>
      </w:r>
    </w:p>
  </w:endnote>
  <w:endnote w:type="continuationSeparator" w:id="0">
    <w:p w:rsidR="009842F4" w:rsidRDefault="009842F4"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Rupee">
    <w:altName w:val="Times New Roman"/>
    <w:panose1 w:val="00000000000000000000"/>
    <w:charset w:val="00"/>
    <w:family w:val="roman"/>
    <w:notTrueType/>
    <w:pitch w:val="default"/>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E07645" w:rsidRDefault="00E076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00BD">
          <w:rPr>
            <w:noProof/>
          </w:rPr>
          <w:t>1</w:t>
        </w:r>
        <w:r>
          <w:rPr>
            <w:noProof/>
          </w:rPr>
          <w:fldChar w:fldCharType="end"/>
        </w:r>
        <w:r>
          <w:t xml:space="preserve"> | </w:t>
        </w:r>
        <w:r>
          <w:rPr>
            <w:color w:val="7F7F7F" w:themeColor="background1" w:themeShade="7F"/>
            <w:spacing w:val="60"/>
          </w:rPr>
          <w:t>Page</w:t>
        </w:r>
      </w:p>
    </w:sdtContent>
  </w:sdt>
  <w:p w:rsidR="00E07645" w:rsidRDefault="00E07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F4" w:rsidRDefault="009842F4" w:rsidP="00E07645">
      <w:r>
        <w:separator/>
      </w:r>
    </w:p>
  </w:footnote>
  <w:footnote w:type="continuationSeparator" w:id="0">
    <w:p w:rsidR="009842F4" w:rsidRDefault="009842F4" w:rsidP="00E07645">
      <w:r>
        <w:continuationSeparator/>
      </w:r>
    </w:p>
  </w:footnote>
  <w:footnote w:id="1">
    <w:p w:rsidR="00C64FC7" w:rsidRPr="007E306B" w:rsidRDefault="00C64FC7" w:rsidP="00C64FC7">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rsidR="00C64FC7" w:rsidRPr="005D569E" w:rsidRDefault="00C64FC7" w:rsidP="00C64FC7">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3">
    <w:p w:rsidR="00C64FC7" w:rsidRPr="0042712D" w:rsidRDefault="00C64FC7" w:rsidP="00C64FC7">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505337"/>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316B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2A1395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7012D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5380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4E74F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167AD0"/>
    <w:multiLevelType w:val="multilevel"/>
    <w:tmpl w:val="69845D92"/>
    <w:lvl w:ilvl="0">
      <w:start w:val="1"/>
      <w:numFmt w:val="decimal"/>
      <w:lvlText w:val="%1."/>
      <w:lvlJc w:val="left"/>
      <w:pPr>
        <w:ind w:left="360" w:hanging="360"/>
      </w:pPr>
      <w:rPr>
        <w:b/>
        <w:color w:val="283214"/>
      </w:rPr>
    </w:lvl>
    <w:lvl w:ilvl="1">
      <w:start w:val="1"/>
      <w:numFmt w:val="decimal"/>
      <w:lvlText w:val="%1.%2."/>
      <w:lvlJc w:val="left"/>
      <w:pPr>
        <w:ind w:left="612" w:hanging="432"/>
      </w:pPr>
      <w:rPr>
        <w:rFonts w:asciiTheme="majorHAnsi" w:hAnsiTheme="majorHAnsi" w:cs="Times New Roman" w:hint="default"/>
        <w:b w:val="0"/>
        <w:bCs w:val="0"/>
        <w:i w:val="0"/>
        <w:i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9A0CF8"/>
    <w:multiLevelType w:val="multilevel"/>
    <w:tmpl w:val="230CCE8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A119C4"/>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883395"/>
    <w:multiLevelType w:val="hybridMultilevel"/>
    <w:tmpl w:val="0956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490AFD"/>
    <w:multiLevelType w:val="hybridMultilevel"/>
    <w:tmpl w:val="CDB652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D2458"/>
    <w:multiLevelType w:val="hybridMultilevel"/>
    <w:tmpl w:val="5BC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A94EA6"/>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8B0CE3"/>
    <w:multiLevelType w:val="hybridMultilevel"/>
    <w:tmpl w:val="0116025E"/>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2">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D1518"/>
    <w:multiLevelType w:val="hybridMultilevel"/>
    <w:tmpl w:val="F88CD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25">
    <w:nsid w:val="6E71215C"/>
    <w:multiLevelType w:val="multilevel"/>
    <w:tmpl w:val="2734736E"/>
    <w:lvl w:ilvl="0">
      <w:start w:val="1"/>
      <w:numFmt w:val="decimal"/>
      <w:lvlText w:val="%1."/>
      <w:lvlJc w:val="left"/>
      <w:pPr>
        <w:ind w:left="360" w:firstLine="0"/>
      </w:pPr>
      <w:rPr>
        <w:b/>
        <w:color w:val="283214"/>
      </w:rPr>
    </w:lvl>
    <w:lvl w:ilvl="1">
      <w:start w:val="1"/>
      <w:numFmt w:val="decimal"/>
      <w:lvlText w:val="%1.%2."/>
      <w:lvlJc w:val="left"/>
      <w:pPr>
        <w:ind w:left="0" w:firstLine="0"/>
      </w:pPr>
      <w:rPr>
        <w:rFonts w:ascii="Garamond" w:eastAsia="Cambria" w:hAnsi="Garamond" w:cs="Times New Roman" w:hint="default"/>
        <w:b w:val="0"/>
        <w:i w:val="0"/>
        <w:sz w:val="24"/>
        <w:szCs w:val="24"/>
      </w:rPr>
    </w:lvl>
    <w:lvl w:ilvl="2">
      <w:start w:val="1"/>
      <w:numFmt w:val="decimal"/>
      <w:lvlText w:val="%1.%2.%3."/>
      <w:lvlJc w:val="left"/>
      <w:pPr>
        <w:ind w:left="504" w:firstLine="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6">
    <w:nsid w:val="6F7F1DD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812B68"/>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B6296"/>
    <w:multiLevelType w:val="hybridMultilevel"/>
    <w:tmpl w:val="9348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F3208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17"/>
  </w:num>
  <w:num w:numId="2">
    <w:abstractNumId w:val="27"/>
  </w:num>
  <w:num w:numId="3">
    <w:abstractNumId w:val="22"/>
  </w:num>
  <w:num w:numId="4">
    <w:abstractNumId w:val="7"/>
  </w:num>
  <w:num w:numId="5">
    <w:abstractNumId w:val="31"/>
  </w:num>
  <w:num w:numId="6">
    <w:abstractNumId w:val="5"/>
  </w:num>
  <w:num w:numId="7">
    <w:abstractNumId w:val="8"/>
  </w:num>
  <w:num w:numId="8">
    <w:abstractNumId w:val="10"/>
  </w:num>
  <w:num w:numId="9">
    <w:abstractNumId w:val="18"/>
  </w:num>
  <w:num w:numId="10">
    <w:abstractNumId w:val="0"/>
  </w:num>
  <w:num w:numId="11">
    <w:abstractNumId w:val="4"/>
  </w:num>
  <w:num w:numId="12">
    <w:abstractNumId w:val="3"/>
  </w:num>
  <w:num w:numId="13">
    <w:abstractNumId w:val="24"/>
  </w:num>
  <w:num w:numId="14">
    <w:abstractNumId w:val="16"/>
  </w:num>
  <w:num w:numId="15">
    <w:abstractNumId w:val="19"/>
  </w:num>
  <w:num w:numId="16">
    <w:abstractNumId w:val="23"/>
  </w:num>
  <w:num w:numId="17">
    <w:abstractNumId w:val="20"/>
  </w:num>
  <w:num w:numId="18">
    <w:abstractNumId w:val="9"/>
  </w:num>
  <w:num w:numId="19">
    <w:abstractNumId w:val="12"/>
  </w:num>
  <w:num w:numId="20">
    <w:abstractNumId w:val="28"/>
  </w:num>
  <w:num w:numId="21">
    <w:abstractNumId w:val="14"/>
  </w:num>
  <w:num w:numId="22">
    <w:abstractNumId w:val="29"/>
  </w:num>
  <w:num w:numId="23">
    <w:abstractNumId w:val="15"/>
  </w:num>
  <w:num w:numId="24">
    <w:abstractNumId w:val="30"/>
  </w:num>
  <w:num w:numId="25">
    <w:abstractNumId w:val="11"/>
  </w:num>
  <w:num w:numId="26">
    <w:abstractNumId w:val="26"/>
  </w:num>
  <w:num w:numId="27">
    <w:abstractNumId w:val="6"/>
  </w:num>
  <w:num w:numId="28">
    <w:abstractNumId w:val="1"/>
  </w:num>
  <w:num w:numId="29">
    <w:abstractNumId w:val="13"/>
  </w:num>
  <w:num w:numId="30">
    <w:abstractNumId w:val="25"/>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13A01"/>
    <w:rsid w:val="0003625D"/>
    <w:rsid w:val="00050DB7"/>
    <w:rsid w:val="00090DEF"/>
    <w:rsid w:val="000B0DD6"/>
    <w:rsid w:val="000C69C1"/>
    <w:rsid w:val="000F7F35"/>
    <w:rsid w:val="00110766"/>
    <w:rsid w:val="00112407"/>
    <w:rsid w:val="00125AF5"/>
    <w:rsid w:val="0012648B"/>
    <w:rsid w:val="00130306"/>
    <w:rsid w:val="00160183"/>
    <w:rsid w:val="001720CD"/>
    <w:rsid w:val="00177824"/>
    <w:rsid w:val="001961E8"/>
    <w:rsid w:val="001A2361"/>
    <w:rsid w:val="001B1D3E"/>
    <w:rsid w:val="001D1729"/>
    <w:rsid w:val="00200742"/>
    <w:rsid w:val="00201776"/>
    <w:rsid w:val="002135D8"/>
    <w:rsid w:val="002322F9"/>
    <w:rsid w:val="00245553"/>
    <w:rsid w:val="00250D94"/>
    <w:rsid w:val="00280CFD"/>
    <w:rsid w:val="002C4D20"/>
    <w:rsid w:val="002D3E7C"/>
    <w:rsid w:val="002F70EB"/>
    <w:rsid w:val="00301C6A"/>
    <w:rsid w:val="0035797F"/>
    <w:rsid w:val="0037442E"/>
    <w:rsid w:val="00384E16"/>
    <w:rsid w:val="00397E98"/>
    <w:rsid w:val="003A21E5"/>
    <w:rsid w:val="003B2AA2"/>
    <w:rsid w:val="003B2FD2"/>
    <w:rsid w:val="003D15FC"/>
    <w:rsid w:val="003D2B66"/>
    <w:rsid w:val="003F537A"/>
    <w:rsid w:val="004018C7"/>
    <w:rsid w:val="00406C29"/>
    <w:rsid w:val="004333ED"/>
    <w:rsid w:val="00451CE6"/>
    <w:rsid w:val="0045332B"/>
    <w:rsid w:val="00475EA5"/>
    <w:rsid w:val="00477023"/>
    <w:rsid w:val="004877E5"/>
    <w:rsid w:val="004925AA"/>
    <w:rsid w:val="004A0A89"/>
    <w:rsid w:val="004C5B13"/>
    <w:rsid w:val="004C6C55"/>
    <w:rsid w:val="004D20E5"/>
    <w:rsid w:val="004E1212"/>
    <w:rsid w:val="004E6A68"/>
    <w:rsid w:val="004F560A"/>
    <w:rsid w:val="00512441"/>
    <w:rsid w:val="00530099"/>
    <w:rsid w:val="005364CA"/>
    <w:rsid w:val="0053744E"/>
    <w:rsid w:val="00550730"/>
    <w:rsid w:val="00551F25"/>
    <w:rsid w:val="00554852"/>
    <w:rsid w:val="0055674D"/>
    <w:rsid w:val="00576EC5"/>
    <w:rsid w:val="00586AF5"/>
    <w:rsid w:val="0059339E"/>
    <w:rsid w:val="005B3403"/>
    <w:rsid w:val="005D07CE"/>
    <w:rsid w:val="005F5E77"/>
    <w:rsid w:val="00605DA3"/>
    <w:rsid w:val="00615DB4"/>
    <w:rsid w:val="00653B6D"/>
    <w:rsid w:val="0065637B"/>
    <w:rsid w:val="00671E15"/>
    <w:rsid w:val="00682024"/>
    <w:rsid w:val="006826F4"/>
    <w:rsid w:val="00691339"/>
    <w:rsid w:val="00695903"/>
    <w:rsid w:val="006B43CF"/>
    <w:rsid w:val="006D681F"/>
    <w:rsid w:val="006E776E"/>
    <w:rsid w:val="006F06C7"/>
    <w:rsid w:val="007509C8"/>
    <w:rsid w:val="007518D6"/>
    <w:rsid w:val="007522E5"/>
    <w:rsid w:val="007617CE"/>
    <w:rsid w:val="00762299"/>
    <w:rsid w:val="007A6867"/>
    <w:rsid w:val="007B4C1C"/>
    <w:rsid w:val="007C18BF"/>
    <w:rsid w:val="007C5387"/>
    <w:rsid w:val="00876AA6"/>
    <w:rsid w:val="008846F1"/>
    <w:rsid w:val="008B6B2A"/>
    <w:rsid w:val="008D6416"/>
    <w:rsid w:val="008E0D37"/>
    <w:rsid w:val="008E641D"/>
    <w:rsid w:val="00917022"/>
    <w:rsid w:val="00920C84"/>
    <w:rsid w:val="00926673"/>
    <w:rsid w:val="009402E0"/>
    <w:rsid w:val="00980A15"/>
    <w:rsid w:val="009842F4"/>
    <w:rsid w:val="00986146"/>
    <w:rsid w:val="00992888"/>
    <w:rsid w:val="00994F03"/>
    <w:rsid w:val="009A1D3C"/>
    <w:rsid w:val="009B1322"/>
    <w:rsid w:val="009B2ABB"/>
    <w:rsid w:val="009E4DF6"/>
    <w:rsid w:val="009F669E"/>
    <w:rsid w:val="00A02454"/>
    <w:rsid w:val="00A072C1"/>
    <w:rsid w:val="00A134B2"/>
    <w:rsid w:val="00A21509"/>
    <w:rsid w:val="00A26E55"/>
    <w:rsid w:val="00A27D3E"/>
    <w:rsid w:val="00A32146"/>
    <w:rsid w:val="00A7097C"/>
    <w:rsid w:val="00A712FA"/>
    <w:rsid w:val="00A77A56"/>
    <w:rsid w:val="00A80438"/>
    <w:rsid w:val="00A839BC"/>
    <w:rsid w:val="00A97396"/>
    <w:rsid w:val="00AB38CA"/>
    <w:rsid w:val="00B07E11"/>
    <w:rsid w:val="00B25DA6"/>
    <w:rsid w:val="00B372D9"/>
    <w:rsid w:val="00B42B1C"/>
    <w:rsid w:val="00B64466"/>
    <w:rsid w:val="00B80DAE"/>
    <w:rsid w:val="00B87DCC"/>
    <w:rsid w:val="00B9731F"/>
    <w:rsid w:val="00BE0246"/>
    <w:rsid w:val="00BE423B"/>
    <w:rsid w:val="00BF567D"/>
    <w:rsid w:val="00C27038"/>
    <w:rsid w:val="00C35459"/>
    <w:rsid w:val="00C53BC6"/>
    <w:rsid w:val="00C57059"/>
    <w:rsid w:val="00C64FC7"/>
    <w:rsid w:val="00C723F9"/>
    <w:rsid w:val="00C76904"/>
    <w:rsid w:val="00C90DAF"/>
    <w:rsid w:val="00C9597C"/>
    <w:rsid w:val="00C962F1"/>
    <w:rsid w:val="00C9692E"/>
    <w:rsid w:val="00CA13DB"/>
    <w:rsid w:val="00CA7E0E"/>
    <w:rsid w:val="00CC56F4"/>
    <w:rsid w:val="00CC5B2C"/>
    <w:rsid w:val="00CE0764"/>
    <w:rsid w:val="00CE7473"/>
    <w:rsid w:val="00D53DAE"/>
    <w:rsid w:val="00D54667"/>
    <w:rsid w:val="00D64AD2"/>
    <w:rsid w:val="00D72D6A"/>
    <w:rsid w:val="00D93E39"/>
    <w:rsid w:val="00D96B14"/>
    <w:rsid w:val="00DB59BA"/>
    <w:rsid w:val="00DB689E"/>
    <w:rsid w:val="00E07645"/>
    <w:rsid w:val="00E15721"/>
    <w:rsid w:val="00E3666B"/>
    <w:rsid w:val="00E36DE6"/>
    <w:rsid w:val="00E51B1F"/>
    <w:rsid w:val="00E54E86"/>
    <w:rsid w:val="00E7279F"/>
    <w:rsid w:val="00E9744A"/>
    <w:rsid w:val="00EA5A39"/>
    <w:rsid w:val="00EB6589"/>
    <w:rsid w:val="00EC00BD"/>
    <w:rsid w:val="00ED205C"/>
    <w:rsid w:val="00F31F13"/>
    <w:rsid w:val="00F359B1"/>
    <w:rsid w:val="00F42F9E"/>
    <w:rsid w:val="00F74216"/>
    <w:rsid w:val="00F81E68"/>
    <w:rsid w:val="00F841C3"/>
    <w:rsid w:val="00FB5B4E"/>
    <w:rsid w:val="00FB5F3F"/>
    <w:rsid w:val="00FD564D"/>
    <w:rsid w:val="00FE16B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i.gov.in"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hyperlink" Target="mailto:bulletin@sebi.gov.in" TargetMode="Externa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www.iosco.org/library/pubdocs/pdf/IOSCOPD593.pdf"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webSettings" Target="webSettings.xml"/><Relationship Id="rId9" Type="http://schemas.openxmlformats.org/officeDocument/2006/relationships/hyperlink" Target="mailto:bulletin@sebi.gov.in"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www.sec.gov/news/press-release/2018-2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BULLETIN\Capital%20Market%20Review\March%202018\Capital%20Market%20Review%20March-%202018%20Charts..%20-%20-%20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Feb.%202018\Graphs%20%20Data%20for%20Comm%20Review%20-Feb.%202018.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Feb.%202018\Graphs%20%20Data%20for%20Comm%20Review%20-Feb.%202018.xlsx" TargetMode="External"/><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1" Type="http://schemas.openxmlformats.org/officeDocument/2006/relationships/oleObject" Target="file:///D:\BULLETIN\Capital%20Market%20Review\March%202018\Capital%20Market%20Review%20March-%202018%20Charts..%20-%20-%20Cop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ULLETIN\Capital%20Market%20Review\March%202018\Capital%20Market%20Review%20March-%202018%20Charts..%20-%20-%20Copy.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D:\BULLETIN\Capital%20Market%20Review\March%202018\Capital%20Market%20Review%20March-%202018%20Charts..%20-%20-%20Copy.xlsx" TargetMode="External"/><Relationship Id="rId2" Type="http://schemas.microsoft.com/office/2011/relationships/chartColorStyle" Target="colors3.xml"/><Relationship Id="rId1" Type="http://schemas.microsoft.com/office/2011/relationships/chartStyle" Target="style3.xml"/></Relationships>
</file>

<file path=word/charts/_rels/chart15.xml.rels><?xml version="1.0" encoding="UTF-8" standalone="yes"?>
<Relationships xmlns="http://schemas.openxmlformats.org/package/2006/relationships"><Relationship Id="rId3" Type="http://schemas.openxmlformats.org/officeDocument/2006/relationships/oleObject" Target="file:///D:\BULLETIN\Capital%20Market%20Review\March%202018\Capital%20Market%20Review%20March-%202018%20Charts..%20-%20-%20Copy.xlsx" TargetMode="External"/><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2254\Desktop\Yogesh\Regular%20Work\SEBI%20Bulletin\February%2018\GLOBAL%20REVIEW%20-%20%202016%20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54\Desktop\Yogesh\Regular%20Work\SEBI%20Bulletin\February%2018\GLOBAL%20REVIEW%20-%20%202016%20charts.xlsx" TargetMode="External"/><Relationship Id="rId2" Type="http://schemas.microsoft.com/office/2011/relationships/chartColorStyle" Target="colors5.xml"/><Relationship Id="rId1" Type="http://schemas.microsoft.com/office/2011/relationships/chartStyle" Target="style5.xml"/></Relationships>
</file>

<file path=word/charts/_rels/chart18.xml.rels><?xml version="1.0" encoding="UTF-8" standalone="yes"?>
<Relationships xmlns="http://schemas.openxmlformats.org/package/2006/relationships"><Relationship Id="rId1" Type="http://schemas.openxmlformats.org/officeDocument/2006/relationships/oleObject" Target="file:///D:\d%20drive\bulletin%20work\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d%20drive\bulletin%20work\GLOBAL%20REVIEW%20-%20%202016%20charts.xlsx"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oleObject" Target="file:///D:\BULLETIN\Capital%20Market%20Review\March%202018\Capital%20Market%20Review%20March-%202018%20Charts..%20-%20-%20Cop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20drive\Printer\Feb%202018\MSCI%20WORLD%20INDEX%20dec-%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d%20drive\bulletin%20work\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20drive\Printer\MArch%202018\International%20statistics%20mar%20-%20201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20drive\Printer\MArch%202018\International%20statistics%20mar%20-%20201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20drive\bulletin%20work\GLOBAL%20REVIEW%20-%20%202016%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ULLETIN\Capital%20Market%20Review\March%202018\Capital%20Market%20Review%20March-%202018%20Charts..%20-%20-%20Copy.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March-%202018%20Charts..%20-%20-%20Copy.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March-%202018%20Charts..%20-%20-%20Copy.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4\Documents\MyJabberFiles\2232@sebi.gov.in\Capital%20Market%20Review%20March-%202018%20Charts..%20-%20-%20Cop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4\Documents\MyJabberFiles\2232@sebi.gov.in\Capital%20Market%20Review%20March-%202018%20Charts..%20-%20-%20Copy.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Feb.%202018\Graphs%20%20Data%20for%20Comm%20Review%20-Feb.%202018.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Feb.%202018\Graphs%20%20Data%20for%20Comm%20Review%20-Feb.%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569133677567393E-2"/>
          <c:y val="5.6269716315737871E-2"/>
          <c:w val="0.82553270223752151"/>
          <c:h val="0.72494371841601579"/>
        </c:manualLayout>
      </c:layout>
      <c:lineChart>
        <c:grouping val="stacked"/>
        <c:varyColors val="0"/>
        <c:ser>
          <c:idx val="0"/>
          <c:order val="0"/>
          <c:tx>
            <c:strRef>
              <c:f>'F1'!$B$1</c:f>
              <c:strCache>
                <c:ptCount val="1"/>
                <c:pt idx="0">
                  <c:v>Sensex (LHS)</c:v>
                </c:pt>
              </c:strCache>
            </c:strRef>
          </c:tx>
          <c:spPr>
            <a:ln w="22225">
              <a:solidFill>
                <a:schemeClr val="accent6">
                  <a:lumMod val="75000"/>
                </a:schemeClr>
              </a:solidFill>
            </a:ln>
          </c:spPr>
          <c:marker>
            <c:symbol val="none"/>
          </c:marker>
          <c:cat>
            <c:numRef>
              <c:f>'F1'!$A$519:$A$807</c:f>
              <c:numCache>
                <c:formatCode>[$-409]d\-mmm\-yy;@</c:formatCode>
                <c:ptCount val="289"/>
                <c:pt idx="0">
                  <c:v>42737</c:v>
                </c:pt>
                <c:pt idx="1">
                  <c:v>42738</c:v>
                </c:pt>
                <c:pt idx="2">
                  <c:v>42739</c:v>
                </c:pt>
                <c:pt idx="3">
                  <c:v>42740</c:v>
                </c:pt>
                <c:pt idx="4">
                  <c:v>42741</c:v>
                </c:pt>
                <c:pt idx="5">
                  <c:v>42744</c:v>
                </c:pt>
                <c:pt idx="6">
                  <c:v>42745</c:v>
                </c:pt>
                <c:pt idx="7">
                  <c:v>42746</c:v>
                </c:pt>
                <c:pt idx="8">
                  <c:v>42747</c:v>
                </c:pt>
                <c:pt idx="9">
                  <c:v>42748</c:v>
                </c:pt>
                <c:pt idx="10">
                  <c:v>42751</c:v>
                </c:pt>
                <c:pt idx="11">
                  <c:v>42752</c:v>
                </c:pt>
                <c:pt idx="12">
                  <c:v>42753</c:v>
                </c:pt>
                <c:pt idx="13">
                  <c:v>42754</c:v>
                </c:pt>
                <c:pt idx="14">
                  <c:v>42755</c:v>
                </c:pt>
                <c:pt idx="15">
                  <c:v>42758</c:v>
                </c:pt>
                <c:pt idx="16">
                  <c:v>42759</c:v>
                </c:pt>
                <c:pt idx="17">
                  <c:v>42760</c:v>
                </c:pt>
                <c:pt idx="18">
                  <c:v>42762</c:v>
                </c:pt>
                <c:pt idx="19">
                  <c:v>42765</c:v>
                </c:pt>
                <c:pt idx="20">
                  <c:v>42766</c:v>
                </c:pt>
                <c:pt idx="21">
                  <c:v>42767</c:v>
                </c:pt>
                <c:pt idx="22">
                  <c:v>42768</c:v>
                </c:pt>
                <c:pt idx="23">
                  <c:v>42769</c:v>
                </c:pt>
                <c:pt idx="24">
                  <c:v>42772</c:v>
                </c:pt>
                <c:pt idx="25">
                  <c:v>42773</c:v>
                </c:pt>
                <c:pt idx="26">
                  <c:v>42774</c:v>
                </c:pt>
                <c:pt idx="27">
                  <c:v>42775</c:v>
                </c:pt>
                <c:pt idx="28">
                  <c:v>42776</c:v>
                </c:pt>
                <c:pt idx="29">
                  <c:v>42779</c:v>
                </c:pt>
                <c:pt idx="30">
                  <c:v>42780</c:v>
                </c:pt>
                <c:pt idx="31">
                  <c:v>42781</c:v>
                </c:pt>
                <c:pt idx="32">
                  <c:v>42782</c:v>
                </c:pt>
                <c:pt idx="33">
                  <c:v>42783</c:v>
                </c:pt>
                <c:pt idx="34">
                  <c:v>42786</c:v>
                </c:pt>
                <c:pt idx="35">
                  <c:v>42787</c:v>
                </c:pt>
                <c:pt idx="36">
                  <c:v>42788</c:v>
                </c:pt>
                <c:pt idx="37">
                  <c:v>42789</c:v>
                </c:pt>
                <c:pt idx="38">
                  <c:v>42793</c:v>
                </c:pt>
                <c:pt idx="39">
                  <c:v>42794</c:v>
                </c:pt>
                <c:pt idx="40">
                  <c:v>42795</c:v>
                </c:pt>
                <c:pt idx="41">
                  <c:v>42796</c:v>
                </c:pt>
                <c:pt idx="42">
                  <c:v>42797</c:v>
                </c:pt>
                <c:pt idx="43">
                  <c:v>42800</c:v>
                </c:pt>
                <c:pt idx="44">
                  <c:v>42801</c:v>
                </c:pt>
                <c:pt idx="45">
                  <c:v>42802</c:v>
                </c:pt>
                <c:pt idx="46">
                  <c:v>42803</c:v>
                </c:pt>
                <c:pt idx="47">
                  <c:v>42804</c:v>
                </c:pt>
                <c:pt idx="48">
                  <c:v>42808</c:v>
                </c:pt>
                <c:pt idx="49">
                  <c:v>42809</c:v>
                </c:pt>
                <c:pt idx="50">
                  <c:v>42810</c:v>
                </c:pt>
                <c:pt idx="51">
                  <c:v>42811</c:v>
                </c:pt>
                <c:pt idx="52">
                  <c:v>42814</c:v>
                </c:pt>
                <c:pt idx="53">
                  <c:v>42815</c:v>
                </c:pt>
                <c:pt idx="54">
                  <c:v>42816</c:v>
                </c:pt>
                <c:pt idx="55">
                  <c:v>42817</c:v>
                </c:pt>
                <c:pt idx="56">
                  <c:v>42818</c:v>
                </c:pt>
                <c:pt idx="57">
                  <c:v>42821</c:v>
                </c:pt>
                <c:pt idx="58">
                  <c:v>42822</c:v>
                </c:pt>
                <c:pt idx="59">
                  <c:v>42823</c:v>
                </c:pt>
                <c:pt idx="60">
                  <c:v>42824</c:v>
                </c:pt>
                <c:pt idx="61">
                  <c:v>42825</c:v>
                </c:pt>
                <c:pt idx="62">
                  <c:v>42828</c:v>
                </c:pt>
                <c:pt idx="63">
                  <c:v>42830</c:v>
                </c:pt>
                <c:pt idx="64">
                  <c:v>42831</c:v>
                </c:pt>
                <c:pt idx="65">
                  <c:v>42832</c:v>
                </c:pt>
                <c:pt idx="66">
                  <c:v>42835</c:v>
                </c:pt>
                <c:pt idx="67">
                  <c:v>42836</c:v>
                </c:pt>
                <c:pt idx="68">
                  <c:v>42837</c:v>
                </c:pt>
                <c:pt idx="69">
                  <c:v>42838</c:v>
                </c:pt>
                <c:pt idx="70">
                  <c:v>42842</c:v>
                </c:pt>
                <c:pt idx="71">
                  <c:v>42843</c:v>
                </c:pt>
                <c:pt idx="72">
                  <c:v>42844</c:v>
                </c:pt>
                <c:pt idx="73">
                  <c:v>42845</c:v>
                </c:pt>
                <c:pt idx="74">
                  <c:v>42846</c:v>
                </c:pt>
                <c:pt idx="75">
                  <c:v>42849</c:v>
                </c:pt>
                <c:pt idx="76">
                  <c:v>42850</c:v>
                </c:pt>
                <c:pt idx="77">
                  <c:v>42851</c:v>
                </c:pt>
                <c:pt idx="78">
                  <c:v>42852</c:v>
                </c:pt>
                <c:pt idx="79">
                  <c:v>42853</c:v>
                </c:pt>
                <c:pt idx="80">
                  <c:v>42857</c:v>
                </c:pt>
                <c:pt idx="81">
                  <c:v>42858</c:v>
                </c:pt>
                <c:pt idx="82">
                  <c:v>42859</c:v>
                </c:pt>
                <c:pt idx="83">
                  <c:v>42860</c:v>
                </c:pt>
                <c:pt idx="84">
                  <c:v>42863</c:v>
                </c:pt>
                <c:pt idx="85">
                  <c:v>42864</c:v>
                </c:pt>
                <c:pt idx="86">
                  <c:v>42865</c:v>
                </c:pt>
                <c:pt idx="87">
                  <c:v>42866</c:v>
                </c:pt>
                <c:pt idx="88">
                  <c:v>42867</c:v>
                </c:pt>
                <c:pt idx="89">
                  <c:v>42870</c:v>
                </c:pt>
                <c:pt idx="90">
                  <c:v>42871</c:v>
                </c:pt>
                <c:pt idx="91">
                  <c:v>42872</c:v>
                </c:pt>
                <c:pt idx="92">
                  <c:v>42873</c:v>
                </c:pt>
                <c:pt idx="93">
                  <c:v>42874</c:v>
                </c:pt>
                <c:pt idx="94">
                  <c:v>42877</c:v>
                </c:pt>
                <c:pt idx="95">
                  <c:v>42878</c:v>
                </c:pt>
                <c:pt idx="96">
                  <c:v>42879</c:v>
                </c:pt>
                <c:pt idx="97">
                  <c:v>42880</c:v>
                </c:pt>
                <c:pt idx="98">
                  <c:v>42881</c:v>
                </c:pt>
                <c:pt idx="99">
                  <c:v>42884</c:v>
                </c:pt>
                <c:pt idx="100">
                  <c:v>42885</c:v>
                </c:pt>
                <c:pt idx="101">
                  <c:v>42886</c:v>
                </c:pt>
                <c:pt idx="102">
                  <c:v>42887</c:v>
                </c:pt>
                <c:pt idx="103">
                  <c:v>42888</c:v>
                </c:pt>
                <c:pt idx="104">
                  <c:v>42891</c:v>
                </c:pt>
                <c:pt idx="105">
                  <c:v>42892</c:v>
                </c:pt>
                <c:pt idx="106">
                  <c:v>42893</c:v>
                </c:pt>
                <c:pt idx="107">
                  <c:v>42894</c:v>
                </c:pt>
                <c:pt idx="108">
                  <c:v>42895</c:v>
                </c:pt>
                <c:pt idx="109">
                  <c:v>42898</c:v>
                </c:pt>
                <c:pt idx="110">
                  <c:v>42899</c:v>
                </c:pt>
                <c:pt idx="111">
                  <c:v>42900</c:v>
                </c:pt>
                <c:pt idx="112">
                  <c:v>42901</c:v>
                </c:pt>
                <c:pt idx="113">
                  <c:v>42902</c:v>
                </c:pt>
                <c:pt idx="114">
                  <c:v>42905</c:v>
                </c:pt>
                <c:pt idx="115">
                  <c:v>42906</c:v>
                </c:pt>
                <c:pt idx="116">
                  <c:v>42907</c:v>
                </c:pt>
                <c:pt idx="117">
                  <c:v>42908</c:v>
                </c:pt>
                <c:pt idx="118">
                  <c:v>42909</c:v>
                </c:pt>
                <c:pt idx="119">
                  <c:v>42913</c:v>
                </c:pt>
                <c:pt idx="120">
                  <c:v>42914</c:v>
                </c:pt>
                <c:pt idx="121">
                  <c:v>42915</c:v>
                </c:pt>
                <c:pt idx="122">
                  <c:v>42916</c:v>
                </c:pt>
                <c:pt idx="123">
                  <c:v>42919</c:v>
                </c:pt>
                <c:pt idx="124">
                  <c:v>42920</c:v>
                </c:pt>
                <c:pt idx="125">
                  <c:v>42921</c:v>
                </c:pt>
                <c:pt idx="126">
                  <c:v>42922</c:v>
                </c:pt>
                <c:pt idx="127">
                  <c:v>42923</c:v>
                </c:pt>
                <c:pt idx="128">
                  <c:v>42926</c:v>
                </c:pt>
                <c:pt idx="129">
                  <c:v>42927</c:v>
                </c:pt>
                <c:pt idx="130">
                  <c:v>42928</c:v>
                </c:pt>
                <c:pt idx="131">
                  <c:v>42929</c:v>
                </c:pt>
                <c:pt idx="132">
                  <c:v>42930</c:v>
                </c:pt>
                <c:pt idx="133">
                  <c:v>42933</c:v>
                </c:pt>
                <c:pt idx="134">
                  <c:v>42934</c:v>
                </c:pt>
                <c:pt idx="135">
                  <c:v>42935</c:v>
                </c:pt>
                <c:pt idx="136">
                  <c:v>42936</c:v>
                </c:pt>
                <c:pt idx="137">
                  <c:v>42937</c:v>
                </c:pt>
                <c:pt idx="138">
                  <c:v>42940</c:v>
                </c:pt>
                <c:pt idx="139">
                  <c:v>42941</c:v>
                </c:pt>
                <c:pt idx="140">
                  <c:v>42942</c:v>
                </c:pt>
                <c:pt idx="141">
                  <c:v>42943</c:v>
                </c:pt>
                <c:pt idx="142">
                  <c:v>42944</c:v>
                </c:pt>
                <c:pt idx="143">
                  <c:v>42947</c:v>
                </c:pt>
                <c:pt idx="144">
                  <c:v>42948</c:v>
                </c:pt>
                <c:pt idx="145">
                  <c:v>42949</c:v>
                </c:pt>
                <c:pt idx="146">
                  <c:v>42950</c:v>
                </c:pt>
                <c:pt idx="147">
                  <c:v>42951</c:v>
                </c:pt>
                <c:pt idx="148">
                  <c:v>42954</c:v>
                </c:pt>
                <c:pt idx="149">
                  <c:v>42955</c:v>
                </c:pt>
                <c:pt idx="150">
                  <c:v>42956</c:v>
                </c:pt>
                <c:pt idx="151">
                  <c:v>42957</c:v>
                </c:pt>
                <c:pt idx="152">
                  <c:v>42958</c:v>
                </c:pt>
                <c:pt idx="153">
                  <c:v>42961</c:v>
                </c:pt>
                <c:pt idx="154">
                  <c:v>42963</c:v>
                </c:pt>
                <c:pt idx="155">
                  <c:v>42964</c:v>
                </c:pt>
                <c:pt idx="156">
                  <c:v>42965</c:v>
                </c:pt>
                <c:pt idx="157">
                  <c:v>42968</c:v>
                </c:pt>
                <c:pt idx="158">
                  <c:v>42969</c:v>
                </c:pt>
                <c:pt idx="159">
                  <c:v>42970</c:v>
                </c:pt>
                <c:pt idx="160">
                  <c:v>42971</c:v>
                </c:pt>
                <c:pt idx="161">
                  <c:v>42975</c:v>
                </c:pt>
                <c:pt idx="162">
                  <c:v>42976</c:v>
                </c:pt>
                <c:pt idx="163">
                  <c:v>42977</c:v>
                </c:pt>
                <c:pt idx="164">
                  <c:v>42978</c:v>
                </c:pt>
                <c:pt idx="165">
                  <c:v>42979</c:v>
                </c:pt>
                <c:pt idx="166">
                  <c:v>42982</c:v>
                </c:pt>
                <c:pt idx="167">
                  <c:v>42983</c:v>
                </c:pt>
                <c:pt idx="168">
                  <c:v>42984</c:v>
                </c:pt>
                <c:pt idx="169">
                  <c:v>42985</c:v>
                </c:pt>
                <c:pt idx="170">
                  <c:v>42986</c:v>
                </c:pt>
                <c:pt idx="171">
                  <c:v>42989</c:v>
                </c:pt>
                <c:pt idx="172">
                  <c:v>42990</c:v>
                </c:pt>
                <c:pt idx="173">
                  <c:v>42991</c:v>
                </c:pt>
                <c:pt idx="174">
                  <c:v>42992</c:v>
                </c:pt>
                <c:pt idx="175">
                  <c:v>42993</c:v>
                </c:pt>
                <c:pt idx="176">
                  <c:v>42996</c:v>
                </c:pt>
                <c:pt idx="177">
                  <c:v>42997</c:v>
                </c:pt>
                <c:pt idx="178">
                  <c:v>42998</c:v>
                </c:pt>
                <c:pt idx="179">
                  <c:v>42999</c:v>
                </c:pt>
                <c:pt idx="180">
                  <c:v>43000</c:v>
                </c:pt>
                <c:pt idx="181">
                  <c:v>43003</c:v>
                </c:pt>
                <c:pt idx="182">
                  <c:v>43004</c:v>
                </c:pt>
                <c:pt idx="183">
                  <c:v>43005</c:v>
                </c:pt>
                <c:pt idx="184">
                  <c:v>43006</c:v>
                </c:pt>
                <c:pt idx="185">
                  <c:v>43007</c:v>
                </c:pt>
                <c:pt idx="186">
                  <c:v>43011</c:v>
                </c:pt>
                <c:pt idx="187">
                  <c:v>43012</c:v>
                </c:pt>
                <c:pt idx="188">
                  <c:v>43013</c:v>
                </c:pt>
                <c:pt idx="189">
                  <c:v>43014</c:v>
                </c:pt>
                <c:pt idx="190">
                  <c:v>43017</c:v>
                </c:pt>
                <c:pt idx="191">
                  <c:v>43018</c:v>
                </c:pt>
                <c:pt idx="192">
                  <c:v>43019</c:v>
                </c:pt>
                <c:pt idx="193">
                  <c:v>43020</c:v>
                </c:pt>
                <c:pt idx="194">
                  <c:v>43021</c:v>
                </c:pt>
                <c:pt idx="195">
                  <c:v>43024</c:v>
                </c:pt>
                <c:pt idx="196">
                  <c:v>43025</c:v>
                </c:pt>
                <c:pt idx="197">
                  <c:v>43026</c:v>
                </c:pt>
                <c:pt idx="198">
                  <c:v>43027</c:v>
                </c:pt>
                <c:pt idx="199">
                  <c:v>43031</c:v>
                </c:pt>
                <c:pt idx="200">
                  <c:v>43032</c:v>
                </c:pt>
                <c:pt idx="201">
                  <c:v>43033</c:v>
                </c:pt>
                <c:pt idx="202">
                  <c:v>43034</c:v>
                </c:pt>
                <c:pt idx="203">
                  <c:v>43035</c:v>
                </c:pt>
                <c:pt idx="204">
                  <c:v>43038</c:v>
                </c:pt>
                <c:pt idx="205">
                  <c:v>43039</c:v>
                </c:pt>
                <c:pt idx="206">
                  <c:v>43040</c:v>
                </c:pt>
                <c:pt idx="207">
                  <c:v>43041</c:v>
                </c:pt>
                <c:pt idx="208">
                  <c:v>43042</c:v>
                </c:pt>
                <c:pt idx="209">
                  <c:v>43045</c:v>
                </c:pt>
                <c:pt idx="210">
                  <c:v>43046</c:v>
                </c:pt>
                <c:pt idx="211">
                  <c:v>43047</c:v>
                </c:pt>
                <c:pt idx="212">
                  <c:v>43048</c:v>
                </c:pt>
                <c:pt idx="213">
                  <c:v>43049</c:v>
                </c:pt>
                <c:pt idx="214">
                  <c:v>43052</c:v>
                </c:pt>
                <c:pt idx="215">
                  <c:v>43053</c:v>
                </c:pt>
                <c:pt idx="216">
                  <c:v>43054</c:v>
                </c:pt>
                <c:pt idx="217">
                  <c:v>43055</c:v>
                </c:pt>
                <c:pt idx="218">
                  <c:v>43056</c:v>
                </c:pt>
                <c:pt idx="219">
                  <c:v>43059</c:v>
                </c:pt>
                <c:pt idx="220">
                  <c:v>43060</c:v>
                </c:pt>
                <c:pt idx="221">
                  <c:v>43061</c:v>
                </c:pt>
                <c:pt idx="222">
                  <c:v>43062</c:v>
                </c:pt>
                <c:pt idx="223">
                  <c:v>43063</c:v>
                </c:pt>
                <c:pt idx="224">
                  <c:v>43066</c:v>
                </c:pt>
                <c:pt idx="225">
                  <c:v>43067</c:v>
                </c:pt>
                <c:pt idx="226">
                  <c:v>43068</c:v>
                </c:pt>
                <c:pt idx="227">
                  <c:v>43069</c:v>
                </c:pt>
                <c:pt idx="228">
                  <c:v>43070</c:v>
                </c:pt>
                <c:pt idx="229">
                  <c:v>43073</c:v>
                </c:pt>
                <c:pt idx="230">
                  <c:v>43074</c:v>
                </c:pt>
                <c:pt idx="231">
                  <c:v>43075</c:v>
                </c:pt>
                <c:pt idx="232">
                  <c:v>43076</c:v>
                </c:pt>
                <c:pt idx="233">
                  <c:v>43077</c:v>
                </c:pt>
                <c:pt idx="234">
                  <c:v>43080</c:v>
                </c:pt>
                <c:pt idx="235">
                  <c:v>43081</c:v>
                </c:pt>
                <c:pt idx="236">
                  <c:v>43082</c:v>
                </c:pt>
                <c:pt idx="237">
                  <c:v>43083</c:v>
                </c:pt>
                <c:pt idx="238">
                  <c:v>43084</c:v>
                </c:pt>
                <c:pt idx="239">
                  <c:v>43087</c:v>
                </c:pt>
                <c:pt idx="240">
                  <c:v>43088</c:v>
                </c:pt>
                <c:pt idx="241">
                  <c:v>43089</c:v>
                </c:pt>
                <c:pt idx="242">
                  <c:v>43090</c:v>
                </c:pt>
                <c:pt idx="243">
                  <c:v>43091</c:v>
                </c:pt>
                <c:pt idx="244">
                  <c:v>43095</c:v>
                </c:pt>
                <c:pt idx="245">
                  <c:v>43096</c:v>
                </c:pt>
                <c:pt idx="246">
                  <c:v>43097</c:v>
                </c:pt>
                <c:pt idx="247">
                  <c:v>43098</c:v>
                </c:pt>
                <c:pt idx="248">
                  <c:v>43101</c:v>
                </c:pt>
                <c:pt idx="249">
                  <c:v>43102</c:v>
                </c:pt>
                <c:pt idx="250">
                  <c:v>43103</c:v>
                </c:pt>
                <c:pt idx="251">
                  <c:v>43104</c:v>
                </c:pt>
                <c:pt idx="252">
                  <c:v>43105</c:v>
                </c:pt>
                <c:pt idx="253">
                  <c:v>43108</c:v>
                </c:pt>
                <c:pt idx="254">
                  <c:v>43109</c:v>
                </c:pt>
                <c:pt idx="255">
                  <c:v>43110</c:v>
                </c:pt>
                <c:pt idx="256">
                  <c:v>43111</c:v>
                </c:pt>
                <c:pt idx="257">
                  <c:v>43112</c:v>
                </c:pt>
                <c:pt idx="258">
                  <c:v>43115</c:v>
                </c:pt>
                <c:pt idx="259">
                  <c:v>43116</c:v>
                </c:pt>
                <c:pt idx="260">
                  <c:v>43117</c:v>
                </c:pt>
                <c:pt idx="261">
                  <c:v>43118</c:v>
                </c:pt>
                <c:pt idx="262">
                  <c:v>43119</c:v>
                </c:pt>
                <c:pt idx="263">
                  <c:v>43122</c:v>
                </c:pt>
                <c:pt idx="264">
                  <c:v>43123</c:v>
                </c:pt>
                <c:pt idx="265">
                  <c:v>43124</c:v>
                </c:pt>
                <c:pt idx="266">
                  <c:v>43125</c:v>
                </c:pt>
                <c:pt idx="267">
                  <c:v>43129</c:v>
                </c:pt>
                <c:pt idx="268">
                  <c:v>43130</c:v>
                </c:pt>
                <c:pt idx="269">
                  <c:v>43131</c:v>
                </c:pt>
                <c:pt idx="270">
                  <c:v>43132</c:v>
                </c:pt>
                <c:pt idx="271">
                  <c:v>43133</c:v>
                </c:pt>
                <c:pt idx="272">
                  <c:v>43136</c:v>
                </c:pt>
                <c:pt idx="273">
                  <c:v>43137</c:v>
                </c:pt>
                <c:pt idx="274">
                  <c:v>43138</c:v>
                </c:pt>
                <c:pt idx="275">
                  <c:v>43139</c:v>
                </c:pt>
                <c:pt idx="276">
                  <c:v>43140</c:v>
                </c:pt>
                <c:pt idx="277">
                  <c:v>43143</c:v>
                </c:pt>
                <c:pt idx="278">
                  <c:v>43145</c:v>
                </c:pt>
                <c:pt idx="279">
                  <c:v>43146</c:v>
                </c:pt>
                <c:pt idx="280">
                  <c:v>43147</c:v>
                </c:pt>
                <c:pt idx="281">
                  <c:v>43150</c:v>
                </c:pt>
                <c:pt idx="282">
                  <c:v>43151</c:v>
                </c:pt>
                <c:pt idx="283">
                  <c:v>43152</c:v>
                </c:pt>
                <c:pt idx="284">
                  <c:v>43153</c:v>
                </c:pt>
                <c:pt idx="285">
                  <c:v>43154</c:v>
                </c:pt>
                <c:pt idx="286">
                  <c:v>43157</c:v>
                </c:pt>
                <c:pt idx="287">
                  <c:v>43158</c:v>
                </c:pt>
                <c:pt idx="288">
                  <c:v>43159</c:v>
                </c:pt>
              </c:numCache>
            </c:numRef>
          </c:cat>
          <c:val>
            <c:numRef>
              <c:f>'F1'!$B$519:$B$807</c:f>
              <c:numCache>
                <c:formatCode>0</c:formatCode>
                <c:ptCount val="289"/>
                <c:pt idx="0">
                  <c:v>26595.45</c:v>
                </c:pt>
                <c:pt idx="1">
                  <c:v>26643.24</c:v>
                </c:pt>
                <c:pt idx="2">
                  <c:v>26633.13</c:v>
                </c:pt>
                <c:pt idx="3">
                  <c:v>26878.240000000002</c:v>
                </c:pt>
                <c:pt idx="4">
                  <c:v>26759.23</c:v>
                </c:pt>
                <c:pt idx="5">
                  <c:v>26726.55</c:v>
                </c:pt>
                <c:pt idx="6">
                  <c:v>26899.56</c:v>
                </c:pt>
                <c:pt idx="7">
                  <c:v>27140.41</c:v>
                </c:pt>
                <c:pt idx="8">
                  <c:v>27247.16</c:v>
                </c:pt>
                <c:pt idx="9">
                  <c:v>27238.06</c:v>
                </c:pt>
                <c:pt idx="10">
                  <c:v>27288.17</c:v>
                </c:pt>
                <c:pt idx="11">
                  <c:v>27235.66</c:v>
                </c:pt>
                <c:pt idx="12">
                  <c:v>27257.64</c:v>
                </c:pt>
                <c:pt idx="13">
                  <c:v>27308.6</c:v>
                </c:pt>
                <c:pt idx="14">
                  <c:v>27034.5</c:v>
                </c:pt>
                <c:pt idx="15">
                  <c:v>27117.34</c:v>
                </c:pt>
                <c:pt idx="16">
                  <c:v>27375.58</c:v>
                </c:pt>
                <c:pt idx="17">
                  <c:v>27708.14</c:v>
                </c:pt>
                <c:pt idx="18">
                  <c:v>27882.46</c:v>
                </c:pt>
                <c:pt idx="19">
                  <c:v>27849.56</c:v>
                </c:pt>
                <c:pt idx="20">
                  <c:v>27655.96</c:v>
                </c:pt>
                <c:pt idx="21">
                  <c:v>28141.64</c:v>
                </c:pt>
                <c:pt idx="22">
                  <c:v>28226.61</c:v>
                </c:pt>
                <c:pt idx="23">
                  <c:v>28240.52</c:v>
                </c:pt>
                <c:pt idx="24">
                  <c:v>28439.279999999999</c:v>
                </c:pt>
                <c:pt idx="25">
                  <c:v>28335.16</c:v>
                </c:pt>
                <c:pt idx="26">
                  <c:v>28289.919999999998</c:v>
                </c:pt>
                <c:pt idx="27">
                  <c:v>28329.7</c:v>
                </c:pt>
                <c:pt idx="28">
                  <c:v>28334.25</c:v>
                </c:pt>
                <c:pt idx="29">
                  <c:v>28351.62</c:v>
                </c:pt>
                <c:pt idx="30">
                  <c:v>28339.31</c:v>
                </c:pt>
                <c:pt idx="31">
                  <c:v>28155.56</c:v>
                </c:pt>
                <c:pt idx="32">
                  <c:v>28301.27</c:v>
                </c:pt>
                <c:pt idx="33">
                  <c:v>28468.75</c:v>
                </c:pt>
                <c:pt idx="34">
                  <c:v>28661.58</c:v>
                </c:pt>
                <c:pt idx="35">
                  <c:v>28761.59</c:v>
                </c:pt>
                <c:pt idx="36">
                  <c:v>28864.71</c:v>
                </c:pt>
                <c:pt idx="37">
                  <c:v>28892.97</c:v>
                </c:pt>
                <c:pt idx="38">
                  <c:v>28812.880000000001</c:v>
                </c:pt>
                <c:pt idx="39">
                  <c:v>28743.32</c:v>
                </c:pt>
                <c:pt idx="40">
                  <c:v>28984.49</c:v>
                </c:pt>
                <c:pt idx="41">
                  <c:v>28839.79</c:v>
                </c:pt>
                <c:pt idx="42">
                  <c:v>28832.45</c:v>
                </c:pt>
                <c:pt idx="43">
                  <c:v>29048.19</c:v>
                </c:pt>
                <c:pt idx="44">
                  <c:v>28999.56</c:v>
                </c:pt>
                <c:pt idx="45">
                  <c:v>28901.94</c:v>
                </c:pt>
                <c:pt idx="46">
                  <c:v>28929.13</c:v>
                </c:pt>
                <c:pt idx="47">
                  <c:v>28946.23</c:v>
                </c:pt>
                <c:pt idx="48">
                  <c:v>29442.63</c:v>
                </c:pt>
                <c:pt idx="49">
                  <c:v>29398.11</c:v>
                </c:pt>
                <c:pt idx="50">
                  <c:v>29585.85</c:v>
                </c:pt>
                <c:pt idx="51">
                  <c:v>29648.99</c:v>
                </c:pt>
                <c:pt idx="52">
                  <c:v>29518.74</c:v>
                </c:pt>
                <c:pt idx="53">
                  <c:v>29485.45</c:v>
                </c:pt>
                <c:pt idx="54">
                  <c:v>29167.68</c:v>
                </c:pt>
                <c:pt idx="55">
                  <c:v>29332.16</c:v>
                </c:pt>
                <c:pt idx="56">
                  <c:v>29421.4</c:v>
                </c:pt>
                <c:pt idx="57">
                  <c:v>29237.15</c:v>
                </c:pt>
                <c:pt idx="58">
                  <c:v>29409.52</c:v>
                </c:pt>
                <c:pt idx="59">
                  <c:v>29531.43</c:v>
                </c:pt>
                <c:pt idx="60">
                  <c:v>29647.42</c:v>
                </c:pt>
                <c:pt idx="61">
                  <c:v>29620.5</c:v>
                </c:pt>
                <c:pt idx="62">
                  <c:v>29910.22</c:v>
                </c:pt>
                <c:pt idx="63">
                  <c:v>29974.240000000002</c:v>
                </c:pt>
                <c:pt idx="64">
                  <c:v>29927.34</c:v>
                </c:pt>
                <c:pt idx="65">
                  <c:v>29706.61</c:v>
                </c:pt>
                <c:pt idx="66">
                  <c:v>29575.74</c:v>
                </c:pt>
                <c:pt idx="67">
                  <c:v>29788.35</c:v>
                </c:pt>
                <c:pt idx="68">
                  <c:v>29643.48</c:v>
                </c:pt>
                <c:pt idx="69">
                  <c:v>29461.45</c:v>
                </c:pt>
                <c:pt idx="70">
                  <c:v>29413.66</c:v>
                </c:pt>
                <c:pt idx="71">
                  <c:v>29319.1</c:v>
                </c:pt>
                <c:pt idx="72">
                  <c:v>29336.57</c:v>
                </c:pt>
                <c:pt idx="73">
                  <c:v>29422.39</c:v>
                </c:pt>
                <c:pt idx="74">
                  <c:v>29365.3</c:v>
                </c:pt>
                <c:pt idx="75">
                  <c:v>29655.84</c:v>
                </c:pt>
                <c:pt idx="76">
                  <c:v>29943.24</c:v>
                </c:pt>
                <c:pt idx="77">
                  <c:v>30133.35</c:v>
                </c:pt>
                <c:pt idx="78">
                  <c:v>30029.74</c:v>
                </c:pt>
                <c:pt idx="79">
                  <c:v>29918.400000000001</c:v>
                </c:pt>
                <c:pt idx="80">
                  <c:v>29921.18</c:v>
                </c:pt>
                <c:pt idx="81">
                  <c:v>29894.799999999999</c:v>
                </c:pt>
                <c:pt idx="82">
                  <c:v>30126.21</c:v>
                </c:pt>
                <c:pt idx="83">
                  <c:v>29858.799999999999</c:v>
                </c:pt>
                <c:pt idx="84">
                  <c:v>29926.15</c:v>
                </c:pt>
                <c:pt idx="85">
                  <c:v>29933.25</c:v>
                </c:pt>
                <c:pt idx="86">
                  <c:v>30248.17</c:v>
                </c:pt>
                <c:pt idx="87">
                  <c:v>30250.98</c:v>
                </c:pt>
                <c:pt idx="88">
                  <c:v>30188.15</c:v>
                </c:pt>
                <c:pt idx="89">
                  <c:v>30322.12</c:v>
                </c:pt>
                <c:pt idx="90">
                  <c:v>30582.6</c:v>
                </c:pt>
                <c:pt idx="91">
                  <c:v>30658.77</c:v>
                </c:pt>
                <c:pt idx="92">
                  <c:v>30434.79</c:v>
                </c:pt>
                <c:pt idx="93">
                  <c:v>30464.92</c:v>
                </c:pt>
                <c:pt idx="94">
                  <c:v>30570.97</c:v>
                </c:pt>
                <c:pt idx="95">
                  <c:v>30365.25</c:v>
                </c:pt>
                <c:pt idx="96">
                  <c:v>30301.64</c:v>
                </c:pt>
                <c:pt idx="97">
                  <c:v>30750.03</c:v>
                </c:pt>
                <c:pt idx="98">
                  <c:v>31028.21</c:v>
                </c:pt>
                <c:pt idx="99">
                  <c:v>31109.279999999999</c:v>
                </c:pt>
                <c:pt idx="100">
                  <c:v>31159.4</c:v>
                </c:pt>
                <c:pt idx="101">
                  <c:v>31145.8</c:v>
                </c:pt>
                <c:pt idx="102">
                  <c:v>31137.59</c:v>
                </c:pt>
                <c:pt idx="103">
                  <c:v>31273.29</c:v>
                </c:pt>
                <c:pt idx="104">
                  <c:v>31309.49</c:v>
                </c:pt>
                <c:pt idx="105">
                  <c:v>31190.560000000001</c:v>
                </c:pt>
                <c:pt idx="106">
                  <c:v>31271.279999999999</c:v>
                </c:pt>
                <c:pt idx="107">
                  <c:v>31213.360000000001</c:v>
                </c:pt>
                <c:pt idx="108">
                  <c:v>31262.06</c:v>
                </c:pt>
                <c:pt idx="109">
                  <c:v>31095.7</c:v>
                </c:pt>
                <c:pt idx="110">
                  <c:v>31103.49</c:v>
                </c:pt>
                <c:pt idx="111">
                  <c:v>31155.91</c:v>
                </c:pt>
                <c:pt idx="112">
                  <c:v>31075.73</c:v>
                </c:pt>
                <c:pt idx="113">
                  <c:v>31056.400000000001</c:v>
                </c:pt>
                <c:pt idx="114">
                  <c:v>31311.57</c:v>
                </c:pt>
                <c:pt idx="115">
                  <c:v>31297.53</c:v>
                </c:pt>
                <c:pt idx="116">
                  <c:v>31283.64</c:v>
                </c:pt>
                <c:pt idx="117">
                  <c:v>31290.74</c:v>
                </c:pt>
                <c:pt idx="118">
                  <c:v>31138.21</c:v>
                </c:pt>
                <c:pt idx="119">
                  <c:v>30958.25</c:v>
                </c:pt>
                <c:pt idx="120">
                  <c:v>30834.32</c:v>
                </c:pt>
                <c:pt idx="121">
                  <c:v>30857.52</c:v>
                </c:pt>
                <c:pt idx="122">
                  <c:v>30921.61</c:v>
                </c:pt>
                <c:pt idx="123">
                  <c:v>31221.62</c:v>
                </c:pt>
                <c:pt idx="124">
                  <c:v>31209.79</c:v>
                </c:pt>
                <c:pt idx="125">
                  <c:v>31245.56</c:v>
                </c:pt>
                <c:pt idx="126">
                  <c:v>31369.34</c:v>
                </c:pt>
                <c:pt idx="127">
                  <c:v>31360.63</c:v>
                </c:pt>
                <c:pt idx="128">
                  <c:v>31715.64</c:v>
                </c:pt>
                <c:pt idx="129">
                  <c:v>31747.09</c:v>
                </c:pt>
                <c:pt idx="130">
                  <c:v>31804.82</c:v>
                </c:pt>
                <c:pt idx="131">
                  <c:v>32037.38</c:v>
                </c:pt>
                <c:pt idx="132">
                  <c:v>32020.75</c:v>
                </c:pt>
                <c:pt idx="133">
                  <c:v>32074.78</c:v>
                </c:pt>
                <c:pt idx="134">
                  <c:v>31710.99</c:v>
                </c:pt>
                <c:pt idx="135">
                  <c:v>31955.35</c:v>
                </c:pt>
                <c:pt idx="136">
                  <c:v>31904.400000000001</c:v>
                </c:pt>
                <c:pt idx="137">
                  <c:v>32028.89</c:v>
                </c:pt>
                <c:pt idx="138">
                  <c:v>32245.87</c:v>
                </c:pt>
                <c:pt idx="139">
                  <c:v>32228.27</c:v>
                </c:pt>
                <c:pt idx="140">
                  <c:v>32382.46</c:v>
                </c:pt>
                <c:pt idx="141">
                  <c:v>32383.3</c:v>
                </c:pt>
                <c:pt idx="142">
                  <c:v>32309.88</c:v>
                </c:pt>
                <c:pt idx="143">
                  <c:v>32514.94</c:v>
                </c:pt>
                <c:pt idx="144">
                  <c:v>32575.17</c:v>
                </c:pt>
                <c:pt idx="145">
                  <c:v>32476.74</c:v>
                </c:pt>
                <c:pt idx="146">
                  <c:v>32237.88</c:v>
                </c:pt>
                <c:pt idx="147">
                  <c:v>32325.41</c:v>
                </c:pt>
                <c:pt idx="148">
                  <c:v>32273.67</c:v>
                </c:pt>
                <c:pt idx="149">
                  <c:v>32014.19</c:v>
                </c:pt>
                <c:pt idx="150">
                  <c:v>31797.84</c:v>
                </c:pt>
                <c:pt idx="151">
                  <c:v>31531.33</c:v>
                </c:pt>
                <c:pt idx="152">
                  <c:v>31213.59</c:v>
                </c:pt>
                <c:pt idx="153">
                  <c:v>31449.03</c:v>
                </c:pt>
                <c:pt idx="154">
                  <c:v>31770.89</c:v>
                </c:pt>
                <c:pt idx="155">
                  <c:v>31795.46</c:v>
                </c:pt>
                <c:pt idx="156">
                  <c:v>31524.68</c:v>
                </c:pt>
                <c:pt idx="157">
                  <c:v>31258.85</c:v>
                </c:pt>
                <c:pt idx="158">
                  <c:v>31291.85</c:v>
                </c:pt>
                <c:pt idx="159">
                  <c:v>31568.01</c:v>
                </c:pt>
                <c:pt idx="160">
                  <c:v>31596.06</c:v>
                </c:pt>
                <c:pt idx="161">
                  <c:v>31750.82</c:v>
                </c:pt>
                <c:pt idx="162">
                  <c:v>31388.39</c:v>
                </c:pt>
                <c:pt idx="163">
                  <c:v>31646.46</c:v>
                </c:pt>
                <c:pt idx="164">
                  <c:v>31730.49</c:v>
                </c:pt>
                <c:pt idx="165">
                  <c:v>31892.23</c:v>
                </c:pt>
                <c:pt idx="166">
                  <c:v>31702.25</c:v>
                </c:pt>
                <c:pt idx="167">
                  <c:v>31809.55</c:v>
                </c:pt>
                <c:pt idx="168">
                  <c:v>31661.97</c:v>
                </c:pt>
                <c:pt idx="169">
                  <c:v>31662.74</c:v>
                </c:pt>
                <c:pt idx="170">
                  <c:v>31687.52</c:v>
                </c:pt>
                <c:pt idx="171">
                  <c:v>31882.16</c:v>
                </c:pt>
                <c:pt idx="172">
                  <c:v>32158.66</c:v>
                </c:pt>
                <c:pt idx="173">
                  <c:v>32186.41</c:v>
                </c:pt>
                <c:pt idx="174">
                  <c:v>32241.93</c:v>
                </c:pt>
                <c:pt idx="175">
                  <c:v>32272.61</c:v>
                </c:pt>
                <c:pt idx="176">
                  <c:v>32423.759999999998</c:v>
                </c:pt>
                <c:pt idx="177">
                  <c:v>32402.37</c:v>
                </c:pt>
                <c:pt idx="178">
                  <c:v>32400.51</c:v>
                </c:pt>
                <c:pt idx="179">
                  <c:v>32370.04</c:v>
                </c:pt>
                <c:pt idx="180">
                  <c:v>31922.44</c:v>
                </c:pt>
                <c:pt idx="181">
                  <c:v>31626.63</c:v>
                </c:pt>
                <c:pt idx="182">
                  <c:v>31599.759999999998</c:v>
                </c:pt>
                <c:pt idx="183">
                  <c:v>31159.81</c:v>
                </c:pt>
                <c:pt idx="184">
                  <c:v>31282.48</c:v>
                </c:pt>
                <c:pt idx="185">
                  <c:v>31283.72</c:v>
                </c:pt>
                <c:pt idx="186">
                  <c:v>31497.38</c:v>
                </c:pt>
                <c:pt idx="187">
                  <c:v>31671.71</c:v>
                </c:pt>
                <c:pt idx="188">
                  <c:v>31592.03</c:v>
                </c:pt>
                <c:pt idx="189">
                  <c:v>31814.22</c:v>
                </c:pt>
                <c:pt idx="190">
                  <c:v>31846.89</c:v>
                </c:pt>
                <c:pt idx="191">
                  <c:v>31924.41</c:v>
                </c:pt>
                <c:pt idx="192">
                  <c:v>31833.99</c:v>
                </c:pt>
                <c:pt idx="193">
                  <c:v>32182.22</c:v>
                </c:pt>
                <c:pt idx="194">
                  <c:v>32432.69</c:v>
                </c:pt>
                <c:pt idx="195">
                  <c:v>32633.64</c:v>
                </c:pt>
                <c:pt idx="196">
                  <c:v>32609.16</c:v>
                </c:pt>
                <c:pt idx="197">
                  <c:v>32584.35</c:v>
                </c:pt>
                <c:pt idx="198">
                  <c:v>32389.96</c:v>
                </c:pt>
                <c:pt idx="199">
                  <c:v>32506.720000000001</c:v>
                </c:pt>
                <c:pt idx="200">
                  <c:v>32607.34</c:v>
                </c:pt>
                <c:pt idx="201">
                  <c:v>33042.5</c:v>
                </c:pt>
                <c:pt idx="202">
                  <c:v>33147.129999999997</c:v>
                </c:pt>
                <c:pt idx="203">
                  <c:v>33157.22</c:v>
                </c:pt>
                <c:pt idx="204">
                  <c:v>33266.160000000003</c:v>
                </c:pt>
                <c:pt idx="205">
                  <c:v>33213.129999999997</c:v>
                </c:pt>
                <c:pt idx="206">
                  <c:v>33600.269999999997</c:v>
                </c:pt>
                <c:pt idx="207">
                  <c:v>33573.22</c:v>
                </c:pt>
                <c:pt idx="208">
                  <c:v>33685.56</c:v>
                </c:pt>
                <c:pt idx="209">
                  <c:v>33731.19</c:v>
                </c:pt>
                <c:pt idx="210">
                  <c:v>33370.76</c:v>
                </c:pt>
                <c:pt idx="211">
                  <c:v>33218.81</c:v>
                </c:pt>
                <c:pt idx="212">
                  <c:v>33250.93</c:v>
                </c:pt>
                <c:pt idx="213">
                  <c:v>33314.559999999998</c:v>
                </c:pt>
                <c:pt idx="214">
                  <c:v>33033.56</c:v>
                </c:pt>
                <c:pt idx="215">
                  <c:v>32941.870000000003</c:v>
                </c:pt>
                <c:pt idx="216">
                  <c:v>32760.44</c:v>
                </c:pt>
                <c:pt idx="217">
                  <c:v>33106.82</c:v>
                </c:pt>
                <c:pt idx="218">
                  <c:v>33342.800000000003</c:v>
                </c:pt>
                <c:pt idx="219">
                  <c:v>33359.9</c:v>
                </c:pt>
                <c:pt idx="220">
                  <c:v>33478.35</c:v>
                </c:pt>
                <c:pt idx="221">
                  <c:v>33561.550000000003</c:v>
                </c:pt>
                <c:pt idx="222">
                  <c:v>33588.080000000002</c:v>
                </c:pt>
                <c:pt idx="223">
                  <c:v>33679.24</c:v>
                </c:pt>
                <c:pt idx="224">
                  <c:v>33724.44</c:v>
                </c:pt>
                <c:pt idx="225">
                  <c:v>33618.589999999997</c:v>
                </c:pt>
                <c:pt idx="226">
                  <c:v>33602.76</c:v>
                </c:pt>
                <c:pt idx="227">
                  <c:v>33149.35</c:v>
                </c:pt>
                <c:pt idx="228">
                  <c:v>32832.94</c:v>
                </c:pt>
                <c:pt idx="229">
                  <c:v>32869.72</c:v>
                </c:pt>
                <c:pt idx="230">
                  <c:v>32802.44</c:v>
                </c:pt>
                <c:pt idx="231">
                  <c:v>32597.18</c:v>
                </c:pt>
                <c:pt idx="232">
                  <c:v>32949.21</c:v>
                </c:pt>
                <c:pt idx="233">
                  <c:v>33250.300000000003</c:v>
                </c:pt>
                <c:pt idx="234">
                  <c:v>33455.79</c:v>
                </c:pt>
                <c:pt idx="235">
                  <c:v>33227.99</c:v>
                </c:pt>
                <c:pt idx="236">
                  <c:v>33053.040000000001</c:v>
                </c:pt>
                <c:pt idx="237">
                  <c:v>33246.699999999997</c:v>
                </c:pt>
                <c:pt idx="238">
                  <c:v>33462.97</c:v>
                </c:pt>
                <c:pt idx="239">
                  <c:v>33601.68</c:v>
                </c:pt>
                <c:pt idx="240">
                  <c:v>33836.74</c:v>
                </c:pt>
                <c:pt idx="241">
                  <c:v>33777.379999999997</c:v>
                </c:pt>
                <c:pt idx="242">
                  <c:v>33756.28</c:v>
                </c:pt>
                <c:pt idx="243">
                  <c:v>33940.300000000003</c:v>
                </c:pt>
                <c:pt idx="244">
                  <c:v>34010.61</c:v>
                </c:pt>
                <c:pt idx="245">
                  <c:v>33911.81</c:v>
                </c:pt>
                <c:pt idx="246">
                  <c:v>33848.03</c:v>
                </c:pt>
                <c:pt idx="247">
                  <c:v>34056.83</c:v>
                </c:pt>
                <c:pt idx="248">
                  <c:v>33812.75</c:v>
                </c:pt>
                <c:pt idx="249">
                  <c:v>33812.26</c:v>
                </c:pt>
                <c:pt idx="250">
                  <c:v>33793.379999999997</c:v>
                </c:pt>
                <c:pt idx="251">
                  <c:v>33969.64</c:v>
                </c:pt>
                <c:pt idx="252">
                  <c:v>34153.85</c:v>
                </c:pt>
                <c:pt idx="253">
                  <c:v>34352.79</c:v>
                </c:pt>
                <c:pt idx="254">
                  <c:v>34443.19</c:v>
                </c:pt>
                <c:pt idx="255">
                  <c:v>34433.07</c:v>
                </c:pt>
                <c:pt idx="256">
                  <c:v>34503.49</c:v>
                </c:pt>
                <c:pt idx="257">
                  <c:v>34592.39</c:v>
                </c:pt>
                <c:pt idx="258">
                  <c:v>34843.51</c:v>
                </c:pt>
                <c:pt idx="259">
                  <c:v>34771.050000000003</c:v>
                </c:pt>
                <c:pt idx="260">
                  <c:v>35081.82</c:v>
                </c:pt>
                <c:pt idx="261">
                  <c:v>35260.29</c:v>
                </c:pt>
                <c:pt idx="262">
                  <c:v>35511.58</c:v>
                </c:pt>
                <c:pt idx="263">
                  <c:v>35798.01</c:v>
                </c:pt>
                <c:pt idx="264">
                  <c:v>36139.980000000003</c:v>
                </c:pt>
                <c:pt idx="265">
                  <c:v>36161.64</c:v>
                </c:pt>
                <c:pt idx="266">
                  <c:v>36050.44</c:v>
                </c:pt>
                <c:pt idx="267">
                  <c:v>36283.25</c:v>
                </c:pt>
                <c:pt idx="268">
                  <c:v>36033.730000000003</c:v>
                </c:pt>
                <c:pt idx="269">
                  <c:v>35965.019999999997</c:v>
                </c:pt>
                <c:pt idx="270">
                  <c:v>35906.660000000003</c:v>
                </c:pt>
                <c:pt idx="271">
                  <c:v>35066.75</c:v>
                </c:pt>
                <c:pt idx="272">
                  <c:v>34757.160000000003</c:v>
                </c:pt>
                <c:pt idx="273">
                  <c:v>34195.94</c:v>
                </c:pt>
                <c:pt idx="274">
                  <c:v>34082.71</c:v>
                </c:pt>
                <c:pt idx="275">
                  <c:v>34413.160000000003</c:v>
                </c:pt>
                <c:pt idx="276">
                  <c:v>34005.760000000002</c:v>
                </c:pt>
                <c:pt idx="277">
                  <c:v>34300.47</c:v>
                </c:pt>
                <c:pt idx="278">
                  <c:v>34155.949999999997</c:v>
                </c:pt>
                <c:pt idx="279">
                  <c:v>34297.47</c:v>
                </c:pt>
                <c:pt idx="280">
                  <c:v>34010.76</c:v>
                </c:pt>
                <c:pt idx="281">
                  <c:v>33774.660000000003</c:v>
                </c:pt>
                <c:pt idx="282">
                  <c:v>33703.589999999997</c:v>
                </c:pt>
                <c:pt idx="283">
                  <c:v>33844.86</c:v>
                </c:pt>
                <c:pt idx="284">
                  <c:v>33819.5</c:v>
                </c:pt>
                <c:pt idx="285">
                  <c:v>34142.15</c:v>
                </c:pt>
                <c:pt idx="286">
                  <c:v>34445.75</c:v>
                </c:pt>
                <c:pt idx="287">
                  <c:v>34346.39</c:v>
                </c:pt>
                <c:pt idx="288">
                  <c:v>34184.04</c:v>
                </c:pt>
              </c:numCache>
            </c:numRef>
          </c:val>
          <c:smooth val="1"/>
        </c:ser>
        <c:dLbls>
          <c:showLegendKey val="0"/>
          <c:showVal val="0"/>
          <c:showCatName val="0"/>
          <c:showSerName val="0"/>
          <c:showPercent val="0"/>
          <c:showBubbleSize val="0"/>
        </c:dLbls>
        <c:marker val="1"/>
        <c:smooth val="0"/>
        <c:axId val="431877632"/>
        <c:axId val="431878416"/>
      </c:lineChart>
      <c:lineChart>
        <c:grouping val="stacked"/>
        <c:varyColors val="0"/>
        <c:ser>
          <c:idx val="1"/>
          <c:order val="1"/>
          <c:tx>
            <c:strRef>
              <c:f>'F1'!$C$1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'F1'!$A$519:$A$807</c:f>
              <c:numCache>
                <c:formatCode>[$-409]d\-mmm\-yy;@</c:formatCode>
                <c:ptCount val="289"/>
                <c:pt idx="0">
                  <c:v>42737</c:v>
                </c:pt>
                <c:pt idx="1">
                  <c:v>42738</c:v>
                </c:pt>
                <c:pt idx="2">
                  <c:v>42739</c:v>
                </c:pt>
                <c:pt idx="3">
                  <c:v>42740</c:v>
                </c:pt>
                <c:pt idx="4">
                  <c:v>42741</c:v>
                </c:pt>
                <c:pt idx="5">
                  <c:v>42744</c:v>
                </c:pt>
                <c:pt idx="6">
                  <c:v>42745</c:v>
                </c:pt>
                <c:pt idx="7">
                  <c:v>42746</c:v>
                </c:pt>
                <c:pt idx="8">
                  <c:v>42747</c:v>
                </c:pt>
                <c:pt idx="9">
                  <c:v>42748</c:v>
                </c:pt>
                <c:pt idx="10">
                  <c:v>42751</c:v>
                </c:pt>
                <c:pt idx="11">
                  <c:v>42752</c:v>
                </c:pt>
                <c:pt idx="12">
                  <c:v>42753</c:v>
                </c:pt>
                <c:pt idx="13">
                  <c:v>42754</c:v>
                </c:pt>
                <c:pt idx="14">
                  <c:v>42755</c:v>
                </c:pt>
                <c:pt idx="15">
                  <c:v>42758</c:v>
                </c:pt>
                <c:pt idx="16">
                  <c:v>42759</c:v>
                </c:pt>
                <c:pt idx="17">
                  <c:v>42760</c:v>
                </c:pt>
                <c:pt idx="18">
                  <c:v>42762</c:v>
                </c:pt>
                <c:pt idx="19">
                  <c:v>42765</c:v>
                </c:pt>
                <c:pt idx="20">
                  <c:v>42766</c:v>
                </c:pt>
                <c:pt idx="21">
                  <c:v>42767</c:v>
                </c:pt>
                <c:pt idx="22">
                  <c:v>42768</c:v>
                </c:pt>
                <c:pt idx="23">
                  <c:v>42769</c:v>
                </c:pt>
                <c:pt idx="24">
                  <c:v>42772</c:v>
                </c:pt>
                <c:pt idx="25">
                  <c:v>42773</c:v>
                </c:pt>
                <c:pt idx="26">
                  <c:v>42774</c:v>
                </c:pt>
                <c:pt idx="27">
                  <c:v>42775</c:v>
                </c:pt>
                <c:pt idx="28">
                  <c:v>42776</c:v>
                </c:pt>
                <c:pt idx="29">
                  <c:v>42779</c:v>
                </c:pt>
                <c:pt idx="30">
                  <c:v>42780</c:v>
                </c:pt>
                <c:pt idx="31">
                  <c:v>42781</c:v>
                </c:pt>
                <c:pt idx="32">
                  <c:v>42782</c:v>
                </c:pt>
                <c:pt idx="33">
                  <c:v>42783</c:v>
                </c:pt>
                <c:pt idx="34">
                  <c:v>42786</c:v>
                </c:pt>
                <c:pt idx="35">
                  <c:v>42787</c:v>
                </c:pt>
                <c:pt idx="36">
                  <c:v>42788</c:v>
                </c:pt>
                <c:pt idx="37">
                  <c:v>42789</c:v>
                </c:pt>
                <c:pt idx="38">
                  <c:v>42793</c:v>
                </c:pt>
                <c:pt idx="39">
                  <c:v>42794</c:v>
                </c:pt>
                <c:pt idx="40">
                  <c:v>42795</c:v>
                </c:pt>
                <c:pt idx="41">
                  <c:v>42796</c:v>
                </c:pt>
                <c:pt idx="42">
                  <c:v>42797</c:v>
                </c:pt>
                <c:pt idx="43">
                  <c:v>42800</c:v>
                </c:pt>
                <c:pt idx="44">
                  <c:v>42801</c:v>
                </c:pt>
                <c:pt idx="45">
                  <c:v>42802</c:v>
                </c:pt>
                <c:pt idx="46">
                  <c:v>42803</c:v>
                </c:pt>
                <c:pt idx="47">
                  <c:v>42804</c:v>
                </c:pt>
                <c:pt idx="48">
                  <c:v>42808</c:v>
                </c:pt>
                <c:pt idx="49">
                  <c:v>42809</c:v>
                </c:pt>
                <c:pt idx="50">
                  <c:v>42810</c:v>
                </c:pt>
                <c:pt idx="51">
                  <c:v>42811</c:v>
                </c:pt>
                <c:pt idx="52">
                  <c:v>42814</c:v>
                </c:pt>
                <c:pt idx="53">
                  <c:v>42815</c:v>
                </c:pt>
                <c:pt idx="54">
                  <c:v>42816</c:v>
                </c:pt>
                <c:pt idx="55">
                  <c:v>42817</c:v>
                </c:pt>
                <c:pt idx="56">
                  <c:v>42818</c:v>
                </c:pt>
                <c:pt idx="57">
                  <c:v>42821</c:v>
                </c:pt>
                <c:pt idx="58">
                  <c:v>42822</c:v>
                </c:pt>
                <c:pt idx="59">
                  <c:v>42823</c:v>
                </c:pt>
                <c:pt idx="60">
                  <c:v>42824</c:v>
                </c:pt>
                <c:pt idx="61">
                  <c:v>42825</c:v>
                </c:pt>
                <c:pt idx="62">
                  <c:v>42828</c:v>
                </c:pt>
                <c:pt idx="63">
                  <c:v>42830</c:v>
                </c:pt>
                <c:pt idx="64">
                  <c:v>42831</c:v>
                </c:pt>
                <c:pt idx="65">
                  <c:v>42832</c:v>
                </c:pt>
                <c:pt idx="66">
                  <c:v>42835</c:v>
                </c:pt>
                <c:pt idx="67">
                  <c:v>42836</c:v>
                </c:pt>
                <c:pt idx="68">
                  <c:v>42837</c:v>
                </c:pt>
                <c:pt idx="69">
                  <c:v>42838</c:v>
                </c:pt>
                <c:pt idx="70">
                  <c:v>42842</c:v>
                </c:pt>
                <c:pt idx="71">
                  <c:v>42843</c:v>
                </c:pt>
                <c:pt idx="72">
                  <c:v>42844</c:v>
                </c:pt>
                <c:pt idx="73">
                  <c:v>42845</c:v>
                </c:pt>
                <c:pt idx="74">
                  <c:v>42846</c:v>
                </c:pt>
                <c:pt idx="75">
                  <c:v>42849</c:v>
                </c:pt>
                <c:pt idx="76">
                  <c:v>42850</c:v>
                </c:pt>
                <c:pt idx="77">
                  <c:v>42851</c:v>
                </c:pt>
                <c:pt idx="78">
                  <c:v>42852</c:v>
                </c:pt>
                <c:pt idx="79">
                  <c:v>42853</c:v>
                </c:pt>
                <c:pt idx="80">
                  <c:v>42857</c:v>
                </c:pt>
                <c:pt idx="81">
                  <c:v>42858</c:v>
                </c:pt>
                <c:pt idx="82">
                  <c:v>42859</c:v>
                </c:pt>
                <c:pt idx="83">
                  <c:v>42860</c:v>
                </c:pt>
                <c:pt idx="84">
                  <c:v>42863</c:v>
                </c:pt>
                <c:pt idx="85">
                  <c:v>42864</c:v>
                </c:pt>
                <c:pt idx="86">
                  <c:v>42865</c:v>
                </c:pt>
                <c:pt idx="87">
                  <c:v>42866</c:v>
                </c:pt>
                <c:pt idx="88">
                  <c:v>42867</c:v>
                </c:pt>
                <c:pt idx="89">
                  <c:v>42870</c:v>
                </c:pt>
                <c:pt idx="90">
                  <c:v>42871</c:v>
                </c:pt>
                <c:pt idx="91">
                  <c:v>42872</c:v>
                </c:pt>
                <c:pt idx="92">
                  <c:v>42873</c:v>
                </c:pt>
                <c:pt idx="93">
                  <c:v>42874</c:v>
                </c:pt>
                <c:pt idx="94">
                  <c:v>42877</c:v>
                </c:pt>
                <c:pt idx="95">
                  <c:v>42878</c:v>
                </c:pt>
                <c:pt idx="96">
                  <c:v>42879</c:v>
                </c:pt>
                <c:pt idx="97">
                  <c:v>42880</c:v>
                </c:pt>
                <c:pt idx="98">
                  <c:v>42881</c:v>
                </c:pt>
                <c:pt idx="99">
                  <c:v>42884</c:v>
                </c:pt>
                <c:pt idx="100">
                  <c:v>42885</c:v>
                </c:pt>
                <c:pt idx="101">
                  <c:v>42886</c:v>
                </c:pt>
                <c:pt idx="102">
                  <c:v>42887</c:v>
                </c:pt>
                <c:pt idx="103">
                  <c:v>42888</c:v>
                </c:pt>
                <c:pt idx="104">
                  <c:v>42891</c:v>
                </c:pt>
                <c:pt idx="105">
                  <c:v>42892</c:v>
                </c:pt>
                <c:pt idx="106">
                  <c:v>42893</c:v>
                </c:pt>
                <c:pt idx="107">
                  <c:v>42894</c:v>
                </c:pt>
                <c:pt idx="108">
                  <c:v>42895</c:v>
                </c:pt>
                <c:pt idx="109">
                  <c:v>42898</c:v>
                </c:pt>
                <c:pt idx="110">
                  <c:v>42899</c:v>
                </c:pt>
                <c:pt idx="111">
                  <c:v>42900</c:v>
                </c:pt>
                <c:pt idx="112">
                  <c:v>42901</c:v>
                </c:pt>
                <c:pt idx="113">
                  <c:v>42902</c:v>
                </c:pt>
                <c:pt idx="114">
                  <c:v>42905</c:v>
                </c:pt>
                <c:pt idx="115">
                  <c:v>42906</c:v>
                </c:pt>
                <c:pt idx="116">
                  <c:v>42907</c:v>
                </c:pt>
                <c:pt idx="117">
                  <c:v>42908</c:v>
                </c:pt>
                <c:pt idx="118">
                  <c:v>42909</c:v>
                </c:pt>
                <c:pt idx="119">
                  <c:v>42913</c:v>
                </c:pt>
                <c:pt idx="120">
                  <c:v>42914</c:v>
                </c:pt>
                <c:pt idx="121">
                  <c:v>42915</c:v>
                </c:pt>
                <c:pt idx="122">
                  <c:v>42916</c:v>
                </c:pt>
                <c:pt idx="123">
                  <c:v>42919</c:v>
                </c:pt>
                <c:pt idx="124">
                  <c:v>42920</c:v>
                </c:pt>
                <c:pt idx="125">
                  <c:v>42921</c:v>
                </c:pt>
                <c:pt idx="126">
                  <c:v>42922</c:v>
                </c:pt>
                <c:pt idx="127">
                  <c:v>42923</c:v>
                </c:pt>
                <c:pt idx="128">
                  <c:v>42926</c:v>
                </c:pt>
                <c:pt idx="129">
                  <c:v>42927</c:v>
                </c:pt>
                <c:pt idx="130">
                  <c:v>42928</c:v>
                </c:pt>
                <c:pt idx="131">
                  <c:v>42929</c:v>
                </c:pt>
                <c:pt idx="132">
                  <c:v>42930</c:v>
                </c:pt>
                <c:pt idx="133">
                  <c:v>42933</c:v>
                </c:pt>
                <c:pt idx="134">
                  <c:v>42934</c:v>
                </c:pt>
                <c:pt idx="135">
                  <c:v>42935</c:v>
                </c:pt>
                <c:pt idx="136">
                  <c:v>42936</c:v>
                </c:pt>
                <c:pt idx="137">
                  <c:v>42937</c:v>
                </c:pt>
                <c:pt idx="138">
                  <c:v>42940</c:v>
                </c:pt>
                <c:pt idx="139">
                  <c:v>42941</c:v>
                </c:pt>
                <c:pt idx="140">
                  <c:v>42942</c:v>
                </c:pt>
                <c:pt idx="141">
                  <c:v>42943</c:v>
                </c:pt>
                <c:pt idx="142">
                  <c:v>42944</c:v>
                </c:pt>
                <c:pt idx="143">
                  <c:v>42947</c:v>
                </c:pt>
                <c:pt idx="144">
                  <c:v>42948</c:v>
                </c:pt>
                <c:pt idx="145">
                  <c:v>42949</c:v>
                </c:pt>
                <c:pt idx="146">
                  <c:v>42950</c:v>
                </c:pt>
                <c:pt idx="147">
                  <c:v>42951</c:v>
                </c:pt>
                <c:pt idx="148">
                  <c:v>42954</c:v>
                </c:pt>
                <c:pt idx="149">
                  <c:v>42955</c:v>
                </c:pt>
                <c:pt idx="150">
                  <c:v>42956</c:v>
                </c:pt>
                <c:pt idx="151">
                  <c:v>42957</c:v>
                </c:pt>
                <c:pt idx="152">
                  <c:v>42958</c:v>
                </c:pt>
                <c:pt idx="153">
                  <c:v>42961</c:v>
                </c:pt>
                <c:pt idx="154">
                  <c:v>42963</c:v>
                </c:pt>
                <c:pt idx="155">
                  <c:v>42964</c:v>
                </c:pt>
                <c:pt idx="156">
                  <c:v>42965</c:v>
                </c:pt>
                <c:pt idx="157">
                  <c:v>42968</c:v>
                </c:pt>
                <c:pt idx="158">
                  <c:v>42969</c:v>
                </c:pt>
                <c:pt idx="159">
                  <c:v>42970</c:v>
                </c:pt>
                <c:pt idx="160">
                  <c:v>42971</c:v>
                </c:pt>
                <c:pt idx="161">
                  <c:v>42975</c:v>
                </c:pt>
                <c:pt idx="162">
                  <c:v>42976</c:v>
                </c:pt>
                <c:pt idx="163">
                  <c:v>42977</c:v>
                </c:pt>
                <c:pt idx="164">
                  <c:v>42978</c:v>
                </c:pt>
                <c:pt idx="165">
                  <c:v>42979</c:v>
                </c:pt>
                <c:pt idx="166">
                  <c:v>42982</c:v>
                </c:pt>
                <c:pt idx="167">
                  <c:v>42983</c:v>
                </c:pt>
                <c:pt idx="168">
                  <c:v>42984</c:v>
                </c:pt>
                <c:pt idx="169">
                  <c:v>42985</c:v>
                </c:pt>
                <c:pt idx="170">
                  <c:v>42986</c:v>
                </c:pt>
                <c:pt idx="171">
                  <c:v>42989</c:v>
                </c:pt>
                <c:pt idx="172">
                  <c:v>42990</c:v>
                </c:pt>
                <c:pt idx="173">
                  <c:v>42991</c:v>
                </c:pt>
                <c:pt idx="174">
                  <c:v>42992</c:v>
                </c:pt>
                <c:pt idx="175">
                  <c:v>42993</c:v>
                </c:pt>
                <c:pt idx="176">
                  <c:v>42996</c:v>
                </c:pt>
                <c:pt idx="177">
                  <c:v>42997</c:v>
                </c:pt>
                <c:pt idx="178">
                  <c:v>42998</c:v>
                </c:pt>
                <c:pt idx="179">
                  <c:v>42999</c:v>
                </c:pt>
                <c:pt idx="180">
                  <c:v>43000</c:v>
                </c:pt>
                <c:pt idx="181">
                  <c:v>43003</c:v>
                </c:pt>
                <c:pt idx="182">
                  <c:v>43004</c:v>
                </c:pt>
                <c:pt idx="183">
                  <c:v>43005</c:v>
                </c:pt>
                <c:pt idx="184">
                  <c:v>43006</c:v>
                </c:pt>
                <c:pt idx="185">
                  <c:v>43007</c:v>
                </c:pt>
                <c:pt idx="186">
                  <c:v>43011</c:v>
                </c:pt>
                <c:pt idx="187">
                  <c:v>43012</c:v>
                </c:pt>
                <c:pt idx="188">
                  <c:v>43013</c:v>
                </c:pt>
                <c:pt idx="189">
                  <c:v>43014</c:v>
                </c:pt>
                <c:pt idx="190">
                  <c:v>43017</c:v>
                </c:pt>
                <c:pt idx="191">
                  <c:v>43018</c:v>
                </c:pt>
                <c:pt idx="192">
                  <c:v>43019</c:v>
                </c:pt>
                <c:pt idx="193">
                  <c:v>43020</c:v>
                </c:pt>
                <c:pt idx="194">
                  <c:v>43021</c:v>
                </c:pt>
                <c:pt idx="195">
                  <c:v>43024</c:v>
                </c:pt>
                <c:pt idx="196">
                  <c:v>43025</c:v>
                </c:pt>
                <c:pt idx="197">
                  <c:v>43026</c:v>
                </c:pt>
                <c:pt idx="198">
                  <c:v>43027</c:v>
                </c:pt>
                <c:pt idx="199">
                  <c:v>43031</c:v>
                </c:pt>
                <c:pt idx="200">
                  <c:v>43032</c:v>
                </c:pt>
                <c:pt idx="201">
                  <c:v>43033</c:v>
                </c:pt>
                <c:pt idx="202">
                  <c:v>43034</c:v>
                </c:pt>
                <c:pt idx="203">
                  <c:v>43035</c:v>
                </c:pt>
                <c:pt idx="204">
                  <c:v>43038</c:v>
                </c:pt>
                <c:pt idx="205">
                  <c:v>43039</c:v>
                </c:pt>
                <c:pt idx="206">
                  <c:v>43040</c:v>
                </c:pt>
                <c:pt idx="207">
                  <c:v>43041</c:v>
                </c:pt>
                <c:pt idx="208">
                  <c:v>43042</c:v>
                </c:pt>
                <c:pt idx="209">
                  <c:v>43045</c:v>
                </c:pt>
                <c:pt idx="210">
                  <c:v>43046</c:v>
                </c:pt>
                <c:pt idx="211">
                  <c:v>43047</c:v>
                </c:pt>
                <c:pt idx="212">
                  <c:v>43048</c:v>
                </c:pt>
                <c:pt idx="213">
                  <c:v>43049</c:v>
                </c:pt>
                <c:pt idx="214">
                  <c:v>43052</c:v>
                </c:pt>
                <c:pt idx="215">
                  <c:v>43053</c:v>
                </c:pt>
                <c:pt idx="216">
                  <c:v>43054</c:v>
                </c:pt>
                <c:pt idx="217">
                  <c:v>43055</c:v>
                </c:pt>
                <c:pt idx="218">
                  <c:v>43056</c:v>
                </c:pt>
                <c:pt idx="219">
                  <c:v>43059</c:v>
                </c:pt>
                <c:pt idx="220">
                  <c:v>43060</c:v>
                </c:pt>
                <c:pt idx="221">
                  <c:v>43061</c:v>
                </c:pt>
                <c:pt idx="222">
                  <c:v>43062</c:v>
                </c:pt>
                <c:pt idx="223">
                  <c:v>43063</c:v>
                </c:pt>
                <c:pt idx="224">
                  <c:v>43066</c:v>
                </c:pt>
                <c:pt idx="225">
                  <c:v>43067</c:v>
                </c:pt>
                <c:pt idx="226">
                  <c:v>43068</c:v>
                </c:pt>
                <c:pt idx="227">
                  <c:v>43069</c:v>
                </c:pt>
                <c:pt idx="228">
                  <c:v>43070</c:v>
                </c:pt>
                <c:pt idx="229">
                  <c:v>43073</c:v>
                </c:pt>
                <c:pt idx="230">
                  <c:v>43074</c:v>
                </c:pt>
                <c:pt idx="231">
                  <c:v>43075</c:v>
                </c:pt>
                <c:pt idx="232">
                  <c:v>43076</c:v>
                </c:pt>
                <c:pt idx="233">
                  <c:v>43077</c:v>
                </c:pt>
                <c:pt idx="234">
                  <c:v>43080</c:v>
                </c:pt>
                <c:pt idx="235">
                  <c:v>43081</c:v>
                </c:pt>
                <c:pt idx="236">
                  <c:v>43082</c:v>
                </c:pt>
                <c:pt idx="237">
                  <c:v>43083</c:v>
                </c:pt>
                <c:pt idx="238">
                  <c:v>43084</c:v>
                </c:pt>
                <c:pt idx="239">
                  <c:v>43087</c:v>
                </c:pt>
                <c:pt idx="240">
                  <c:v>43088</c:v>
                </c:pt>
                <c:pt idx="241">
                  <c:v>43089</c:v>
                </c:pt>
                <c:pt idx="242">
                  <c:v>43090</c:v>
                </c:pt>
                <c:pt idx="243">
                  <c:v>43091</c:v>
                </c:pt>
                <c:pt idx="244">
                  <c:v>43095</c:v>
                </c:pt>
                <c:pt idx="245">
                  <c:v>43096</c:v>
                </c:pt>
                <c:pt idx="246">
                  <c:v>43097</c:v>
                </c:pt>
                <c:pt idx="247">
                  <c:v>43098</c:v>
                </c:pt>
                <c:pt idx="248">
                  <c:v>43101</c:v>
                </c:pt>
                <c:pt idx="249">
                  <c:v>43102</c:v>
                </c:pt>
                <c:pt idx="250">
                  <c:v>43103</c:v>
                </c:pt>
                <c:pt idx="251">
                  <c:v>43104</c:v>
                </c:pt>
                <c:pt idx="252">
                  <c:v>43105</c:v>
                </c:pt>
                <c:pt idx="253">
                  <c:v>43108</c:v>
                </c:pt>
                <c:pt idx="254">
                  <c:v>43109</c:v>
                </c:pt>
                <c:pt idx="255">
                  <c:v>43110</c:v>
                </c:pt>
                <c:pt idx="256">
                  <c:v>43111</c:v>
                </c:pt>
                <c:pt idx="257">
                  <c:v>43112</c:v>
                </c:pt>
                <c:pt idx="258">
                  <c:v>43115</c:v>
                </c:pt>
                <c:pt idx="259">
                  <c:v>43116</c:v>
                </c:pt>
                <c:pt idx="260">
                  <c:v>43117</c:v>
                </c:pt>
                <c:pt idx="261">
                  <c:v>43118</c:v>
                </c:pt>
                <c:pt idx="262">
                  <c:v>43119</c:v>
                </c:pt>
                <c:pt idx="263">
                  <c:v>43122</c:v>
                </c:pt>
                <c:pt idx="264">
                  <c:v>43123</c:v>
                </c:pt>
                <c:pt idx="265">
                  <c:v>43124</c:v>
                </c:pt>
                <c:pt idx="266">
                  <c:v>43125</c:v>
                </c:pt>
                <c:pt idx="267">
                  <c:v>43129</c:v>
                </c:pt>
                <c:pt idx="268">
                  <c:v>43130</c:v>
                </c:pt>
                <c:pt idx="269">
                  <c:v>43131</c:v>
                </c:pt>
                <c:pt idx="270">
                  <c:v>43132</c:v>
                </c:pt>
                <c:pt idx="271">
                  <c:v>43133</c:v>
                </c:pt>
                <c:pt idx="272">
                  <c:v>43136</c:v>
                </c:pt>
                <c:pt idx="273">
                  <c:v>43137</c:v>
                </c:pt>
                <c:pt idx="274">
                  <c:v>43138</c:v>
                </c:pt>
                <c:pt idx="275">
                  <c:v>43139</c:v>
                </c:pt>
                <c:pt idx="276">
                  <c:v>43140</c:v>
                </c:pt>
                <c:pt idx="277">
                  <c:v>43143</c:v>
                </c:pt>
                <c:pt idx="278">
                  <c:v>43145</c:v>
                </c:pt>
                <c:pt idx="279">
                  <c:v>43146</c:v>
                </c:pt>
                <c:pt idx="280">
                  <c:v>43147</c:v>
                </c:pt>
                <c:pt idx="281">
                  <c:v>43150</c:v>
                </c:pt>
                <c:pt idx="282">
                  <c:v>43151</c:v>
                </c:pt>
                <c:pt idx="283">
                  <c:v>43152</c:v>
                </c:pt>
                <c:pt idx="284">
                  <c:v>43153</c:v>
                </c:pt>
                <c:pt idx="285">
                  <c:v>43154</c:v>
                </c:pt>
                <c:pt idx="286">
                  <c:v>43157</c:v>
                </c:pt>
                <c:pt idx="287">
                  <c:v>43158</c:v>
                </c:pt>
                <c:pt idx="288">
                  <c:v>43159</c:v>
                </c:pt>
              </c:numCache>
            </c:numRef>
          </c:cat>
          <c:val>
            <c:numRef>
              <c:f>'F1'!$C$519:$C$807</c:f>
              <c:numCache>
                <c:formatCode>0</c:formatCode>
                <c:ptCount val="289"/>
                <c:pt idx="0">
                  <c:v>8179.5</c:v>
                </c:pt>
                <c:pt idx="1">
                  <c:v>8192.25</c:v>
                </c:pt>
                <c:pt idx="2">
                  <c:v>8190.5</c:v>
                </c:pt>
                <c:pt idx="3">
                  <c:v>8273.7999999999993</c:v>
                </c:pt>
                <c:pt idx="4">
                  <c:v>8243.7999999999993</c:v>
                </c:pt>
                <c:pt idx="5">
                  <c:v>8236.0499999999993</c:v>
                </c:pt>
                <c:pt idx="6">
                  <c:v>8288.6</c:v>
                </c:pt>
                <c:pt idx="7">
                  <c:v>8380.65</c:v>
                </c:pt>
                <c:pt idx="8">
                  <c:v>8407.2000000000007</c:v>
                </c:pt>
                <c:pt idx="9">
                  <c:v>8400.35</c:v>
                </c:pt>
                <c:pt idx="10">
                  <c:v>8412.7999999999993</c:v>
                </c:pt>
                <c:pt idx="11">
                  <c:v>8398</c:v>
                </c:pt>
                <c:pt idx="12">
                  <c:v>8417</c:v>
                </c:pt>
                <c:pt idx="13">
                  <c:v>8435.1</c:v>
                </c:pt>
                <c:pt idx="14">
                  <c:v>8349.35</c:v>
                </c:pt>
                <c:pt idx="15">
                  <c:v>8391.5</c:v>
                </c:pt>
                <c:pt idx="16">
                  <c:v>8475.7999999999993</c:v>
                </c:pt>
                <c:pt idx="17">
                  <c:v>8602.75</c:v>
                </c:pt>
                <c:pt idx="18">
                  <c:v>8641.25</c:v>
                </c:pt>
                <c:pt idx="19">
                  <c:v>8632.75</c:v>
                </c:pt>
                <c:pt idx="20">
                  <c:v>8561.2999999999993</c:v>
                </c:pt>
                <c:pt idx="21">
                  <c:v>8716.4</c:v>
                </c:pt>
                <c:pt idx="22">
                  <c:v>8734.25</c:v>
                </c:pt>
                <c:pt idx="23">
                  <c:v>8740.9500000000007</c:v>
                </c:pt>
                <c:pt idx="24">
                  <c:v>8801.0499999999993</c:v>
                </c:pt>
                <c:pt idx="25">
                  <c:v>8768.2999999999993</c:v>
                </c:pt>
                <c:pt idx="26">
                  <c:v>8769.0499999999993</c:v>
                </c:pt>
                <c:pt idx="27">
                  <c:v>8778.4</c:v>
                </c:pt>
                <c:pt idx="28">
                  <c:v>8793.5499999999993</c:v>
                </c:pt>
                <c:pt idx="29">
                  <c:v>8805.0499999999993</c:v>
                </c:pt>
                <c:pt idx="30">
                  <c:v>8792.2999999999993</c:v>
                </c:pt>
                <c:pt idx="31">
                  <c:v>8724.7000000000007</c:v>
                </c:pt>
                <c:pt idx="32">
                  <c:v>8778</c:v>
                </c:pt>
                <c:pt idx="33">
                  <c:v>8821.7000000000007</c:v>
                </c:pt>
                <c:pt idx="34">
                  <c:v>8879.2000000000007</c:v>
                </c:pt>
                <c:pt idx="35">
                  <c:v>8907.85</c:v>
                </c:pt>
                <c:pt idx="36">
                  <c:v>8926.9</c:v>
                </c:pt>
                <c:pt idx="37">
                  <c:v>8939.5</c:v>
                </c:pt>
                <c:pt idx="38">
                  <c:v>8896.7000000000007</c:v>
                </c:pt>
                <c:pt idx="39">
                  <c:v>8879.6</c:v>
                </c:pt>
                <c:pt idx="40">
                  <c:v>8945.7999999999993</c:v>
                </c:pt>
                <c:pt idx="41">
                  <c:v>8899.75</c:v>
                </c:pt>
                <c:pt idx="42">
                  <c:v>8897.5499999999993</c:v>
                </c:pt>
                <c:pt idx="43">
                  <c:v>8963.4500000000007</c:v>
                </c:pt>
                <c:pt idx="44">
                  <c:v>8946.9</c:v>
                </c:pt>
                <c:pt idx="45">
                  <c:v>8924.2999999999993</c:v>
                </c:pt>
                <c:pt idx="46">
                  <c:v>8927</c:v>
                </c:pt>
                <c:pt idx="47">
                  <c:v>8934.5499999999993</c:v>
                </c:pt>
                <c:pt idx="48">
                  <c:v>9087</c:v>
                </c:pt>
                <c:pt idx="49">
                  <c:v>9084.7999999999993</c:v>
                </c:pt>
                <c:pt idx="50">
                  <c:v>9153.7000000000007</c:v>
                </c:pt>
                <c:pt idx="51">
                  <c:v>9160.0499999999993</c:v>
                </c:pt>
                <c:pt idx="52">
                  <c:v>9126.85</c:v>
                </c:pt>
                <c:pt idx="53">
                  <c:v>9121.5</c:v>
                </c:pt>
                <c:pt idx="54">
                  <c:v>9030.4500000000007</c:v>
                </c:pt>
                <c:pt idx="55">
                  <c:v>9086.2999999999993</c:v>
                </c:pt>
                <c:pt idx="56">
                  <c:v>9108</c:v>
                </c:pt>
                <c:pt idx="57">
                  <c:v>9045.2000000000007</c:v>
                </c:pt>
                <c:pt idx="58">
                  <c:v>9100.7999999999993</c:v>
                </c:pt>
                <c:pt idx="59">
                  <c:v>9143.7999999999993</c:v>
                </c:pt>
                <c:pt idx="60">
                  <c:v>9173.75</c:v>
                </c:pt>
                <c:pt idx="61">
                  <c:v>9173.75</c:v>
                </c:pt>
                <c:pt idx="62">
                  <c:v>9237.85</c:v>
                </c:pt>
                <c:pt idx="63">
                  <c:v>9265.15</c:v>
                </c:pt>
                <c:pt idx="64">
                  <c:v>9261.9500000000007</c:v>
                </c:pt>
                <c:pt idx="65">
                  <c:v>9198.2999999999993</c:v>
                </c:pt>
                <c:pt idx="66">
                  <c:v>9181.4500000000007</c:v>
                </c:pt>
                <c:pt idx="67">
                  <c:v>9237</c:v>
                </c:pt>
                <c:pt idx="68">
                  <c:v>9203.4500000000007</c:v>
                </c:pt>
                <c:pt idx="69">
                  <c:v>9150.7999999999993</c:v>
                </c:pt>
                <c:pt idx="70">
                  <c:v>9139.2999999999993</c:v>
                </c:pt>
                <c:pt idx="71">
                  <c:v>9105.15</c:v>
                </c:pt>
                <c:pt idx="72">
                  <c:v>9103.5</c:v>
                </c:pt>
                <c:pt idx="73">
                  <c:v>9136.4</c:v>
                </c:pt>
                <c:pt idx="74">
                  <c:v>9119.4</c:v>
                </c:pt>
                <c:pt idx="75">
                  <c:v>9217.9500000000007</c:v>
                </c:pt>
                <c:pt idx="76">
                  <c:v>9306.6</c:v>
                </c:pt>
                <c:pt idx="77">
                  <c:v>9351.85</c:v>
                </c:pt>
                <c:pt idx="78">
                  <c:v>9342.15</c:v>
                </c:pt>
                <c:pt idx="79">
                  <c:v>9304.0499999999993</c:v>
                </c:pt>
                <c:pt idx="80">
                  <c:v>9313.7999999999993</c:v>
                </c:pt>
                <c:pt idx="81">
                  <c:v>9311.9500000000007</c:v>
                </c:pt>
                <c:pt idx="82">
                  <c:v>9359.9</c:v>
                </c:pt>
                <c:pt idx="83">
                  <c:v>9285.2999999999993</c:v>
                </c:pt>
                <c:pt idx="84">
                  <c:v>9314.0499999999993</c:v>
                </c:pt>
                <c:pt idx="85">
                  <c:v>9316.85</c:v>
                </c:pt>
                <c:pt idx="86">
                  <c:v>9407.2999999999993</c:v>
                </c:pt>
                <c:pt idx="87">
                  <c:v>9422.4</c:v>
                </c:pt>
                <c:pt idx="88">
                  <c:v>9400.9</c:v>
                </c:pt>
                <c:pt idx="89">
                  <c:v>9445.4</c:v>
                </c:pt>
                <c:pt idx="90">
                  <c:v>9512.25</c:v>
                </c:pt>
                <c:pt idx="91">
                  <c:v>9525.75</c:v>
                </c:pt>
                <c:pt idx="92">
                  <c:v>9429.4500000000007</c:v>
                </c:pt>
                <c:pt idx="93">
                  <c:v>9427.9</c:v>
                </c:pt>
                <c:pt idx="94">
                  <c:v>9438.25</c:v>
                </c:pt>
                <c:pt idx="95">
                  <c:v>9386.15</c:v>
                </c:pt>
                <c:pt idx="96">
                  <c:v>9360.5499999999993</c:v>
                </c:pt>
                <c:pt idx="97">
                  <c:v>9509.75</c:v>
                </c:pt>
                <c:pt idx="98">
                  <c:v>9595.1</c:v>
                </c:pt>
                <c:pt idx="99">
                  <c:v>9604.9</c:v>
                </c:pt>
                <c:pt idx="100">
                  <c:v>9624.5499999999993</c:v>
                </c:pt>
                <c:pt idx="101">
                  <c:v>9621.25</c:v>
                </c:pt>
                <c:pt idx="102">
                  <c:v>9616.1</c:v>
                </c:pt>
                <c:pt idx="103">
                  <c:v>9653.5</c:v>
                </c:pt>
                <c:pt idx="104">
                  <c:v>9675.1</c:v>
                </c:pt>
                <c:pt idx="105">
                  <c:v>9637.15</c:v>
                </c:pt>
                <c:pt idx="106">
                  <c:v>9663.9</c:v>
                </c:pt>
                <c:pt idx="107">
                  <c:v>9647.25</c:v>
                </c:pt>
                <c:pt idx="108">
                  <c:v>9668.25</c:v>
                </c:pt>
                <c:pt idx="109">
                  <c:v>9616.4</c:v>
                </c:pt>
                <c:pt idx="110">
                  <c:v>9606.9</c:v>
                </c:pt>
                <c:pt idx="111">
                  <c:v>9618.15</c:v>
                </c:pt>
                <c:pt idx="112">
                  <c:v>9578.0499999999993</c:v>
                </c:pt>
                <c:pt idx="113">
                  <c:v>9588.0499999999993</c:v>
                </c:pt>
                <c:pt idx="114">
                  <c:v>9657.5499999999993</c:v>
                </c:pt>
                <c:pt idx="115">
                  <c:v>9653.5</c:v>
                </c:pt>
                <c:pt idx="116">
                  <c:v>9633.6</c:v>
                </c:pt>
                <c:pt idx="117">
                  <c:v>9630</c:v>
                </c:pt>
                <c:pt idx="118">
                  <c:v>9574.9500000000007</c:v>
                </c:pt>
                <c:pt idx="119">
                  <c:v>9511.4</c:v>
                </c:pt>
                <c:pt idx="120">
                  <c:v>9491.25</c:v>
                </c:pt>
                <c:pt idx="121">
                  <c:v>9504.1</c:v>
                </c:pt>
                <c:pt idx="122">
                  <c:v>9520.9</c:v>
                </c:pt>
                <c:pt idx="123">
                  <c:v>9615</c:v>
                </c:pt>
                <c:pt idx="124">
                  <c:v>9613.2999999999993</c:v>
                </c:pt>
                <c:pt idx="125">
                  <c:v>9637.6</c:v>
                </c:pt>
                <c:pt idx="126">
                  <c:v>9674.5499999999993</c:v>
                </c:pt>
                <c:pt idx="127">
                  <c:v>9665.7999999999993</c:v>
                </c:pt>
                <c:pt idx="128">
                  <c:v>9771.0499999999993</c:v>
                </c:pt>
                <c:pt idx="129">
                  <c:v>9786.0499999999993</c:v>
                </c:pt>
                <c:pt idx="130">
                  <c:v>9816.1</c:v>
                </c:pt>
                <c:pt idx="131">
                  <c:v>9891.7000000000007</c:v>
                </c:pt>
                <c:pt idx="132">
                  <c:v>9886.35</c:v>
                </c:pt>
                <c:pt idx="133">
                  <c:v>9915.9500000000007</c:v>
                </c:pt>
                <c:pt idx="134">
                  <c:v>9827.15</c:v>
                </c:pt>
                <c:pt idx="135">
                  <c:v>9899.6</c:v>
                </c:pt>
                <c:pt idx="136">
                  <c:v>9873.2999999999993</c:v>
                </c:pt>
                <c:pt idx="137">
                  <c:v>9915.25</c:v>
                </c:pt>
                <c:pt idx="138">
                  <c:v>9966.4</c:v>
                </c:pt>
                <c:pt idx="139">
                  <c:v>9964.5499999999993</c:v>
                </c:pt>
                <c:pt idx="140">
                  <c:v>10020.65</c:v>
                </c:pt>
                <c:pt idx="141">
                  <c:v>10020.549999999999</c:v>
                </c:pt>
                <c:pt idx="142">
                  <c:v>10014.5</c:v>
                </c:pt>
                <c:pt idx="143">
                  <c:v>10077.1</c:v>
                </c:pt>
                <c:pt idx="144">
                  <c:v>10114.65</c:v>
                </c:pt>
                <c:pt idx="145">
                  <c:v>10081.5</c:v>
                </c:pt>
                <c:pt idx="146">
                  <c:v>10013.65</c:v>
                </c:pt>
                <c:pt idx="147">
                  <c:v>10066.4</c:v>
                </c:pt>
                <c:pt idx="148">
                  <c:v>10057.4</c:v>
                </c:pt>
                <c:pt idx="149">
                  <c:v>9978.5499999999993</c:v>
                </c:pt>
                <c:pt idx="150">
                  <c:v>9908.0499999999993</c:v>
                </c:pt>
                <c:pt idx="151">
                  <c:v>9820.25</c:v>
                </c:pt>
                <c:pt idx="152">
                  <c:v>9710.7999999999993</c:v>
                </c:pt>
                <c:pt idx="153">
                  <c:v>9794.15</c:v>
                </c:pt>
                <c:pt idx="154">
                  <c:v>9897.2999999999993</c:v>
                </c:pt>
                <c:pt idx="155">
                  <c:v>9904.15</c:v>
                </c:pt>
                <c:pt idx="156">
                  <c:v>9837.4</c:v>
                </c:pt>
                <c:pt idx="157">
                  <c:v>9754.35</c:v>
                </c:pt>
                <c:pt idx="158">
                  <c:v>9765.5499999999993</c:v>
                </c:pt>
                <c:pt idx="159">
                  <c:v>9852.5</c:v>
                </c:pt>
                <c:pt idx="160">
                  <c:v>9857.0499999999993</c:v>
                </c:pt>
                <c:pt idx="161">
                  <c:v>9912.7999999999993</c:v>
                </c:pt>
                <c:pt idx="162">
                  <c:v>9796.0499999999993</c:v>
                </c:pt>
                <c:pt idx="163">
                  <c:v>9884.4</c:v>
                </c:pt>
                <c:pt idx="164">
                  <c:v>9917.9</c:v>
                </c:pt>
                <c:pt idx="165">
                  <c:v>9974.4</c:v>
                </c:pt>
                <c:pt idx="166">
                  <c:v>9912.85</c:v>
                </c:pt>
                <c:pt idx="167">
                  <c:v>9952.2000000000007</c:v>
                </c:pt>
                <c:pt idx="168">
                  <c:v>9916.2000000000007</c:v>
                </c:pt>
                <c:pt idx="169">
                  <c:v>9929.9</c:v>
                </c:pt>
                <c:pt idx="170">
                  <c:v>9934.7999999999993</c:v>
                </c:pt>
                <c:pt idx="171">
                  <c:v>10006.049999999999</c:v>
                </c:pt>
                <c:pt idx="172">
                  <c:v>10093.049999999999</c:v>
                </c:pt>
                <c:pt idx="173">
                  <c:v>10079.299999999999</c:v>
                </c:pt>
                <c:pt idx="174">
                  <c:v>10086.6</c:v>
                </c:pt>
                <c:pt idx="175">
                  <c:v>10085.4</c:v>
                </c:pt>
                <c:pt idx="176">
                  <c:v>10153.1</c:v>
                </c:pt>
                <c:pt idx="177">
                  <c:v>10147.549999999999</c:v>
                </c:pt>
                <c:pt idx="178">
                  <c:v>10141.15</c:v>
                </c:pt>
                <c:pt idx="179">
                  <c:v>10121.9</c:v>
                </c:pt>
                <c:pt idx="180">
                  <c:v>9964.4</c:v>
                </c:pt>
                <c:pt idx="181">
                  <c:v>9872.6</c:v>
                </c:pt>
                <c:pt idx="182">
                  <c:v>9871.5</c:v>
                </c:pt>
                <c:pt idx="183">
                  <c:v>9735.75</c:v>
                </c:pt>
                <c:pt idx="184">
                  <c:v>9768.9500000000007</c:v>
                </c:pt>
                <c:pt idx="185">
                  <c:v>9788.6</c:v>
                </c:pt>
                <c:pt idx="186">
                  <c:v>9859.5</c:v>
                </c:pt>
                <c:pt idx="187">
                  <c:v>9914.9</c:v>
                </c:pt>
                <c:pt idx="188">
                  <c:v>9888.7000000000007</c:v>
                </c:pt>
                <c:pt idx="189">
                  <c:v>9979.7000000000007</c:v>
                </c:pt>
                <c:pt idx="190">
                  <c:v>9988.75</c:v>
                </c:pt>
                <c:pt idx="191">
                  <c:v>10016.950000000001</c:v>
                </c:pt>
                <c:pt idx="192">
                  <c:v>9984.7999999999993</c:v>
                </c:pt>
                <c:pt idx="193">
                  <c:v>10096.4</c:v>
                </c:pt>
                <c:pt idx="194">
                  <c:v>10167.450000000001</c:v>
                </c:pt>
                <c:pt idx="195">
                  <c:v>10230.85</c:v>
                </c:pt>
                <c:pt idx="196">
                  <c:v>10234.450000000001</c:v>
                </c:pt>
                <c:pt idx="197">
                  <c:v>10210.85</c:v>
                </c:pt>
                <c:pt idx="198">
                  <c:v>10146.549999999999</c:v>
                </c:pt>
                <c:pt idx="199">
                  <c:v>10184.85</c:v>
                </c:pt>
                <c:pt idx="200">
                  <c:v>10207.700000000001</c:v>
                </c:pt>
                <c:pt idx="201">
                  <c:v>10295.35</c:v>
                </c:pt>
                <c:pt idx="202">
                  <c:v>10343.799999999999</c:v>
                </c:pt>
                <c:pt idx="203">
                  <c:v>10323.049999999999</c:v>
                </c:pt>
                <c:pt idx="204">
                  <c:v>10363.65</c:v>
                </c:pt>
                <c:pt idx="205">
                  <c:v>10335.299999999999</c:v>
                </c:pt>
                <c:pt idx="206">
                  <c:v>10440.5</c:v>
                </c:pt>
                <c:pt idx="207">
                  <c:v>10423.799999999999</c:v>
                </c:pt>
                <c:pt idx="208">
                  <c:v>10452.5</c:v>
                </c:pt>
                <c:pt idx="209">
                  <c:v>10451.799999999999</c:v>
                </c:pt>
                <c:pt idx="210">
                  <c:v>10350.15</c:v>
                </c:pt>
                <c:pt idx="211">
                  <c:v>10303.15</c:v>
                </c:pt>
                <c:pt idx="212">
                  <c:v>10308.950000000001</c:v>
                </c:pt>
                <c:pt idx="213">
                  <c:v>10321.75</c:v>
                </c:pt>
                <c:pt idx="214">
                  <c:v>10224.950000000001</c:v>
                </c:pt>
                <c:pt idx="215">
                  <c:v>10186.6</c:v>
                </c:pt>
                <c:pt idx="216">
                  <c:v>10118.049999999999</c:v>
                </c:pt>
                <c:pt idx="217">
                  <c:v>10214.75</c:v>
                </c:pt>
                <c:pt idx="218">
                  <c:v>10283.6</c:v>
                </c:pt>
                <c:pt idx="219">
                  <c:v>10298.75</c:v>
                </c:pt>
                <c:pt idx="220">
                  <c:v>10326.9</c:v>
                </c:pt>
                <c:pt idx="221">
                  <c:v>10342.299999999999</c:v>
                </c:pt>
                <c:pt idx="222">
                  <c:v>10348.75</c:v>
                </c:pt>
                <c:pt idx="223">
                  <c:v>10389.700000000001</c:v>
                </c:pt>
                <c:pt idx="224">
                  <c:v>10399.549999999999</c:v>
                </c:pt>
                <c:pt idx="225">
                  <c:v>10370.25</c:v>
                </c:pt>
                <c:pt idx="226">
                  <c:v>10361.299999999999</c:v>
                </c:pt>
                <c:pt idx="227">
                  <c:v>10226.549999999999</c:v>
                </c:pt>
                <c:pt idx="228">
                  <c:v>10121.799999999999</c:v>
                </c:pt>
                <c:pt idx="229">
                  <c:v>10127.75</c:v>
                </c:pt>
                <c:pt idx="230">
                  <c:v>10118.25</c:v>
                </c:pt>
                <c:pt idx="231">
                  <c:v>10044.1</c:v>
                </c:pt>
                <c:pt idx="232">
                  <c:v>10166.700000000001</c:v>
                </c:pt>
                <c:pt idx="233">
                  <c:v>10265.65</c:v>
                </c:pt>
                <c:pt idx="234">
                  <c:v>10322.25</c:v>
                </c:pt>
                <c:pt idx="235">
                  <c:v>10240.15</c:v>
                </c:pt>
                <c:pt idx="236">
                  <c:v>10192.950000000001</c:v>
                </c:pt>
                <c:pt idx="237">
                  <c:v>10252.1</c:v>
                </c:pt>
                <c:pt idx="238">
                  <c:v>10333.25</c:v>
                </c:pt>
                <c:pt idx="239">
                  <c:v>10388.75</c:v>
                </c:pt>
                <c:pt idx="240">
                  <c:v>10463.200000000001</c:v>
                </c:pt>
                <c:pt idx="241">
                  <c:v>10444.200000000001</c:v>
                </c:pt>
                <c:pt idx="242">
                  <c:v>10440.299999999999</c:v>
                </c:pt>
                <c:pt idx="243">
                  <c:v>10493</c:v>
                </c:pt>
                <c:pt idx="244">
                  <c:v>10531.5</c:v>
                </c:pt>
                <c:pt idx="245">
                  <c:v>10490.75</c:v>
                </c:pt>
                <c:pt idx="246">
                  <c:v>10477.9</c:v>
                </c:pt>
                <c:pt idx="247">
                  <c:v>10530.7</c:v>
                </c:pt>
                <c:pt idx="248">
                  <c:v>10435.549999999999</c:v>
                </c:pt>
                <c:pt idx="249">
                  <c:v>10442.200000000001</c:v>
                </c:pt>
                <c:pt idx="250">
                  <c:v>10443.200000000001</c:v>
                </c:pt>
                <c:pt idx="251">
                  <c:v>10504.8</c:v>
                </c:pt>
                <c:pt idx="252">
                  <c:v>10558.85</c:v>
                </c:pt>
                <c:pt idx="253">
                  <c:v>10623.6</c:v>
                </c:pt>
                <c:pt idx="254">
                  <c:v>10637</c:v>
                </c:pt>
                <c:pt idx="255">
                  <c:v>10632.2</c:v>
                </c:pt>
                <c:pt idx="256">
                  <c:v>10651.2</c:v>
                </c:pt>
                <c:pt idx="257">
                  <c:v>10681.25</c:v>
                </c:pt>
                <c:pt idx="258">
                  <c:v>10741.55</c:v>
                </c:pt>
                <c:pt idx="259">
                  <c:v>10700.45</c:v>
                </c:pt>
                <c:pt idx="260">
                  <c:v>10788.55</c:v>
                </c:pt>
                <c:pt idx="261">
                  <c:v>10817</c:v>
                </c:pt>
                <c:pt idx="262">
                  <c:v>10894.7</c:v>
                </c:pt>
                <c:pt idx="263">
                  <c:v>10966.2</c:v>
                </c:pt>
                <c:pt idx="264">
                  <c:v>11083.7</c:v>
                </c:pt>
                <c:pt idx="265">
                  <c:v>11086</c:v>
                </c:pt>
                <c:pt idx="266">
                  <c:v>11069.65</c:v>
                </c:pt>
                <c:pt idx="267">
                  <c:v>11130.4</c:v>
                </c:pt>
                <c:pt idx="268">
                  <c:v>11049.65</c:v>
                </c:pt>
                <c:pt idx="269">
                  <c:v>11027.7</c:v>
                </c:pt>
                <c:pt idx="270">
                  <c:v>11016.9</c:v>
                </c:pt>
                <c:pt idx="271">
                  <c:v>10760.6</c:v>
                </c:pt>
                <c:pt idx="272">
                  <c:v>10666.55</c:v>
                </c:pt>
                <c:pt idx="273">
                  <c:v>10498.25</c:v>
                </c:pt>
                <c:pt idx="274">
                  <c:v>10476.700000000001</c:v>
                </c:pt>
                <c:pt idx="275">
                  <c:v>10576.85</c:v>
                </c:pt>
                <c:pt idx="276">
                  <c:v>10454.950000000001</c:v>
                </c:pt>
                <c:pt idx="277">
                  <c:v>10539.75</c:v>
                </c:pt>
                <c:pt idx="278">
                  <c:v>10500.9</c:v>
                </c:pt>
                <c:pt idx="279">
                  <c:v>10545.5</c:v>
                </c:pt>
                <c:pt idx="280">
                  <c:v>10452.299999999999</c:v>
                </c:pt>
                <c:pt idx="281">
                  <c:v>10378.4</c:v>
                </c:pt>
                <c:pt idx="282">
                  <c:v>10360.4</c:v>
                </c:pt>
                <c:pt idx="283">
                  <c:v>10397.450000000001</c:v>
                </c:pt>
                <c:pt idx="284">
                  <c:v>10382.700000000001</c:v>
                </c:pt>
                <c:pt idx="285">
                  <c:v>10491.05</c:v>
                </c:pt>
                <c:pt idx="286">
                  <c:v>10582.6</c:v>
                </c:pt>
                <c:pt idx="287">
                  <c:v>10554.3</c:v>
                </c:pt>
                <c:pt idx="288">
                  <c:v>10492.85</c:v>
                </c:pt>
              </c:numCache>
            </c:numRef>
          </c:val>
          <c:smooth val="1"/>
        </c:ser>
        <c:dLbls>
          <c:showLegendKey val="0"/>
          <c:showVal val="0"/>
          <c:showCatName val="0"/>
          <c:showSerName val="0"/>
          <c:showPercent val="0"/>
          <c:showBubbleSize val="0"/>
        </c:dLbls>
        <c:marker val="1"/>
        <c:smooth val="0"/>
        <c:axId val="431878808"/>
        <c:axId val="431876456"/>
      </c:lineChart>
      <c:dateAx>
        <c:axId val="431877632"/>
        <c:scaling>
          <c:orientation val="minMax"/>
          <c:min val="42767"/>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431878416"/>
        <c:crosses val="autoZero"/>
        <c:auto val="0"/>
        <c:lblOffset val="100"/>
        <c:baseTimeUnit val="days"/>
        <c:majorUnit val="1"/>
        <c:majorTimeUnit val="months"/>
        <c:minorUnit val="1"/>
        <c:minorTimeUnit val="months"/>
      </c:dateAx>
      <c:valAx>
        <c:axId val="431878416"/>
        <c:scaling>
          <c:orientation val="minMax"/>
          <c:min val="24000"/>
        </c:scaling>
        <c:delete val="0"/>
        <c:axPos val="l"/>
        <c:numFmt formatCode="#,##0" sourceLinked="0"/>
        <c:majorTickMark val="none"/>
        <c:minorTickMark val="none"/>
        <c:tickLblPos val="nextTo"/>
        <c:txPr>
          <a:bodyPr/>
          <a:lstStyle/>
          <a:p>
            <a:pPr>
              <a:defRPr lang="en-IN"/>
            </a:pPr>
            <a:endParaRPr lang="en-US"/>
          </a:p>
        </c:txPr>
        <c:crossAx val="431877632"/>
        <c:crossesAt val="41609"/>
        <c:crossBetween val="between"/>
        <c:majorUnit val="1000"/>
      </c:valAx>
      <c:valAx>
        <c:axId val="431876456"/>
        <c:scaling>
          <c:orientation val="minMax"/>
          <c:min val="7500"/>
        </c:scaling>
        <c:delete val="0"/>
        <c:axPos val="r"/>
        <c:numFmt formatCode="#,##0" sourceLinked="0"/>
        <c:majorTickMark val="none"/>
        <c:minorTickMark val="none"/>
        <c:tickLblPos val="nextTo"/>
        <c:txPr>
          <a:bodyPr/>
          <a:lstStyle/>
          <a:p>
            <a:pPr>
              <a:defRPr lang="en-IN"/>
            </a:pPr>
            <a:endParaRPr lang="en-US"/>
          </a:p>
        </c:txPr>
        <c:crossAx val="431878808"/>
        <c:crosses val="max"/>
        <c:crossBetween val="between"/>
        <c:majorUnit val="500"/>
      </c:valAx>
      <c:dateAx>
        <c:axId val="431878808"/>
        <c:scaling>
          <c:orientation val="minMax"/>
        </c:scaling>
        <c:delete val="1"/>
        <c:axPos val="b"/>
        <c:numFmt formatCode="[$-409]d\-mmm\-yy;@" sourceLinked="1"/>
        <c:majorTickMark val="out"/>
        <c:minorTickMark val="none"/>
        <c:tickLblPos val="none"/>
        <c:crossAx val="431876456"/>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96045786320104"/>
          <c:y val="5.8280943228553116E-2"/>
          <c:w val="0.88022455636365515"/>
          <c:h val="0.71078397808969551"/>
        </c:manualLayout>
      </c:layout>
      <c:barChart>
        <c:barDir val="col"/>
        <c:grouping val="stacked"/>
        <c:varyColors val="0"/>
        <c:ser>
          <c:idx val="0"/>
          <c:order val="0"/>
          <c:tx>
            <c:v>NMCE</c:v>
          </c:tx>
          <c:spPr>
            <a:solidFill>
              <a:srgbClr val="0070C0"/>
            </a:solidFill>
            <a:ln>
              <a:noFill/>
            </a:ln>
            <a:effectLst/>
          </c:spPr>
          <c:invertIfNegative val="0"/>
          <c:cat>
            <c:numRef>
              <c:f>TO!$A$5:$A$18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TO!$B$5:$B$18</c:f>
              <c:numCache>
                <c:formatCode>_(* #,##0_);_(* \(#,##0\);_(* "-"??_);_(@_)</c:formatCode>
                <c:ptCount val="13"/>
                <c:pt idx="0">
                  <c:v>10173.252530199999</c:v>
                </c:pt>
                <c:pt idx="1">
                  <c:v>13292</c:v>
                </c:pt>
                <c:pt idx="2" formatCode="0.00">
                  <c:v>9267.3135478000004</c:v>
                </c:pt>
                <c:pt idx="3" formatCode="0.00">
                  <c:v>9589.1520511999988</c:v>
                </c:pt>
                <c:pt idx="4" formatCode="0.00">
                  <c:v>7142.6217911999984</c:v>
                </c:pt>
                <c:pt idx="5" formatCode="0.00">
                  <c:v>7696.8737025999999</c:v>
                </c:pt>
                <c:pt idx="6" formatCode="0.00">
                  <c:v>9295.7321359999987</c:v>
                </c:pt>
                <c:pt idx="7" formatCode="0.00">
                  <c:v>8783.8690640000004</c:v>
                </c:pt>
                <c:pt idx="8" formatCode="0.00">
                  <c:v>7163.9120304000025</c:v>
                </c:pt>
                <c:pt idx="9" formatCode="0.00">
                  <c:v>11401.246822000006</c:v>
                </c:pt>
                <c:pt idx="10" formatCode="0.00">
                  <c:v>11648.368165199998</c:v>
                </c:pt>
                <c:pt idx="11" formatCode="0.00">
                  <c:v>13116.7500452</c:v>
                </c:pt>
                <c:pt idx="12" formatCode="0.00">
                  <c:v>9296.0379875999988</c:v>
                </c:pt>
              </c:numCache>
              <c:extLst/>
            </c:numRef>
          </c:val>
        </c:ser>
        <c:ser>
          <c:idx val="1"/>
          <c:order val="1"/>
          <c:tx>
            <c:v>NCDEX</c:v>
          </c:tx>
          <c:spPr>
            <a:solidFill>
              <a:srgbClr val="00B050"/>
            </a:solidFill>
            <a:ln>
              <a:noFill/>
            </a:ln>
            <a:effectLst/>
          </c:spPr>
          <c:invertIfNegative val="0"/>
          <c:cat>
            <c:numRef>
              <c:f>TO!$A$5:$A$18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TO!$C$5:$C$18</c:f>
              <c:numCache>
                <c:formatCode>_(* #,##0_);_(* \(#,##0\);_(* "-"??_);_(@_)</c:formatCode>
                <c:ptCount val="13"/>
                <c:pt idx="0">
                  <c:v>31329.301210000009</c:v>
                </c:pt>
                <c:pt idx="1">
                  <c:v>64077.481144999998</c:v>
                </c:pt>
                <c:pt idx="2" formatCode="[&gt;=10000000]#\,##\,##\,##0;[&gt;=100000]#\,##\,##0;##,##0">
                  <c:v>43954.75728199997</c:v>
                </c:pt>
                <c:pt idx="3" formatCode="[&gt;=10000000]#\,##\,##\,##0;[&gt;=100000]#\,##\,##0;##,##0">
                  <c:v>43262.841514999993</c:v>
                </c:pt>
                <c:pt idx="4" formatCode="[&gt;=10000000]#\,##\,##\,##0;[&gt;=100000]#\,##\,##0;##,##0">
                  <c:v>39094.046824999998</c:v>
                </c:pt>
                <c:pt idx="5" formatCode="[&gt;=10000000]#\,##\,##\,##0;[&gt;=100000]#\,##\,##0;##,##0">
                  <c:v>39623.156965000002</c:v>
                </c:pt>
                <c:pt idx="6" formatCode="[&gt;=10000000]#\,##\,##\,##0;[&gt;=100000]#\,##\,##0;##,##0">
                  <c:v>54370.465420000008</c:v>
                </c:pt>
                <c:pt idx="7" formatCode="[&gt;=10000000]#\,##\,##\,##0;[&gt;=100000]#\,##\,##0;##,##0">
                  <c:v>50573.88257999999</c:v>
                </c:pt>
                <c:pt idx="8" formatCode="[&gt;=10000000]#\,##\,##\,##0;[&gt;=100000]#\,##\,##0;##,##0">
                  <c:v>40810.803785000018</c:v>
                </c:pt>
                <c:pt idx="9" formatCode="[&gt;=10000000]#\,##\,##\,##0;[&gt;=100000]#\,##\,##0;##,##0">
                  <c:v>56073.365120000017</c:v>
                </c:pt>
                <c:pt idx="10" formatCode="0.00">
                  <c:v>51460.59096999999</c:v>
                </c:pt>
                <c:pt idx="11" formatCode="0.00">
                  <c:v>69857.233789000005</c:v>
                </c:pt>
                <c:pt idx="12" formatCode="0.00">
                  <c:v>57320.805470000058</c:v>
                </c:pt>
              </c:numCache>
              <c:extLst/>
            </c:numRef>
          </c:val>
        </c:ser>
        <c:ser>
          <c:idx val="2"/>
          <c:order val="2"/>
          <c:tx>
            <c:v>MCX</c:v>
          </c:tx>
          <c:spPr>
            <a:solidFill>
              <a:schemeClr val="accent4"/>
            </a:solidFill>
            <a:ln>
              <a:noFill/>
            </a:ln>
            <a:effectLst/>
          </c:spPr>
          <c:invertIfNegative val="0"/>
          <c:cat>
            <c:numRef>
              <c:f>TO!$A$5:$A$18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TO!$D$5:$D$18</c:f>
              <c:numCache>
                <c:formatCode>_(* #,##0_);_(* \(#,##0\);_(* "-"??_);_(@_)</c:formatCode>
                <c:ptCount val="13"/>
                <c:pt idx="0">
                  <c:v>3036.2774104999999</c:v>
                </c:pt>
                <c:pt idx="1">
                  <c:v>3358.54</c:v>
                </c:pt>
                <c:pt idx="2" formatCode="[&gt;=10000000]#\,##\,##\,##0;[&gt;=100000]#\,##\,##0;##,##0">
                  <c:v>2366.8971594</c:v>
                </c:pt>
                <c:pt idx="3" formatCode="[&gt;=10000000]#\,##\,##\,##0;[&gt;=100000]#\,##\,##0;##,##0">
                  <c:v>2769.5055652000001</c:v>
                </c:pt>
                <c:pt idx="4" formatCode="[&gt;=10000000]#\,##\,##\,##0;[&gt;=100000]#\,##\,##0;##,##0">
                  <c:v>3013.3617129999998</c:v>
                </c:pt>
                <c:pt idx="5" formatCode="[&gt;=10000000]#\,##\,##\,##0;[&gt;=100000]#\,##\,##0;##,##0">
                  <c:v>2751.3635565999998</c:v>
                </c:pt>
                <c:pt idx="6" formatCode="[&gt;=10000000]#\,##\,##\,##0;[&gt;=100000]#\,##\,##0;##,##0">
                  <c:v>2711.2977692999998</c:v>
                </c:pt>
                <c:pt idx="7" formatCode="[&gt;=10000000]#\,##\,##\,##0;[&gt;=100000]#\,##\,##0;##,##0">
                  <c:v>3092.5516235999999</c:v>
                </c:pt>
                <c:pt idx="8" formatCode="[&gt;=10000000]#\,##\,##\,##0;[&gt;=100000]#\,##\,##0;##,##0">
                  <c:v>2664.654333</c:v>
                </c:pt>
                <c:pt idx="9" formatCode="[&gt;=10000000]#\,##\,##\,##0;[&gt;=100000]#\,##\,##0;##,##0">
                  <c:v>2840.3662906999998</c:v>
                </c:pt>
                <c:pt idx="10" formatCode="0.00">
                  <c:v>2847.979863</c:v>
                </c:pt>
                <c:pt idx="11" formatCode="0.00">
                  <c:v>3404.57474</c:v>
                </c:pt>
                <c:pt idx="12" formatCode="0.00">
                  <c:v>2905.06149</c:v>
                </c:pt>
              </c:numCache>
              <c:extLst/>
            </c:numRef>
          </c:val>
        </c:ser>
        <c:dLbls>
          <c:showLegendKey val="0"/>
          <c:showVal val="0"/>
          <c:showCatName val="0"/>
          <c:showSerName val="0"/>
          <c:showPercent val="0"/>
          <c:showBubbleSize val="0"/>
        </c:dLbls>
        <c:gapWidth val="150"/>
        <c:overlap val="100"/>
        <c:axId val="462592440"/>
        <c:axId val="462586952"/>
      </c:barChart>
      <c:lineChart>
        <c:grouping val="standard"/>
        <c:varyColors val="0"/>
        <c:ser>
          <c:idx val="3"/>
          <c:order val="3"/>
          <c:tx>
            <c:strRef>
              <c:f>TO!$F$3</c:f>
              <c:strCache>
                <c:ptCount val="1"/>
                <c:pt idx="0">
                  <c:v>Average</c:v>
                </c:pt>
              </c:strCache>
            </c:strRef>
          </c:tx>
          <c:spPr>
            <a:ln>
              <a:solidFill>
                <a:srgbClr val="C00000"/>
              </a:solidFill>
              <a:prstDash val="sysDash"/>
            </a:ln>
          </c:spPr>
          <c:marker>
            <c:symbol val="none"/>
          </c:marker>
          <c:cat>
            <c:numRef>
              <c:f>TO!$A$5:$A$18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TO!$F$5:$F$18</c:f>
              <c:numCache>
                <c:formatCode>0</c:formatCode>
                <c:ptCount val="13"/>
                <c:pt idx="0">
                  <c:v>59981.756666592308</c:v>
                </c:pt>
                <c:pt idx="1">
                  <c:v>59981.756666592308</c:v>
                </c:pt>
                <c:pt idx="2">
                  <c:v>59981.756666592308</c:v>
                </c:pt>
                <c:pt idx="3">
                  <c:v>59981.756666592308</c:v>
                </c:pt>
                <c:pt idx="4">
                  <c:v>59981.756666592308</c:v>
                </c:pt>
                <c:pt idx="5">
                  <c:v>59981.756666592308</c:v>
                </c:pt>
                <c:pt idx="6">
                  <c:v>59981.756666592308</c:v>
                </c:pt>
                <c:pt idx="7">
                  <c:v>59981.756666592308</c:v>
                </c:pt>
                <c:pt idx="8">
                  <c:v>59981.756666592308</c:v>
                </c:pt>
                <c:pt idx="9">
                  <c:v>59981.756666592308</c:v>
                </c:pt>
                <c:pt idx="10">
                  <c:v>59981.756666592308</c:v>
                </c:pt>
                <c:pt idx="11">
                  <c:v>59981.756666592308</c:v>
                </c:pt>
                <c:pt idx="12">
                  <c:v>59981.756666592308</c:v>
                </c:pt>
              </c:numCache>
              <c:extLst/>
            </c:numRef>
          </c:val>
          <c:smooth val="0"/>
        </c:ser>
        <c:dLbls>
          <c:showLegendKey val="0"/>
          <c:showVal val="0"/>
          <c:showCatName val="0"/>
          <c:showSerName val="0"/>
          <c:showPercent val="0"/>
          <c:showBubbleSize val="0"/>
        </c:dLbls>
        <c:marker val="1"/>
        <c:smooth val="0"/>
        <c:axId val="462592440"/>
        <c:axId val="462586952"/>
      </c:lineChart>
      <c:catAx>
        <c:axId val="462592440"/>
        <c:scaling>
          <c:orientation val="minMax"/>
        </c:scaling>
        <c:delete val="0"/>
        <c:axPos val="b"/>
        <c:numFmt formatCode="mmm\-yy" sourceLinked="1"/>
        <c:majorTickMark val="out"/>
        <c:minorTickMark val="none"/>
        <c:tickLblPos val="nextTo"/>
        <c:spPr>
          <a:noFill/>
          <a:ln w="6350" cap="flat" cmpd="sng" algn="ctr">
            <a:solidFill>
              <a:schemeClr val="tx1">
                <a:tint val="75000"/>
              </a:schemeClr>
            </a:solidFill>
            <a:prstDash val="solid"/>
            <a:round/>
          </a:ln>
          <a:effectLst/>
        </c:spPr>
        <c:txPr>
          <a:bodyPr rot="-2040000" spcFirstLastPara="1" vertOverflow="ellipsis" vert="horz" wrap="square" anchor="ctr" anchorCtr="1"/>
          <a:lstStyle/>
          <a:p>
            <a:pPr>
              <a:defRPr sz="1000" b="0" i="0" u="none" strike="noStrike" kern="1200" baseline="0">
                <a:solidFill>
                  <a:schemeClr val="tx1"/>
                </a:solidFill>
                <a:latin typeface="Palatino Linotype" panose="02040502050505030304" pitchFamily="18" charset="0"/>
                <a:ea typeface="+mn-ea"/>
                <a:cs typeface="+mn-cs"/>
              </a:defRPr>
            </a:pPr>
            <a:endParaRPr lang="en-US"/>
          </a:p>
        </c:txPr>
        <c:crossAx val="462586952"/>
        <c:crosses val="autoZero"/>
        <c:auto val="0"/>
        <c:lblAlgn val="ctr"/>
        <c:lblOffset val="100"/>
        <c:noMultiLvlLbl val="1"/>
      </c:catAx>
      <c:valAx>
        <c:axId val="462586952"/>
        <c:scaling>
          <c:orientation val="minMax"/>
        </c:scaling>
        <c:delete val="0"/>
        <c:axPos val="l"/>
        <c:numFmt formatCode="_(* #,##0_);_(* \(#,##0\);_(* &quot;-&quot;??_);_(@_)"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62592440"/>
        <c:crosses val="autoZero"/>
        <c:crossBetween val="between"/>
      </c:valAx>
      <c:spPr>
        <a:solidFill>
          <a:schemeClr val="bg1"/>
        </a:solidFill>
        <a:ln>
          <a:noFill/>
        </a:ln>
        <a:effectLst/>
      </c:spPr>
    </c:plotArea>
    <c:legend>
      <c:legendPos val="r"/>
      <c:layout>
        <c:manualLayout>
          <c:xMode val="edge"/>
          <c:yMode val="edge"/>
          <c:x val="0.13316480091797248"/>
          <c:y val="0.91109503103306522"/>
          <c:w val="0.69534489318209669"/>
          <c:h val="8.890508947292737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6350" cap="flat" cmpd="sng" algn="ctr">
      <a:solidFill>
        <a:srgbClr val="0070C0"/>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TO!$J$3</c:f>
              <c:strCache>
                <c:ptCount val="1"/>
                <c:pt idx="0">
                  <c:v>MCX</c:v>
                </c:pt>
              </c:strCache>
            </c:strRef>
          </c:tx>
          <c:spPr>
            <a:solidFill>
              <a:schemeClr val="accent1"/>
            </a:solidFill>
            <a:ln>
              <a:noFill/>
            </a:ln>
            <a:effectLst/>
          </c:spPr>
          <c:invertIfNegative val="0"/>
          <c:cat>
            <c:numRef>
              <c:f>TO!$I$5:$I$18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TO!$J$5:$J$18</c:f>
              <c:numCache>
                <c:formatCode>_(* #,##0_);_(* \(#,##0\);_(* "-"??_);_(@_)</c:formatCode>
                <c:ptCount val="13"/>
                <c:pt idx="0">
                  <c:v>382224.37059270008</c:v>
                </c:pt>
                <c:pt idx="1">
                  <c:v>427080</c:v>
                </c:pt>
                <c:pt idx="2" formatCode="0.00">
                  <c:v>354992.81922629999</c:v>
                </c:pt>
                <c:pt idx="3" formatCode="0.00">
                  <c:v>411754.71919004997</c:v>
                </c:pt>
                <c:pt idx="4" formatCode="0.00">
                  <c:v>408683.72294534993</c:v>
                </c:pt>
                <c:pt idx="5" formatCode="0.00">
                  <c:v>437023.96342835005</c:v>
                </c:pt>
                <c:pt idx="6" formatCode="0.00">
                  <c:v>479332.95668715</c:v>
                </c:pt>
                <c:pt idx="7" formatCode="0.00">
                  <c:v>464092.60453309998</c:v>
                </c:pt>
                <c:pt idx="8" formatCode="0.00">
                  <c:v>399934.46095704997</c:v>
                </c:pt>
                <c:pt idx="9" formatCode="0.00">
                  <c:v>458862.48602249986</c:v>
                </c:pt>
                <c:pt idx="10" formatCode="0.00">
                  <c:v>385391.4466501</c:v>
                </c:pt>
                <c:pt idx="11">
                  <c:v>478741.19604870002</c:v>
                </c:pt>
                <c:pt idx="12">
                  <c:v>487769.06760395004</c:v>
                </c:pt>
              </c:numCache>
              <c:extLst/>
            </c:numRef>
          </c:val>
        </c:ser>
        <c:ser>
          <c:idx val="1"/>
          <c:order val="1"/>
          <c:tx>
            <c:strRef>
              <c:f>TO!$K$3</c:f>
              <c:strCache>
                <c:ptCount val="1"/>
                <c:pt idx="0">
                  <c:v>MCX Gold Option</c:v>
                </c:pt>
              </c:strCache>
            </c:strRef>
          </c:tx>
          <c:spPr>
            <a:solidFill>
              <a:schemeClr val="accent2"/>
            </a:solidFill>
            <a:ln w="38100">
              <a:solidFill>
                <a:schemeClr val="accent6">
                  <a:lumMod val="75000"/>
                </a:schemeClr>
              </a:solidFill>
            </a:ln>
            <a:effectLst/>
          </c:spPr>
          <c:invertIfNegative val="0"/>
          <c:cat>
            <c:numRef>
              <c:f>TO!$I$5:$I$18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TO!$K$5:$K$18</c:f>
              <c:numCache>
                <c:formatCode>General</c:formatCode>
                <c:ptCount val="13"/>
                <c:pt idx="8">
                  <c:v>3297.59</c:v>
                </c:pt>
                <c:pt idx="9" formatCode="0.00">
                  <c:v>2865.77</c:v>
                </c:pt>
                <c:pt idx="10" formatCode="0.00">
                  <c:v>1275.47</c:v>
                </c:pt>
                <c:pt idx="11" formatCode="_(* #,##0.00_);_(* \(#,##0.00\);_(* &quot;-&quot;??_);_(@_)">
                  <c:v>1704.58</c:v>
                </c:pt>
                <c:pt idx="12" formatCode="_(* #,##0_);_(* \(#,##0\);_(* &quot;-&quot;??_);_(@_)">
                  <c:v>506.57000000000005</c:v>
                </c:pt>
              </c:numCache>
              <c:extLst/>
            </c:numRef>
          </c:val>
        </c:ser>
        <c:dLbls>
          <c:showLegendKey val="0"/>
          <c:showVal val="0"/>
          <c:showCatName val="0"/>
          <c:showSerName val="0"/>
          <c:showPercent val="0"/>
          <c:showBubbleSize val="0"/>
        </c:dLbls>
        <c:gapWidth val="219"/>
        <c:overlap val="100"/>
        <c:axId val="462591656"/>
        <c:axId val="462590872"/>
      </c:barChart>
      <c:lineChart>
        <c:grouping val="standard"/>
        <c:varyColors val="0"/>
        <c:ser>
          <c:idx val="3"/>
          <c:order val="3"/>
          <c:tx>
            <c:strRef>
              <c:f>TO!$M$3</c:f>
              <c:strCache>
                <c:ptCount val="1"/>
                <c:pt idx="0">
                  <c:v>Average</c:v>
                </c:pt>
              </c:strCache>
            </c:strRef>
          </c:tx>
          <c:spPr>
            <a:ln w="22225" cap="rnd">
              <a:solidFill>
                <a:srgbClr val="C00000"/>
              </a:solidFill>
              <a:prstDash val="sysDash"/>
              <a:round/>
            </a:ln>
            <a:effectLst/>
          </c:spPr>
          <c:marker>
            <c:symbol val="none"/>
          </c:marker>
          <c:cat>
            <c:numRef>
              <c:f>TO!$I$5:$I$18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TO!$M$5:$M$18</c:f>
              <c:numCache>
                <c:formatCode>_(* #,##0_);_(* \(#,##0\);_(* "-"??_);_(@_)</c:formatCode>
                <c:ptCount val="13"/>
                <c:pt idx="0">
                  <c:v>422912.1010661461</c:v>
                </c:pt>
                <c:pt idx="1">
                  <c:v>422912.1010661461</c:v>
                </c:pt>
                <c:pt idx="2">
                  <c:v>422912.1010661461</c:v>
                </c:pt>
                <c:pt idx="3">
                  <c:v>422912.1010661461</c:v>
                </c:pt>
                <c:pt idx="4">
                  <c:v>422912.1010661461</c:v>
                </c:pt>
                <c:pt idx="5">
                  <c:v>422912.1010661461</c:v>
                </c:pt>
                <c:pt idx="6">
                  <c:v>422912.1010661461</c:v>
                </c:pt>
                <c:pt idx="7">
                  <c:v>422912.1010661461</c:v>
                </c:pt>
                <c:pt idx="8">
                  <c:v>422912.1010661461</c:v>
                </c:pt>
                <c:pt idx="9">
                  <c:v>422912.1010661461</c:v>
                </c:pt>
                <c:pt idx="10">
                  <c:v>422912.1010661461</c:v>
                </c:pt>
                <c:pt idx="11">
                  <c:v>422912.1010661461</c:v>
                </c:pt>
                <c:pt idx="12">
                  <c:v>422912.1010661461</c:v>
                </c:pt>
              </c:numCache>
              <c:extLst/>
            </c:numRef>
          </c:val>
          <c:smooth val="0"/>
        </c:ser>
        <c:dLbls>
          <c:showLegendKey val="0"/>
          <c:showVal val="0"/>
          <c:showCatName val="0"/>
          <c:showSerName val="0"/>
          <c:showPercent val="0"/>
          <c:showBubbleSize val="0"/>
        </c:dLbls>
        <c:marker val="1"/>
        <c:smooth val="0"/>
        <c:axId val="462591656"/>
        <c:axId val="462590872"/>
      </c:lineChart>
      <c:lineChart>
        <c:grouping val="standard"/>
        <c:varyColors val="0"/>
        <c:ser>
          <c:idx val="2"/>
          <c:order val="2"/>
          <c:tx>
            <c:strRef>
              <c:f>TO!$L$3</c:f>
              <c:strCache>
                <c:ptCount val="1"/>
                <c:pt idx="0">
                  <c:v>ICEX</c:v>
                </c:pt>
              </c:strCache>
            </c:strRef>
          </c:tx>
          <c:spPr>
            <a:ln w="28575" cap="rnd">
              <a:solidFill>
                <a:schemeClr val="accent3"/>
              </a:solidFill>
              <a:round/>
            </a:ln>
            <a:effectLst/>
          </c:spPr>
          <c:marker>
            <c:symbol val="none"/>
          </c:marker>
          <c:cat>
            <c:numRef>
              <c:f>TO!$I$5:$I$18</c:f>
              <c:numCache>
                <c:formatCode>mmm\-yy</c:formatCode>
                <c:ptCount val="13"/>
                <c:pt idx="0">
                  <c:v>42767</c:v>
                </c:pt>
                <c:pt idx="1">
                  <c:v>42795</c:v>
                </c:pt>
                <c:pt idx="2">
                  <c:v>42826</c:v>
                </c:pt>
                <c:pt idx="3">
                  <c:v>42856</c:v>
                </c:pt>
                <c:pt idx="4">
                  <c:v>42887</c:v>
                </c:pt>
                <c:pt idx="5">
                  <c:v>42917</c:v>
                </c:pt>
                <c:pt idx="6">
                  <c:v>42948</c:v>
                </c:pt>
                <c:pt idx="7">
                  <c:v>42979</c:v>
                </c:pt>
                <c:pt idx="8">
                  <c:v>43009</c:v>
                </c:pt>
                <c:pt idx="9">
                  <c:v>43040</c:v>
                </c:pt>
                <c:pt idx="10">
                  <c:v>43070</c:v>
                </c:pt>
                <c:pt idx="11">
                  <c:v>43101</c:v>
                </c:pt>
                <c:pt idx="12">
                  <c:v>43132</c:v>
                </c:pt>
              </c:numCache>
              <c:extLst/>
            </c:numRef>
          </c:cat>
          <c:val>
            <c:numRef>
              <c:f>TO!$L$5:$L$18</c:f>
              <c:numCache>
                <c:formatCode>General</c:formatCode>
                <c:ptCount val="13"/>
                <c:pt idx="6" formatCode="0">
                  <c:v>8.23</c:v>
                </c:pt>
                <c:pt idx="7" formatCode="0">
                  <c:v>141.6703</c:v>
                </c:pt>
                <c:pt idx="8" formatCode="0">
                  <c:v>165.3657</c:v>
                </c:pt>
                <c:pt idx="9" formatCode="0">
                  <c:v>257.23</c:v>
                </c:pt>
                <c:pt idx="10" formatCode="0">
                  <c:v>268.16000000000003</c:v>
                </c:pt>
                <c:pt idx="11" formatCode="0">
                  <c:v>392.57</c:v>
                </c:pt>
                <c:pt idx="12" formatCode="_(* #,##0_);_(* \(#,##0\);_(* &quot;-&quot;??_);_(@_)">
                  <c:v>509.18130000000002</c:v>
                </c:pt>
              </c:numCache>
              <c:extLst/>
            </c:numRef>
          </c:val>
          <c:smooth val="0"/>
        </c:ser>
        <c:dLbls>
          <c:showLegendKey val="0"/>
          <c:showVal val="0"/>
          <c:showCatName val="0"/>
          <c:showSerName val="0"/>
          <c:showPercent val="0"/>
          <c:showBubbleSize val="0"/>
        </c:dLbls>
        <c:marker val="1"/>
        <c:smooth val="0"/>
        <c:axId val="462596360"/>
        <c:axId val="462591264"/>
      </c:lineChart>
      <c:dateAx>
        <c:axId val="4625916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62590872"/>
        <c:crosses val="autoZero"/>
        <c:auto val="1"/>
        <c:lblOffset val="100"/>
        <c:baseTimeUnit val="months"/>
      </c:dateAx>
      <c:valAx>
        <c:axId val="462590872"/>
        <c:scaling>
          <c:orientation val="minMax"/>
          <c:max val="50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solidFill>
              <a:schemeClr val="accent6">
                <a:lumMod val="6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91656"/>
        <c:crosses val="autoZero"/>
        <c:crossBetween val="between"/>
        <c:majorUnit val="100000"/>
      </c:valAx>
      <c:valAx>
        <c:axId val="462591264"/>
        <c:scaling>
          <c:orientation val="minMax"/>
          <c:max val="5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96360"/>
        <c:crosses val="max"/>
        <c:crossBetween val="between"/>
        <c:majorUnit val="1000"/>
      </c:valAx>
      <c:dateAx>
        <c:axId val="462596360"/>
        <c:scaling>
          <c:orientation val="minMax"/>
        </c:scaling>
        <c:delete val="1"/>
        <c:axPos val="b"/>
        <c:numFmt formatCode="mmm\-yy" sourceLinked="1"/>
        <c:majorTickMark val="out"/>
        <c:minorTickMark val="none"/>
        <c:tickLblPos val="nextTo"/>
        <c:crossAx val="46259126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9407889685431112"/>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'F11'!$A$32:$A$43</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'F11'!$B$32:$B$43</c:f>
              <c:numCache>
                <c:formatCode>_(* #,##0_);_(* \(#,##0\);_(* "-"??_);_(@_)</c:formatCode>
                <c:ptCount val="12"/>
                <c:pt idx="0">
                  <c:v>44579.67</c:v>
                </c:pt>
                <c:pt idx="1">
                  <c:v>37605.480000000003</c:v>
                </c:pt>
                <c:pt idx="2">
                  <c:v>49041.36</c:v>
                </c:pt>
                <c:pt idx="3">
                  <c:v>35324.660000000003</c:v>
                </c:pt>
                <c:pt idx="4">
                  <c:v>37248.730000000003</c:v>
                </c:pt>
                <c:pt idx="5">
                  <c:v>32928.93</c:v>
                </c:pt>
                <c:pt idx="6">
                  <c:v>36603.46</c:v>
                </c:pt>
                <c:pt idx="7">
                  <c:v>38274.01</c:v>
                </c:pt>
                <c:pt idx="8">
                  <c:v>40696.370000000003</c:v>
                </c:pt>
                <c:pt idx="9">
                  <c:v>42513.38</c:v>
                </c:pt>
                <c:pt idx="10">
                  <c:v>45962.82</c:v>
                </c:pt>
                <c:pt idx="11">
                  <c:v>38638.800000000003</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'F11'!$A$32:$A$43</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'F11'!$C$32:$C$43</c:f>
              <c:numCache>
                <c:formatCode>_(* #,##0_);_(* \(#,##0\);_(* "-"??_);_(@_)</c:formatCode>
                <c:ptCount val="12"/>
                <c:pt idx="0">
                  <c:v>147831.01</c:v>
                </c:pt>
                <c:pt idx="1">
                  <c:v>101728.74</c:v>
                </c:pt>
                <c:pt idx="2">
                  <c:v>76901.320000000007</c:v>
                </c:pt>
                <c:pt idx="3">
                  <c:v>134048.72</c:v>
                </c:pt>
                <c:pt idx="4">
                  <c:v>124342.88</c:v>
                </c:pt>
                <c:pt idx="5">
                  <c:v>109894.88</c:v>
                </c:pt>
                <c:pt idx="6">
                  <c:v>114711.97</c:v>
                </c:pt>
                <c:pt idx="7">
                  <c:v>104884.8</c:v>
                </c:pt>
                <c:pt idx="8">
                  <c:v>117574.91</c:v>
                </c:pt>
                <c:pt idx="9">
                  <c:v>103839.72</c:v>
                </c:pt>
                <c:pt idx="10">
                  <c:v>94874.68</c:v>
                </c:pt>
                <c:pt idx="11">
                  <c:v>84030.09</c:v>
                </c:pt>
              </c:numCache>
            </c:numRef>
          </c:val>
        </c:ser>
        <c:dLbls>
          <c:showLegendKey val="0"/>
          <c:showVal val="0"/>
          <c:showCatName val="0"/>
          <c:showSerName val="0"/>
          <c:showPercent val="0"/>
          <c:showBubbleSize val="0"/>
        </c:dLbls>
        <c:gapWidth val="150"/>
        <c:axId val="462590088"/>
        <c:axId val="462593224"/>
      </c:barChart>
      <c:dateAx>
        <c:axId val="46259008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62593224"/>
        <c:crosses val="autoZero"/>
        <c:auto val="1"/>
        <c:lblOffset val="100"/>
        <c:baseTimeUnit val="months"/>
      </c:dateAx>
      <c:valAx>
        <c:axId val="462593224"/>
        <c:scaling>
          <c:orientation val="minMax"/>
        </c:scaling>
        <c:delete val="1"/>
        <c:axPos val="l"/>
        <c:numFmt formatCode="_(* #,##0_);_(* \(#,##0\);_(* &quot;-&quot;??_);_(@_)" sourceLinked="1"/>
        <c:majorTickMark val="out"/>
        <c:minorTickMark val="none"/>
        <c:tickLblPos val="none"/>
        <c:crossAx val="462590088"/>
        <c:crosses val="autoZero"/>
        <c:crossBetween val="between"/>
      </c:valAx>
    </c:plotArea>
    <c:legend>
      <c:legendPos val="b"/>
      <c:layout>
        <c:manualLayout>
          <c:xMode val="edge"/>
          <c:yMode val="edge"/>
          <c:x val="0.27527890409047706"/>
          <c:y val="0.9144460100382189"/>
          <c:w val="0.44545286490351499"/>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936427260262352E-2"/>
          <c:y val="3.9087857170754227E-2"/>
          <c:w val="0.94887912865055546"/>
          <c:h val="0.82266432783889942"/>
        </c:manualLayout>
      </c:layout>
      <c:barChart>
        <c:barDir val="col"/>
        <c:grouping val="clustered"/>
        <c:varyColors val="0"/>
        <c:ser>
          <c:idx val="0"/>
          <c:order val="0"/>
          <c:spPr>
            <a:solidFill>
              <a:schemeClr val="accent4">
                <a:lumMod val="75000"/>
              </a:schemeClr>
            </a:solidFill>
          </c:spPr>
          <c:invertIfNegative val="0"/>
          <c:cat>
            <c:numRef>
              <c:f>'F12'!$A$29:$A$40</c:f>
              <c:numCache>
                <c:formatCode>[$-409]mmm\-yy;@</c:formatCode>
                <c:ptCount val="12"/>
                <c:pt idx="0">
                  <c:v>42808</c:v>
                </c:pt>
                <c:pt idx="1">
                  <c:v>42840</c:v>
                </c:pt>
                <c:pt idx="2">
                  <c:v>42872</c:v>
                </c:pt>
                <c:pt idx="3">
                  <c:v>42904</c:v>
                </c:pt>
                <c:pt idx="4">
                  <c:v>42936</c:v>
                </c:pt>
                <c:pt idx="5">
                  <c:v>42968</c:v>
                </c:pt>
                <c:pt idx="6">
                  <c:v>43000</c:v>
                </c:pt>
                <c:pt idx="7">
                  <c:v>43032</c:v>
                </c:pt>
                <c:pt idx="8">
                  <c:v>43064</c:v>
                </c:pt>
                <c:pt idx="9">
                  <c:v>43096</c:v>
                </c:pt>
                <c:pt idx="10">
                  <c:v>43128</c:v>
                </c:pt>
                <c:pt idx="11">
                  <c:v>43132</c:v>
                </c:pt>
              </c:numCache>
            </c:numRef>
          </c:cat>
          <c:val>
            <c:numRef>
              <c:f>'F12'!$B$29:$B$40</c:f>
              <c:numCache>
                <c:formatCode>#,##0</c:formatCode>
                <c:ptCount val="12"/>
                <c:pt idx="0">
                  <c:v>4191.3999999999996</c:v>
                </c:pt>
                <c:pt idx="1">
                  <c:v>11244.25</c:v>
                </c:pt>
                <c:pt idx="2">
                  <c:v>9357.67</c:v>
                </c:pt>
                <c:pt idx="3">
                  <c:v>9106.11</c:v>
                </c:pt>
                <c:pt idx="4">
                  <c:v>11799.85</c:v>
                </c:pt>
                <c:pt idx="5">
                  <c:v>17941.11</c:v>
                </c:pt>
                <c:pt idx="6">
                  <c:v>17456.84</c:v>
                </c:pt>
                <c:pt idx="7">
                  <c:v>9990.5</c:v>
                </c:pt>
                <c:pt idx="8">
                  <c:v>12080.1</c:v>
                </c:pt>
                <c:pt idx="9">
                  <c:v>8333.2999999999993</c:v>
                </c:pt>
                <c:pt idx="10">
                  <c:v>9023.16</c:v>
                </c:pt>
                <c:pt idx="11">
                  <c:v>16180.88</c:v>
                </c:pt>
              </c:numCache>
            </c:numRef>
          </c:val>
        </c:ser>
        <c:ser>
          <c:idx val="1"/>
          <c:order val="1"/>
          <c:invertIfNegative val="0"/>
          <c:cat>
            <c:numRef>
              <c:f>'F12'!$A$29:$A$40</c:f>
              <c:numCache>
                <c:formatCode>[$-409]mmm\-yy;@</c:formatCode>
                <c:ptCount val="12"/>
                <c:pt idx="0">
                  <c:v>42808</c:v>
                </c:pt>
                <c:pt idx="1">
                  <c:v>42840</c:v>
                </c:pt>
                <c:pt idx="2">
                  <c:v>42872</c:v>
                </c:pt>
                <c:pt idx="3">
                  <c:v>42904</c:v>
                </c:pt>
                <c:pt idx="4">
                  <c:v>42936</c:v>
                </c:pt>
                <c:pt idx="5">
                  <c:v>42968</c:v>
                </c:pt>
                <c:pt idx="6">
                  <c:v>43000</c:v>
                </c:pt>
                <c:pt idx="7">
                  <c:v>43032</c:v>
                </c:pt>
                <c:pt idx="8">
                  <c:v>43064</c:v>
                </c:pt>
                <c:pt idx="9">
                  <c:v>43096</c:v>
                </c:pt>
                <c:pt idx="10">
                  <c:v>43128</c:v>
                </c:pt>
                <c:pt idx="11">
                  <c:v>43132</c:v>
                </c:pt>
              </c:numCache>
            </c:numRef>
          </c:cat>
          <c:val>
            <c:numRef>
              <c:f>'F12'!$C$29:$C$40</c:f>
              <c:numCache>
                <c:formatCode>#,##0</c:formatCode>
                <c:ptCount val="12"/>
                <c:pt idx="0">
                  <c:v>34893.9</c:v>
                </c:pt>
                <c:pt idx="1">
                  <c:v>55932.89</c:v>
                </c:pt>
                <c:pt idx="2">
                  <c:v>9514.3700000000008</c:v>
                </c:pt>
                <c:pt idx="3">
                  <c:v>12617.91</c:v>
                </c:pt>
                <c:pt idx="4">
                  <c:v>40387.5</c:v>
                </c:pt>
                <c:pt idx="5">
                  <c:v>36466.82</c:v>
                </c:pt>
                <c:pt idx="6">
                  <c:v>31855.24</c:v>
                </c:pt>
                <c:pt idx="7">
                  <c:v>29088.49</c:v>
                </c:pt>
                <c:pt idx="8">
                  <c:v>41978.37</c:v>
                </c:pt>
                <c:pt idx="9">
                  <c:v>18997.55</c:v>
                </c:pt>
                <c:pt idx="10">
                  <c:v>22240.3</c:v>
                </c:pt>
                <c:pt idx="11">
                  <c:v>33659.07</c:v>
                </c:pt>
              </c:numCache>
            </c:numRef>
          </c:val>
        </c:ser>
        <c:dLbls>
          <c:showLegendKey val="0"/>
          <c:showVal val="0"/>
          <c:showCatName val="0"/>
          <c:showSerName val="0"/>
          <c:showPercent val="0"/>
          <c:showBubbleSize val="0"/>
        </c:dLbls>
        <c:gapWidth val="150"/>
        <c:axId val="462595184"/>
        <c:axId val="462588128"/>
      </c:barChart>
      <c:lineChart>
        <c:grouping val="standard"/>
        <c:varyColors val="0"/>
        <c:ser>
          <c:idx val="2"/>
          <c:order val="2"/>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'F12'!$A$29:$A$40</c:f>
              <c:numCache>
                <c:formatCode>[$-409]mmm\-yy;@</c:formatCode>
                <c:ptCount val="12"/>
                <c:pt idx="0">
                  <c:v>42808</c:v>
                </c:pt>
                <c:pt idx="1">
                  <c:v>42840</c:v>
                </c:pt>
                <c:pt idx="2">
                  <c:v>42872</c:v>
                </c:pt>
                <c:pt idx="3">
                  <c:v>42904</c:v>
                </c:pt>
                <c:pt idx="4">
                  <c:v>42936</c:v>
                </c:pt>
                <c:pt idx="5">
                  <c:v>42968</c:v>
                </c:pt>
                <c:pt idx="6">
                  <c:v>43000</c:v>
                </c:pt>
                <c:pt idx="7">
                  <c:v>43032</c:v>
                </c:pt>
                <c:pt idx="8">
                  <c:v>43064</c:v>
                </c:pt>
                <c:pt idx="9">
                  <c:v>43096</c:v>
                </c:pt>
                <c:pt idx="10">
                  <c:v>43128</c:v>
                </c:pt>
                <c:pt idx="11">
                  <c:v>43132</c:v>
                </c:pt>
              </c:numCache>
            </c:numRef>
          </c:cat>
          <c:val>
            <c:numRef>
              <c:f>'F12'!$D$29:$D$40</c:f>
              <c:numCache>
                <c:formatCode>[&gt;9999999]##\,##\,##\,##0;[&gt;99999]##\,##\,##0;##,##0</c:formatCode>
                <c:ptCount val="12"/>
                <c:pt idx="0">
                  <c:v>39085.300000000003</c:v>
                </c:pt>
                <c:pt idx="1">
                  <c:v>67177.14</c:v>
                </c:pt>
                <c:pt idx="2">
                  <c:v>18872.04</c:v>
                </c:pt>
                <c:pt idx="3">
                  <c:v>21724.02</c:v>
                </c:pt>
                <c:pt idx="4">
                  <c:v>52187.35</c:v>
                </c:pt>
                <c:pt idx="5">
                  <c:v>54407.93</c:v>
                </c:pt>
                <c:pt idx="6">
                  <c:v>49312.08</c:v>
                </c:pt>
                <c:pt idx="7">
                  <c:v>39078.990000000005</c:v>
                </c:pt>
                <c:pt idx="8">
                  <c:v>54058.47</c:v>
                </c:pt>
                <c:pt idx="9">
                  <c:v>27330.85</c:v>
                </c:pt>
                <c:pt idx="10">
                  <c:v>31263.46</c:v>
                </c:pt>
                <c:pt idx="11">
                  <c:v>49839.95</c:v>
                </c:pt>
              </c:numCache>
            </c:numRef>
          </c:val>
          <c:smooth val="0"/>
        </c:ser>
        <c:dLbls>
          <c:showLegendKey val="0"/>
          <c:showVal val="0"/>
          <c:showCatName val="0"/>
          <c:showSerName val="0"/>
          <c:showPercent val="0"/>
          <c:showBubbleSize val="0"/>
        </c:dLbls>
        <c:marker val="1"/>
        <c:smooth val="0"/>
        <c:axId val="462595184"/>
        <c:axId val="462588128"/>
      </c:lineChart>
      <c:catAx>
        <c:axId val="462595184"/>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462588128"/>
        <c:crosses val="autoZero"/>
        <c:auto val="0"/>
        <c:lblAlgn val="ctr"/>
        <c:lblOffset val="1"/>
        <c:noMultiLvlLbl val="0"/>
      </c:catAx>
      <c:valAx>
        <c:axId val="462588128"/>
        <c:scaling>
          <c:orientation val="minMax"/>
          <c:min val="0"/>
        </c:scaling>
        <c:delete val="0"/>
        <c:axPos val="l"/>
        <c:numFmt formatCode="#,##0" sourceLinked="1"/>
        <c:majorTickMark val="out"/>
        <c:minorTickMark val="none"/>
        <c:tickLblPos val="nextTo"/>
        <c:crossAx val="462595184"/>
        <c:crosses val="autoZero"/>
        <c:crossBetween val="between"/>
      </c:valAx>
    </c:plotArea>
    <c:legend>
      <c:legendPos val="b"/>
      <c:layout>
        <c:manualLayout>
          <c:xMode val="edge"/>
          <c:yMode val="edge"/>
          <c:x val="0.26170423535401804"/>
          <c:y val="0.92285502267791253"/>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'F13'!$B$3</c:f>
              <c:strCache>
                <c:ptCount val="1"/>
                <c:pt idx="0">
                  <c:v>Equity (LHS)</c:v>
                </c:pt>
              </c:strCache>
            </c:strRef>
          </c:tx>
          <c:spPr>
            <a:solidFill>
              <a:schemeClr val="accent1"/>
            </a:solidFill>
            <a:ln>
              <a:noFill/>
            </a:ln>
            <a:effectLst/>
          </c:spPr>
          <c:invertIfNegative val="0"/>
          <c:cat>
            <c:numRef>
              <c:f>'F13'!$A$31:$A$41</c:f>
              <c:numCache>
                <c:formatCode>[$-409]mmm\-yy;@</c:formatCode>
                <c:ptCount val="11"/>
                <c:pt idx="0">
                  <c:v>42842</c:v>
                </c:pt>
                <c:pt idx="1">
                  <c:v>42874</c:v>
                </c:pt>
                <c:pt idx="2">
                  <c:v>42906</c:v>
                </c:pt>
                <c:pt idx="3">
                  <c:v>42938</c:v>
                </c:pt>
                <c:pt idx="4">
                  <c:v>42970</c:v>
                </c:pt>
                <c:pt idx="5">
                  <c:v>43002</c:v>
                </c:pt>
                <c:pt idx="6">
                  <c:v>43034</c:v>
                </c:pt>
                <c:pt idx="7">
                  <c:v>43066</c:v>
                </c:pt>
                <c:pt idx="8">
                  <c:v>43098</c:v>
                </c:pt>
                <c:pt idx="9">
                  <c:v>43130</c:v>
                </c:pt>
                <c:pt idx="10">
                  <c:v>43134</c:v>
                </c:pt>
              </c:numCache>
            </c:numRef>
          </c:cat>
          <c:val>
            <c:numRef>
              <c:f>'F13'!$B$31:$B$41</c:f>
              <c:numCache>
                <c:formatCode>#,##0</c:formatCode>
                <c:ptCount val="11"/>
                <c:pt idx="0">
                  <c:v>2394</c:v>
                </c:pt>
                <c:pt idx="1">
                  <c:v>7711.41</c:v>
                </c:pt>
                <c:pt idx="2">
                  <c:v>3616.8199999999988</c:v>
                </c:pt>
                <c:pt idx="3">
                  <c:v>5160.71</c:v>
                </c:pt>
                <c:pt idx="4">
                  <c:v>-12769.680000000002</c:v>
                </c:pt>
                <c:pt idx="5">
                  <c:v>-11392.269999999999</c:v>
                </c:pt>
                <c:pt idx="6">
                  <c:v>3055.44</c:v>
                </c:pt>
                <c:pt idx="7">
                  <c:v>19727.650000000001</c:v>
                </c:pt>
                <c:pt idx="8">
                  <c:v>-5882.6799999999985</c:v>
                </c:pt>
                <c:pt idx="9">
                  <c:v>13781.460000000001</c:v>
                </c:pt>
                <c:pt idx="10">
                  <c:v>-11037.1</c:v>
                </c:pt>
              </c:numCache>
            </c:numRef>
          </c:val>
        </c:ser>
        <c:ser>
          <c:idx val="1"/>
          <c:order val="1"/>
          <c:tx>
            <c:strRef>
              <c:f>'F13'!$C$3</c:f>
              <c:strCache>
                <c:ptCount val="1"/>
                <c:pt idx="0">
                  <c:v>Debt (LHS)</c:v>
                </c:pt>
              </c:strCache>
            </c:strRef>
          </c:tx>
          <c:spPr>
            <a:solidFill>
              <a:schemeClr val="accent2"/>
            </a:solidFill>
            <a:ln>
              <a:noFill/>
            </a:ln>
            <a:effectLst/>
          </c:spPr>
          <c:invertIfNegative val="0"/>
          <c:cat>
            <c:numRef>
              <c:f>'F13'!$A$31:$A$41</c:f>
              <c:numCache>
                <c:formatCode>[$-409]mmm\-yy;@</c:formatCode>
                <c:ptCount val="11"/>
                <c:pt idx="0">
                  <c:v>42842</c:v>
                </c:pt>
                <c:pt idx="1">
                  <c:v>42874</c:v>
                </c:pt>
                <c:pt idx="2">
                  <c:v>42906</c:v>
                </c:pt>
                <c:pt idx="3">
                  <c:v>42938</c:v>
                </c:pt>
                <c:pt idx="4">
                  <c:v>42970</c:v>
                </c:pt>
                <c:pt idx="5">
                  <c:v>43002</c:v>
                </c:pt>
                <c:pt idx="6">
                  <c:v>43034</c:v>
                </c:pt>
                <c:pt idx="7">
                  <c:v>43066</c:v>
                </c:pt>
                <c:pt idx="8">
                  <c:v>43098</c:v>
                </c:pt>
                <c:pt idx="9">
                  <c:v>43130</c:v>
                </c:pt>
                <c:pt idx="10">
                  <c:v>43134</c:v>
                </c:pt>
              </c:numCache>
            </c:numRef>
          </c:cat>
          <c:val>
            <c:numRef>
              <c:f>'F13'!$C$31:$C$41</c:f>
              <c:numCache>
                <c:formatCode>#,##0</c:formatCode>
                <c:ptCount val="11"/>
                <c:pt idx="0">
                  <c:v>20364</c:v>
                </c:pt>
                <c:pt idx="1">
                  <c:v>19154.75</c:v>
                </c:pt>
                <c:pt idx="2">
                  <c:v>25685.110000000004</c:v>
                </c:pt>
                <c:pt idx="3">
                  <c:v>18867.149999999998</c:v>
                </c:pt>
                <c:pt idx="4">
                  <c:v>15446.51</c:v>
                </c:pt>
                <c:pt idx="5">
                  <c:v>1348.8900000000006</c:v>
                </c:pt>
                <c:pt idx="6">
                  <c:v>16063.65</c:v>
                </c:pt>
                <c:pt idx="7">
                  <c:v>530.53999999999962</c:v>
                </c:pt>
                <c:pt idx="8">
                  <c:v>2350.23</c:v>
                </c:pt>
                <c:pt idx="9">
                  <c:v>8522.92</c:v>
                </c:pt>
                <c:pt idx="10">
                  <c:v>-253.85000000000059</c:v>
                </c:pt>
              </c:numCache>
            </c:numRef>
          </c:val>
        </c:ser>
        <c:dLbls>
          <c:showLegendKey val="0"/>
          <c:showVal val="0"/>
          <c:showCatName val="0"/>
          <c:showSerName val="0"/>
          <c:showPercent val="0"/>
          <c:showBubbleSize val="0"/>
        </c:dLbls>
        <c:gapWidth val="219"/>
        <c:axId val="462593616"/>
        <c:axId val="462595576"/>
      </c:barChart>
      <c:barChart>
        <c:barDir val="col"/>
        <c:grouping val="clustered"/>
        <c:varyColors val="0"/>
        <c:ser>
          <c:idx val="2"/>
          <c:order val="2"/>
          <c:tx>
            <c:strRef>
              <c:f>'F13'!$D$3</c:f>
              <c:strCache>
                <c:ptCount val="1"/>
                <c:pt idx="0">
                  <c:v>Hybrid (RHS)</c:v>
                </c:pt>
              </c:strCache>
            </c:strRef>
          </c:tx>
          <c:spPr>
            <a:solidFill>
              <a:schemeClr val="accent3"/>
            </a:solidFill>
            <a:ln>
              <a:noFill/>
            </a:ln>
            <a:effectLst/>
          </c:spPr>
          <c:invertIfNegative val="0"/>
          <c:cat>
            <c:numRef>
              <c:f>'F13'!$A$31:$A$41</c:f>
              <c:numCache>
                <c:formatCode>[$-409]mmm\-yy;@</c:formatCode>
                <c:ptCount val="11"/>
                <c:pt idx="0">
                  <c:v>42842</c:v>
                </c:pt>
                <c:pt idx="1">
                  <c:v>42874</c:v>
                </c:pt>
                <c:pt idx="2">
                  <c:v>42906</c:v>
                </c:pt>
                <c:pt idx="3">
                  <c:v>42938</c:v>
                </c:pt>
                <c:pt idx="4">
                  <c:v>42970</c:v>
                </c:pt>
                <c:pt idx="5">
                  <c:v>43002</c:v>
                </c:pt>
                <c:pt idx="6">
                  <c:v>43034</c:v>
                </c:pt>
                <c:pt idx="7">
                  <c:v>43066</c:v>
                </c:pt>
                <c:pt idx="8">
                  <c:v>43098</c:v>
                </c:pt>
                <c:pt idx="9">
                  <c:v>43130</c:v>
                </c:pt>
                <c:pt idx="10">
                  <c:v>43134</c:v>
                </c:pt>
              </c:numCache>
            </c:numRef>
          </c:cat>
          <c:val>
            <c:numRef>
              <c:f>'F13'!$D$31:$D$41</c:f>
              <c:numCache>
                <c:formatCode>#,##0</c:formatCode>
                <c:ptCount val="11"/>
                <c:pt idx="0">
                  <c:v>0</c:v>
                </c:pt>
                <c:pt idx="1">
                  <c:v>0</c:v>
                </c:pt>
                <c:pt idx="2">
                  <c:v>0</c:v>
                </c:pt>
                <c:pt idx="3">
                  <c:v>0</c:v>
                </c:pt>
                <c:pt idx="4">
                  <c:v>0</c:v>
                </c:pt>
                <c:pt idx="5">
                  <c:v>0</c:v>
                </c:pt>
                <c:pt idx="6">
                  <c:v>0</c:v>
                </c:pt>
                <c:pt idx="7">
                  <c:v>0</c:v>
                </c:pt>
                <c:pt idx="8">
                  <c:v>-11.33</c:v>
                </c:pt>
                <c:pt idx="9">
                  <c:v>-32.42</c:v>
                </c:pt>
                <c:pt idx="10">
                  <c:v>2.8</c:v>
                </c:pt>
              </c:numCache>
            </c:numRef>
          </c:val>
        </c:ser>
        <c:dLbls>
          <c:showLegendKey val="0"/>
          <c:showVal val="0"/>
          <c:showCatName val="0"/>
          <c:showSerName val="0"/>
          <c:showPercent val="0"/>
          <c:showBubbleSize val="0"/>
        </c:dLbls>
        <c:gapWidth val="219"/>
        <c:axId val="462597928"/>
        <c:axId val="462594008"/>
      </c:barChart>
      <c:lineChart>
        <c:grouping val="standard"/>
        <c:varyColors val="0"/>
        <c:ser>
          <c:idx val="3"/>
          <c:order val="3"/>
          <c:tx>
            <c:strRef>
              <c:f>'F13'!$E$3</c:f>
              <c:strCache>
                <c:ptCount val="1"/>
                <c:pt idx="0">
                  <c:v>Total (LHS)</c:v>
                </c:pt>
              </c:strCache>
            </c:strRef>
          </c:tx>
          <c:spPr>
            <a:ln w="28575" cap="rnd">
              <a:solidFill>
                <a:schemeClr val="accent4"/>
              </a:solidFill>
              <a:round/>
            </a:ln>
            <a:effectLst/>
          </c:spPr>
          <c:marker>
            <c:symbol val="none"/>
          </c:marker>
          <c:cat>
            <c:numRef>
              <c:f>'F13'!$A$31:$A$41</c:f>
              <c:numCache>
                <c:formatCode>[$-409]mmm\-yy;@</c:formatCode>
                <c:ptCount val="11"/>
                <c:pt idx="0">
                  <c:v>42842</c:v>
                </c:pt>
                <c:pt idx="1">
                  <c:v>42874</c:v>
                </c:pt>
                <c:pt idx="2">
                  <c:v>42906</c:v>
                </c:pt>
                <c:pt idx="3">
                  <c:v>42938</c:v>
                </c:pt>
                <c:pt idx="4">
                  <c:v>42970</c:v>
                </c:pt>
                <c:pt idx="5">
                  <c:v>43002</c:v>
                </c:pt>
                <c:pt idx="6">
                  <c:v>43034</c:v>
                </c:pt>
                <c:pt idx="7">
                  <c:v>43066</c:v>
                </c:pt>
                <c:pt idx="8">
                  <c:v>43098</c:v>
                </c:pt>
                <c:pt idx="9">
                  <c:v>43130</c:v>
                </c:pt>
                <c:pt idx="10">
                  <c:v>43134</c:v>
                </c:pt>
              </c:numCache>
            </c:numRef>
          </c:cat>
          <c:val>
            <c:numRef>
              <c:f>'F13'!$E$31:$E$41</c:f>
              <c:numCache>
                <c:formatCode>#,##0</c:formatCode>
                <c:ptCount val="11"/>
                <c:pt idx="0">
                  <c:v>22758</c:v>
                </c:pt>
                <c:pt idx="1">
                  <c:v>26866.160000000007</c:v>
                </c:pt>
                <c:pt idx="2">
                  <c:v>29301.93</c:v>
                </c:pt>
                <c:pt idx="3">
                  <c:v>24027.860000000004</c:v>
                </c:pt>
                <c:pt idx="4">
                  <c:v>2676.8300000000013</c:v>
                </c:pt>
                <c:pt idx="5">
                  <c:v>-10043.380000000001</c:v>
                </c:pt>
                <c:pt idx="6">
                  <c:v>19119.09</c:v>
                </c:pt>
                <c:pt idx="7">
                  <c:v>20258.189999999999</c:v>
                </c:pt>
                <c:pt idx="8">
                  <c:v>-3543.7799999999997</c:v>
                </c:pt>
                <c:pt idx="9">
                  <c:v>22271.960000000003</c:v>
                </c:pt>
                <c:pt idx="10">
                  <c:v>2.7999999999999994</c:v>
                </c:pt>
              </c:numCache>
            </c:numRef>
          </c:val>
          <c:smooth val="0"/>
        </c:ser>
        <c:dLbls>
          <c:showLegendKey val="0"/>
          <c:showVal val="0"/>
          <c:showCatName val="0"/>
          <c:showSerName val="0"/>
          <c:showPercent val="0"/>
          <c:showBubbleSize val="0"/>
        </c:dLbls>
        <c:marker val="1"/>
        <c:smooth val="0"/>
        <c:axId val="462593616"/>
        <c:axId val="462595576"/>
      </c:lineChart>
      <c:dateAx>
        <c:axId val="462593616"/>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95576"/>
        <c:crosses val="autoZero"/>
        <c:auto val="1"/>
        <c:lblOffset val="100"/>
        <c:baseTimeUnit val="months"/>
      </c:dateAx>
      <c:valAx>
        <c:axId val="4625955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93616"/>
        <c:crosses val="autoZero"/>
        <c:crossBetween val="between"/>
      </c:valAx>
      <c:valAx>
        <c:axId val="462594008"/>
        <c:scaling>
          <c:orientation val="minMax"/>
          <c:max val="105"/>
          <c:min val="-3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97928"/>
        <c:crosses val="max"/>
        <c:crossBetween val="between"/>
      </c:valAx>
      <c:dateAx>
        <c:axId val="462597928"/>
        <c:scaling>
          <c:orientation val="minMax"/>
        </c:scaling>
        <c:delete val="1"/>
        <c:axPos val="b"/>
        <c:numFmt formatCode="[$-409]mmm\-yy;@" sourceLinked="1"/>
        <c:majorTickMark val="out"/>
        <c:minorTickMark val="none"/>
        <c:tickLblPos val="nextTo"/>
        <c:crossAx val="462594008"/>
        <c:crosses val="autoZero"/>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dLbl>
              <c:idx val="3"/>
              <c:layout>
                <c:manualLayout>
                  <c:x val="-5.0925337632079971E-17"/>
                  <c:y val="9.306260575296108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050006961486185E-16"/>
                  <c:y val="1.33059454524705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'F14'!$C$18:$C$29</c:f>
              <c:numCache>
                <c:formatCode>[$-409]mmm\-yy;@</c:formatCode>
                <c:ptCount val="12"/>
                <c:pt idx="0">
                  <c:v>42795</c:v>
                </c:pt>
                <c:pt idx="1">
                  <c:v>42826</c:v>
                </c:pt>
                <c:pt idx="2">
                  <c:v>42856</c:v>
                </c:pt>
                <c:pt idx="3">
                  <c:v>42887</c:v>
                </c:pt>
                <c:pt idx="4">
                  <c:v>42917</c:v>
                </c:pt>
                <c:pt idx="5">
                  <c:v>42948</c:v>
                </c:pt>
                <c:pt idx="6">
                  <c:v>42979</c:v>
                </c:pt>
                <c:pt idx="7">
                  <c:v>43009</c:v>
                </c:pt>
                <c:pt idx="8">
                  <c:v>43040</c:v>
                </c:pt>
                <c:pt idx="9">
                  <c:v>43070</c:v>
                </c:pt>
                <c:pt idx="10">
                  <c:v>43101</c:v>
                </c:pt>
                <c:pt idx="11">
                  <c:v>43132</c:v>
                </c:pt>
              </c:numCache>
            </c:numRef>
          </c:cat>
          <c:val>
            <c:numRef>
              <c:f>'F14'!$D$18:$D$29</c:f>
              <c:numCache>
                <c:formatCode>[&gt;=10000000]#.##\,##\,##0;[&gt;=100000]#.##\,##0;##,##0</c:formatCode>
                <c:ptCount val="12"/>
                <c:pt idx="0">
                  <c:v>2.88</c:v>
                </c:pt>
                <c:pt idx="1">
                  <c:v>586.92999999999995</c:v>
                </c:pt>
                <c:pt idx="2">
                  <c:v>441</c:v>
                </c:pt>
                <c:pt idx="3">
                  <c:v>74.86</c:v>
                </c:pt>
                <c:pt idx="4">
                  <c:v>13.18</c:v>
                </c:pt>
                <c:pt idx="5">
                  <c:v>125.02</c:v>
                </c:pt>
                <c:pt idx="6">
                  <c:v>0.75</c:v>
                </c:pt>
                <c:pt idx="7">
                  <c:v>134.02000000000001</c:v>
                </c:pt>
                <c:pt idx="8">
                  <c:v>357.94</c:v>
                </c:pt>
                <c:pt idx="9">
                  <c:v>12.79</c:v>
                </c:pt>
                <c:pt idx="10">
                  <c:v>3.33</c:v>
                </c:pt>
                <c:pt idx="11">
                  <c:v>10.220000000000001</c:v>
                </c:pt>
              </c:numCache>
            </c:numRef>
          </c:val>
        </c:ser>
        <c:dLbls>
          <c:showLegendKey val="0"/>
          <c:showVal val="0"/>
          <c:showCatName val="0"/>
          <c:showSerName val="0"/>
          <c:showPercent val="0"/>
          <c:showBubbleSize val="0"/>
        </c:dLbls>
        <c:gapWidth val="219"/>
        <c:overlap val="-27"/>
        <c:axId val="462589304"/>
        <c:axId val="462594400"/>
      </c:barChart>
      <c:lineChart>
        <c:grouping val="standard"/>
        <c:varyColors val="0"/>
        <c:ser>
          <c:idx val="1"/>
          <c:order val="1"/>
          <c:tx>
            <c:strRef>
              <c:f>'F14'!$E$5</c:f>
              <c:strCache>
                <c:ptCount val="1"/>
                <c:pt idx="0">
                  <c:v>Number of Open offer - (RHS)</c:v>
                </c:pt>
              </c:strCache>
            </c:strRef>
          </c:tx>
          <c:spPr>
            <a:ln w="28575" cap="rnd">
              <a:solidFill>
                <a:schemeClr val="tx2">
                  <a:lumMod val="60000"/>
                  <a:lumOff val="40000"/>
                </a:schemeClr>
              </a:solidFill>
              <a:round/>
            </a:ln>
            <a:effectLst/>
          </c:spPr>
          <c:marker>
            <c:symbol val="none"/>
          </c:marker>
          <c:dLbls>
            <c:dLbl>
              <c:idx val="10"/>
              <c:layout>
                <c:manualLayout>
                  <c:x val="-2.7777777777777776E-2"/>
                  <c:y val="7.614213197969550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222222222222223E-2"/>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'F14'!$C$18:$C$29</c:f>
              <c:numCache>
                <c:formatCode>[$-409]mmm\-yy;@</c:formatCode>
                <c:ptCount val="12"/>
                <c:pt idx="0">
                  <c:v>42795</c:v>
                </c:pt>
                <c:pt idx="1">
                  <c:v>42826</c:v>
                </c:pt>
                <c:pt idx="2">
                  <c:v>42856</c:v>
                </c:pt>
                <c:pt idx="3">
                  <c:v>42887</c:v>
                </c:pt>
                <c:pt idx="4">
                  <c:v>42917</c:v>
                </c:pt>
                <c:pt idx="5">
                  <c:v>42948</c:v>
                </c:pt>
                <c:pt idx="6">
                  <c:v>42979</c:v>
                </c:pt>
                <c:pt idx="7">
                  <c:v>43009</c:v>
                </c:pt>
                <c:pt idx="8">
                  <c:v>43040</c:v>
                </c:pt>
                <c:pt idx="9">
                  <c:v>43070</c:v>
                </c:pt>
                <c:pt idx="10">
                  <c:v>43101</c:v>
                </c:pt>
                <c:pt idx="11">
                  <c:v>43132</c:v>
                </c:pt>
              </c:numCache>
            </c:numRef>
          </c:cat>
          <c:val>
            <c:numRef>
              <c:f>'F14'!$E$18:$E$29</c:f>
              <c:numCache>
                <c:formatCode>[&gt;=10000000]#.##\,##\,##0;[&gt;=100000]#.##\,##0;##,##0</c:formatCode>
                <c:ptCount val="12"/>
                <c:pt idx="0">
                  <c:v>3</c:v>
                </c:pt>
                <c:pt idx="1">
                  <c:v>9</c:v>
                </c:pt>
                <c:pt idx="2">
                  <c:v>5</c:v>
                </c:pt>
                <c:pt idx="3">
                  <c:v>6</c:v>
                </c:pt>
                <c:pt idx="4">
                  <c:v>3</c:v>
                </c:pt>
                <c:pt idx="5">
                  <c:v>2</c:v>
                </c:pt>
                <c:pt idx="6">
                  <c:v>3</c:v>
                </c:pt>
                <c:pt idx="7">
                  <c:v>5</c:v>
                </c:pt>
                <c:pt idx="8">
                  <c:v>5</c:v>
                </c:pt>
                <c:pt idx="9">
                  <c:v>4</c:v>
                </c:pt>
                <c:pt idx="10">
                  <c:v>2</c:v>
                </c:pt>
                <c:pt idx="11">
                  <c:v>2</c:v>
                </c:pt>
              </c:numCache>
            </c:numRef>
          </c:val>
          <c:smooth val="0"/>
        </c:ser>
        <c:dLbls>
          <c:showLegendKey val="0"/>
          <c:showVal val="0"/>
          <c:showCatName val="0"/>
          <c:showSerName val="0"/>
          <c:showPercent val="0"/>
          <c:showBubbleSize val="0"/>
        </c:dLbls>
        <c:marker val="1"/>
        <c:smooth val="0"/>
        <c:axId val="462604984"/>
        <c:axId val="462594792"/>
      </c:lineChart>
      <c:dateAx>
        <c:axId val="4625893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94400"/>
        <c:crosses val="autoZero"/>
        <c:auto val="1"/>
        <c:lblOffset val="100"/>
        <c:baseTimeUnit val="months"/>
      </c:dateAx>
      <c:valAx>
        <c:axId val="462594400"/>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89304"/>
        <c:crosses val="autoZero"/>
        <c:crossBetween val="between"/>
      </c:valAx>
      <c:valAx>
        <c:axId val="462594792"/>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604984"/>
        <c:crosses val="max"/>
        <c:crossBetween val="between"/>
      </c:valAx>
      <c:dateAx>
        <c:axId val="462604984"/>
        <c:scaling>
          <c:orientation val="minMax"/>
        </c:scaling>
        <c:delete val="1"/>
        <c:axPos val="b"/>
        <c:numFmt formatCode="[$-409]mmm\-yy;@" sourceLinked="1"/>
        <c:majorTickMark val="out"/>
        <c:minorTickMark val="none"/>
        <c:tickLblPos val="nextTo"/>
        <c:crossAx val="46259479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Charts!$R$21:$AS$21</c:f>
              <c:numCache>
                <c:formatCode>m/d/yyyy</c:formatCode>
                <c:ptCount val="28"/>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pt idx="27">
                  <c:v>43100</c:v>
                </c:pt>
              </c:numCache>
            </c:numRef>
          </c:cat>
          <c:val>
            <c:numRef>
              <c:f>Charts!$R$22:$AS$22</c:f>
              <c:numCache>
                <c:formatCode>0.00</c:formatCode>
                <c:ptCount val="28"/>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2.2000000000000002</c:v>
                </c:pt>
                <c:pt idx="26">
                  <c:v>2.2999999999999998</c:v>
                </c:pt>
                <c:pt idx="27">
                  <c:v>2.5</c:v>
                </c:pt>
              </c:numCache>
            </c:numRef>
          </c:val>
          <c:smooth val="0"/>
        </c:ser>
        <c:ser>
          <c:idx val="1"/>
          <c:order val="1"/>
          <c:tx>
            <c:strRef>
              <c:f>Charts!$A$23</c:f>
              <c:strCache>
                <c:ptCount val="1"/>
                <c:pt idx="0">
                  <c:v>UK</c:v>
                </c:pt>
              </c:strCache>
            </c:strRef>
          </c:tx>
          <c:marker>
            <c:symbol val="none"/>
          </c:marker>
          <c:cat>
            <c:numRef>
              <c:f>Charts!$R$21:$AS$21</c:f>
              <c:numCache>
                <c:formatCode>m/d/yyyy</c:formatCode>
                <c:ptCount val="28"/>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pt idx="27">
                  <c:v>43100</c:v>
                </c:pt>
              </c:numCache>
            </c:numRef>
          </c:cat>
          <c:val>
            <c:numRef>
              <c:f>Charts!$R$23:$AS$23</c:f>
              <c:numCache>
                <c:formatCode>0.00</c:formatCode>
                <c:ptCount val="28"/>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1.5</c:v>
                </c:pt>
                <c:pt idx="26">
                  <c:v>1.7</c:v>
                </c:pt>
                <c:pt idx="27">
                  <c:v>1.5</c:v>
                </c:pt>
              </c:numCache>
            </c:numRef>
          </c:val>
          <c:smooth val="0"/>
        </c:ser>
        <c:ser>
          <c:idx val="2"/>
          <c:order val="2"/>
          <c:tx>
            <c:strRef>
              <c:f>Charts!$A$24</c:f>
              <c:strCache>
                <c:ptCount val="1"/>
                <c:pt idx="0">
                  <c:v>Eurozone</c:v>
                </c:pt>
              </c:strCache>
            </c:strRef>
          </c:tx>
          <c:marker>
            <c:symbol val="none"/>
          </c:marker>
          <c:cat>
            <c:numRef>
              <c:f>Charts!$R$21:$AS$21</c:f>
              <c:numCache>
                <c:formatCode>m/d/yyyy</c:formatCode>
                <c:ptCount val="28"/>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pt idx="27">
                  <c:v>43100</c:v>
                </c:pt>
              </c:numCache>
            </c:numRef>
          </c:cat>
          <c:val>
            <c:numRef>
              <c:f>Charts!$R$24:$AS$24</c:f>
              <c:numCache>
                <c:formatCode>0.00</c:formatCode>
                <c:ptCount val="28"/>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2.2999999999999998</c:v>
                </c:pt>
                <c:pt idx="26">
                  <c:v>2.6</c:v>
                </c:pt>
                <c:pt idx="27">
                  <c:v>2.7</c:v>
                </c:pt>
              </c:numCache>
            </c:numRef>
          </c:val>
          <c:smooth val="0"/>
        </c:ser>
        <c:ser>
          <c:idx val="3"/>
          <c:order val="3"/>
          <c:tx>
            <c:strRef>
              <c:f>Charts!$A$25</c:f>
              <c:strCache>
                <c:ptCount val="1"/>
                <c:pt idx="0">
                  <c:v>Japan</c:v>
                </c:pt>
              </c:strCache>
            </c:strRef>
          </c:tx>
          <c:marker>
            <c:symbol val="none"/>
          </c:marker>
          <c:cat>
            <c:numRef>
              <c:f>Charts!$R$21:$AS$21</c:f>
              <c:numCache>
                <c:formatCode>m/d/yyyy</c:formatCode>
                <c:ptCount val="28"/>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pt idx="27">
                  <c:v>43100</c:v>
                </c:pt>
              </c:numCache>
            </c:numRef>
          </c:cat>
          <c:val>
            <c:numRef>
              <c:f>Charts!$R$25:$AS$25</c:f>
              <c:numCache>
                <c:formatCode>0.00</c:formatCode>
                <c:ptCount val="28"/>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1.5</c:v>
                </c:pt>
                <c:pt idx="24">
                  <c:v>1.4</c:v>
                </c:pt>
                <c:pt idx="25">
                  <c:v>1.5</c:v>
                </c:pt>
                <c:pt idx="26" formatCode="General">
                  <c:v>1.9</c:v>
                </c:pt>
                <c:pt idx="27">
                  <c:v>1.5</c:v>
                </c:pt>
              </c:numCache>
            </c:numRef>
          </c:val>
          <c:smooth val="0"/>
        </c:ser>
        <c:ser>
          <c:idx val="4"/>
          <c:order val="4"/>
          <c:tx>
            <c:strRef>
              <c:f>Charts!$A$26</c:f>
              <c:strCache>
                <c:ptCount val="1"/>
                <c:pt idx="0">
                  <c:v>Hong Kong</c:v>
                </c:pt>
              </c:strCache>
            </c:strRef>
          </c:tx>
          <c:marker>
            <c:symbol val="none"/>
          </c:marker>
          <c:cat>
            <c:numRef>
              <c:f>Charts!$R$21:$AS$21</c:f>
              <c:numCache>
                <c:formatCode>m/d/yyyy</c:formatCode>
                <c:ptCount val="28"/>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pt idx="27">
                  <c:v>43100</c:v>
                </c:pt>
              </c:numCache>
            </c:numRef>
          </c:cat>
          <c:val>
            <c:numRef>
              <c:f>Charts!$R$26:$AS$26</c:f>
              <c:numCache>
                <c:formatCode>0.00</c:formatCode>
                <c:ptCount val="28"/>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3.9</c:v>
                </c:pt>
                <c:pt idx="26" formatCode="General">
                  <c:v>3.6</c:v>
                </c:pt>
              </c:numCache>
            </c:numRef>
          </c:val>
          <c:smooth val="0"/>
        </c:ser>
        <c:dLbls>
          <c:showLegendKey val="0"/>
          <c:showVal val="0"/>
          <c:showCatName val="0"/>
          <c:showSerName val="0"/>
          <c:showPercent val="0"/>
          <c:showBubbleSize val="0"/>
        </c:dLbls>
        <c:smooth val="0"/>
        <c:axId val="462605768"/>
        <c:axId val="462598712"/>
      </c:lineChart>
      <c:dateAx>
        <c:axId val="462605768"/>
        <c:scaling>
          <c:orientation val="minMax"/>
        </c:scaling>
        <c:delete val="0"/>
        <c:axPos val="b"/>
        <c:numFmt formatCode="[$-409]mmm\-yy;@" sourceLinked="0"/>
        <c:majorTickMark val="out"/>
        <c:minorTickMark val="none"/>
        <c:tickLblPos val="low"/>
        <c:crossAx val="462598712"/>
        <c:crosses val="autoZero"/>
        <c:auto val="1"/>
        <c:lblOffset val="100"/>
        <c:baseTimeUnit val="months"/>
        <c:majorUnit val="3"/>
        <c:minorUnit val="1"/>
      </c:dateAx>
      <c:valAx>
        <c:axId val="462598712"/>
        <c:scaling>
          <c:orientation val="minMax"/>
          <c:max val="10"/>
          <c:min val="-5"/>
        </c:scaling>
        <c:delete val="0"/>
        <c:axPos val="l"/>
        <c:numFmt formatCode="0.00" sourceLinked="1"/>
        <c:majorTickMark val="out"/>
        <c:minorTickMark val="none"/>
        <c:tickLblPos val="nextTo"/>
        <c:crossAx val="462605768"/>
        <c:crosses val="autoZero"/>
        <c:crossBetween val="between"/>
        <c:majorUnit val="5"/>
      </c:valAx>
    </c:plotArea>
    <c:legend>
      <c:legendPos val="b"/>
      <c:layout>
        <c:manualLayout>
          <c:xMode val="edge"/>
          <c:yMode val="edge"/>
          <c:x val="0.24054639774154241"/>
          <c:y val="0.8539929221739927"/>
          <c:w val="0.58092121580740363"/>
          <c:h val="6.455810533080221E-2"/>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Charts!$B$21:$AS$21</c:f>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f>Charts!$B$27:$AS$27</c:f>
              <c:numCache>
                <c:formatCode>General</c:formatCode>
                <c:ptCount val="44"/>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formatCode="0.00">
                  <c:v>0.3</c:v>
                </c:pt>
                <c:pt idx="42">
                  <c:v>1.4</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Charts!$B$21:$AS$21</c:f>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f>Charts!$B$28:$AS$28</c:f>
              <c:numCache>
                <c:formatCode>General</c:formatCode>
                <c:ptCount val="44"/>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2.5</c:v>
                </c:pt>
                <c:pt idx="42">
                  <c:v>1.8</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Charts!$B$21:$AS$21</c:f>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f>Charts!$B$29:$AS$29</c:f>
              <c:numCache>
                <c:formatCode>General</c:formatCode>
                <c:ptCount val="44"/>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7.1</c:v>
                </c:pt>
                <c:pt idx="42">
                  <c:v>6.3</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Charts!$B$21:$AS$21</c:f>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f>Charts!$B$30:$AS$30</c:f>
              <c:numCache>
                <c:formatCode>General</c:formatCode>
                <c:ptCount val="44"/>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pt idx="42" formatCode="0.00">
                  <c:v>6.8</c:v>
                </c:pt>
                <c:pt idx="43" formatCode="0.00">
                  <c:v>6.8</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Charts!$B$21:$AS$21</c:f>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f>Charts!$B$31:$AS$31</c:f>
              <c:numCache>
                <c:formatCode>General</c:formatCode>
                <c:ptCount val="44"/>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1.3</c:v>
                </c:pt>
                <c:pt idx="42">
                  <c:v>0.8</c:v>
                </c:pt>
              </c:numCache>
            </c:numRef>
          </c:val>
          <c:smooth val="0"/>
        </c:ser>
        <c:dLbls>
          <c:showLegendKey val="0"/>
          <c:showVal val="0"/>
          <c:showCatName val="0"/>
          <c:showSerName val="0"/>
          <c:showPercent val="0"/>
          <c:showBubbleSize val="0"/>
        </c:dLbls>
        <c:smooth val="0"/>
        <c:axId val="462601456"/>
        <c:axId val="462599104"/>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Charts!$B$21:$AS$21</c15:sqref>
                        </c15:formulaRef>
                      </c:ext>
                    </c:extLst>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extLst>
                      <c:ext uri="{02D57815-91ED-43cb-92C2-25804820EDAC}">
                        <c15:formulaRef>
                          <c15:sqref>Charts!$B$22:$AS$22</c15:sqref>
                        </c15:formulaRef>
                      </c:ext>
                    </c:extLst>
                    <c:numCache>
                      <c:formatCode>General</c:formatCode>
                      <c:ptCount val="44"/>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2.2000000000000002</c:v>
                      </c:pt>
                      <c:pt idx="42" formatCode="0.00">
                        <c:v>2.2999999999999998</c:v>
                      </c:pt>
                      <c:pt idx="43" formatCode="0.00">
                        <c:v>2.5</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Charts!$B$21:$AS$21</c15:sqref>
                        </c15:formulaRef>
                      </c:ext>
                    </c:extLst>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extLst xmlns:c15="http://schemas.microsoft.com/office/drawing/2012/chart">
                      <c:ext xmlns:c15="http://schemas.microsoft.com/office/drawing/2012/chart" uri="{02D57815-91ED-43cb-92C2-25804820EDAC}">
                        <c15:formulaRef>
                          <c15:sqref>Charts!$B$23:$AS$23</c15:sqref>
                        </c15:formulaRef>
                      </c:ext>
                    </c:extLst>
                    <c:numCache>
                      <c:formatCode>General</c:formatCode>
                      <c:ptCount val="44"/>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1.5</c:v>
                      </c:pt>
                      <c:pt idx="42" formatCode="0.00">
                        <c:v>1.7</c:v>
                      </c:pt>
                      <c:pt idx="43" formatCode="0.00">
                        <c:v>1.5</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Charts!$B$21:$AS$21</c15:sqref>
                        </c15:formulaRef>
                      </c:ext>
                    </c:extLst>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extLst xmlns:c15="http://schemas.microsoft.com/office/drawing/2012/chart">
                      <c:ext xmlns:c15="http://schemas.microsoft.com/office/drawing/2012/chart" uri="{02D57815-91ED-43cb-92C2-25804820EDAC}">
                        <c15:formulaRef>
                          <c15:sqref>Charts!$B$24:$AS$24</c15:sqref>
                        </c15:formulaRef>
                      </c:ext>
                    </c:extLst>
                    <c:numCache>
                      <c:formatCode>General</c:formatCode>
                      <c:ptCount val="44"/>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2.2999999999999998</c:v>
                      </c:pt>
                      <c:pt idx="42" formatCode="0.00">
                        <c:v>2.6</c:v>
                      </c:pt>
                      <c:pt idx="43" formatCode="0.00">
                        <c:v>2.7</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Charts!$B$21:$AS$21</c15:sqref>
                        </c15:formulaRef>
                      </c:ext>
                    </c:extLst>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extLst xmlns:c15="http://schemas.microsoft.com/office/drawing/2012/chart">
                      <c:ext xmlns:c15="http://schemas.microsoft.com/office/drawing/2012/chart" uri="{02D57815-91ED-43cb-92C2-25804820EDAC}">
                        <c15:formulaRef>
                          <c15:sqref>Charts!$B$25:$AS$25</c15:sqref>
                        </c15:formulaRef>
                      </c:ext>
                    </c:extLst>
                    <c:numCache>
                      <c:formatCode>General</c:formatCode>
                      <c:ptCount val="44"/>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1.5</c:v>
                      </c:pt>
                      <c:pt idx="40" formatCode="0.00">
                        <c:v>1.4</c:v>
                      </c:pt>
                      <c:pt idx="41" formatCode="0.00">
                        <c:v>1.5</c:v>
                      </c:pt>
                      <c:pt idx="42">
                        <c:v>1.9</c:v>
                      </c:pt>
                      <c:pt idx="43" formatCode="0.00">
                        <c:v>1.5</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Charts!$B$21:$AS$21</c15:sqref>
                        </c15:formulaRef>
                      </c:ext>
                    </c:extLst>
                    <c:numCache>
                      <c:formatCode>m/d/yyyy</c:formatCode>
                      <c:ptCount val="44"/>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pt idx="43">
                        <c:v>43100</c:v>
                      </c:pt>
                    </c:numCache>
                  </c:numRef>
                </c:cat>
                <c:val>
                  <c:numRef>
                    <c:extLst xmlns:c15="http://schemas.microsoft.com/office/drawing/2012/chart">
                      <c:ext xmlns:c15="http://schemas.microsoft.com/office/drawing/2012/chart" uri="{02D57815-91ED-43cb-92C2-25804820EDAC}">
                        <c15:formulaRef>
                          <c15:sqref>Charts!$B$26:$AS$26</c15:sqref>
                        </c15:formulaRef>
                      </c:ext>
                    </c:extLst>
                    <c:numCache>
                      <c:formatCode>General</c:formatCode>
                      <c:ptCount val="44"/>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3.9</c:v>
                      </c:pt>
                      <c:pt idx="42">
                        <c:v>3.6</c:v>
                      </c:pt>
                    </c:numCache>
                  </c:numRef>
                </c:val>
                <c:smooth val="0"/>
              </c15:ser>
            </c15:filteredLineSeries>
          </c:ext>
        </c:extLst>
      </c:lineChart>
      <c:dateAx>
        <c:axId val="462601456"/>
        <c:scaling>
          <c:orientation val="minMax"/>
          <c:min val="40603"/>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99104"/>
        <c:crosses val="autoZero"/>
        <c:auto val="0"/>
        <c:lblOffset val="100"/>
        <c:baseTimeUnit val="months"/>
      </c:dateAx>
      <c:valAx>
        <c:axId val="462599104"/>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601456"/>
        <c:crosses val="autoZero"/>
        <c:crossBetween val="between"/>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Charts!$AF$6:$BK$6</c:f>
              <c:numCache>
                <c:formatCode>m/d/yyyy</c:formatCode>
                <c:ptCount val="32"/>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43101</c:v>
                </c:pt>
                <c:pt idx="31">
                  <c:v>43133</c:v>
                </c:pt>
              </c:numCache>
            </c:numRef>
          </c:cat>
          <c:val>
            <c:numRef>
              <c:f>Charts!$AF$7:$BK$7</c:f>
              <c:numCache>
                <c:formatCode>General</c:formatCode>
                <c:ptCount val="32"/>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pt idx="26">
                  <c:v>2.2000000000000002</c:v>
                </c:pt>
                <c:pt idx="27">
                  <c:v>2</c:v>
                </c:pt>
                <c:pt idx="28">
                  <c:v>2.2000000000000002</c:v>
                </c:pt>
                <c:pt idx="29">
                  <c:v>2.1</c:v>
                </c:pt>
                <c:pt idx="30" formatCode="0.00">
                  <c:v>2.1</c:v>
                </c:pt>
                <c:pt idx="31">
                  <c:v>2.2000000000000002</c:v>
                </c:pt>
              </c:numCache>
            </c:numRef>
          </c:val>
          <c:smooth val="0"/>
        </c:ser>
        <c:ser>
          <c:idx val="1"/>
          <c:order val="1"/>
          <c:tx>
            <c:strRef>
              <c:f>Charts!$A$8</c:f>
              <c:strCache>
                <c:ptCount val="1"/>
                <c:pt idx="0">
                  <c:v>UK</c:v>
                </c:pt>
              </c:strCache>
            </c:strRef>
          </c:tx>
          <c:marker>
            <c:symbol val="none"/>
          </c:marker>
          <c:cat>
            <c:numRef>
              <c:f>Charts!$AF$6:$BK$6</c:f>
              <c:numCache>
                <c:formatCode>m/d/yyyy</c:formatCode>
                <c:ptCount val="32"/>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43101</c:v>
                </c:pt>
                <c:pt idx="31">
                  <c:v>43133</c:v>
                </c:pt>
              </c:numCache>
            </c:numRef>
          </c:cat>
          <c:val>
            <c:numRef>
              <c:f>Charts!$AF$8:$BK$8</c:f>
              <c:numCache>
                <c:formatCode>General</c:formatCode>
                <c:ptCount val="32"/>
                <c:pt idx="0">
                  <c:v>0.1</c:v>
                </c:pt>
                <c:pt idx="1">
                  <c:v>0</c:v>
                </c:pt>
                <c:pt idx="2">
                  <c:v>-0.1</c:v>
                </c:pt>
                <c:pt idx="3">
                  <c:v>-0.1</c:v>
                </c:pt>
                <c:pt idx="4">
                  <c:v>0.1</c:v>
                </c:pt>
                <c:pt idx="5">
                  <c:v>0.2</c:v>
                </c:pt>
                <c:pt idx="6">
                  <c:v>0.3</c:v>
                </c:pt>
                <c:pt idx="7">
                  <c:v>0.3</c:v>
                </c:pt>
                <c:pt idx="8">
                  <c:v>0.5</c:v>
                </c:pt>
                <c:pt idx="9">
                  <c:v>0.3</c:v>
                </c:pt>
                <c:pt idx="10">
                  <c:v>0.3</c:v>
                </c:pt>
                <c:pt idx="11">
                  <c:v>0.2</c:v>
                </c:pt>
                <c:pt idx="12">
                  <c:v>-0.1</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pt idx="26">
                  <c:v>3</c:v>
                </c:pt>
                <c:pt idx="27">
                  <c:v>3</c:v>
                </c:pt>
                <c:pt idx="28">
                  <c:v>3.1</c:v>
                </c:pt>
                <c:pt idx="29">
                  <c:v>3</c:v>
                </c:pt>
                <c:pt idx="30">
                  <c:v>3</c:v>
                </c:pt>
                <c:pt idx="31">
                  <c:v>0</c:v>
                </c:pt>
              </c:numCache>
            </c:numRef>
          </c:val>
          <c:smooth val="0"/>
        </c:ser>
        <c:ser>
          <c:idx val="2"/>
          <c:order val="2"/>
          <c:tx>
            <c:strRef>
              <c:f>Charts!$A$9</c:f>
              <c:strCache>
                <c:ptCount val="1"/>
                <c:pt idx="0">
                  <c:v>Eurozone</c:v>
                </c:pt>
              </c:strCache>
            </c:strRef>
          </c:tx>
          <c:marker>
            <c:symbol val="none"/>
          </c:marker>
          <c:cat>
            <c:numRef>
              <c:f>Charts!$AF$6:$BK$6</c:f>
              <c:numCache>
                <c:formatCode>m/d/yyyy</c:formatCode>
                <c:ptCount val="32"/>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43101</c:v>
                </c:pt>
                <c:pt idx="31">
                  <c:v>43133</c:v>
                </c:pt>
              </c:numCache>
            </c:numRef>
          </c:cat>
          <c:val>
            <c:numRef>
              <c:f>Charts!$AF$9:$BK$9</c:f>
              <c:numCache>
                <c:formatCode>General</c:formatCode>
                <c:ptCount val="32"/>
                <c:pt idx="0">
                  <c:v>0.2</c:v>
                </c:pt>
                <c:pt idx="1">
                  <c:v>0.1</c:v>
                </c:pt>
                <c:pt idx="2">
                  <c:v>-0.1</c:v>
                </c:pt>
                <c:pt idx="3">
                  <c:v>0.1</c:v>
                </c:pt>
                <c:pt idx="4">
                  <c:v>0.1</c:v>
                </c:pt>
                <c:pt idx="5">
                  <c:v>0.2</c:v>
                </c:pt>
                <c:pt idx="6">
                  <c:v>0.3</c:v>
                </c:pt>
                <c:pt idx="7">
                  <c:v>-0.2</c:v>
                </c:pt>
                <c:pt idx="8">
                  <c:v>-0.1</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pt idx="26">
                  <c:v>1.5</c:v>
                </c:pt>
                <c:pt idx="27">
                  <c:v>1.4</c:v>
                </c:pt>
                <c:pt idx="28">
                  <c:v>1.5</c:v>
                </c:pt>
                <c:pt idx="29">
                  <c:v>1.4</c:v>
                </c:pt>
                <c:pt idx="30" formatCode="0.00">
                  <c:v>1.3</c:v>
                </c:pt>
                <c:pt idx="31">
                  <c:v>1.2</c:v>
                </c:pt>
              </c:numCache>
            </c:numRef>
          </c:val>
          <c:smooth val="0"/>
        </c:ser>
        <c:ser>
          <c:idx val="3"/>
          <c:order val="3"/>
          <c:tx>
            <c:strRef>
              <c:f>Charts!$A$10</c:f>
              <c:strCache>
                <c:ptCount val="1"/>
                <c:pt idx="0">
                  <c:v>Japan</c:v>
                </c:pt>
              </c:strCache>
            </c:strRef>
          </c:tx>
          <c:marker>
            <c:symbol val="none"/>
          </c:marker>
          <c:cat>
            <c:numRef>
              <c:f>Charts!$AF$6:$BK$6</c:f>
              <c:numCache>
                <c:formatCode>m/d/yyyy</c:formatCode>
                <c:ptCount val="32"/>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43101</c:v>
                </c:pt>
                <c:pt idx="31">
                  <c:v>43133</c:v>
                </c:pt>
              </c:numCache>
            </c:numRef>
          </c:cat>
          <c:val>
            <c:numRef>
              <c:f>Charts!$AF$10:$BK$10</c:f>
              <c:numCache>
                <c:formatCode>General</c:formatCode>
                <c:ptCount val="32"/>
                <c:pt idx="0">
                  <c:v>0.2</c:v>
                </c:pt>
                <c:pt idx="1">
                  <c:v>0.2</c:v>
                </c:pt>
                <c:pt idx="2">
                  <c:v>0</c:v>
                </c:pt>
                <c:pt idx="3">
                  <c:v>0.3</c:v>
                </c:pt>
                <c:pt idx="4">
                  <c:v>0.3</c:v>
                </c:pt>
                <c:pt idx="5">
                  <c:v>0.2</c:v>
                </c:pt>
                <c:pt idx="6">
                  <c:v>0</c:v>
                </c:pt>
                <c:pt idx="7">
                  <c:v>0.3</c:v>
                </c:pt>
                <c:pt idx="8">
                  <c:v>-0.1</c:v>
                </c:pt>
                <c:pt idx="9">
                  <c:v>-0.3</c:v>
                </c:pt>
                <c:pt idx="10">
                  <c:v>-0.4</c:v>
                </c:pt>
                <c:pt idx="11">
                  <c:v>-0.4</c:v>
                </c:pt>
                <c:pt idx="12">
                  <c:v>-0.5</c:v>
                </c:pt>
                <c:pt idx="13">
                  <c:v>-0.5</c:v>
                </c:pt>
                <c:pt idx="14">
                  <c:v>-0.5</c:v>
                </c:pt>
                <c:pt idx="15">
                  <c:v>-0.4</c:v>
                </c:pt>
                <c:pt idx="16">
                  <c:v>-0.4</c:v>
                </c:pt>
                <c:pt idx="17" formatCode="0.00">
                  <c:v>-0.2</c:v>
                </c:pt>
                <c:pt idx="18">
                  <c:v>0.1</c:v>
                </c:pt>
                <c:pt idx="19">
                  <c:v>0.2</c:v>
                </c:pt>
                <c:pt idx="20">
                  <c:v>0.2</c:v>
                </c:pt>
                <c:pt idx="21" formatCode="0.00">
                  <c:v>0.3</c:v>
                </c:pt>
                <c:pt idx="22" formatCode="0.00">
                  <c:v>0.4</c:v>
                </c:pt>
                <c:pt idx="23" formatCode="0.00">
                  <c:v>0.4</c:v>
                </c:pt>
                <c:pt idx="24" formatCode="0.00">
                  <c:v>0.4</c:v>
                </c:pt>
                <c:pt idx="25">
                  <c:v>0.7</c:v>
                </c:pt>
                <c:pt idx="26">
                  <c:v>0.7</c:v>
                </c:pt>
                <c:pt idx="27">
                  <c:v>0.2</c:v>
                </c:pt>
                <c:pt idx="28">
                  <c:v>0.6</c:v>
                </c:pt>
                <c:pt idx="29" formatCode="0.00">
                  <c:v>0.9</c:v>
                </c:pt>
                <c:pt idx="30">
                  <c:v>1.4</c:v>
                </c:pt>
                <c:pt idx="31">
                  <c:v>0</c:v>
                </c:pt>
              </c:numCache>
            </c:numRef>
          </c:val>
          <c:smooth val="0"/>
        </c:ser>
        <c:ser>
          <c:idx val="4"/>
          <c:order val="4"/>
          <c:tx>
            <c:strRef>
              <c:f>Charts!$A$11</c:f>
              <c:strCache>
                <c:ptCount val="1"/>
                <c:pt idx="0">
                  <c:v>Hong Kong</c:v>
                </c:pt>
              </c:strCache>
            </c:strRef>
          </c:tx>
          <c:marker>
            <c:symbol val="none"/>
          </c:marker>
          <c:cat>
            <c:numRef>
              <c:f>Charts!$AF$6:$BK$6</c:f>
              <c:numCache>
                <c:formatCode>m/d/yyyy</c:formatCode>
                <c:ptCount val="32"/>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pt idx="30">
                  <c:v>43101</c:v>
                </c:pt>
                <c:pt idx="31">
                  <c:v>43133</c:v>
                </c:pt>
              </c:numCache>
            </c:numRef>
          </c:cat>
          <c:val>
            <c:numRef>
              <c:f>Charts!$AF$11:$BK$11</c:f>
              <c:numCache>
                <c:formatCode>General</c:formatCode>
                <c:ptCount val="32"/>
                <c:pt idx="0">
                  <c:v>2.5</c:v>
                </c:pt>
                <c:pt idx="1">
                  <c:v>2.4</c:v>
                </c:pt>
                <c:pt idx="2">
                  <c:v>2</c:v>
                </c:pt>
                <c:pt idx="3">
                  <c:v>2.4</c:v>
                </c:pt>
                <c:pt idx="4">
                  <c:v>2.4</c:v>
                </c:pt>
                <c:pt idx="5">
                  <c:v>2.5</c:v>
                </c:pt>
                <c:pt idx="6">
                  <c:v>2.7</c:v>
                </c:pt>
                <c:pt idx="7">
                  <c:v>3.1</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pt idx="26">
                  <c:v>1.4</c:v>
                </c:pt>
                <c:pt idx="27">
                  <c:v>1.5</c:v>
                </c:pt>
                <c:pt idx="28">
                  <c:v>1.6</c:v>
                </c:pt>
                <c:pt idx="29" formatCode="0.00">
                  <c:v>1.7</c:v>
                </c:pt>
                <c:pt idx="30" formatCode="0.00">
                  <c:v>1.7</c:v>
                </c:pt>
                <c:pt idx="31">
                  <c:v>0</c:v>
                </c:pt>
              </c:numCache>
            </c:numRef>
          </c:val>
          <c:smooth val="0"/>
        </c:ser>
        <c:dLbls>
          <c:showLegendKey val="0"/>
          <c:showVal val="0"/>
          <c:showCatName val="0"/>
          <c:showSerName val="0"/>
          <c:showPercent val="0"/>
          <c:showBubbleSize val="0"/>
        </c:dLbls>
        <c:smooth val="0"/>
        <c:axId val="462602240"/>
        <c:axId val="462600672"/>
      </c:lineChart>
      <c:dateAx>
        <c:axId val="462602240"/>
        <c:scaling>
          <c:orientation val="minMax"/>
          <c:min val="42430"/>
        </c:scaling>
        <c:delete val="0"/>
        <c:axPos val="b"/>
        <c:numFmt formatCode="[$-409]mmm\-yy;@" sourceLinked="0"/>
        <c:majorTickMark val="out"/>
        <c:minorTickMark val="none"/>
        <c:tickLblPos val="low"/>
        <c:txPr>
          <a:bodyPr rot="-5400000" vert="horz"/>
          <a:lstStyle/>
          <a:p>
            <a:pPr>
              <a:defRPr/>
            </a:pPr>
            <a:endParaRPr lang="en-US"/>
          </a:p>
        </c:txPr>
        <c:crossAx val="462600672"/>
        <c:crosses val="autoZero"/>
        <c:auto val="1"/>
        <c:lblOffset val="100"/>
        <c:baseTimeUnit val="months"/>
        <c:majorUnit val="1"/>
      </c:dateAx>
      <c:valAx>
        <c:axId val="462600672"/>
        <c:scaling>
          <c:orientation val="minMax"/>
          <c:min val="-2"/>
        </c:scaling>
        <c:delete val="0"/>
        <c:axPos val="l"/>
        <c:majorGridlines/>
        <c:numFmt formatCode="General" sourceLinked="1"/>
        <c:majorTickMark val="out"/>
        <c:minorTickMark val="none"/>
        <c:tickLblPos val="nextTo"/>
        <c:crossAx val="462602240"/>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Charts!$B$6:$BK$6</c:f>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f>Charts!$B$12:$BK$12</c:f>
              <c:numCache>
                <c:formatCode>General</c:formatCode>
                <c:ptCount val="62"/>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pt idx="54">
                  <c:v>2.71</c:v>
                </c:pt>
                <c:pt idx="55">
                  <c:v>2.46</c:v>
                </c:pt>
                <c:pt idx="56">
                  <c:v>2.54</c:v>
                </c:pt>
                <c:pt idx="57">
                  <c:v>2.7</c:v>
                </c:pt>
                <c:pt idx="58">
                  <c:v>2.8</c:v>
                </c:pt>
                <c:pt idx="59">
                  <c:v>2.95</c:v>
                </c:pt>
                <c:pt idx="60" formatCode="0.00">
                  <c:v>2.86</c:v>
                </c:pt>
                <c:pt idx="61" formatCode="0.00">
                  <c:v>2.84</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Charts!$B$6:$BK$6</c:f>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f>Charts!$B$13:$BK$13</c:f>
              <c:numCache>
                <c:formatCode>General</c:formatCode>
                <c:ptCount val="62"/>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pt idx="54">
                  <c:v>3.9</c:v>
                </c:pt>
                <c:pt idx="55">
                  <c:v>3.3</c:v>
                </c:pt>
                <c:pt idx="56">
                  <c:v>3</c:v>
                </c:pt>
                <c:pt idx="57">
                  <c:v>2.7</c:v>
                </c:pt>
                <c:pt idx="58">
                  <c:v>2.5</c:v>
                </c:pt>
                <c:pt idx="59">
                  <c:v>2.5</c:v>
                </c:pt>
                <c:pt idx="60" formatCode="0.00">
                  <c:v>2.2000000000000002</c:v>
                </c:pt>
                <c:pt idx="61" formatCode="0.00">
                  <c:v>2.2000000000000002</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Charts!$B$6:$BK$6</c:f>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f>Charts!$B$14:$BK$14</c:f>
              <c:numCache>
                <c:formatCode>General</c:formatCode>
                <c:ptCount val="62"/>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pt idx="54">
                  <c:v>2.36</c:v>
                </c:pt>
                <c:pt idx="55">
                  <c:v>3.36</c:v>
                </c:pt>
                <c:pt idx="56">
                  <c:v>3.28</c:v>
                </c:pt>
                <c:pt idx="57">
                  <c:v>3.58</c:v>
                </c:pt>
                <c:pt idx="58">
                  <c:v>3.48</c:v>
                </c:pt>
                <c:pt idx="59">
                  <c:v>5.21</c:v>
                </c:pt>
                <c:pt idx="60" formatCode="0.00">
                  <c:v>5.07</c:v>
                </c:pt>
                <c:pt idx="61" formatCode="0.00">
                  <c:v>4.4400000000000004</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Charts!$B$6:$BK$6</c:f>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f>Charts!$B$15:$BK$15</c:f>
              <c:numCache>
                <c:formatCode>General</c:formatCode>
                <c:ptCount val="62"/>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pt idx="54">
                  <c:v>1.4</c:v>
                </c:pt>
                <c:pt idx="55">
                  <c:v>1.8</c:v>
                </c:pt>
                <c:pt idx="56">
                  <c:v>1.6</c:v>
                </c:pt>
                <c:pt idx="57">
                  <c:v>1.9</c:v>
                </c:pt>
                <c:pt idx="58">
                  <c:v>1.7</c:v>
                </c:pt>
                <c:pt idx="59">
                  <c:v>1.8</c:v>
                </c:pt>
                <c:pt idx="60" formatCode="0.00">
                  <c:v>1.5</c:v>
                </c:pt>
                <c:pt idx="61" formatCode="0.00">
                  <c:v>2.9</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Charts!$B$6:$BK$6</c:f>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f>Charts!$B$16:$BK$16</c:f>
              <c:numCache>
                <c:formatCode>General</c:formatCode>
                <c:ptCount val="62"/>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pt idx="54">
                  <c:v>4.5999999999999996</c:v>
                </c:pt>
                <c:pt idx="55">
                  <c:v>4.8</c:v>
                </c:pt>
                <c:pt idx="56">
                  <c:v>5.0999999999999996</c:v>
                </c:pt>
                <c:pt idx="57">
                  <c:v>4.8</c:v>
                </c:pt>
                <c:pt idx="58">
                  <c:v>4.5999999999999996</c:v>
                </c:pt>
                <c:pt idx="59">
                  <c:v>4.7</c:v>
                </c:pt>
                <c:pt idx="60">
                  <c:v>4.4000000000000004</c:v>
                </c:pt>
                <c:pt idx="61">
                  <c:v>0</c:v>
                </c:pt>
              </c:numCache>
            </c:numRef>
          </c:val>
          <c:smooth val="0"/>
        </c:ser>
        <c:dLbls>
          <c:showLegendKey val="0"/>
          <c:showVal val="0"/>
          <c:showCatName val="0"/>
          <c:showSerName val="0"/>
          <c:showPercent val="0"/>
          <c:showBubbleSize val="0"/>
        </c:dLbls>
        <c:smooth val="0"/>
        <c:axId val="462605376"/>
        <c:axId val="462602632"/>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Charts!$B$6:$BK$6</c15:sqref>
                        </c15:formulaRef>
                      </c:ext>
                    </c:extLst>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extLst>
                      <c:ext uri="{02D57815-91ED-43cb-92C2-25804820EDAC}">
                        <c15:formulaRef>
                          <c15:sqref>Charts!$B$7:$BK$7</c15:sqref>
                        </c15:formulaRef>
                      </c:ext>
                    </c:extLst>
                    <c:numCache>
                      <c:formatCode>General</c:formatCode>
                      <c:ptCount val="62"/>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pt idx="54">
                        <c:v>1.7</c:v>
                      </c:pt>
                      <c:pt idx="55">
                        <c:v>1.9</c:v>
                      </c:pt>
                      <c:pt idx="56">
                        <c:v>2.2000000000000002</c:v>
                      </c:pt>
                      <c:pt idx="57">
                        <c:v>2</c:v>
                      </c:pt>
                      <c:pt idx="58">
                        <c:v>2.2000000000000002</c:v>
                      </c:pt>
                      <c:pt idx="59">
                        <c:v>2.1</c:v>
                      </c:pt>
                      <c:pt idx="60" formatCode="0.00">
                        <c:v>2.1</c:v>
                      </c:pt>
                      <c:pt idx="61">
                        <c:v>2.2000000000000002</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Charts!$B$6:$BK$6</c15:sqref>
                        </c15:formulaRef>
                      </c:ext>
                    </c:extLst>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extLst xmlns:c15="http://schemas.microsoft.com/office/drawing/2012/chart">
                      <c:ext xmlns:c15="http://schemas.microsoft.com/office/drawing/2012/chart" uri="{02D57815-91ED-43cb-92C2-25804820EDAC}">
                        <c15:formulaRef>
                          <c15:sqref>Charts!$B$8:$BK$8</c15:sqref>
                        </c15:formulaRef>
                      </c:ext>
                    </c:extLst>
                    <c:numCache>
                      <c:formatCode>General</c:formatCode>
                      <c:ptCount val="62"/>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0.6</c:v>
                      </c:pt>
                      <c:pt idx="44" formatCode="0.00">
                        <c:v>1</c:v>
                      </c:pt>
                      <c:pt idx="45" formatCode="0.00">
                        <c:v>0.9</c:v>
                      </c:pt>
                      <c:pt idx="46" formatCode="0.00">
                        <c:v>1.2</c:v>
                      </c:pt>
                      <c:pt idx="47" formatCode="0.00">
                        <c:v>1.6</c:v>
                      </c:pt>
                      <c:pt idx="48" formatCode="0.00">
                        <c:v>1.8</c:v>
                      </c:pt>
                      <c:pt idx="49">
                        <c:v>2.2999999999999998</c:v>
                      </c:pt>
                      <c:pt idx="50">
                        <c:v>2.2999999999999998</c:v>
                      </c:pt>
                      <c:pt idx="51">
                        <c:v>2.7</c:v>
                      </c:pt>
                      <c:pt idx="52">
                        <c:v>2.9</c:v>
                      </c:pt>
                      <c:pt idx="53">
                        <c:v>2.6</c:v>
                      </c:pt>
                      <c:pt idx="54">
                        <c:v>2.6</c:v>
                      </c:pt>
                      <c:pt idx="55">
                        <c:v>2.9</c:v>
                      </c:pt>
                      <c:pt idx="56">
                        <c:v>3</c:v>
                      </c:pt>
                      <c:pt idx="57">
                        <c:v>3</c:v>
                      </c:pt>
                      <c:pt idx="58">
                        <c:v>3.1</c:v>
                      </c:pt>
                      <c:pt idx="59">
                        <c:v>3</c:v>
                      </c:pt>
                      <c:pt idx="60">
                        <c:v>3</c:v>
                      </c:pt>
                      <c:pt idx="61">
                        <c:v>0</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Charts!$B$6:$BK$6</c15:sqref>
                        </c15:formulaRef>
                      </c:ext>
                    </c:extLst>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extLst xmlns:c15="http://schemas.microsoft.com/office/drawing/2012/chart">
                      <c:ext xmlns:c15="http://schemas.microsoft.com/office/drawing/2012/chart" uri="{02D57815-91ED-43cb-92C2-25804820EDAC}">
                        <c15:formulaRef>
                          <c15:sqref>Charts!$B$9:$BK$9</c15:sqref>
                        </c15:formulaRef>
                      </c:ext>
                    </c:extLst>
                    <c:numCache>
                      <c:formatCode>General</c:formatCode>
                      <c:ptCount val="62"/>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pt idx="54" formatCode="0.00">
                        <c:v>1.3</c:v>
                      </c:pt>
                      <c:pt idx="55">
                        <c:v>1.5</c:v>
                      </c:pt>
                      <c:pt idx="56">
                        <c:v>1.5</c:v>
                      </c:pt>
                      <c:pt idx="57">
                        <c:v>1.4</c:v>
                      </c:pt>
                      <c:pt idx="58">
                        <c:v>1.5</c:v>
                      </c:pt>
                      <c:pt idx="59">
                        <c:v>1.4</c:v>
                      </c:pt>
                      <c:pt idx="60" formatCode="0.00">
                        <c:v>1.3</c:v>
                      </c:pt>
                      <c:pt idx="61">
                        <c:v>1.2</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Charts!$B$6:$BK$6</c15:sqref>
                        </c15:formulaRef>
                      </c:ext>
                    </c:extLst>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extLst xmlns:c15="http://schemas.microsoft.com/office/drawing/2012/chart">
                      <c:ext xmlns:c15="http://schemas.microsoft.com/office/drawing/2012/chart" uri="{02D57815-91ED-43cb-92C2-25804820EDAC}">
                        <c15:formulaRef>
                          <c15:sqref>Charts!$B$10:$BK$10</c15:sqref>
                        </c15:formulaRef>
                      </c:ext>
                    </c:extLst>
                    <c:numCache>
                      <c:formatCode>General</c:formatCode>
                      <c:ptCount val="62"/>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formatCode="0.00">
                        <c:v>0.4</c:v>
                      </c:pt>
                      <c:pt idx="54" formatCode="0.00">
                        <c:v>0.4</c:v>
                      </c:pt>
                      <c:pt idx="55">
                        <c:v>0.7</c:v>
                      </c:pt>
                      <c:pt idx="56">
                        <c:v>0.7</c:v>
                      </c:pt>
                      <c:pt idx="57">
                        <c:v>0.2</c:v>
                      </c:pt>
                      <c:pt idx="58">
                        <c:v>0.6</c:v>
                      </c:pt>
                      <c:pt idx="59" formatCode="0.00">
                        <c:v>0.9</c:v>
                      </c:pt>
                      <c:pt idx="60">
                        <c:v>1.4</c:v>
                      </c:pt>
                      <c:pt idx="61">
                        <c:v>0</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Charts!$B$6:$BK$6</c15:sqref>
                        </c15:formulaRef>
                      </c:ext>
                    </c:extLst>
                    <c:numCache>
                      <c:formatCode>m/d/yyyy</c:formatCode>
                      <c:ptCount val="62"/>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pt idx="60">
                        <c:v>43101</c:v>
                      </c:pt>
                      <c:pt idx="61">
                        <c:v>43133</c:v>
                      </c:pt>
                    </c:numCache>
                  </c:numRef>
                </c:cat>
                <c:val>
                  <c:numRef>
                    <c:extLst xmlns:c15="http://schemas.microsoft.com/office/drawing/2012/chart">
                      <c:ext xmlns:c15="http://schemas.microsoft.com/office/drawing/2012/chart" uri="{02D57815-91ED-43cb-92C2-25804820EDAC}">
                        <c15:formulaRef>
                          <c15:sqref>Charts!$B$11:$BK$11</c15:sqref>
                        </c15:formulaRef>
                      </c:ext>
                    </c:extLst>
                    <c:numCache>
                      <c:formatCode>General</c:formatCode>
                      <c:ptCount val="62"/>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1.9</c:v>
                      </c:pt>
                      <c:pt idx="54">
                        <c:v>2</c:v>
                      </c:pt>
                      <c:pt idx="55">
                        <c:v>1.9</c:v>
                      </c:pt>
                      <c:pt idx="56">
                        <c:v>1.4</c:v>
                      </c:pt>
                      <c:pt idx="57">
                        <c:v>1.5</c:v>
                      </c:pt>
                      <c:pt idx="58">
                        <c:v>1.6</c:v>
                      </c:pt>
                      <c:pt idx="59" formatCode="0.00">
                        <c:v>1.7</c:v>
                      </c:pt>
                      <c:pt idx="60" formatCode="0.00">
                        <c:v>1.7</c:v>
                      </c:pt>
                      <c:pt idx="61">
                        <c:v>0</c:v>
                      </c:pt>
                    </c:numCache>
                  </c:numRef>
                </c:val>
                <c:smooth val="0"/>
              </c15:ser>
            </c15:filteredLineSeries>
          </c:ext>
        </c:extLst>
      </c:lineChart>
      <c:dateAx>
        <c:axId val="462605376"/>
        <c:scaling>
          <c:orientation val="minMax"/>
          <c:min val="42430"/>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602632"/>
        <c:crosses val="autoZero"/>
        <c:auto val="0"/>
        <c:lblOffset val="100"/>
        <c:baseTimeUnit val="months"/>
      </c:dateAx>
      <c:valAx>
        <c:axId val="462602632"/>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605376"/>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4.972575958869338E-2"/>
          <c:w val="0.76008327803796716"/>
          <c:h val="0.71457992946896287"/>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'F2&amp;F3'!$A$31:$A$42</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'F2&amp;F3'!$B$31:$B$42</c:f>
              <c:numCache>
                <c:formatCode>#,##0</c:formatCode>
                <c:ptCount val="12"/>
                <c:pt idx="0">
                  <c:v>13141.214999999998</c:v>
                </c:pt>
                <c:pt idx="1">
                  <c:v>4170.5777777777785</c:v>
                </c:pt>
                <c:pt idx="2">
                  <c:v>4141.1645454545442</c:v>
                </c:pt>
                <c:pt idx="3">
                  <c:v>4092.1200000000008</c:v>
                </c:pt>
                <c:pt idx="4">
                  <c:v>4209.2971428571427</c:v>
                </c:pt>
                <c:pt idx="5">
                  <c:v>3764.9747619047625</c:v>
                </c:pt>
                <c:pt idx="6">
                  <c:v>4016.6257142857144</c:v>
                </c:pt>
                <c:pt idx="7">
                  <c:v>3899.8299999999995</c:v>
                </c:pt>
                <c:pt idx="8">
                  <c:v>5577.6627272727274</c:v>
                </c:pt>
                <c:pt idx="9">
                  <c:v>4784.4685000000009</c:v>
                </c:pt>
                <c:pt idx="10">
                  <c:v>5569.8845454545453</c:v>
                </c:pt>
                <c:pt idx="11">
                  <c:v>4303.0647368421041</c:v>
                </c:pt>
              </c:numCache>
            </c:numRef>
          </c:val>
        </c:ser>
        <c:dLbls>
          <c:showLegendKey val="0"/>
          <c:showVal val="0"/>
          <c:showCatName val="0"/>
          <c:showSerName val="0"/>
          <c:showPercent val="0"/>
          <c:showBubbleSize val="0"/>
        </c:dLbls>
        <c:gapWidth val="200"/>
        <c:overlap val="-100"/>
        <c:axId val="431880768"/>
        <c:axId val="431882728"/>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'F2&amp;F3'!$A$31:$A$42</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'F2&amp;F3'!$C$31:$C$42</c:f>
              <c:numCache>
                <c:formatCode>#,##0</c:formatCode>
                <c:ptCount val="12"/>
                <c:pt idx="0">
                  <c:v>29269.491363636367</c:v>
                </c:pt>
                <c:pt idx="1">
                  <c:v>29695.834444444445</c:v>
                </c:pt>
                <c:pt idx="2">
                  <c:v>30420.066818181822</c:v>
                </c:pt>
                <c:pt idx="3">
                  <c:v>31144.678571428565</c:v>
                </c:pt>
                <c:pt idx="4">
                  <c:v>31879.607142857141</c:v>
                </c:pt>
                <c:pt idx="5">
                  <c:v>31772.229047619046</c:v>
                </c:pt>
                <c:pt idx="6">
                  <c:v>31887.121428571427</c:v>
                </c:pt>
                <c:pt idx="7">
                  <c:v>32397.642499999998</c:v>
                </c:pt>
                <c:pt idx="8">
                  <c:v>33395.138636363627</c:v>
                </c:pt>
                <c:pt idx="9">
                  <c:v>33424.397000000004</c:v>
                </c:pt>
                <c:pt idx="10">
                  <c:v>34989.415000000008</c:v>
                </c:pt>
                <c:pt idx="11">
                  <c:v>34287.038421052639</c:v>
                </c:pt>
              </c:numCache>
            </c:numRef>
          </c:val>
          <c:smooth val="0"/>
        </c:ser>
        <c:dLbls>
          <c:showLegendKey val="0"/>
          <c:showVal val="0"/>
          <c:showCatName val="0"/>
          <c:showSerName val="0"/>
          <c:showPercent val="0"/>
          <c:showBubbleSize val="0"/>
        </c:dLbls>
        <c:marker val="1"/>
        <c:smooth val="0"/>
        <c:axId val="431875672"/>
        <c:axId val="431879200"/>
      </c:lineChart>
      <c:catAx>
        <c:axId val="43188076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31882728"/>
        <c:crosses val="autoZero"/>
        <c:auto val="0"/>
        <c:lblAlgn val="ctr"/>
        <c:lblOffset val="100"/>
        <c:noMultiLvlLbl val="0"/>
      </c:catAx>
      <c:valAx>
        <c:axId val="431882728"/>
        <c:scaling>
          <c:orientation val="minMax"/>
        </c:scaling>
        <c:delete val="0"/>
        <c:axPos val="l"/>
        <c:numFmt formatCode="#,##0" sourceLinked="1"/>
        <c:majorTickMark val="none"/>
        <c:minorTickMark val="none"/>
        <c:tickLblPos val="nextTo"/>
        <c:txPr>
          <a:bodyPr/>
          <a:lstStyle/>
          <a:p>
            <a:pPr>
              <a:defRPr lang="en-IN"/>
            </a:pPr>
            <a:endParaRPr lang="en-US"/>
          </a:p>
        </c:txPr>
        <c:crossAx val="431880768"/>
        <c:crosses val="autoZero"/>
        <c:crossBetween val="between"/>
        <c:majorUnit val="1000"/>
      </c:valAx>
      <c:valAx>
        <c:axId val="431879200"/>
        <c:scaling>
          <c:orientation val="minMax"/>
          <c:min val="15000"/>
        </c:scaling>
        <c:delete val="0"/>
        <c:axPos val="r"/>
        <c:numFmt formatCode="#,##0" sourceLinked="1"/>
        <c:majorTickMark val="none"/>
        <c:minorTickMark val="none"/>
        <c:tickLblPos val="nextTo"/>
        <c:txPr>
          <a:bodyPr/>
          <a:lstStyle/>
          <a:p>
            <a:pPr>
              <a:defRPr lang="en-IN"/>
            </a:pPr>
            <a:endParaRPr lang="en-US"/>
          </a:p>
        </c:txPr>
        <c:crossAx val="431875672"/>
        <c:crosses val="max"/>
        <c:crossBetween val="between"/>
        <c:majorUnit val="1000"/>
      </c:valAx>
      <c:catAx>
        <c:axId val="431875672"/>
        <c:scaling>
          <c:orientation val="minMax"/>
        </c:scaling>
        <c:delete val="1"/>
        <c:axPos val="b"/>
        <c:numFmt formatCode="[$-409]mmm\-yy;@" sourceLinked="1"/>
        <c:majorTickMark val="out"/>
        <c:minorTickMark val="none"/>
        <c:tickLblPos val="none"/>
        <c:crossAx val="431879200"/>
        <c:crosses val="autoZero"/>
        <c:auto val="0"/>
        <c:lblAlgn val="ctr"/>
        <c:lblOffset val="100"/>
        <c:noMultiLvlLbl val="1"/>
      </c:catAx>
    </c:plotArea>
    <c:legend>
      <c:legendPos val="b"/>
      <c:layout>
        <c:manualLayout>
          <c:xMode val="edge"/>
          <c:yMode val="edge"/>
          <c:x val="1.8300936402448918E-2"/>
          <c:y val="0.89545254029024135"/>
          <c:w val="0.96810125080476173"/>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86861291298468823"/>
          <c:h val="0.65668681475056589"/>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Sheet1!$A$1639:$A$2399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pt idx="697">
                  <c:v>43070</c:v>
                </c:pt>
                <c:pt idx="698">
                  <c:v>43073</c:v>
                </c:pt>
                <c:pt idx="699">
                  <c:v>43074</c:v>
                </c:pt>
                <c:pt idx="700">
                  <c:v>43075</c:v>
                </c:pt>
                <c:pt idx="701">
                  <c:v>43076</c:v>
                </c:pt>
                <c:pt idx="702">
                  <c:v>43077</c:v>
                </c:pt>
                <c:pt idx="703">
                  <c:v>43080</c:v>
                </c:pt>
                <c:pt idx="704">
                  <c:v>43081</c:v>
                </c:pt>
                <c:pt idx="705">
                  <c:v>43082</c:v>
                </c:pt>
                <c:pt idx="706">
                  <c:v>43083</c:v>
                </c:pt>
                <c:pt idx="707">
                  <c:v>43084</c:v>
                </c:pt>
                <c:pt idx="708">
                  <c:v>43087</c:v>
                </c:pt>
                <c:pt idx="709">
                  <c:v>43088</c:v>
                </c:pt>
                <c:pt idx="710">
                  <c:v>43089</c:v>
                </c:pt>
                <c:pt idx="711">
                  <c:v>43090</c:v>
                </c:pt>
                <c:pt idx="712">
                  <c:v>43091</c:v>
                </c:pt>
                <c:pt idx="713">
                  <c:v>43094</c:v>
                </c:pt>
                <c:pt idx="714">
                  <c:v>43095</c:v>
                </c:pt>
                <c:pt idx="715">
                  <c:v>43096</c:v>
                </c:pt>
                <c:pt idx="716">
                  <c:v>43097</c:v>
                </c:pt>
                <c:pt idx="717">
                  <c:v>43098</c:v>
                </c:pt>
                <c:pt idx="718">
                  <c:v>43101</c:v>
                </c:pt>
                <c:pt idx="719">
                  <c:v>43102</c:v>
                </c:pt>
                <c:pt idx="720">
                  <c:v>43103</c:v>
                </c:pt>
                <c:pt idx="721">
                  <c:v>43104</c:v>
                </c:pt>
                <c:pt idx="722">
                  <c:v>43105</c:v>
                </c:pt>
                <c:pt idx="723">
                  <c:v>43108</c:v>
                </c:pt>
                <c:pt idx="724">
                  <c:v>43109</c:v>
                </c:pt>
                <c:pt idx="725">
                  <c:v>43110</c:v>
                </c:pt>
                <c:pt idx="726">
                  <c:v>43111</c:v>
                </c:pt>
                <c:pt idx="727">
                  <c:v>43112</c:v>
                </c:pt>
                <c:pt idx="728">
                  <c:v>43115</c:v>
                </c:pt>
                <c:pt idx="729">
                  <c:v>43116</c:v>
                </c:pt>
                <c:pt idx="730">
                  <c:v>43117</c:v>
                </c:pt>
                <c:pt idx="731">
                  <c:v>43118</c:v>
                </c:pt>
                <c:pt idx="732">
                  <c:v>43119</c:v>
                </c:pt>
                <c:pt idx="733">
                  <c:v>43122</c:v>
                </c:pt>
                <c:pt idx="734">
                  <c:v>43123</c:v>
                </c:pt>
                <c:pt idx="735">
                  <c:v>43124</c:v>
                </c:pt>
                <c:pt idx="736">
                  <c:v>43125</c:v>
                </c:pt>
                <c:pt idx="737">
                  <c:v>43126</c:v>
                </c:pt>
                <c:pt idx="738">
                  <c:v>43129</c:v>
                </c:pt>
                <c:pt idx="739">
                  <c:v>43130</c:v>
                </c:pt>
                <c:pt idx="740">
                  <c:v>43131</c:v>
                </c:pt>
                <c:pt idx="741">
                  <c:v>43132</c:v>
                </c:pt>
                <c:pt idx="742">
                  <c:v>43133</c:v>
                </c:pt>
                <c:pt idx="743">
                  <c:v>43136</c:v>
                </c:pt>
                <c:pt idx="744">
                  <c:v>43137</c:v>
                </c:pt>
                <c:pt idx="745">
                  <c:v>43138</c:v>
                </c:pt>
                <c:pt idx="746">
                  <c:v>43139</c:v>
                </c:pt>
                <c:pt idx="747">
                  <c:v>43140</c:v>
                </c:pt>
                <c:pt idx="748">
                  <c:v>43143</c:v>
                </c:pt>
                <c:pt idx="749">
                  <c:v>43144</c:v>
                </c:pt>
                <c:pt idx="750">
                  <c:v>43145</c:v>
                </c:pt>
                <c:pt idx="751">
                  <c:v>43146</c:v>
                </c:pt>
                <c:pt idx="752">
                  <c:v>43147</c:v>
                </c:pt>
                <c:pt idx="753">
                  <c:v>43150</c:v>
                </c:pt>
                <c:pt idx="754">
                  <c:v>43151</c:v>
                </c:pt>
                <c:pt idx="755">
                  <c:v>43152</c:v>
                </c:pt>
                <c:pt idx="756">
                  <c:v>43153</c:v>
                </c:pt>
                <c:pt idx="757">
                  <c:v>43154</c:v>
                </c:pt>
                <c:pt idx="758">
                  <c:v>43157</c:v>
                </c:pt>
                <c:pt idx="759">
                  <c:v>43158</c:v>
                </c:pt>
                <c:pt idx="760">
                  <c:v>43159</c:v>
                </c:pt>
              </c:numCache>
            </c:numRef>
          </c:cat>
          <c:val>
            <c:numRef>
              <c:f>Sheet1!$B$1639:$B$2399</c:f>
              <c:numCache>
                <c:formatCode>General</c:formatCode>
                <c:ptCount val="761"/>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pt idx="588">
                  <c:v>1920.58</c:v>
                </c:pt>
                <c:pt idx="589">
                  <c:v>1918.9</c:v>
                </c:pt>
                <c:pt idx="590">
                  <c:v>1920.32</c:v>
                </c:pt>
                <c:pt idx="591">
                  <c:v>1909.01</c:v>
                </c:pt>
                <c:pt idx="592">
                  <c:v>1913.18</c:v>
                </c:pt>
                <c:pt idx="593">
                  <c:v>1917.11</c:v>
                </c:pt>
                <c:pt idx="594">
                  <c:v>1915.67</c:v>
                </c:pt>
                <c:pt idx="595">
                  <c:v>1932.86</c:v>
                </c:pt>
                <c:pt idx="596">
                  <c:v>1936.94</c:v>
                </c:pt>
                <c:pt idx="597">
                  <c:v>1948.07</c:v>
                </c:pt>
                <c:pt idx="598">
                  <c:v>1948.58</c:v>
                </c:pt>
                <c:pt idx="599">
                  <c:v>1949.66</c:v>
                </c:pt>
                <c:pt idx="600">
                  <c:v>1958.56</c:v>
                </c:pt>
                <c:pt idx="601">
                  <c:v>1963.31</c:v>
                </c:pt>
                <c:pt idx="602">
                  <c:v>1958.77</c:v>
                </c:pt>
                <c:pt idx="603">
                  <c:v>1954.84</c:v>
                </c:pt>
                <c:pt idx="604">
                  <c:v>1960.59</c:v>
                </c:pt>
                <c:pt idx="605">
                  <c:v>1961.9</c:v>
                </c:pt>
                <c:pt idx="606">
                  <c:v>1963.54</c:v>
                </c:pt>
                <c:pt idx="607">
                  <c:v>1960.32</c:v>
                </c:pt>
                <c:pt idx="608">
                  <c:v>1961.1</c:v>
                </c:pt>
                <c:pt idx="609">
                  <c:v>1970.39</c:v>
                </c:pt>
                <c:pt idx="610">
                  <c:v>1970.29</c:v>
                </c:pt>
                <c:pt idx="611">
                  <c:v>1968.72</c:v>
                </c:pt>
                <c:pt idx="612">
                  <c:v>1967.77</c:v>
                </c:pt>
                <c:pt idx="613">
                  <c:v>1971.76</c:v>
                </c:pt>
                <c:pt idx="614">
                  <c:v>1966.81</c:v>
                </c:pt>
                <c:pt idx="615">
                  <c:v>1961.88</c:v>
                </c:pt>
                <c:pt idx="616">
                  <c:v>1940.28</c:v>
                </c:pt>
                <c:pt idx="617">
                  <c:v>1937.73</c:v>
                </c:pt>
                <c:pt idx="618">
                  <c:v>1952.58</c:v>
                </c:pt>
                <c:pt idx="619">
                  <c:v>1949.23</c:v>
                </c:pt>
                <c:pt idx="620">
                  <c:v>1954.04</c:v>
                </c:pt>
                <c:pt idx="621">
                  <c:v>1936.32</c:v>
                </c:pt>
                <c:pt idx="622">
                  <c:v>1930.41</c:v>
                </c:pt>
                <c:pt idx="623">
                  <c:v>1932.22</c:v>
                </c:pt>
                <c:pt idx="624">
                  <c:v>1945.18</c:v>
                </c:pt>
                <c:pt idx="625">
                  <c:v>1942.15</c:v>
                </c:pt>
                <c:pt idx="626">
                  <c:v>1939.65</c:v>
                </c:pt>
                <c:pt idx="627">
                  <c:v>1944.56</c:v>
                </c:pt>
                <c:pt idx="628">
                  <c:v>1946.28</c:v>
                </c:pt>
                <c:pt idx="629">
                  <c:v>1945.05</c:v>
                </c:pt>
                <c:pt idx="630">
                  <c:v>1947.53</c:v>
                </c:pt>
                <c:pt idx="631">
                  <c:v>1959.74</c:v>
                </c:pt>
                <c:pt idx="632">
                  <c:v>1965.79</c:v>
                </c:pt>
                <c:pt idx="633">
                  <c:v>1963.32</c:v>
                </c:pt>
                <c:pt idx="634">
                  <c:v>1954.64</c:v>
                </c:pt>
                <c:pt idx="635">
                  <c:v>1959.15</c:v>
                </c:pt>
                <c:pt idx="636">
                  <c:v>1964.57</c:v>
                </c:pt>
                <c:pt idx="637">
                  <c:v>1964.52</c:v>
                </c:pt>
                <c:pt idx="638">
                  <c:v>1981.97</c:v>
                </c:pt>
                <c:pt idx="639">
                  <c:v>1988.28</c:v>
                </c:pt>
                <c:pt idx="640">
                  <c:v>1986.74</c:v>
                </c:pt>
                <c:pt idx="641">
                  <c:v>1983.42</c:v>
                </c:pt>
                <c:pt idx="642">
                  <c:v>1987.72</c:v>
                </c:pt>
                <c:pt idx="643">
                  <c:v>1990.58</c:v>
                </c:pt>
                <c:pt idx="644">
                  <c:v>1996.09</c:v>
                </c:pt>
                <c:pt idx="645">
                  <c:v>1998.69</c:v>
                </c:pt>
                <c:pt idx="646">
                  <c:v>1990.33</c:v>
                </c:pt>
                <c:pt idx="647">
                  <c:v>1994.58</c:v>
                </c:pt>
                <c:pt idx="648">
                  <c:v>1989.08</c:v>
                </c:pt>
                <c:pt idx="649">
                  <c:v>1983.25</c:v>
                </c:pt>
                <c:pt idx="650">
                  <c:v>1988</c:v>
                </c:pt>
                <c:pt idx="651">
                  <c:v>1992.36</c:v>
                </c:pt>
                <c:pt idx="652">
                  <c:v>2000.55</c:v>
                </c:pt>
                <c:pt idx="653">
                  <c:v>2004.68</c:v>
                </c:pt>
                <c:pt idx="654">
                  <c:v>2009.63</c:v>
                </c:pt>
                <c:pt idx="655">
                  <c:v>2010.95</c:v>
                </c:pt>
                <c:pt idx="656">
                  <c:v>2016.15</c:v>
                </c:pt>
                <c:pt idx="657">
                  <c:v>2014.02</c:v>
                </c:pt>
                <c:pt idx="658">
                  <c:v>2013.12</c:v>
                </c:pt>
                <c:pt idx="659">
                  <c:v>2021.56</c:v>
                </c:pt>
                <c:pt idx="660">
                  <c:v>2024.54</c:v>
                </c:pt>
                <c:pt idx="661">
                  <c:v>2023.64</c:v>
                </c:pt>
                <c:pt idx="662">
                  <c:v>2028.01</c:v>
                </c:pt>
                <c:pt idx="663">
                  <c:v>2029.89</c:v>
                </c:pt>
                <c:pt idx="664">
                  <c:v>2027.36</c:v>
                </c:pt>
                <c:pt idx="665">
                  <c:v>2030.44</c:v>
                </c:pt>
                <c:pt idx="666">
                  <c:v>2033.29</c:v>
                </c:pt>
                <c:pt idx="667">
                  <c:v>2035.58</c:v>
                </c:pt>
                <c:pt idx="668">
                  <c:v>2030.06</c:v>
                </c:pt>
                <c:pt idx="669">
                  <c:v>2031.38</c:v>
                </c:pt>
                <c:pt idx="670">
                  <c:v>2023.48</c:v>
                </c:pt>
                <c:pt idx="671">
                  <c:v>2025.69</c:v>
                </c:pt>
                <c:pt idx="672">
                  <c:v>2034.6</c:v>
                </c:pt>
                <c:pt idx="673">
                  <c:v>2034.59</c:v>
                </c:pt>
                <c:pt idx="674">
                  <c:v>2036.8</c:v>
                </c:pt>
                <c:pt idx="675">
                  <c:v>2041.17</c:v>
                </c:pt>
                <c:pt idx="676">
                  <c:v>2043.24</c:v>
                </c:pt>
                <c:pt idx="677">
                  <c:v>2045.47</c:v>
                </c:pt>
                <c:pt idx="678">
                  <c:v>2046.8</c:v>
                </c:pt>
                <c:pt idx="679">
                  <c:v>2046.78</c:v>
                </c:pt>
                <c:pt idx="680">
                  <c:v>2050.6999999999998</c:v>
                </c:pt>
                <c:pt idx="681">
                  <c:v>2042.36</c:v>
                </c:pt>
                <c:pt idx="682">
                  <c:v>2040.25</c:v>
                </c:pt>
                <c:pt idx="683">
                  <c:v>2035.71</c:v>
                </c:pt>
                <c:pt idx="684">
                  <c:v>2031.88</c:v>
                </c:pt>
                <c:pt idx="685">
                  <c:v>2021.03</c:v>
                </c:pt>
                <c:pt idx="686">
                  <c:v>2035.81</c:v>
                </c:pt>
                <c:pt idx="687">
                  <c:v>2033.18</c:v>
                </c:pt>
                <c:pt idx="688">
                  <c:v>2035.73</c:v>
                </c:pt>
                <c:pt idx="689">
                  <c:v>2047.15</c:v>
                </c:pt>
                <c:pt idx="690">
                  <c:v>2050.06</c:v>
                </c:pt>
                <c:pt idx="691">
                  <c:v>2053.2800000000002</c:v>
                </c:pt>
                <c:pt idx="692">
                  <c:v>2059.54</c:v>
                </c:pt>
                <c:pt idx="693">
                  <c:v>2055.77</c:v>
                </c:pt>
                <c:pt idx="694">
                  <c:v>2066.5500000000002</c:v>
                </c:pt>
                <c:pt idx="695">
                  <c:v>2066.2199999999998</c:v>
                </c:pt>
                <c:pt idx="696">
                  <c:v>2077.36</c:v>
                </c:pt>
                <c:pt idx="697">
                  <c:v>2069.37</c:v>
                </c:pt>
                <c:pt idx="698">
                  <c:v>2069.9899999999998</c:v>
                </c:pt>
                <c:pt idx="699">
                  <c:v>2063.64</c:v>
                </c:pt>
                <c:pt idx="700">
                  <c:v>2058.2199999999998</c:v>
                </c:pt>
                <c:pt idx="701">
                  <c:v>2063.58</c:v>
                </c:pt>
                <c:pt idx="702">
                  <c:v>2073.46</c:v>
                </c:pt>
                <c:pt idx="703">
                  <c:v>2081.2399999999998</c:v>
                </c:pt>
                <c:pt idx="704">
                  <c:v>2083.4299999999998</c:v>
                </c:pt>
                <c:pt idx="705">
                  <c:v>2084.36</c:v>
                </c:pt>
                <c:pt idx="706">
                  <c:v>2077.5500000000002</c:v>
                </c:pt>
                <c:pt idx="707">
                  <c:v>2085.54</c:v>
                </c:pt>
                <c:pt idx="708">
                  <c:v>2104.02</c:v>
                </c:pt>
                <c:pt idx="709">
                  <c:v>2096.34</c:v>
                </c:pt>
                <c:pt idx="710">
                  <c:v>2095.4499999999998</c:v>
                </c:pt>
                <c:pt idx="711">
                  <c:v>2100.77</c:v>
                </c:pt>
                <c:pt idx="712">
                  <c:v>2099.59</c:v>
                </c:pt>
                <c:pt idx="713">
                  <c:v>2099.94</c:v>
                </c:pt>
                <c:pt idx="714">
                  <c:v>2099.31</c:v>
                </c:pt>
                <c:pt idx="715">
                  <c:v>2103.19</c:v>
                </c:pt>
                <c:pt idx="716">
                  <c:v>2106.89</c:v>
                </c:pt>
                <c:pt idx="717">
                  <c:v>2103.4499999999998</c:v>
                </c:pt>
                <c:pt idx="718">
                  <c:v>2103.4699999999998</c:v>
                </c:pt>
                <c:pt idx="719">
                  <c:v>2116.04</c:v>
                </c:pt>
                <c:pt idx="720">
                  <c:v>2125.65</c:v>
                </c:pt>
                <c:pt idx="721">
                  <c:v>2142.75</c:v>
                </c:pt>
                <c:pt idx="722">
                  <c:v>2156.6</c:v>
                </c:pt>
                <c:pt idx="723">
                  <c:v>2157.96</c:v>
                </c:pt>
                <c:pt idx="724">
                  <c:v>2161.7800000000002</c:v>
                </c:pt>
                <c:pt idx="725">
                  <c:v>2162.2800000000002</c:v>
                </c:pt>
                <c:pt idx="726">
                  <c:v>2171.7800000000002</c:v>
                </c:pt>
                <c:pt idx="727">
                  <c:v>2185.31</c:v>
                </c:pt>
                <c:pt idx="728">
                  <c:v>2193.9499999999998</c:v>
                </c:pt>
                <c:pt idx="729">
                  <c:v>2188.39</c:v>
                </c:pt>
                <c:pt idx="730">
                  <c:v>2199.9299999999998</c:v>
                </c:pt>
                <c:pt idx="731">
                  <c:v>2196.73</c:v>
                </c:pt>
                <c:pt idx="732">
                  <c:v>2207.4</c:v>
                </c:pt>
                <c:pt idx="733">
                  <c:v>2221.0100000000002</c:v>
                </c:pt>
                <c:pt idx="734">
                  <c:v>2230.0500000000002</c:v>
                </c:pt>
                <c:pt idx="735">
                  <c:v>2232.3000000000002</c:v>
                </c:pt>
                <c:pt idx="736">
                  <c:v>2234.38</c:v>
                </c:pt>
                <c:pt idx="737">
                  <c:v>2248.9299999999998</c:v>
                </c:pt>
                <c:pt idx="738">
                  <c:v>2234.2199999999998</c:v>
                </c:pt>
                <c:pt idx="739">
                  <c:v>2214.11</c:v>
                </c:pt>
                <c:pt idx="740">
                  <c:v>2213.2399999999998</c:v>
                </c:pt>
                <c:pt idx="741">
                  <c:v>2212.5300000000002</c:v>
                </c:pt>
                <c:pt idx="742">
                  <c:v>2171.54</c:v>
                </c:pt>
                <c:pt idx="743">
                  <c:v>2103.64</c:v>
                </c:pt>
                <c:pt idx="744">
                  <c:v>2098.85</c:v>
                </c:pt>
                <c:pt idx="745">
                  <c:v>2101.0700000000002</c:v>
                </c:pt>
                <c:pt idx="746">
                  <c:v>2045.01</c:v>
                </c:pt>
                <c:pt idx="747">
                  <c:v>2050.9</c:v>
                </c:pt>
                <c:pt idx="748">
                  <c:v>2075.91</c:v>
                </c:pt>
                <c:pt idx="749">
                  <c:v>2080.6799999999998</c:v>
                </c:pt>
                <c:pt idx="750">
                  <c:v>2105.85</c:v>
                </c:pt>
                <c:pt idx="751">
                  <c:v>2130.94</c:v>
                </c:pt>
                <c:pt idx="752">
                  <c:v>2137.91</c:v>
                </c:pt>
                <c:pt idx="753">
                  <c:v>2135.94</c:v>
                </c:pt>
                <c:pt idx="754">
                  <c:v>2126.2199999999998</c:v>
                </c:pt>
                <c:pt idx="755">
                  <c:v>2118.36</c:v>
                </c:pt>
                <c:pt idx="756">
                  <c:v>2117.17</c:v>
                </c:pt>
                <c:pt idx="757">
                  <c:v>2140.91</c:v>
                </c:pt>
                <c:pt idx="758">
                  <c:v>2159.67</c:v>
                </c:pt>
                <c:pt idx="759">
                  <c:v>2140.5700000000002</c:v>
                </c:pt>
                <c:pt idx="760">
                  <c:v>2117.9899999999998</c:v>
                </c:pt>
              </c:numCache>
            </c:numRef>
          </c:val>
          <c:smooth val="0"/>
        </c:ser>
        <c:ser>
          <c:idx val="1"/>
          <c:order val="1"/>
          <c:tx>
            <c:strRef>
              <c:f>Sheet1!$C$1</c:f>
              <c:strCache>
                <c:ptCount val="1"/>
                <c:pt idx="0">
                  <c:v>MSCI Emerging Market</c:v>
                </c:pt>
              </c:strCache>
            </c:strRef>
          </c:tx>
          <c:spPr>
            <a:ln w="25400"/>
          </c:spPr>
          <c:marker>
            <c:symbol val="none"/>
          </c:marker>
          <c:cat>
            <c:numRef>
              <c:f>Sheet1!$A$1639:$A$2399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pt idx="697">
                  <c:v>43070</c:v>
                </c:pt>
                <c:pt idx="698">
                  <c:v>43073</c:v>
                </c:pt>
                <c:pt idx="699">
                  <c:v>43074</c:v>
                </c:pt>
                <c:pt idx="700">
                  <c:v>43075</c:v>
                </c:pt>
                <c:pt idx="701">
                  <c:v>43076</c:v>
                </c:pt>
                <c:pt idx="702">
                  <c:v>43077</c:v>
                </c:pt>
                <c:pt idx="703">
                  <c:v>43080</c:v>
                </c:pt>
                <c:pt idx="704">
                  <c:v>43081</c:v>
                </c:pt>
                <c:pt idx="705">
                  <c:v>43082</c:v>
                </c:pt>
                <c:pt idx="706">
                  <c:v>43083</c:v>
                </c:pt>
                <c:pt idx="707">
                  <c:v>43084</c:v>
                </c:pt>
                <c:pt idx="708">
                  <c:v>43087</c:v>
                </c:pt>
                <c:pt idx="709">
                  <c:v>43088</c:v>
                </c:pt>
                <c:pt idx="710">
                  <c:v>43089</c:v>
                </c:pt>
                <c:pt idx="711">
                  <c:v>43090</c:v>
                </c:pt>
                <c:pt idx="712">
                  <c:v>43091</c:v>
                </c:pt>
                <c:pt idx="713">
                  <c:v>43094</c:v>
                </c:pt>
                <c:pt idx="714">
                  <c:v>43095</c:v>
                </c:pt>
                <c:pt idx="715">
                  <c:v>43096</c:v>
                </c:pt>
                <c:pt idx="716">
                  <c:v>43097</c:v>
                </c:pt>
                <c:pt idx="717">
                  <c:v>43098</c:v>
                </c:pt>
                <c:pt idx="718">
                  <c:v>43101</c:v>
                </c:pt>
                <c:pt idx="719">
                  <c:v>43102</c:v>
                </c:pt>
                <c:pt idx="720">
                  <c:v>43103</c:v>
                </c:pt>
                <c:pt idx="721">
                  <c:v>43104</c:v>
                </c:pt>
                <c:pt idx="722">
                  <c:v>43105</c:v>
                </c:pt>
                <c:pt idx="723">
                  <c:v>43108</c:v>
                </c:pt>
                <c:pt idx="724">
                  <c:v>43109</c:v>
                </c:pt>
                <c:pt idx="725">
                  <c:v>43110</c:v>
                </c:pt>
                <c:pt idx="726">
                  <c:v>43111</c:v>
                </c:pt>
                <c:pt idx="727">
                  <c:v>43112</c:v>
                </c:pt>
                <c:pt idx="728">
                  <c:v>43115</c:v>
                </c:pt>
                <c:pt idx="729">
                  <c:v>43116</c:v>
                </c:pt>
                <c:pt idx="730">
                  <c:v>43117</c:v>
                </c:pt>
                <c:pt idx="731">
                  <c:v>43118</c:v>
                </c:pt>
                <c:pt idx="732">
                  <c:v>43119</c:v>
                </c:pt>
                <c:pt idx="733">
                  <c:v>43122</c:v>
                </c:pt>
                <c:pt idx="734">
                  <c:v>43123</c:v>
                </c:pt>
                <c:pt idx="735">
                  <c:v>43124</c:v>
                </c:pt>
                <c:pt idx="736">
                  <c:v>43125</c:v>
                </c:pt>
                <c:pt idx="737">
                  <c:v>43126</c:v>
                </c:pt>
                <c:pt idx="738">
                  <c:v>43129</c:v>
                </c:pt>
                <c:pt idx="739">
                  <c:v>43130</c:v>
                </c:pt>
                <c:pt idx="740">
                  <c:v>43131</c:v>
                </c:pt>
                <c:pt idx="741">
                  <c:v>43132</c:v>
                </c:pt>
                <c:pt idx="742">
                  <c:v>43133</c:v>
                </c:pt>
                <c:pt idx="743">
                  <c:v>43136</c:v>
                </c:pt>
                <c:pt idx="744">
                  <c:v>43137</c:v>
                </c:pt>
                <c:pt idx="745">
                  <c:v>43138</c:v>
                </c:pt>
                <c:pt idx="746">
                  <c:v>43139</c:v>
                </c:pt>
                <c:pt idx="747">
                  <c:v>43140</c:v>
                </c:pt>
                <c:pt idx="748">
                  <c:v>43143</c:v>
                </c:pt>
                <c:pt idx="749">
                  <c:v>43144</c:v>
                </c:pt>
                <c:pt idx="750">
                  <c:v>43145</c:v>
                </c:pt>
                <c:pt idx="751">
                  <c:v>43146</c:v>
                </c:pt>
                <c:pt idx="752">
                  <c:v>43147</c:v>
                </c:pt>
                <c:pt idx="753">
                  <c:v>43150</c:v>
                </c:pt>
                <c:pt idx="754">
                  <c:v>43151</c:v>
                </c:pt>
                <c:pt idx="755">
                  <c:v>43152</c:v>
                </c:pt>
                <c:pt idx="756">
                  <c:v>43153</c:v>
                </c:pt>
                <c:pt idx="757">
                  <c:v>43154</c:v>
                </c:pt>
                <c:pt idx="758">
                  <c:v>43157</c:v>
                </c:pt>
                <c:pt idx="759">
                  <c:v>43158</c:v>
                </c:pt>
                <c:pt idx="760">
                  <c:v>43159</c:v>
                </c:pt>
              </c:numCache>
            </c:numRef>
          </c:cat>
          <c:val>
            <c:numRef>
              <c:f>Sheet1!$C$1639:$C$2399</c:f>
              <c:numCache>
                <c:formatCode>General</c:formatCode>
                <c:ptCount val="761"/>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pt idx="588">
                  <c:v>1014.24</c:v>
                </c:pt>
                <c:pt idx="589">
                  <c:v>1006.72</c:v>
                </c:pt>
                <c:pt idx="590">
                  <c:v>1009.85</c:v>
                </c:pt>
                <c:pt idx="591">
                  <c:v>1006.16</c:v>
                </c:pt>
                <c:pt idx="592">
                  <c:v>1002.48</c:v>
                </c:pt>
                <c:pt idx="593">
                  <c:v>1009.29</c:v>
                </c:pt>
                <c:pt idx="594">
                  <c:v>1018.2</c:v>
                </c:pt>
                <c:pt idx="595">
                  <c:v>1029.9000000000001</c:v>
                </c:pt>
                <c:pt idx="596">
                  <c:v>1040.72</c:v>
                </c:pt>
                <c:pt idx="597">
                  <c:v>1047.05</c:v>
                </c:pt>
                <c:pt idx="598">
                  <c:v>1051.55</c:v>
                </c:pt>
                <c:pt idx="599">
                  <c:v>1053.23</c:v>
                </c:pt>
                <c:pt idx="600">
                  <c:v>1060.1199999999999</c:v>
                </c:pt>
                <c:pt idx="601">
                  <c:v>1059.4000000000001</c:v>
                </c:pt>
                <c:pt idx="602">
                  <c:v>1060.18</c:v>
                </c:pt>
                <c:pt idx="603">
                  <c:v>1064.27</c:v>
                </c:pt>
                <c:pt idx="604">
                  <c:v>1061.69</c:v>
                </c:pt>
                <c:pt idx="605">
                  <c:v>1062.29</c:v>
                </c:pt>
                <c:pt idx="606">
                  <c:v>1068.95</c:v>
                </c:pt>
                <c:pt idx="607">
                  <c:v>1062.97</c:v>
                </c:pt>
                <c:pt idx="608">
                  <c:v>1066.23</c:v>
                </c:pt>
                <c:pt idx="609">
                  <c:v>1069</c:v>
                </c:pt>
                <c:pt idx="610">
                  <c:v>1069.97</c:v>
                </c:pt>
                <c:pt idx="611">
                  <c:v>1064.07</c:v>
                </c:pt>
                <c:pt idx="612">
                  <c:v>1067.26</c:v>
                </c:pt>
                <c:pt idx="613">
                  <c:v>1075.3599999999999</c:v>
                </c:pt>
                <c:pt idx="614">
                  <c:v>1078.53</c:v>
                </c:pt>
                <c:pt idx="615">
                  <c:v>1068.92</c:v>
                </c:pt>
                <c:pt idx="616">
                  <c:v>1056.21</c:v>
                </c:pt>
                <c:pt idx="617">
                  <c:v>1042.8</c:v>
                </c:pt>
                <c:pt idx="618">
                  <c:v>1053.6500000000001</c:v>
                </c:pt>
                <c:pt idx="619">
                  <c:v>1052.51</c:v>
                </c:pt>
                <c:pt idx="620">
                  <c:v>1060.27</c:v>
                </c:pt>
                <c:pt idx="621">
                  <c:v>1063.32</c:v>
                </c:pt>
                <c:pt idx="622">
                  <c:v>1059.54</c:v>
                </c:pt>
                <c:pt idx="623">
                  <c:v>1063.6600000000001</c:v>
                </c:pt>
                <c:pt idx="624">
                  <c:v>1072.52</c:v>
                </c:pt>
                <c:pt idx="625">
                  <c:v>1075.5999999999999</c:v>
                </c:pt>
                <c:pt idx="626">
                  <c:v>1082.45</c:v>
                </c:pt>
                <c:pt idx="627">
                  <c:v>1085.3699999999999</c:v>
                </c:pt>
                <c:pt idx="628">
                  <c:v>1085.08</c:v>
                </c:pt>
                <c:pt idx="629">
                  <c:v>1081.23</c:v>
                </c:pt>
                <c:pt idx="630">
                  <c:v>1088</c:v>
                </c:pt>
                <c:pt idx="631">
                  <c:v>1087.7</c:v>
                </c:pt>
                <c:pt idx="632">
                  <c:v>1091.3599999999999</c:v>
                </c:pt>
                <c:pt idx="633">
                  <c:v>1083.3399999999999</c:v>
                </c:pt>
                <c:pt idx="634">
                  <c:v>1084.93</c:v>
                </c:pt>
                <c:pt idx="635">
                  <c:v>1083.18</c:v>
                </c:pt>
                <c:pt idx="636">
                  <c:v>1090.0999999999999</c:v>
                </c:pt>
                <c:pt idx="637">
                  <c:v>1091.17</c:v>
                </c:pt>
                <c:pt idx="638">
                  <c:v>1099.18</c:v>
                </c:pt>
                <c:pt idx="639">
                  <c:v>1102.26</c:v>
                </c:pt>
                <c:pt idx="640">
                  <c:v>1099.46</c:v>
                </c:pt>
                <c:pt idx="641">
                  <c:v>1099.8900000000001</c:v>
                </c:pt>
                <c:pt idx="642">
                  <c:v>1102.1600000000001</c:v>
                </c:pt>
                <c:pt idx="643">
                  <c:v>1112.92</c:v>
                </c:pt>
                <c:pt idx="644">
                  <c:v>1109.6300000000001</c:v>
                </c:pt>
                <c:pt idx="645">
                  <c:v>1112.07</c:v>
                </c:pt>
                <c:pt idx="646">
                  <c:v>1108.19</c:v>
                </c:pt>
                <c:pt idx="647">
                  <c:v>1102.25</c:v>
                </c:pt>
                <c:pt idx="648">
                  <c:v>1088.26</c:v>
                </c:pt>
                <c:pt idx="649">
                  <c:v>1080.1099999999999</c:v>
                </c:pt>
                <c:pt idx="650">
                  <c:v>1078.57</c:v>
                </c:pt>
                <c:pt idx="651">
                  <c:v>1072.3800000000001</c:v>
                </c:pt>
                <c:pt idx="652">
                  <c:v>1081.72</c:v>
                </c:pt>
                <c:pt idx="653">
                  <c:v>1082.97</c:v>
                </c:pt>
                <c:pt idx="654">
                  <c:v>1097.03</c:v>
                </c:pt>
                <c:pt idx="655">
                  <c:v>1101.8399999999999</c:v>
                </c:pt>
                <c:pt idx="656">
                  <c:v>1102.76</c:v>
                </c:pt>
                <c:pt idx="657">
                  <c:v>1103.1199999999999</c:v>
                </c:pt>
                <c:pt idx="658">
                  <c:v>1100.42</c:v>
                </c:pt>
                <c:pt idx="659">
                  <c:v>1112.53</c:v>
                </c:pt>
                <c:pt idx="660">
                  <c:v>1117.33</c:v>
                </c:pt>
                <c:pt idx="661">
                  <c:v>1121.6199999999999</c:v>
                </c:pt>
                <c:pt idx="662">
                  <c:v>1125.9100000000001</c:v>
                </c:pt>
                <c:pt idx="663">
                  <c:v>1131.82</c:v>
                </c:pt>
                <c:pt idx="664">
                  <c:v>1125.6600000000001</c:v>
                </c:pt>
                <c:pt idx="665">
                  <c:v>1126.9000000000001</c:v>
                </c:pt>
                <c:pt idx="666">
                  <c:v>1116.9100000000001</c:v>
                </c:pt>
                <c:pt idx="667">
                  <c:v>1119.69</c:v>
                </c:pt>
                <c:pt idx="668">
                  <c:v>1115.9000000000001</c:v>
                </c:pt>
                <c:pt idx="669">
                  <c:v>1113.32</c:v>
                </c:pt>
                <c:pt idx="670">
                  <c:v>1114.0899999999999</c:v>
                </c:pt>
                <c:pt idx="671">
                  <c:v>1108.17</c:v>
                </c:pt>
                <c:pt idx="672">
                  <c:v>1110.22</c:v>
                </c:pt>
                <c:pt idx="673">
                  <c:v>1115.53</c:v>
                </c:pt>
                <c:pt idx="674">
                  <c:v>1119.08</c:v>
                </c:pt>
                <c:pt idx="675">
                  <c:v>1128.94</c:v>
                </c:pt>
                <c:pt idx="676">
                  <c:v>1127.31</c:v>
                </c:pt>
                <c:pt idx="677">
                  <c:v>1126.18</c:v>
                </c:pt>
                <c:pt idx="678">
                  <c:v>1131.03</c:v>
                </c:pt>
                <c:pt idx="679">
                  <c:v>1134.55</c:v>
                </c:pt>
                <c:pt idx="680">
                  <c:v>1134.68</c:v>
                </c:pt>
                <c:pt idx="681">
                  <c:v>1133.78</c:v>
                </c:pt>
                <c:pt idx="682">
                  <c:v>1128.49</c:v>
                </c:pt>
                <c:pt idx="683">
                  <c:v>1123.26</c:v>
                </c:pt>
                <c:pt idx="684">
                  <c:v>1118.32</c:v>
                </c:pt>
                <c:pt idx="685">
                  <c:v>1111.1199999999999</c:v>
                </c:pt>
                <c:pt idx="686">
                  <c:v>1125.3599999999999</c:v>
                </c:pt>
                <c:pt idx="687">
                  <c:v>1136.45</c:v>
                </c:pt>
                <c:pt idx="688">
                  <c:v>1136.0999999999999</c:v>
                </c:pt>
                <c:pt idx="689">
                  <c:v>1150.98</c:v>
                </c:pt>
                <c:pt idx="690">
                  <c:v>1156.67</c:v>
                </c:pt>
                <c:pt idx="691">
                  <c:v>1152.4000000000001</c:v>
                </c:pt>
                <c:pt idx="692">
                  <c:v>1154.26</c:v>
                </c:pt>
                <c:pt idx="693">
                  <c:v>1144.33</c:v>
                </c:pt>
                <c:pt idx="694">
                  <c:v>1146.5</c:v>
                </c:pt>
                <c:pt idx="695">
                  <c:v>1141.3800000000001</c:v>
                </c:pt>
                <c:pt idx="696">
                  <c:v>1120.79</c:v>
                </c:pt>
                <c:pt idx="697">
                  <c:v>1115.94</c:v>
                </c:pt>
                <c:pt idx="698">
                  <c:v>1121.95</c:v>
                </c:pt>
                <c:pt idx="699">
                  <c:v>1117.69</c:v>
                </c:pt>
                <c:pt idx="700">
                  <c:v>1101.19</c:v>
                </c:pt>
                <c:pt idx="701">
                  <c:v>1100.54</c:v>
                </c:pt>
                <c:pt idx="702">
                  <c:v>1110.78</c:v>
                </c:pt>
                <c:pt idx="703">
                  <c:v>1119.97</c:v>
                </c:pt>
                <c:pt idx="704">
                  <c:v>1112.3699999999999</c:v>
                </c:pt>
                <c:pt idx="705">
                  <c:v>1118.81</c:v>
                </c:pt>
                <c:pt idx="706">
                  <c:v>1121.22</c:v>
                </c:pt>
                <c:pt idx="707">
                  <c:v>1118.5</c:v>
                </c:pt>
                <c:pt idx="708">
                  <c:v>1130.3900000000001</c:v>
                </c:pt>
                <c:pt idx="709">
                  <c:v>1132.2</c:v>
                </c:pt>
                <c:pt idx="710">
                  <c:v>1132.8499999999999</c:v>
                </c:pt>
                <c:pt idx="711">
                  <c:v>1134.3800000000001</c:v>
                </c:pt>
                <c:pt idx="712">
                  <c:v>1141.0899999999999</c:v>
                </c:pt>
                <c:pt idx="713">
                  <c:v>1141.1099999999999</c:v>
                </c:pt>
                <c:pt idx="714">
                  <c:v>1138.6300000000001</c:v>
                </c:pt>
                <c:pt idx="715">
                  <c:v>1144.3900000000001</c:v>
                </c:pt>
                <c:pt idx="716">
                  <c:v>1153.58</c:v>
                </c:pt>
                <c:pt idx="717">
                  <c:v>1158.45</c:v>
                </c:pt>
                <c:pt idx="718">
                  <c:v>1157.55</c:v>
                </c:pt>
                <c:pt idx="719">
                  <c:v>1177.98</c:v>
                </c:pt>
                <c:pt idx="720">
                  <c:v>1184.21</c:v>
                </c:pt>
                <c:pt idx="721">
                  <c:v>1192.56</c:v>
                </c:pt>
                <c:pt idx="722">
                  <c:v>1201.01</c:v>
                </c:pt>
                <c:pt idx="723">
                  <c:v>1206.8599999999999</c:v>
                </c:pt>
                <c:pt idx="724">
                  <c:v>1205.1400000000001</c:v>
                </c:pt>
                <c:pt idx="725">
                  <c:v>1197.53</c:v>
                </c:pt>
                <c:pt idx="726">
                  <c:v>1197.01</c:v>
                </c:pt>
                <c:pt idx="727">
                  <c:v>1208.17</c:v>
                </c:pt>
                <c:pt idx="728">
                  <c:v>1210.6400000000001</c:v>
                </c:pt>
                <c:pt idx="729">
                  <c:v>1217.8699999999999</c:v>
                </c:pt>
                <c:pt idx="730">
                  <c:v>1222.6199999999999</c:v>
                </c:pt>
                <c:pt idx="731">
                  <c:v>1227.52</c:v>
                </c:pt>
                <c:pt idx="732">
                  <c:v>1232.5999999999999</c:v>
                </c:pt>
                <c:pt idx="733">
                  <c:v>1238.5</c:v>
                </c:pt>
                <c:pt idx="734">
                  <c:v>1252.3900000000001</c:v>
                </c:pt>
                <c:pt idx="735">
                  <c:v>1258.75</c:v>
                </c:pt>
                <c:pt idx="736">
                  <c:v>1263.45</c:v>
                </c:pt>
                <c:pt idx="737">
                  <c:v>1273.07</c:v>
                </c:pt>
                <c:pt idx="738">
                  <c:v>1267.98</c:v>
                </c:pt>
                <c:pt idx="739">
                  <c:v>1247.6300000000001</c:v>
                </c:pt>
                <c:pt idx="740">
                  <c:v>1254.5899999999999</c:v>
                </c:pt>
                <c:pt idx="741">
                  <c:v>1248.6500000000001</c:v>
                </c:pt>
                <c:pt idx="742">
                  <c:v>1230.83</c:v>
                </c:pt>
                <c:pt idx="743">
                  <c:v>1209.3399999999999</c:v>
                </c:pt>
                <c:pt idx="744">
                  <c:v>1176.18</c:v>
                </c:pt>
                <c:pt idx="745">
                  <c:v>1173.3800000000001</c:v>
                </c:pt>
                <c:pt idx="746">
                  <c:v>1163.0899999999999</c:v>
                </c:pt>
                <c:pt idx="747">
                  <c:v>1142.8499999999999</c:v>
                </c:pt>
                <c:pt idx="748">
                  <c:v>1153.3699999999999</c:v>
                </c:pt>
                <c:pt idx="749">
                  <c:v>1164.49</c:v>
                </c:pt>
                <c:pt idx="750">
                  <c:v>1185.33</c:v>
                </c:pt>
                <c:pt idx="751">
                  <c:v>1202.6199999999999</c:v>
                </c:pt>
                <c:pt idx="752">
                  <c:v>1199.73</c:v>
                </c:pt>
                <c:pt idx="753">
                  <c:v>1201.04</c:v>
                </c:pt>
                <c:pt idx="754">
                  <c:v>1194.53</c:v>
                </c:pt>
                <c:pt idx="755">
                  <c:v>1209.67</c:v>
                </c:pt>
                <c:pt idx="756">
                  <c:v>1200.9000000000001</c:v>
                </c:pt>
                <c:pt idx="757">
                  <c:v>1216.43</c:v>
                </c:pt>
                <c:pt idx="758">
                  <c:v>1221.08</c:v>
                </c:pt>
                <c:pt idx="759">
                  <c:v>1212.33</c:v>
                </c:pt>
                <c:pt idx="760">
                  <c:v>1195.19</c:v>
                </c:pt>
              </c:numCache>
            </c:numRef>
          </c:val>
          <c:smooth val="0"/>
        </c:ser>
        <c:ser>
          <c:idx val="2"/>
          <c:order val="2"/>
          <c:tx>
            <c:strRef>
              <c:f>Sheet1!$D$1</c:f>
              <c:strCache>
                <c:ptCount val="1"/>
                <c:pt idx="0">
                  <c:v>MSCI INDIA</c:v>
                </c:pt>
              </c:strCache>
            </c:strRef>
          </c:tx>
          <c:marker>
            <c:symbol val="none"/>
          </c:marker>
          <c:cat>
            <c:numRef>
              <c:f>Sheet1!$A$1639:$A$2399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pt idx="697">
                  <c:v>43070</c:v>
                </c:pt>
                <c:pt idx="698">
                  <c:v>43073</c:v>
                </c:pt>
                <c:pt idx="699">
                  <c:v>43074</c:v>
                </c:pt>
                <c:pt idx="700">
                  <c:v>43075</c:v>
                </c:pt>
                <c:pt idx="701">
                  <c:v>43076</c:v>
                </c:pt>
                <c:pt idx="702">
                  <c:v>43077</c:v>
                </c:pt>
                <c:pt idx="703">
                  <c:v>43080</c:v>
                </c:pt>
                <c:pt idx="704">
                  <c:v>43081</c:v>
                </c:pt>
                <c:pt idx="705">
                  <c:v>43082</c:v>
                </c:pt>
                <c:pt idx="706">
                  <c:v>43083</c:v>
                </c:pt>
                <c:pt idx="707">
                  <c:v>43084</c:v>
                </c:pt>
                <c:pt idx="708">
                  <c:v>43087</c:v>
                </c:pt>
                <c:pt idx="709">
                  <c:v>43088</c:v>
                </c:pt>
                <c:pt idx="710">
                  <c:v>43089</c:v>
                </c:pt>
                <c:pt idx="711">
                  <c:v>43090</c:v>
                </c:pt>
                <c:pt idx="712">
                  <c:v>43091</c:v>
                </c:pt>
                <c:pt idx="713">
                  <c:v>43094</c:v>
                </c:pt>
                <c:pt idx="714">
                  <c:v>43095</c:v>
                </c:pt>
                <c:pt idx="715">
                  <c:v>43096</c:v>
                </c:pt>
                <c:pt idx="716">
                  <c:v>43097</c:v>
                </c:pt>
                <c:pt idx="717">
                  <c:v>43098</c:v>
                </c:pt>
                <c:pt idx="718">
                  <c:v>43101</c:v>
                </c:pt>
                <c:pt idx="719">
                  <c:v>43102</c:v>
                </c:pt>
                <c:pt idx="720">
                  <c:v>43103</c:v>
                </c:pt>
                <c:pt idx="721">
                  <c:v>43104</c:v>
                </c:pt>
                <c:pt idx="722">
                  <c:v>43105</c:v>
                </c:pt>
                <c:pt idx="723">
                  <c:v>43108</c:v>
                </c:pt>
                <c:pt idx="724">
                  <c:v>43109</c:v>
                </c:pt>
                <c:pt idx="725">
                  <c:v>43110</c:v>
                </c:pt>
                <c:pt idx="726">
                  <c:v>43111</c:v>
                </c:pt>
                <c:pt idx="727">
                  <c:v>43112</c:v>
                </c:pt>
                <c:pt idx="728">
                  <c:v>43115</c:v>
                </c:pt>
                <c:pt idx="729">
                  <c:v>43116</c:v>
                </c:pt>
                <c:pt idx="730">
                  <c:v>43117</c:v>
                </c:pt>
                <c:pt idx="731">
                  <c:v>43118</c:v>
                </c:pt>
                <c:pt idx="732">
                  <c:v>43119</c:v>
                </c:pt>
                <c:pt idx="733">
                  <c:v>43122</c:v>
                </c:pt>
                <c:pt idx="734">
                  <c:v>43123</c:v>
                </c:pt>
                <c:pt idx="735">
                  <c:v>43124</c:v>
                </c:pt>
                <c:pt idx="736">
                  <c:v>43125</c:v>
                </c:pt>
                <c:pt idx="737">
                  <c:v>43126</c:v>
                </c:pt>
                <c:pt idx="738">
                  <c:v>43129</c:v>
                </c:pt>
                <c:pt idx="739">
                  <c:v>43130</c:v>
                </c:pt>
                <c:pt idx="740">
                  <c:v>43131</c:v>
                </c:pt>
                <c:pt idx="741">
                  <c:v>43132</c:v>
                </c:pt>
                <c:pt idx="742">
                  <c:v>43133</c:v>
                </c:pt>
                <c:pt idx="743">
                  <c:v>43136</c:v>
                </c:pt>
                <c:pt idx="744">
                  <c:v>43137</c:v>
                </c:pt>
                <c:pt idx="745">
                  <c:v>43138</c:v>
                </c:pt>
                <c:pt idx="746">
                  <c:v>43139</c:v>
                </c:pt>
                <c:pt idx="747">
                  <c:v>43140</c:v>
                </c:pt>
                <c:pt idx="748">
                  <c:v>43143</c:v>
                </c:pt>
                <c:pt idx="749">
                  <c:v>43144</c:v>
                </c:pt>
                <c:pt idx="750">
                  <c:v>43145</c:v>
                </c:pt>
                <c:pt idx="751">
                  <c:v>43146</c:v>
                </c:pt>
                <c:pt idx="752">
                  <c:v>43147</c:v>
                </c:pt>
                <c:pt idx="753">
                  <c:v>43150</c:v>
                </c:pt>
                <c:pt idx="754">
                  <c:v>43151</c:v>
                </c:pt>
                <c:pt idx="755">
                  <c:v>43152</c:v>
                </c:pt>
                <c:pt idx="756">
                  <c:v>43153</c:v>
                </c:pt>
                <c:pt idx="757">
                  <c:v>43154</c:v>
                </c:pt>
                <c:pt idx="758">
                  <c:v>43157</c:v>
                </c:pt>
                <c:pt idx="759">
                  <c:v>43158</c:v>
                </c:pt>
                <c:pt idx="760">
                  <c:v>43159</c:v>
                </c:pt>
              </c:numCache>
            </c:numRef>
          </c:cat>
          <c:val>
            <c:numRef>
              <c:f>Sheet1!$D$1639:$D$2399</c:f>
              <c:numCache>
                <c:formatCode>General</c:formatCode>
                <c:ptCount val="761"/>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pt idx="588">
                  <c:v>1131.75</c:v>
                </c:pt>
                <c:pt idx="589">
                  <c:v>1132.3699999999999</c:v>
                </c:pt>
                <c:pt idx="590">
                  <c:v>1137.6400000000001</c:v>
                </c:pt>
                <c:pt idx="591">
                  <c:v>1140.8399999999999</c:v>
                </c:pt>
                <c:pt idx="592">
                  <c:v>1139.31</c:v>
                </c:pt>
                <c:pt idx="593">
                  <c:v>1152.01</c:v>
                </c:pt>
                <c:pt idx="594">
                  <c:v>1153.45</c:v>
                </c:pt>
                <c:pt idx="595">
                  <c:v>1158.72</c:v>
                </c:pt>
                <c:pt idx="596">
                  <c:v>1168.18</c:v>
                </c:pt>
                <c:pt idx="597">
                  <c:v>1167.0999999999999</c:v>
                </c:pt>
                <c:pt idx="598">
                  <c:v>1172.6099999999999</c:v>
                </c:pt>
                <c:pt idx="599">
                  <c:v>1165.76</c:v>
                </c:pt>
                <c:pt idx="600">
                  <c:v>1175.46</c:v>
                </c:pt>
                <c:pt idx="601">
                  <c:v>1171.6600000000001</c:v>
                </c:pt>
                <c:pt idx="602">
                  <c:v>1177.3800000000001</c:v>
                </c:pt>
                <c:pt idx="603">
                  <c:v>1181.48</c:v>
                </c:pt>
                <c:pt idx="604">
                  <c:v>1183.26</c:v>
                </c:pt>
                <c:pt idx="605">
                  <c:v>1188.1300000000001</c:v>
                </c:pt>
                <c:pt idx="606">
                  <c:v>1185.57</c:v>
                </c:pt>
                <c:pt idx="607">
                  <c:v>1188.2</c:v>
                </c:pt>
                <c:pt idx="608">
                  <c:v>1193.33</c:v>
                </c:pt>
                <c:pt idx="609" formatCode="0.00">
                  <c:v>1197.3800000000001</c:v>
                </c:pt>
                <c:pt idx="610" formatCode="0.00">
                  <c:v>1192.97</c:v>
                </c:pt>
                <c:pt idx="611" formatCode="0.00">
                  <c:v>1188.1600000000001</c:v>
                </c:pt>
                <c:pt idx="612" formatCode="0.00">
                  <c:v>1195.3599999999999</c:v>
                </c:pt>
                <c:pt idx="613" formatCode="0.00">
                  <c:v>1195.6600000000001</c:v>
                </c:pt>
                <c:pt idx="614" formatCode="0.00">
                  <c:v>1186.32</c:v>
                </c:pt>
                <c:pt idx="615" formatCode="0.00">
                  <c:v>1175.23</c:v>
                </c:pt>
                <c:pt idx="616" formatCode="0.00">
                  <c:v>1158.6400000000001</c:v>
                </c:pt>
                <c:pt idx="617" formatCode="0.00">
                  <c:v>1148.17</c:v>
                </c:pt>
                <c:pt idx="618" formatCode="0.00">
                  <c:v>1161.3499999999999</c:v>
                </c:pt>
                <c:pt idx="619" formatCode="0.00">
                  <c:v>1161.3499999999999</c:v>
                </c:pt>
                <c:pt idx="620" formatCode="0.00">
                  <c:v>1171.1400000000001</c:v>
                </c:pt>
                <c:pt idx="621" formatCode="0.00">
                  <c:v>1174.76</c:v>
                </c:pt>
                <c:pt idx="622" formatCode="0.00">
                  <c:v>1165.57</c:v>
                </c:pt>
                <c:pt idx="623" formatCode="0.00">
                  <c:v>1153.4000000000001</c:v>
                </c:pt>
                <c:pt idx="624" formatCode="0.00">
                  <c:v>1153.81</c:v>
                </c:pt>
                <c:pt idx="625" formatCode="0.00">
                  <c:v>1164.45</c:v>
                </c:pt>
                <c:pt idx="626" formatCode="0.00">
                  <c:v>1167.99</c:v>
                </c:pt>
                <c:pt idx="627" formatCode="0.00">
                  <c:v>1167.99</c:v>
                </c:pt>
                <c:pt idx="628" formatCode="0.00">
                  <c:v>1177.74</c:v>
                </c:pt>
                <c:pt idx="629" formatCode="0.00">
                  <c:v>1162.78</c:v>
                </c:pt>
                <c:pt idx="630" formatCode="0.00">
                  <c:v>1174.99</c:v>
                </c:pt>
                <c:pt idx="631" formatCode="0.00">
                  <c:v>1179.07</c:v>
                </c:pt>
                <c:pt idx="632">
                  <c:v>1186.3</c:v>
                </c:pt>
                <c:pt idx="633">
                  <c:v>1179.3399999999999</c:v>
                </c:pt>
                <c:pt idx="634">
                  <c:v>1184.73</c:v>
                </c:pt>
                <c:pt idx="635">
                  <c:v>1181.6500000000001</c:v>
                </c:pt>
                <c:pt idx="636">
                  <c:v>1185.6099999999999</c:v>
                </c:pt>
                <c:pt idx="637">
                  <c:v>1181.8599999999999</c:v>
                </c:pt>
                <c:pt idx="638">
                  <c:v>1187.08</c:v>
                </c:pt>
                <c:pt idx="639">
                  <c:v>1199.05</c:v>
                </c:pt>
                <c:pt idx="640">
                  <c:v>1196.93</c:v>
                </c:pt>
                <c:pt idx="641">
                  <c:v>1199.99</c:v>
                </c:pt>
                <c:pt idx="642">
                  <c:v>1200.01</c:v>
                </c:pt>
                <c:pt idx="643">
                  <c:v>1206.92</c:v>
                </c:pt>
                <c:pt idx="644">
                  <c:v>1206.44</c:v>
                </c:pt>
                <c:pt idx="645">
                  <c:v>1205.6300000000001</c:v>
                </c:pt>
                <c:pt idx="646">
                  <c:v>1203.43</c:v>
                </c:pt>
                <c:pt idx="647">
                  <c:v>1182.22</c:v>
                </c:pt>
                <c:pt idx="648">
                  <c:v>1170.5899999999999</c:v>
                </c:pt>
                <c:pt idx="649">
                  <c:v>1170.4000000000001</c:v>
                </c:pt>
                <c:pt idx="650">
                  <c:v>1154.25</c:v>
                </c:pt>
                <c:pt idx="651">
                  <c:v>1156.1099999999999</c:v>
                </c:pt>
                <c:pt idx="652">
                  <c:v>1159.76</c:v>
                </c:pt>
                <c:pt idx="653">
                  <c:v>1159.76</c:v>
                </c:pt>
                <c:pt idx="654">
                  <c:v>1171.43</c:v>
                </c:pt>
                <c:pt idx="655">
                  <c:v>1177.79</c:v>
                </c:pt>
                <c:pt idx="656">
                  <c:v>1176</c:v>
                </c:pt>
                <c:pt idx="657">
                  <c:v>1187.83</c:v>
                </c:pt>
                <c:pt idx="658">
                  <c:v>1189.6500000000001</c:v>
                </c:pt>
                <c:pt idx="659">
                  <c:v>1193.67</c:v>
                </c:pt>
                <c:pt idx="660">
                  <c:v>1190.8599999999999</c:v>
                </c:pt>
                <c:pt idx="661">
                  <c:v>1203.6500000000001</c:v>
                </c:pt>
                <c:pt idx="662">
                  <c:v>1209.4000000000001</c:v>
                </c:pt>
                <c:pt idx="663">
                  <c:v>1218.23</c:v>
                </c:pt>
                <c:pt idx="664">
                  <c:v>1220.21</c:v>
                </c:pt>
                <c:pt idx="665">
                  <c:v>1214.2</c:v>
                </c:pt>
                <c:pt idx="666">
                  <c:v>1208.58</c:v>
                </c:pt>
                <c:pt idx="667">
                  <c:v>1208.58</c:v>
                </c:pt>
                <c:pt idx="668">
                  <c:v>1213.74</c:v>
                </c:pt>
                <c:pt idx="669">
                  <c:v>1214.23</c:v>
                </c:pt>
                <c:pt idx="670">
                  <c:v>1223.8599999999999</c:v>
                </c:pt>
                <c:pt idx="671">
                  <c:v>1230.1099999999999</c:v>
                </c:pt>
                <c:pt idx="672">
                  <c:v>1229.3699999999999</c:v>
                </c:pt>
                <c:pt idx="673">
                  <c:v>1235.32</c:v>
                </c:pt>
                <c:pt idx="674">
                  <c:v>1233.6300000000001</c:v>
                </c:pt>
                <c:pt idx="675">
                  <c:v>1246.68</c:v>
                </c:pt>
                <c:pt idx="676">
                  <c:v>1247.79</c:v>
                </c:pt>
                <c:pt idx="677">
                  <c:v>1249.49</c:v>
                </c:pt>
                <c:pt idx="678">
                  <c:v>1251.8</c:v>
                </c:pt>
                <c:pt idx="679">
                  <c:v>1237.79</c:v>
                </c:pt>
                <c:pt idx="680">
                  <c:v>1230.93</c:v>
                </c:pt>
                <c:pt idx="681">
                  <c:v>1231.93</c:v>
                </c:pt>
                <c:pt idx="682">
                  <c:v>1229.6300000000001</c:v>
                </c:pt>
                <c:pt idx="683">
                  <c:v>1217.3</c:v>
                </c:pt>
                <c:pt idx="684">
                  <c:v>1213.93</c:v>
                </c:pt>
                <c:pt idx="685">
                  <c:v>1203.27</c:v>
                </c:pt>
                <c:pt idx="686">
                  <c:v>1215.49</c:v>
                </c:pt>
                <c:pt idx="687">
                  <c:v>1224.0999999999999</c:v>
                </c:pt>
                <c:pt idx="688">
                  <c:v>1224.51</c:v>
                </c:pt>
                <c:pt idx="689">
                  <c:v>1229.23</c:v>
                </c:pt>
                <c:pt idx="690">
                  <c:v>1230.69</c:v>
                </c:pt>
                <c:pt idx="691">
                  <c:v>1232.44</c:v>
                </c:pt>
                <c:pt idx="692">
                  <c:v>1237.47</c:v>
                </c:pt>
                <c:pt idx="693">
                  <c:v>1238.58</c:v>
                </c:pt>
                <c:pt idx="694">
                  <c:v>1235.82</c:v>
                </c:pt>
                <c:pt idx="695">
                  <c:v>1234.03</c:v>
                </c:pt>
                <c:pt idx="696">
                  <c:v>1218.5999999999999</c:v>
                </c:pt>
                <c:pt idx="697">
                  <c:v>1203.97</c:v>
                </c:pt>
                <c:pt idx="698">
                  <c:v>1206.69</c:v>
                </c:pt>
                <c:pt idx="699">
                  <c:v>1206.8699999999999</c:v>
                </c:pt>
                <c:pt idx="700">
                  <c:v>1198.25</c:v>
                </c:pt>
                <c:pt idx="701">
                  <c:v>1215.27</c:v>
                </c:pt>
                <c:pt idx="702">
                  <c:v>1226.06</c:v>
                </c:pt>
                <c:pt idx="703">
                  <c:v>1233.57</c:v>
                </c:pt>
                <c:pt idx="704">
                  <c:v>1224.49</c:v>
                </c:pt>
                <c:pt idx="705">
                  <c:v>1217.19</c:v>
                </c:pt>
                <c:pt idx="706">
                  <c:v>1222.6099999999999</c:v>
                </c:pt>
                <c:pt idx="707">
                  <c:v>1231.95</c:v>
                </c:pt>
                <c:pt idx="708">
                  <c:v>1239</c:v>
                </c:pt>
                <c:pt idx="709">
                  <c:v>1250.33</c:v>
                </c:pt>
                <c:pt idx="710">
                  <c:v>1249.1199999999999</c:v>
                </c:pt>
                <c:pt idx="711">
                  <c:v>1248.75</c:v>
                </c:pt>
                <c:pt idx="712">
                  <c:v>1255.68</c:v>
                </c:pt>
                <c:pt idx="713">
                  <c:v>1255.68</c:v>
                </c:pt>
                <c:pt idx="714">
                  <c:v>1261.5899999999999</c:v>
                </c:pt>
                <c:pt idx="715">
                  <c:v>1257.8499999999999</c:v>
                </c:pt>
                <c:pt idx="716">
                  <c:v>1255.1600000000001</c:v>
                </c:pt>
                <c:pt idx="717">
                  <c:v>1265.1500000000001</c:v>
                </c:pt>
                <c:pt idx="718">
                  <c:v>1254.3</c:v>
                </c:pt>
                <c:pt idx="719">
                  <c:v>1253.19</c:v>
                </c:pt>
                <c:pt idx="720">
                  <c:v>1254.46</c:v>
                </c:pt>
                <c:pt idx="721">
                  <c:v>1262.02</c:v>
                </c:pt>
                <c:pt idx="722">
                  <c:v>1272.25</c:v>
                </c:pt>
                <c:pt idx="723">
                  <c:v>1281.47</c:v>
                </c:pt>
                <c:pt idx="724">
                  <c:v>1281.6400000000001</c:v>
                </c:pt>
                <c:pt idx="725">
                  <c:v>1281.47</c:v>
                </c:pt>
                <c:pt idx="726">
                  <c:v>1284.74</c:v>
                </c:pt>
                <c:pt idx="727">
                  <c:v>1287.44</c:v>
                </c:pt>
                <c:pt idx="728">
                  <c:v>1291.78</c:v>
                </c:pt>
                <c:pt idx="729">
                  <c:v>1285.8499999999999</c:v>
                </c:pt>
                <c:pt idx="730">
                  <c:v>1297.8399999999999</c:v>
                </c:pt>
                <c:pt idx="731">
                  <c:v>1293.79</c:v>
                </c:pt>
                <c:pt idx="732">
                  <c:v>1302.1300000000001</c:v>
                </c:pt>
                <c:pt idx="733">
                  <c:v>1312.74</c:v>
                </c:pt>
                <c:pt idx="734">
                  <c:v>1326.38</c:v>
                </c:pt>
                <c:pt idx="735">
                  <c:v>1323.84</c:v>
                </c:pt>
                <c:pt idx="736">
                  <c:v>1316.57</c:v>
                </c:pt>
                <c:pt idx="737">
                  <c:v>1316.57</c:v>
                </c:pt>
                <c:pt idx="738">
                  <c:v>1322.15</c:v>
                </c:pt>
                <c:pt idx="739">
                  <c:v>1310.3599999999999</c:v>
                </c:pt>
                <c:pt idx="740">
                  <c:v>1303.56</c:v>
                </c:pt>
                <c:pt idx="741">
                  <c:v>1300.95</c:v>
                </c:pt>
                <c:pt idx="742">
                  <c:v>1268.92</c:v>
                </c:pt>
                <c:pt idx="743">
                  <c:v>1259.5999999999999</c:v>
                </c:pt>
                <c:pt idx="744">
                  <c:v>1237.79</c:v>
                </c:pt>
                <c:pt idx="745">
                  <c:v>1236.97</c:v>
                </c:pt>
                <c:pt idx="746">
                  <c:v>1252.53</c:v>
                </c:pt>
                <c:pt idx="747">
                  <c:v>1240.3</c:v>
                </c:pt>
                <c:pt idx="748">
                  <c:v>1251.02</c:v>
                </c:pt>
                <c:pt idx="749">
                  <c:v>1251.02</c:v>
                </c:pt>
                <c:pt idx="750">
                  <c:v>1247.57</c:v>
                </c:pt>
                <c:pt idx="751">
                  <c:v>1251.5</c:v>
                </c:pt>
                <c:pt idx="752">
                  <c:v>1239.76</c:v>
                </c:pt>
                <c:pt idx="753">
                  <c:v>1230.26</c:v>
                </c:pt>
                <c:pt idx="754">
                  <c:v>1230.77</c:v>
                </c:pt>
                <c:pt idx="755">
                  <c:v>1234.4100000000001</c:v>
                </c:pt>
                <c:pt idx="756">
                  <c:v>1230.31</c:v>
                </c:pt>
                <c:pt idx="757">
                  <c:v>1242.98</c:v>
                </c:pt>
                <c:pt idx="758">
                  <c:v>1252.3900000000001</c:v>
                </c:pt>
                <c:pt idx="759">
                  <c:v>1250.48</c:v>
                </c:pt>
                <c:pt idx="760">
                  <c:v>1243.58</c:v>
                </c:pt>
              </c:numCache>
            </c:numRef>
          </c:val>
          <c:smooth val="0"/>
        </c:ser>
        <c:dLbls>
          <c:showLegendKey val="0"/>
          <c:showVal val="0"/>
          <c:showCatName val="0"/>
          <c:showSerName val="0"/>
          <c:showPercent val="0"/>
          <c:showBubbleSize val="0"/>
        </c:dLbls>
        <c:smooth val="0"/>
        <c:axId val="462599496"/>
        <c:axId val="462599888"/>
      </c:lineChart>
      <c:dateAx>
        <c:axId val="462599496"/>
        <c:scaling>
          <c:orientation val="minMax"/>
          <c:min val="42430"/>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462599888"/>
        <c:crosses val="autoZero"/>
        <c:auto val="1"/>
        <c:lblOffset val="100"/>
        <c:baseTimeUnit val="days"/>
        <c:majorUnit val="1"/>
        <c:majorTimeUnit val="months"/>
      </c:dateAx>
      <c:valAx>
        <c:axId val="462599888"/>
        <c:scaling>
          <c:orientation val="minMax"/>
          <c:max val="24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462599496"/>
        <c:crosses val="autoZero"/>
        <c:crossBetween val="between"/>
      </c:valAx>
      <c:spPr>
        <a:ln>
          <a:solidFill>
            <a:sysClr val="windowText" lastClr="000000">
              <a:alpha val="0"/>
            </a:sysClr>
          </a:solidFill>
        </a:ln>
      </c:spPr>
    </c:plotArea>
    <c:legend>
      <c:legendPos val="b"/>
      <c:layout>
        <c:manualLayout>
          <c:xMode val="edge"/>
          <c:yMode val="edge"/>
          <c:x val="8.1878899610059883E-2"/>
          <c:y val="0.87602818305613905"/>
          <c:w val="0.84270604733100785"/>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Bond!$A$589:$A$1349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f>Bond!$B$589:$B$1349</c:f>
              <c:numCache>
                <c:formatCode>General</c:formatCode>
                <c:ptCount val="761"/>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pt idx="588" formatCode="0.00">
                  <c:v>0.47599999999999998</c:v>
                </c:pt>
                <c:pt idx="589" formatCode="0.00">
                  <c:v>0.47499999999999998</c:v>
                </c:pt>
                <c:pt idx="590" formatCode="0.00">
                  <c:v>0.47</c:v>
                </c:pt>
                <c:pt idx="591" formatCode="0.00">
                  <c:v>0.56200000000000006</c:v>
                </c:pt>
                <c:pt idx="592" formatCode="0.00">
                  <c:v>0.57299999999999995</c:v>
                </c:pt>
                <c:pt idx="593" formatCode="0.00">
                  <c:v>0.54</c:v>
                </c:pt>
                <c:pt idx="594" formatCode="0.00">
                  <c:v>0.55000000000000004</c:v>
                </c:pt>
                <c:pt idx="595" formatCode="0.00">
                  <c:v>0.57899999999999996</c:v>
                </c:pt>
                <c:pt idx="596" formatCode="0.00">
                  <c:v>0.60299999999999998</c:v>
                </c:pt>
                <c:pt idx="597" formatCode="0.00">
                  <c:v>0.59699999999999998</c:v>
                </c:pt>
                <c:pt idx="598" formatCode="0.00">
                  <c:v>0.58099999999999996</c:v>
                </c:pt>
                <c:pt idx="599" formatCode="0.00">
                  <c:v>0.55400000000000005</c:v>
                </c:pt>
                <c:pt idx="600" formatCode="0.00">
                  <c:v>0.54200000000000004</c:v>
                </c:pt>
                <c:pt idx="601" formatCode="0.00">
                  <c:v>0.53</c:v>
                </c:pt>
                <c:pt idx="602" formatCode="0.00">
                  <c:v>0.50600000000000001</c:v>
                </c:pt>
                <c:pt idx="603" formatCode="0.00">
                  <c:v>0.50800000000000001</c:v>
                </c:pt>
                <c:pt idx="604" formatCode="0.00">
                  <c:v>0.56599999999999995</c:v>
                </c:pt>
                <c:pt idx="605" formatCode="0.00">
                  <c:v>0.56100000000000005</c:v>
                </c:pt>
                <c:pt idx="606" formatCode="0.00">
                  <c:v>0.53600000000000003</c:v>
                </c:pt>
                <c:pt idx="607" formatCode="0.00">
                  <c:v>0.54200000000000004</c:v>
                </c:pt>
                <c:pt idx="608" formatCode="0.00">
                  <c:v>0.54300000000000004</c:v>
                </c:pt>
                <c:pt idx="609" formatCode="0.00">
                  <c:v>0.49099999999999999</c:v>
                </c:pt>
                <c:pt idx="610" formatCode="0.00">
                  <c:v>0.48599999999999999</c:v>
                </c:pt>
                <c:pt idx="611" formatCode="0.00">
                  <c:v>0.45300000000000001</c:v>
                </c:pt>
                <c:pt idx="612" formatCode="0.00">
                  <c:v>0.46800000000000003</c:v>
                </c:pt>
                <c:pt idx="613" formatCode="0.00">
                  <c:v>0.45900000000000002</c:v>
                </c:pt>
                <c:pt idx="614" formatCode="0.00">
                  <c:v>0.47399999999999998</c:v>
                </c:pt>
                <c:pt idx="615" formatCode="0.00">
                  <c:v>0.42799999999999999</c:v>
                </c:pt>
                <c:pt idx="616" formatCode="0.00">
                  <c:v>0.41499999999999998</c:v>
                </c:pt>
                <c:pt idx="617" formatCode="0.00">
                  <c:v>0.38200000000000001</c:v>
                </c:pt>
                <c:pt idx="618" formatCode="0.00">
                  <c:v>0.40600000000000003</c:v>
                </c:pt>
                <c:pt idx="619" formatCode="0.00">
                  <c:v>0.433</c:v>
                </c:pt>
                <c:pt idx="620" formatCode="0.00">
                  <c:v>0.44500000000000001</c:v>
                </c:pt>
                <c:pt idx="621" formatCode="0.00">
                  <c:v>0.42599999999999999</c:v>
                </c:pt>
                <c:pt idx="622" formatCode="0.00">
                  <c:v>0.41399999999999998</c:v>
                </c:pt>
                <c:pt idx="623" formatCode="0.00">
                  <c:v>0.4</c:v>
                </c:pt>
                <c:pt idx="624" formatCode="0.00">
                  <c:v>0.4</c:v>
                </c:pt>
                <c:pt idx="625" formatCode="0.00">
                  <c:v>0.377</c:v>
                </c:pt>
                <c:pt idx="626" formatCode="0.00">
                  <c:v>0.376</c:v>
                </c:pt>
                <c:pt idx="627" formatCode="0.00">
                  <c:v>0.38</c:v>
                </c:pt>
                <c:pt idx="628" formatCode="0.00">
                  <c:v>0.376</c:v>
                </c:pt>
                <c:pt idx="629" formatCode="0.00">
                  <c:v>0.34200000000000003</c:v>
                </c:pt>
                <c:pt idx="630" formatCode="0.00">
                  <c:v>0.35899999999999999</c:v>
                </c:pt>
                <c:pt idx="631" formatCode="0.00">
                  <c:v>0.36099999999999999</c:v>
                </c:pt>
                <c:pt idx="632" formatCode="0.00">
                  <c:v>0.379</c:v>
                </c:pt>
                <c:pt idx="633" formatCode="0.00">
                  <c:v>0.36599999999999999</c:v>
                </c:pt>
                <c:pt idx="634" formatCode="0.00">
                  <c:v>0.33800000000000002</c:v>
                </c:pt>
                <c:pt idx="635" formatCode="0.00">
                  <c:v>0.34699999999999998</c:v>
                </c:pt>
                <c:pt idx="636" formatCode="0.00">
                  <c:v>0.307</c:v>
                </c:pt>
                <c:pt idx="637" formatCode="0.00">
                  <c:v>0.312</c:v>
                </c:pt>
                <c:pt idx="638" formatCode="0.00">
                  <c:v>0.33600000000000002</c:v>
                </c:pt>
                <c:pt idx="639" formatCode="0.00">
                  <c:v>0.40100000000000002</c:v>
                </c:pt>
                <c:pt idx="640" formatCode="0.00">
                  <c:v>0.40100000000000002</c:v>
                </c:pt>
                <c:pt idx="641" formatCode="0.00">
                  <c:v>0.41299999999999998</c:v>
                </c:pt>
                <c:pt idx="642" formatCode="0.00">
                  <c:v>0.433</c:v>
                </c:pt>
                <c:pt idx="643" formatCode="0.00">
                  <c:v>0.45500000000000002</c:v>
                </c:pt>
                <c:pt idx="644" formatCode="0.00">
                  <c:v>0.45200000000000001</c:v>
                </c:pt>
                <c:pt idx="645" formatCode="0.00">
                  <c:v>0.443</c:v>
                </c:pt>
                <c:pt idx="646" formatCode="0.00">
                  <c:v>0.45500000000000002</c:v>
                </c:pt>
                <c:pt idx="647" formatCode="0.00">
                  <c:v>0.44700000000000001</c:v>
                </c:pt>
                <c:pt idx="648" formatCode="0.00">
                  <c:v>0.4</c:v>
                </c:pt>
                <c:pt idx="649" formatCode="0.00">
                  <c:v>0.40799999999999997</c:v>
                </c:pt>
                <c:pt idx="650" formatCode="0.00">
                  <c:v>0.46800000000000003</c:v>
                </c:pt>
                <c:pt idx="651" formatCode="0.00">
                  <c:v>0.47899999999999998</c:v>
                </c:pt>
                <c:pt idx="652" formatCode="0.00">
                  <c:v>0.46400000000000002</c:v>
                </c:pt>
                <c:pt idx="653" formatCode="0.00">
                  <c:v>0.45100000000000001</c:v>
                </c:pt>
                <c:pt idx="654" formatCode="0.00">
                  <c:v>0.46300000000000002</c:v>
                </c:pt>
                <c:pt idx="655" formatCode="0.00">
                  <c:v>0.45300000000000001</c:v>
                </c:pt>
                <c:pt idx="656" formatCode="0.00">
                  <c:v>0.45600000000000002</c:v>
                </c:pt>
                <c:pt idx="657" formatCode="0.00">
                  <c:v>0.45900000000000002</c:v>
                </c:pt>
                <c:pt idx="658" formatCode="0.00">
                  <c:v>0.44400000000000001</c:v>
                </c:pt>
                <c:pt idx="659" formatCode="0.00">
                  <c:v>0.442</c:v>
                </c:pt>
                <c:pt idx="660" formatCode="0.00">
                  <c:v>0.46300000000000002</c:v>
                </c:pt>
                <c:pt idx="661" formatCode="0.00">
                  <c:v>0.44500000000000001</c:v>
                </c:pt>
                <c:pt idx="662" formatCode="0.00">
                  <c:v>0.40300000000000002</c:v>
                </c:pt>
                <c:pt idx="663" formatCode="0.00">
                  <c:v>0.372</c:v>
                </c:pt>
                <c:pt idx="664" formatCode="0.00">
                  <c:v>0.36499999999999999</c:v>
                </c:pt>
                <c:pt idx="665" formatCode="0.00">
                  <c:v>0.39600000000000002</c:v>
                </c:pt>
                <c:pt idx="666" formatCode="0.00">
                  <c:v>0.39500000000000002</c:v>
                </c:pt>
                <c:pt idx="667" formatCode="0.00">
                  <c:v>0.45200000000000001</c:v>
                </c:pt>
                <c:pt idx="668" formatCode="0.00">
                  <c:v>0.432</c:v>
                </c:pt>
                <c:pt idx="669" formatCode="0.00">
                  <c:v>0.47599999999999998</c:v>
                </c:pt>
                <c:pt idx="670" formatCode="0.00">
                  <c:v>0.48199999999999998</c:v>
                </c:pt>
                <c:pt idx="671" formatCode="0.00">
                  <c:v>0.41499999999999998</c:v>
                </c:pt>
                <c:pt idx="672" formatCode="0.00">
                  <c:v>0.38300000000000001</c:v>
                </c:pt>
                <c:pt idx="673" formatCode="0.00">
                  <c:v>0.36699999999999999</c:v>
                </c:pt>
                <c:pt idx="674" formatCode="0.00">
                  <c:v>0.36299999999999999</c:v>
                </c:pt>
                <c:pt idx="675" formatCode="0.00">
                  <c:v>0.373</c:v>
                </c:pt>
                <c:pt idx="676" formatCode="0.00">
                  <c:v>0.372</c:v>
                </c:pt>
                <c:pt idx="677" formatCode="0.00">
                  <c:v>0.36399999999999999</c:v>
                </c:pt>
                <c:pt idx="678" formatCode="0.00">
                  <c:v>0.33600000000000002</c:v>
                </c:pt>
                <c:pt idx="679" formatCode="0.00">
                  <c:v>0.32700000000000001</c:v>
                </c:pt>
                <c:pt idx="680" formatCode="0.00">
                  <c:v>0.32600000000000001</c:v>
                </c:pt>
                <c:pt idx="681" formatCode="0.00">
                  <c:v>0.375</c:v>
                </c:pt>
                <c:pt idx="682" formatCode="0.00">
                  <c:v>0.41</c:v>
                </c:pt>
                <c:pt idx="683" formatCode="0.00">
                  <c:v>0.41699999999999998</c:v>
                </c:pt>
                <c:pt idx="684" formatCode="0.00">
                  <c:v>0.39700000000000002</c:v>
                </c:pt>
                <c:pt idx="685" formatCode="0.00">
                  <c:v>0.376</c:v>
                </c:pt>
                <c:pt idx="686" formatCode="0.00">
                  <c:v>0.376</c:v>
                </c:pt>
                <c:pt idx="687" formatCode="0.00">
                  <c:v>0.36099999999999999</c:v>
                </c:pt>
                <c:pt idx="688" formatCode="0.00">
                  <c:v>0.36299999999999999</c:v>
                </c:pt>
                <c:pt idx="689" formatCode="0.00">
                  <c:v>0.35099999999999998</c:v>
                </c:pt>
                <c:pt idx="690" formatCode="0.00">
                  <c:v>0.34899999999999998</c:v>
                </c:pt>
                <c:pt idx="691" formatCode="0.00">
                  <c:v>0.34699999999999998</c:v>
                </c:pt>
                <c:pt idx="692" formatCode="0.00">
                  <c:v>0.36</c:v>
                </c:pt>
                <c:pt idx="693" formatCode="0.00">
                  <c:v>0.34200000000000003</c:v>
                </c:pt>
                <c:pt idx="694" formatCode="0.00">
                  <c:v>0.33900000000000002</c:v>
                </c:pt>
                <c:pt idx="695" formatCode="0.00">
                  <c:v>0.38500000000000001</c:v>
                </c:pt>
                <c:pt idx="696" formatCode="0.00">
                  <c:v>0.36699999999999999</c:v>
                </c:pt>
                <c:pt idx="697" formatCode="0.00">
                  <c:v>0.30499999999999999</c:v>
                </c:pt>
                <c:pt idx="698" formatCode="0.00">
                  <c:v>0.34399999999999997</c:v>
                </c:pt>
                <c:pt idx="699" formatCode="0.00">
                  <c:v>0.32</c:v>
                </c:pt>
                <c:pt idx="700" formatCode="0.00">
                  <c:v>0.29499999999999998</c:v>
                </c:pt>
                <c:pt idx="701" formatCode="0.00">
                  <c:v>0.29299999999999998</c:v>
                </c:pt>
                <c:pt idx="702" formatCode="0.00">
                  <c:v>0.307</c:v>
                </c:pt>
                <c:pt idx="703" formatCode="0.00">
                  <c:v>0.29299999999999998</c:v>
                </c:pt>
                <c:pt idx="704" formatCode="0.00">
                  <c:v>0.314</c:v>
                </c:pt>
                <c:pt idx="705" formatCode="0.00">
                  <c:v>0.314</c:v>
                </c:pt>
                <c:pt idx="706" formatCode="0.00">
                  <c:v>0.316</c:v>
                </c:pt>
                <c:pt idx="707" formatCode="0.00">
                  <c:v>0.30099999999999999</c:v>
                </c:pt>
                <c:pt idx="708" formatCode="0.00">
                  <c:v>0.309</c:v>
                </c:pt>
                <c:pt idx="709" formatCode="0.00">
                  <c:v>0.379</c:v>
                </c:pt>
                <c:pt idx="710" formatCode="0.00">
                  <c:v>0.40500000000000003</c:v>
                </c:pt>
                <c:pt idx="711" formatCode="0.00">
                  <c:v>0.41699999999999998</c:v>
                </c:pt>
                <c:pt idx="712" formatCode="0.00">
                  <c:v>0.42</c:v>
                </c:pt>
                <c:pt idx="713" formatCode="0.00">
                  <c:v>0.42</c:v>
                </c:pt>
                <c:pt idx="714" formatCode="0.00">
                  <c:v>0.42</c:v>
                </c:pt>
                <c:pt idx="715" formatCode="0.00">
                  <c:v>0.38500000000000001</c:v>
                </c:pt>
                <c:pt idx="716" formatCode="0.00">
                  <c:v>0.42399999999999999</c:v>
                </c:pt>
                <c:pt idx="717" formatCode="0.00">
                  <c:v>0.42699999999999999</c:v>
                </c:pt>
                <c:pt idx="718" formatCode="0.00">
                  <c:v>0.42699999999999999</c:v>
                </c:pt>
                <c:pt idx="719" formatCode="0.00">
                  <c:v>0.46700000000000003</c:v>
                </c:pt>
                <c:pt idx="720" formatCode="0.00">
                  <c:v>0.442</c:v>
                </c:pt>
                <c:pt idx="721" formatCode="0.00">
                  <c:v>0.434</c:v>
                </c:pt>
                <c:pt idx="722" formatCode="0.00">
                  <c:v>0.439</c:v>
                </c:pt>
                <c:pt idx="723" formatCode="0.00">
                  <c:v>0.43099999999999999</c:v>
                </c:pt>
                <c:pt idx="724" formatCode="0.00">
                  <c:v>0.46600000000000003</c:v>
                </c:pt>
                <c:pt idx="725" formatCode="0.00">
                  <c:v>0.54300000000000004</c:v>
                </c:pt>
                <c:pt idx="726" formatCode="0.00">
                  <c:v>0.58099999999999996</c:v>
                </c:pt>
                <c:pt idx="727" formatCode="0.00">
                  <c:v>0.58099999999999996</c:v>
                </c:pt>
                <c:pt idx="728" formatCode="0.00">
                  <c:v>0.58699999999999997</c:v>
                </c:pt>
                <c:pt idx="729" formatCode="0.00">
                  <c:v>0.56200000000000006</c:v>
                </c:pt>
                <c:pt idx="730" formatCode="0.00">
                  <c:v>0.56200000000000006</c:v>
                </c:pt>
                <c:pt idx="731" formatCode="0.00">
                  <c:v>0.57299999999999995</c:v>
                </c:pt>
                <c:pt idx="732" formatCode="0.00">
                  <c:v>0.56799999999999995</c:v>
                </c:pt>
                <c:pt idx="733" formatCode="0.00">
                  <c:v>0.56699999999999995</c:v>
                </c:pt>
                <c:pt idx="734" formatCode="0.00">
                  <c:v>0.56100000000000005</c:v>
                </c:pt>
                <c:pt idx="735" formatCode="0.00">
                  <c:v>0.58799999999999997</c:v>
                </c:pt>
                <c:pt idx="736" formatCode="0.00">
                  <c:v>0.61199999999999999</c:v>
                </c:pt>
                <c:pt idx="737" formatCode="0.00">
                  <c:v>0.629</c:v>
                </c:pt>
                <c:pt idx="738" formatCode="0.00">
                  <c:v>0.69399999999999995</c:v>
                </c:pt>
                <c:pt idx="739" formatCode="0.00">
                  <c:v>0.68300000000000005</c:v>
                </c:pt>
                <c:pt idx="740" formatCode="0.00">
                  <c:v>0.69699999999999995</c:v>
                </c:pt>
                <c:pt idx="741" formatCode="0.00">
                  <c:v>0.72099999999999997</c:v>
                </c:pt>
                <c:pt idx="742" formatCode="0.00">
                  <c:v>0.76700000000000002</c:v>
                </c:pt>
                <c:pt idx="743" formatCode="0.00">
                  <c:v>0.73599999999999999</c:v>
                </c:pt>
                <c:pt idx="744" formatCode="0.00">
                  <c:v>0.69199999999999995</c:v>
                </c:pt>
                <c:pt idx="745" formatCode="0.00">
                  <c:v>0.745</c:v>
                </c:pt>
                <c:pt idx="746" formatCode="0.00">
                  <c:v>0.76200000000000001</c:v>
                </c:pt>
                <c:pt idx="747" formatCode="0.00">
                  <c:v>0.745</c:v>
                </c:pt>
                <c:pt idx="748" formatCode="0.00">
                  <c:v>0.75700000000000001</c:v>
                </c:pt>
                <c:pt idx="749" formatCode="0.00">
                  <c:v>0.75</c:v>
                </c:pt>
                <c:pt idx="750" formatCode="0.00">
                  <c:v>0.75700000000000001</c:v>
                </c:pt>
                <c:pt idx="751" formatCode="0.00">
                  <c:v>0.76400000000000001</c:v>
                </c:pt>
                <c:pt idx="752" formatCode="0.00">
                  <c:v>0.70599999999999996</c:v>
                </c:pt>
                <c:pt idx="753" formatCode="0.00">
                  <c:v>0.73499999999999999</c:v>
                </c:pt>
                <c:pt idx="754" formatCode="0.00">
                  <c:v>0.73499999999999999</c:v>
                </c:pt>
                <c:pt idx="755" formatCode="0.00">
                  <c:v>0.72099999999999997</c:v>
                </c:pt>
                <c:pt idx="756" formatCode="0.00">
                  <c:v>0.70599999999999996</c:v>
                </c:pt>
                <c:pt idx="757" formatCode="0.00">
                  <c:v>0.65300000000000002</c:v>
                </c:pt>
                <c:pt idx="758" formatCode="0.00">
                  <c:v>0.65200000000000002</c:v>
                </c:pt>
                <c:pt idx="759" formatCode="0.00">
                  <c:v>0.67900000000000005</c:v>
                </c:pt>
                <c:pt idx="760" formatCode="0.00">
                  <c:v>0.65600000000000003</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Bond!$A$589:$A$1349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f>Bond!$D$589:$D$1349</c:f>
              <c:numCache>
                <c:formatCode>General</c:formatCode>
                <c:ptCount val="761"/>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pt idx="588" formatCode="0.00">
                  <c:v>2.3498999999999999</c:v>
                </c:pt>
                <c:pt idx="589" formatCode="0.00">
                  <c:v>2.3498999999999999</c:v>
                </c:pt>
                <c:pt idx="590" formatCode="0.00">
                  <c:v>2.3231999999999999</c:v>
                </c:pt>
                <c:pt idx="591" formatCode="0.00">
                  <c:v>2.3658999999999999</c:v>
                </c:pt>
                <c:pt idx="592" formatCode="0.00">
                  <c:v>2.3856000000000002</c:v>
                </c:pt>
                <c:pt idx="593" formatCode="0.00">
                  <c:v>2.3730000000000002</c:v>
                </c:pt>
                <c:pt idx="594" formatCode="0.00">
                  <c:v>2.3605</c:v>
                </c:pt>
                <c:pt idx="595" formatCode="0.00">
                  <c:v>2.3176999999999999</c:v>
                </c:pt>
                <c:pt idx="596" formatCode="0.00">
                  <c:v>2.3443999999999998</c:v>
                </c:pt>
                <c:pt idx="597" formatCode="0.00">
                  <c:v>2.3319000000000001</c:v>
                </c:pt>
                <c:pt idx="598" formatCode="0.00">
                  <c:v>2.3140999999999998</c:v>
                </c:pt>
                <c:pt idx="599" formatCode="0.00">
                  <c:v>2.2589999999999999</c:v>
                </c:pt>
                <c:pt idx="600" formatCode="0.00">
                  <c:v>2.2696000000000001</c:v>
                </c:pt>
                <c:pt idx="601" formatCode="0.00">
                  <c:v>2.2589000000000001</c:v>
                </c:pt>
                <c:pt idx="602" formatCode="0.00">
                  <c:v>2.2374999999999998</c:v>
                </c:pt>
                <c:pt idx="603" formatCode="0.00">
                  <c:v>2.2551999999999999</c:v>
                </c:pt>
                <c:pt idx="604" formatCode="0.00">
                  <c:v>2.3353999999999999</c:v>
                </c:pt>
                <c:pt idx="605" formatCode="0.00">
                  <c:v>2.2871999999999999</c:v>
                </c:pt>
                <c:pt idx="606" formatCode="0.00">
                  <c:v>2.3102999999999998</c:v>
                </c:pt>
                <c:pt idx="607" formatCode="0.00">
                  <c:v>2.2888999999999999</c:v>
                </c:pt>
                <c:pt idx="608" formatCode="0.00">
                  <c:v>2.2942</c:v>
                </c:pt>
                <c:pt idx="609" formatCode="0.00">
                  <c:v>2.2532000000000001</c:v>
                </c:pt>
                <c:pt idx="610" formatCode="0.00">
                  <c:v>2.2709999999999999</c:v>
                </c:pt>
                <c:pt idx="611" formatCode="0.00">
                  <c:v>2.2212000000000001</c:v>
                </c:pt>
                <c:pt idx="612" formatCode="0.00">
                  <c:v>2.262</c:v>
                </c:pt>
                <c:pt idx="613" formatCode="0.00">
                  <c:v>2.2530000000000001</c:v>
                </c:pt>
                <c:pt idx="614" formatCode="0.00">
                  <c:v>2.2618999999999998</c:v>
                </c:pt>
                <c:pt idx="615" formatCode="0.00">
                  <c:v>2.2475999999999998</c:v>
                </c:pt>
                <c:pt idx="616" formatCode="0.00">
                  <c:v>2.1974999999999998</c:v>
                </c:pt>
                <c:pt idx="617" formatCode="0.00">
                  <c:v>2.1888000000000001</c:v>
                </c:pt>
                <c:pt idx="618" formatCode="0.00">
                  <c:v>2.2185000000000001</c:v>
                </c:pt>
                <c:pt idx="619" formatCode="0.00">
                  <c:v>2.2728000000000002</c:v>
                </c:pt>
                <c:pt idx="620" formatCode="0.00">
                  <c:v>2.222</c:v>
                </c:pt>
                <c:pt idx="621" formatCode="0.00">
                  <c:v>2.1852999999999998</c:v>
                </c:pt>
                <c:pt idx="622" formatCode="0.00">
                  <c:v>2.1939000000000002</c:v>
                </c:pt>
                <c:pt idx="623" formatCode="0.00">
                  <c:v>2.1817000000000002</c:v>
                </c:pt>
                <c:pt idx="624" formatCode="0.00">
                  <c:v>2.2130999999999998</c:v>
                </c:pt>
                <c:pt idx="625" formatCode="0.00">
                  <c:v>2.1659999999999999</c:v>
                </c:pt>
                <c:pt idx="626" formatCode="0.00">
                  <c:v>2.1939000000000002</c:v>
                </c:pt>
                <c:pt idx="627" formatCode="0.00">
                  <c:v>2.1659000000000002</c:v>
                </c:pt>
                <c:pt idx="628" formatCode="0.00">
                  <c:v>2.1570999999999998</c:v>
                </c:pt>
                <c:pt idx="629" formatCode="0.00">
                  <c:v>2.1292</c:v>
                </c:pt>
                <c:pt idx="630" formatCode="0.00">
                  <c:v>2.1309</c:v>
                </c:pt>
                <c:pt idx="631" formatCode="0.00">
                  <c:v>2.117</c:v>
                </c:pt>
                <c:pt idx="632" formatCode="0.00">
                  <c:v>2.1657000000000002</c:v>
                </c:pt>
                <c:pt idx="633" formatCode="0.00">
                  <c:v>2.1657000000000002</c:v>
                </c:pt>
                <c:pt idx="634" formatCode="0.00">
                  <c:v>2.0596000000000001</c:v>
                </c:pt>
                <c:pt idx="635" formatCode="0.00">
                  <c:v>2.1046</c:v>
                </c:pt>
                <c:pt idx="636" formatCode="0.00">
                  <c:v>2.0387</c:v>
                </c:pt>
                <c:pt idx="637" formatCode="0.00">
                  <c:v>2.0507</c:v>
                </c:pt>
                <c:pt idx="638" formatCode="0.00">
                  <c:v>2.1305999999999998</c:v>
                </c:pt>
                <c:pt idx="639" formatCode="0.00">
                  <c:v>2.1671999999999998</c:v>
                </c:pt>
                <c:pt idx="640" formatCode="0.00">
                  <c:v>2.1882999999999999</c:v>
                </c:pt>
                <c:pt idx="641" formatCode="0.00">
                  <c:v>2.1846999999999999</c:v>
                </c:pt>
                <c:pt idx="642" formatCode="0.00">
                  <c:v>2.2023000000000001</c:v>
                </c:pt>
                <c:pt idx="643" formatCode="0.00">
                  <c:v>2.2286999999999999</c:v>
                </c:pt>
                <c:pt idx="644" formatCode="0.00">
                  <c:v>2.2446000000000002</c:v>
                </c:pt>
                <c:pt idx="645" formatCode="0.00">
                  <c:v>2.2675999999999998</c:v>
                </c:pt>
                <c:pt idx="646" formatCode="0.00">
                  <c:v>2.2765</c:v>
                </c:pt>
                <c:pt idx="647" formatCode="0.00">
                  <c:v>2.2499000000000002</c:v>
                </c:pt>
                <c:pt idx="648" formatCode="0.00">
                  <c:v>2.2198000000000002</c:v>
                </c:pt>
                <c:pt idx="649" formatCode="0.00">
                  <c:v>2.2357</c:v>
                </c:pt>
                <c:pt idx="650" formatCode="0.00">
                  <c:v>2.3102999999999998</c:v>
                </c:pt>
                <c:pt idx="651" formatCode="0.00">
                  <c:v>2.3085</c:v>
                </c:pt>
                <c:pt idx="652" formatCode="0.00">
                  <c:v>2.3336000000000001</c:v>
                </c:pt>
                <c:pt idx="653" formatCode="0.00">
                  <c:v>2.3407999999999998</c:v>
                </c:pt>
                <c:pt idx="654" formatCode="0.00">
                  <c:v>2.3229000000000002</c:v>
                </c:pt>
                <c:pt idx="655" formatCode="0.00">
                  <c:v>2.3229000000000002</c:v>
                </c:pt>
                <c:pt idx="656" formatCode="0.00">
                  <c:v>2.3479999999999999</c:v>
                </c:pt>
                <c:pt idx="657" formatCode="0.00">
                  <c:v>2.3589000000000002</c:v>
                </c:pt>
                <c:pt idx="658" formatCode="0.00">
                  <c:v>2.3589000000000002</c:v>
                </c:pt>
                <c:pt idx="659" formatCode="0.00">
                  <c:v>2.3607</c:v>
                </c:pt>
                <c:pt idx="660" formatCode="0.00">
                  <c:v>2.3481000000000001</c:v>
                </c:pt>
                <c:pt idx="661" formatCode="0.00">
                  <c:v>2.3176999999999999</c:v>
                </c:pt>
                <c:pt idx="662" formatCode="0.00">
                  <c:v>2.2730000000000001</c:v>
                </c:pt>
                <c:pt idx="663" formatCode="0.00">
                  <c:v>2.3033999999999999</c:v>
                </c:pt>
                <c:pt idx="664" formatCode="0.00">
                  <c:v>2.2997999999999998</c:v>
                </c:pt>
                <c:pt idx="665" formatCode="0.00">
                  <c:v>2.3464999999999998</c:v>
                </c:pt>
                <c:pt idx="666" formatCode="0.00">
                  <c:v>2.3178000000000001</c:v>
                </c:pt>
                <c:pt idx="667" formatCode="0.00">
                  <c:v>2.3845000000000001</c:v>
                </c:pt>
                <c:pt idx="668" formatCode="0.00">
                  <c:v>2.3664000000000001</c:v>
                </c:pt>
                <c:pt idx="669" formatCode="0.00">
                  <c:v>2.4188999999999998</c:v>
                </c:pt>
                <c:pt idx="670" formatCode="0.00">
                  <c:v>2.4317000000000002</c:v>
                </c:pt>
                <c:pt idx="671" formatCode="0.00">
                  <c:v>2.4609000000000001</c:v>
                </c:pt>
                <c:pt idx="672" formatCode="0.00">
                  <c:v>2.4064000000000001</c:v>
                </c:pt>
                <c:pt idx="673" formatCode="0.00">
                  <c:v>2.3683999999999998</c:v>
                </c:pt>
                <c:pt idx="674" formatCode="0.00">
                  <c:v>2.3793000000000002</c:v>
                </c:pt>
                <c:pt idx="675" formatCode="0.00">
                  <c:v>2.3721000000000001</c:v>
                </c:pt>
                <c:pt idx="676" formatCode="0.00">
                  <c:v>2.3449999999999998</c:v>
                </c:pt>
                <c:pt idx="677" formatCode="0.00">
                  <c:v>2.3325</c:v>
                </c:pt>
                <c:pt idx="678" formatCode="0.00">
                  <c:v>2.3163</c:v>
                </c:pt>
                <c:pt idx="679" formatCode="0.00">
                  <c:v>2.3144999999999998</c:v>
                </c:pt>
                <c:pt idx="680" formatCode="0.00">
                  <c:v>2.3342999999999998</c:v>
                </c:pt>
                <c:pt idx="681" formatCode="0.00">
                  <c:v>2.3416000000000001</c:v>
                </c:pt>
                <c:pt idx="682" formatCode="0.00">
                  <c:v>2.3984000000000001</c:v>
                </c:pt>
                <c:pt idx="683" formatCode="0.00">
                  <c:v>2.4055</c:v>
                </c:pt>
                <c:pt idx="684" formatCode="0.00">
                  <c:v>2.3717000000000001</c:v>
                </c:pt>
                <c:pt idx="685" formatCode="0.00">
                  <c:v>2.3222</c:v>
                </c:pt>
                <c:pt idx="686" formatCode="0.00">
                  <c:v>2.3753000000000002</c:v>
                </c:pt>
                <c:pt idx="687" formatCode="0.00">
                  <c:v>2.3435000000000001</c:v>
                </c:pt>
                <c:pt idx="688" formatCode="0.00">
                  <c:v>2.3666</c:v>
                </c:pt>
                <c:pt idx="689" formatCode="0.00">
                  <c:v>2.3559000000000001</c:v>
                </c:pt>
                <c:pt idx="690" formatCode="0.00">
                  <c:v>2.3186999999999998</c:v>
                </c:pt>
                <c:pt idx="691" formatCode="0.00">
                  <c:v>2.3186999999999998</c:v>
                </c:pt>
                <c:pt idx="692" formatCode="0.00">
                  <c:v>2.3418000000000001</c:v>
                </c:pt>
                <c:pt idx="693" formatCode="0.00">
                  <c:v>2.3277000000000001</c:v>
                </c:pt>
                <c:pt idx="694" formatCode="0.00">
                  <c:v>2.3277000000000001</c:v>
                </c:pt>
                <c:pt idx="695" formatCode="0.00">
                  <c:v>2.3881999999999999</c:v>
                </c:pt>
                <c:pt idx="696" formatCode="0.00">
                  <c:v>2.4097</c:v>
                </c:pt>
                <c:pt idx="697" formatCode="0.00">
                  <c:v>2.3614999999999999</c:v>
                </c:pt>
                <c:pt idx="698" formatCode="0.00">
                  <c:v>2.3723000000000001</c:v>
                </c:pt>
                <c:pt idx="699" formatCode="0.00">
                  <c:v>2.3509000000000002</c:v>
                </c:pt>
                <c:pt idx="700" formatCode="0.00">
                  <c:v>2.3384999999999998</c:v>
                </c:pt>
                <c:pt idx="701" formatCode="0.00">
                  <c:v>2.3633999999999999</c:v>
                </c:pt>
                <c:pt idx="702" formatCode="0.00">
                  <c:v>2.3759999999999999</c:v>
                </c:pt>
                <c:pt idx="703" formatCode="0.00">
                  <c:v>2.3885999999999998</c:v>
                </c:pt>
                <c:pt idx="704" formatCode="0.00">
                  <c:v>2.4011</c:v>
                </c:pt>
                <c:pt idx="705" formatCode="0.00">
                  <c:v>2.3422000000000001</c:v>
                </c:pt>
                <c:pt idx="706" formatCode="0.00">
                  <c:v>2.3492999999999999</c:v>
                </c:pt>
                <c:pt idx="707" formatCode="0.00">
                  <c:v>2.3529999999999998</c:v>
                </c:pt>
                <c:pt idx="708" formatCode="0.00">
                  <c:v>2.3942000000000001</c:v>
                </c:pt>
                <c:pt idx="709" formatCode="0.00">
                  <c:v>2.4643999999999999</c:v>
                </c:pt>
                <c:pt idx="710" formatCode="0.00">
                  <c:v>2.4969999999999999</c:v>
                </c:pt>
                <c:pt idx="711" formatCode="0.00">
                  <c:v>2.4826000000000001</c:v>
                </c:pt>
                <c:pt idx="712" formatCode="0.00">
                  <c:v>2.4809999999999999</c:v>
                </c:pt>
                <c:pt idx="713" formatCode="0.00">
                  <c:v>2.4809999999999999</c:v>
                </c:pt>
                <c:pt idx="714" formatCode="0.00">
                  <c:v>2.4756</c:v>
                </c:pt>
                <c:pt idx="715" formatCode="0.00">
                  <c:v>2.4106999999999998</c:v>
                </c:pt>
                <c:pt idx="716" formatCode="0.00">
                  <c:v>2.4304999999999999</c:v>
                </c:pt>
                <c:pt idx="717" formatCode="0.00">
                  <c:v>2.4054000000000002</c:v>
                </c:pt>
                <c:pt idx="718" formatCode="0.00">
                  <c:v>2.4054000000000002</c:v>
                </c:pt>
                <c:pt idx="719" formatCode="0.00">
                  <c:v>2.4632999999999998</c:v>
                </c:pt>
                <c:pt idx="720" formatCode="0.00">
                  <c:v>2.4470999999999998</c:v>
                </c:pt>
                <c:pt idx="721" formatCode="0.00">
                  <c:v>2.4525000000000001</c:v>
                </c:pt>
                <c:pt idx="722" formatCode="0.00">
                  <c:v>2.4763000000000002</c:v>
                </c:pt>
                <c:pt idx="723" formatCode="0.00">
                  <c:v>2.48</c:v>
                </c:pt>
                <c:pt idx="724" formatCode="0.00">
                  <c:v>2.5529999999999999</c:v>
                </c:pt>
                <c:pt idx="725" formatCode="0.00">
                  <c:v>2.5568</c:v>
                </c:pt>
                <c:pt idx="726" formatCode="0.00">
                  <c:v>2.5366999999999997</c:v>
                </c:pt>
                <c:pt idx="727" formatCode="0.00">
                  <c:v>2.5461999999999998</c:v>
                </c:pt>
                <c:pt idx="728" formatCode="0.00">
                  <c:v>2.5461999999999998</c:v>
                </c:pt>
                <c:pt idx="729" formatCode="0.00">
                  <c:v>2.5371000000000001</c:v>
                </c:pt>
                <c:pt idx="730" formatCode="0.00">
                  <c:v>2.5903999999999998</c:v>
                </c:pt>
                <c:pt idx="731" formatCode="0.00">
                  <c:v>2.6255999999999999</c:v>
                </c:pt>
                <c:pt idx="732" formatCode="0.00">
                  <c:v>2.6592000000000002</c:v>
                </c:pt>
                <c:pt idx="733" formatCode="0.00">
                  <c:v>2.65</c:v>
                </c:pt>
                <c:pt idx="734" formatCode="0.00">
                  <c:v>2.6131000000000002</c:v>
                </c:pt>
                <c:pt idx="735" formatCode="0.00">
                  <c:v>2.6465000000000001</c:v>
                </c:pt>
                <c:pt idx="736" formatCode="0.00">
                  <c:v>2.617</c:v>
                </c:pt>
                <c:pt idx="737" formatCode="0.00">
                  <c:v>2.6598999999999999</c:v>
                </c:pt>
                <c:pt idx="738" formatCode="0.00">
                  <c:v>2.6936</c:v>
                </c:pt>
                <c:pt idx="739" formatCode="0.00">
                  <c:v>2.7199</c:v>
                </c:pt>
                <c:pt idx="740" formatCode="0.00">
                  <c:v>2.7050000000000001</c:v>
                </c:pt>
                <c:pt idx="741" formatCode="0.00">
                  <c:v>2.7896000000000001</c:v>
                </c:pt>
                <c:pt idx="742" formatCode="0.00">
                  <c:v>2.8411</c:v>
                </c:pt>
                <c:pt idx="743" formatCode="0.00">
                  <c:v>2.7056</c:v>
                </c:pt>
                <c:pt idx="744" formatCode="0.00">
                  <c:v>2.8016000000000001</c:v>
                </c:pt>
                <c:pt idx="745" formatCode="0.00">
                  <c:v>2.8359000000000001</c:v>
                </c:pt>
                <c:pt idx="746" formatCode="0.00">
                  <c:v>2.8239999999999998</c:v>
                </c:pt>
                <c:pt idx="747" formatCode="0.00">
                  <c:v>2.8512</c:v>
                </c:pt>
                <c:pt idx="748" formatCode="0.00">
                  <c:v>2.8585000000000003</c:v>
                </c:pt>
                <c:pt idx="749" formatCode="0.00">
                  <c:v>2.8294000000000001</c:v>
                </c:pt>
                <c:pt idx="750" formatCode="0.00">
                  <c:v>2.9022000000000001</c:v>
                </c:pt>
                <c:pt idx="751" formatCode="0.00">
                  <c:v>2.9095</c:v>
                </c:pt>
                <c:pt idx="752" formatCode="0.00">
                  <c:v>2.8749000000000002</c:v>
                </c:pt>
                <c:pt idx="753" formatCode="0.00">
                  <c:v>2.8749000000000002</c:v>
                </c:pt>
                <c:pt idx="754" formatCode="0.00">
                  <c:v>2.8895999999999997</c:v>
                </c:pt>
                <c:pt idx="755" formatCode="0.00">
                  <c:v>2.95</c:v>
                </c:pt>
                <c:pt idx="756" formatCode="0.00">
                  <c:v>2.9207000000000001</c:v>
                </c:pt>
                <c:pt idx="757" formatCode="0.00">
                  <c:v>2.8660000000000001</c:v>
                </c:pt>
                <c:pt idx="758" formatCode="0.00">
                  <c:v>2.8622999999999998</c:v>
                </c:pt>
                <c:pt idx="759" formatCode="0.00">
                  <c:v>2.8933999999999997</c:v>
                </c:pt>
                <c:pt idx="760" formatCode="0.00">
                  <c:v>2.8605999999999998</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Bond!$A$589:$A$1349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f>Bond!$E$589:$E$1349</c:f>
              <c:numCache>
                <c:formatCode>General</c:formatCode>
                <c:ptCount val="761"/>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pt idx="588" formatCode="0.00">
                  <c:v>1.264</c:v>
                </c:pt>
                <c:pt idx="589" formatCode="0.00">
                  <c:v>1.2469999999999999</c:v>
                </c:pt>
                <c:pt idx="590" formatCode="0.00">
                  <c:v>1.26</c:v>
                </c:pt>
                <c:pt idx="591" formatCode="0.00">
                  <c:v>1.3160000000000001</c:v>
                </c:pt>
                <c:pt idx="592" formatCode="0.00">
                  <c:v>1.3049999999999999</c:v>
                </c:pt>
                <c:pt idx="593" formatCode="0.00">
                  <c:v>1.268</c:v>
                </c:pt>
                <c:pt idx="594" formatCode="0.00">
                  <c:v>1.2749999999999999</c:v>
                </c:pt>
                <c:pt idx="595" formatCode="0.00">
                  <c:v>1.2610000000000001</c:v>
                </c:pt>
                <c:pt idx="596" formatCode="0.00">
                  <c:v>1.302</c:v>
                </c:pt>
                <c:pt idx="597" formatCode="0.00">
                  <c:v>1.31</c:v>
                </c:pt>
                <c:pt idx="598" formatCode="0.00">
                  <c:v>1.27</c:v>
                </c:pt>
                <c:pt idx="599" formatCode="0.00">
                  <c:v>1.2070000000000001</c:v>
                </c:pt>
                <c:pt idx="600" formatCode="0.00">
                  <c:v>1.1919999999999999</c:v>
                </c:pt>
                <c:pt idx="601" formatCode="0.00">
                  <c:v>1.2050000000000001</c:v>
                </c:pt>
                <c:pt idx="602" formatCode="0.00">
                  <c:v>1.175</c:v>
                </c:pt>
                <c:pt idx="603" formatCode="0.00">
                  <c:v>1.1879999999999999</c:v>
                </c:pt>
                <c:pt idx="604" formatCode="0.00">
                  <c:v>1.258</c:v>
                </c:pt>
                <c:pt idx="605" formatCode="0.00">
                  <c:v>1.2330000000000001</c:v>
                </c:pt>
                <c:pt idx="606" formatCode="0.00">
                  <c:v>1.2030000000000001</c:v>
                </c:pt>
                <c:pt idx="607" formatCode="0.00">
                  <c:v>1.218</c:v>
                </c:pt>
                <c:pt idx="608" formatCode="0.00">
                  <c:v>1.23</c:v>
                </c:pt>
                <c:pt idx="609" formatCode="0.00">
                  <c:v>1.2130000000000001</c:v>
                </c:pt>
                <c:pt idx="610" formatCode="0.00">
                  <c:v>1.236</c:v>
                </c:pt>
                <c:pt idx="611" formatCode="0.00">
                  <c:v>1.149</c:v>
                </c:pt>
                <c:pt idx="612" formatCode="0.00">
                  <c:v>1.1759999999999999</c:v>
                </c:pt>
                <c:pt idx="613" formatCode="0.00">
                  <c:v>1.139</c:v>
                </c:pt>
                <c:pt idx="614" formatCode="0.00">
                  <c:v>1.157</c:v>
                </c:pt>
                <c:pt idx="615" formatCode="0.00">
                  <c:v>1.109</c:v>
                </c:pt>
                <c:pt idx="616" formatCode="0.00">
                  <c:v>1.0820000000000001</c:v>
                </c:pt>
                <c:pt idx="617" formatCode="0.00">
                  <c:v>1.0620000000000001</c:v>
                </c:pt>
                <c:pt idx="618" formatCode="0.00">
                  <c:v>1.071</c:v>
                </c:pt>
                <c:pt idx="619" formatCode="0.00">
                  <c:v>1.0840000000000001</c:v>
                </c:pt>
                <c:pt idx="620" formatCode="0.00">
                  <c:v>1.105</c:v>
                </c:pt>
                <c:pt idx="621" formatCode="0.00">
                  <c:v>1.087</c:v>
                </c:pt>
                <c:pt idx="622" formatCode="0.00">
                  <c:v>1.0900000000000001</c:v>
                </c:pt>
                <c:pt idx="623" formatCode="0.00">
                  <c:v>1.07</c:v>
                </c:pt>
                <c:pt idx="624" formatCode="0.00">
                  <c:v>1.087</c:v>
                </c:pt>
                <c:pt idx="625" formatCode="0.00">
                  <c:v>1.0589999999999999</c:v>
                </c:pt>
                <c:pt idx="626" formatCode="0.00">
                  <c:v>1.0529999999999999</c:v>
                </c:pt>
                <c:pt idx="627" formatCode="0.00">
                  <c:v>1.0529999999999999</c:v>
                </c:pt>
                <c:pt idx="628" formatCode="0.00">
                  <c:v>1.0529999999999999</c:v>
                </c:pt>
                <c:pt idx="629" formatCode="0.00">
                  <c:v>1</c:v>
                </c:pt>
                <c:pt idx="630" formatCode="0.00">
                  <c:v>1.03</c:v>
                </c:pt>
                <c:pt idx="631" formatCode="0.00">
                  <c:v>1.034</c:v>
                </c:pt>
                <c:pt idx="632" formatCode="0.00">
                  <c:v>1.0569999999999999</c:v>
                </c:pt>
                <c:pt idx="633" formatCode="0.00">
                  <c:v>1.0569999999999999</c:v>
                </c:pt>
                <c:pt idx="634" formatCode="0.00">
                  <c:v>1.026</c:v>
                </c:pt>
                <c:pt idx="635" formatCode="0.00">
                  <c:v>1.0049999999999999</c:v>
                </c:pt>
                <c:pt idx="636" formatCode="0.00">
                  <c:v>0.97199999999999998</c:v>
                </c:pt>
                <c:pt idx="637" formatCode="0.00">
                  <c:v>0.99</c:v>
                </c:pt>
                <c:pt idx="638" formatCode="0.00">
                  <c:v>1.0449999999999999</c:v>
                </c:pt>
                <c:pt idx="639" formatCode="0.00">
                  <c:v>1.135</c:v>
                </c:pt>
                <c:pt idx="640" formatCode="0.00">
                  <c:v>1.145</c:v>
                </c:pt>
                <c:pt idx="641" formatCode="0.00">
                  <c:v>1.23</c:v>
                </c:pt>
                <c:pt idx="642" formatCode="0.00">
                  <c:v>1.3089999999999999</c:v>
                </c:pt>
                <c:pt idx="643" formatCode="0.00">
                  <c:v>1.302</c:v>
                </c:pt>
                <c:pt idx="644" formatCode="0.00">
                  <c:v>1.329</c:v>
                </c:pt>
                <c:pt idx="645" formatCode="0.00">
                  <c:v>1.3420000000000001</c:v>
                </c:pt>
                <c:pt idx="646" formatCode="0.00">
                  <c:v>1.367</c:v>
                </c:pt>
                <c:pt idx="647" formatCode="0.00">
                  <c:v>1.355</c:v>
                </c:pt>
                <c:pt idx="648" formatCode="0.00">
                  <c:v>1.3340000000000001</c:v>
                </c:pt>
                <c:pt idx="649" formatCode="0.00">
                  <c:v>1.33</c:v>
                </c:pt>
                <c:pt idx="650" formatCode="0.00">
                  <c:v>1.383</c:v>
                </c:pt>
                <c:pt idx="651" formatCode="0.00">
                  <c:v>1.375</c:v>
                </c:pt>
                <c:pt idx="652" formatCode="0.00">
                  <c:v>1.365</c:v>
                </c:pt>
                <c:pt idx="653" formatCode="0.00">
                  <c:v>1.3280000000000001</c:v>
                </c:pt>
                <c:pt idx="654" formatCode="0.00">
                  <c:v>1.353</c:v>
                </c:pt>
                <c:pt idx="655" formatCode="0.00">
                  <c:v>1.3780000000000001</c:v>
                </c:pt>
                <c:pt idx="656" formatCode="0.00">
                  <c:v>1.387</c:v>
                </c:pt>
                <c:pt idx="657" formatCode="0.00">
                  <c:v>1.363</c:v>
                </c:pt>
                <c:pt idx="658" formatCode="0.00">
                  <c:v>1.357</c:v>
                </c:pt>
                <c:pt idx="659" formatCode="0.00">
                  <c:v>1.363</c:v>
                </c:pt>
                <c:pt idx="660" formatCode="0.00">
                  <c:v>1.38</c:v>
                </c:pt>
                <c:pt idx="661" formatCode="0.00">
                  <c:v>1.381</c:v>
                </c:pt>
                <c:pt idx="662" formatCode="0.00">
                  <c:v>1.367</c:v>
                </c:pt>
                <c:pt idx="663" formatCode="0.00">
                  <c:v>1.3360000000000001</c:v>
                </c:pt>
                <c:pt idx="664" formatCode="0.00">
                  <c:v>1.276</c:v>
                </c:pt>
                <c:pt idx="665" formatCode="0.00">
                  <c:v>1.3149999999999999</c:v>
                </c:pt>
                <c:pt idx="666" formatCode="0.00">
                  <c:v>1.2789999999999999</c:v>
                </c:pt>
                <c:pt idx="667" formatCode="0.00">
                  <c:v>1.331</c:v>
                </c:pt>
                <c:pt idx="668" formatCode="0.00">
                  <c:v>1.3120000000000001</c:v>
                </c:pt>
                <c:pt idx="669" formatCode="0.00">
                  <c:v>1.357</c:v>
                </c:pt>
                <c:pt idx="670" formatCode="0.00">
                  <c:v>1.4039999999999999</c:v>
                </c:pt>
                <c:pt idx="671" formatCode="0.00">
                  <c:v>1.3839999999999999</c:v>
                </c:pt>
                <c:pt idx="672" formatCode="0.00">
                  <c:v>1.3479999999999999</c:v>
                </c:pt>
                <c:pt idx="673" formatCode="0.00">
                  <c:v>1.335</c:v>
                </c:pt>
                <c:pt idx="674" formatCode="0.00">
                  <c:v>1.3320000000000001</c:v>
                </c:pt>
                <c:pt idx="675" formatCode="0.00">
                  <c:v>1.343</c:v>
                </c:pt>
                <c:pt idx="676" formatCode="0.00">
                  <c:v>1.26</c:v>
                </c:pt>
                <c:pt idx="677" formatCode="0.00">
                  <c:v>1.262</c:v>
                </c:pt>
                <c:pt idx="678" formatCode="0.00">
                  <c:v>1.256</c:v>
                </c:pt>
                <c:pt idx="679" formatCode="0.00">
                  <c:v>1.2310000000000001</c:v>
                </c:pt>
                <c:pt idx="680" formatCode="0.00">
                  <c:v>1.2250000000000001</c:v>
                </c:pt>
                <c:pt idx="681" formatCode="0.00">
                  <c:v>1.2650000000000001</c:v>
                </c:pt>
                <c:pt idx="682" formatCode="0.00">
                  <c:v>1.3420000000000001</c:v>
                </c:pt>
                <c:pt idx="683" formatCode="0.00">
                  <c:v>1.3280000000000001</c:v>
                </c:pt>
                <c:pt idx="684" formatCode="0.00">
                  <c:v>1.321</c:v>
                </c:pt>
                <c:pt idx="685" formatCode="0.00">
                  <c:v>1.286</c:v>
                </c:pt>
                <c:pt idx="686" formatCode="0.00">
                  <c:v>1.3089999999999999</c:v>
                </c:pt>
                <c:pt idx="687" formatCode="0.00">
                  <c:v>1.294</c:v>
                </c:pt>
                <c:pt idx="688" formatCode="0.00">
                  <c:v>1.292</c:v>
                </c:pt>
                <c:pt idx="689" formatCode="0.00">
                  <c:v>1.274</c:v>
                </c:pt>
                <c:pt idx="690" formatCode="0.00">
                  <c:v>1.2749999999999999</c:v>
                </c:pt>
                <c:pt idx="691" formatCode="0.00">
                  <c:v>1.2490000000000001</c:v>
                </c:pt>
                <c:pt idx="692" formatCode="0.00">
                  <c:v>1.25</c:v>
                </c:pt>
                <c:pt idx="693" formatCode="0.00">
                  <c:v>1.2530000000000001</c:v>
                </c:pt>
                <c:pt idx="694" formatCode="0.00">
                  <c:v>1.2530000000000001</c:v>
                </c:pt>
                <c:pt idx="695" formatCode="0.00">
                  <c:v>1.3380000000000001</c:v>
                </c:pt>
                <c:pt idx="696" formatCode="0.00">
                  <c:v>1.33</c:v>
                </c:pt>
                <c:pt idx="697" formatCode="0.00">
                  <c:v>1.2330000000000001</c:v>
                </c:pt>
                <c:pt idx="698" formatCode="0.00">
                  <c:v>1.2869999999999999</c:v>
                </c:pt>
                <c:pt idx="699" formatCode="0.00">
                  <c:v>1.2570000000000001</c:v>
                </c:pt>
                <c:pt idx="700" formatCode="0.00">
                  <c:v>1.228</c:v>
                </c:pt>
                <c:pt idx="701" formatCode="0.00">
                  <c:v>1.2530000000000001</c:v>
                </c:pt>
                <c:pt idx="702" formatCode="0.00">
                  <c:v>1.2789999999999999</c:v>
                </c:pt>
                <c:pt idx="703" formatCode="0.00">
                  <c:v>1.202</c:v>
                </c:pt>
                <c:pt idx="704" formatCode="0.00">
                  <c:v>1.2230000000000001</c:v>
                </c:pt>
                <c:pt idx="705" formatCode="0.00">
                  <c:v>1.216</c:v>
                </c:pt>
                <c:pt idx="706" formatCode="0.00">
                  <c:v>1.1739999999999999</c:v>
                </c:pt>
                <c:pt idx="707" formatCode="0.00">
                  <c:v>1.1499999999999999</c:v>
                </c:pt>
                <c:pt idx="708" formatCode="0.00">
                  <c:v>1.1479999999999999</c:v>
                </c:pt>
                <c:pt idx="709" formatCode="0.00">
                  <c:v>1.2050000000000001</c:v>
                </c:pt>
                <c:pt idx="710" formatCode="0.00">
                  <c:v>1.25</c:v>
                </c:pt>
                <c:pt idx="711" formatCode="0.00">
                  <c:v>1.262</c:v>
                </c:pt>
                <c:pt idx="712" formatCode="0.00">
                  <c:v>1.2410000000000001</c:v>
                </c:pt>
                <c:pt idx="713" formatCode="0.00">
                  <c:v>1.2410000000000001</c:v>
                </c:pt>
                <c:pt idx="714" formatCode="0.00">
                  <c:v>1.2410000000000001</c:v>
                </c:pt>
                <c:pt idx="715" formatCode="0.00">
                  <c:v>1.1719999999999999</c:v>
                </c:pt>
                <c:pt idx="716" formatCode="0.00">
                  <c:v>1.1970000000000001</c:v>
                </c:pt>
                <c:pt idx="717" formatCode="0.00">
                  <c:v>1.19</c:v>
                </c:pt>
                <c:pt idx="718" formatCode="0.00">
                  <c:v>1.19</c:v>
                </c:pt>
                <c:pt idx="719" formatCode="0.00">
                  <c:v>1.2869999999999999</c:v>
                </c:pt>
                <c:pt idx="720" formatCode="0.00">
                  <c:v>1.2130000000000001</c:v>
                </c:pt>
                <c:pt idx="721" formatCode="0.00">
                  <c:v>1.234</c:v>
                </c:pt>
                <c:pt idx="722" formatCode="0.00">
                  <c:v>1.244</c:v>
                </c:pt>
                <c:pt idx="723" formatCode="0.00">
                  <c:v>1.236</c:v>
                </c:pt>
                <c:pt idx="724" formatCode="0.00">
                  <c:v>1.2829999999999999</c:v>
                </c:pt>
                <c:pt idx="725" formatCode="0.00">
                  <c:v>1.286</c:v>
                </c:pt>
                <c:pt idx="726" formatCode="0.00">
                  <c:v>1.3089999999999999</c:v>
                </c:pt>
                <c:pt idx="727" formatCode="0.00">
                  <c:v>1.339</c:v>
                </c:pt>
                <c:pt idx="728" formatCode="0.00">
                  <c:v>1.323</c:v>
                </c:pt>
                <c:pt idx="729" formatCode="0.00">
                  <c:v>1.3029999999999999</c:v>
                </c:pt>
                <c:pt idx="730" formatCode="0.00">
                  <c:v>1.3080000000000001</c:v>
                </c:pt>
                <c:pt idx="731" formatCode="0.00">
                  <c:v>1.33</c:v>
                </c:pt>
                <c:pt idx="732" formatCode="0.00">
                  <c:v>1.337</c:v>
                </c:pt>
                <c:pt idx="733" formatCode="0.00">
                  <c:v>1.3580000000000001</c:v>
                </c:pt>
                <c:pt idx="734" formatCode="0.00">
                  <c:v>1.353</c:v>
                </c:pt>
                <c:pt idx="735" formatCode="0.00">
                  <c:v>1.407</c:v>
                </c:pt>
                <c:pt idx="736" formatCode="0.00">
                  <c:v>1.4119999999999999</c:v>
                </c:pt>
                <c:pt idx="737" formatCode="0.00">
                  <c:v>1.444</c:v>
                </c:pt>
                <c:pt idx="738" formatCode="0.00">
                  <c:v>1.4530000000000001</c:v>
                </c:pt>
                <c:pt idx="739" formatCode="0.00">
                  <c:v>1.46</c:v>
                </c:pt>
                <c:pt idx="740" formatCode="0.00">
                  <c:v>1.51</c:v>
                </c:pt>
                <c:pt idx="741" formatCode="0.00">
                  <c:v>1.5310000000000001</c:v>
                </c:pt>
                <c:pt idx="742" formatCode="0.00">
                  <c:v>1.577</c:v>
                </c:pt>
                <c:pt idx="743" formatCode="0.00">
                  <c:v>1.5580000000000001</c:v>
                </c:pt>
                <c:pt idx="744" formatCode="0.00">
                  <c:v>1.5209999999999999</c:v>
                </c:pt>
                <c:pt idx="745" formatCode="0.00">
                  <c:v>1.5510000000000002</c:v>
                </c:pt>
                <c:pt idx="746" formatCode="0.00">
                  <c:v>1.617</c:v>
                </c:pt>
                <c:pt idx="747" formatCode="0.00">
                  <c:v>1.5699999999999998</c:v>
                </c:pt>
                <c:pt idx="748" formatCode="0.00">
                  <c:v>1.601</c:v>
                </c:pt>
                <c:pt idx="749" formatCode="0.00">
                  <c:v>1.6179999999999999</c:v>
                </c:pt>
                <c:pt idx="750" formatCode="0.00">
                  <c:v>1.6400000000000001</c:v>
                </c:pt>
                <c:pt idx="751" formatCode="0.00">
                  <c:v>1.6459999999999999</c:v>
                </c:pt>
                <c:pt idx="752" formatCode="0.00">
                  <c:v>1.581</c:v>
                </c:pt>
                <c:pt idx="753" formatCode="0.00">
                  <c:v>1.6019999999999999</c:v>
                </c:pt>
                <c:pt idx="754" formatCode="0.00">
                  <c:v>1.585</c:v>
                </c:pt>
                <c:pt idx="755" formatCode="0.00">
                  <c:v>1.5550000000000002</c:v>
                </c:pt>
                <c:pt idx="756" formatCode="0.00">
                  <c:v>1.546</c:v>
                </c:pt>
                <c:pt idx="757" formatCode="0.00">
                  <c:v>1.5209999999999999</c:v>
                </c:pt>
                <c:pt idx="758" formatCode="0.00">
                  <c:v>1.5089999999999999</c:v>
                </c:pt>
                <c:pt idx="759" formatCode="0.00">
                  <c:v>1.5609999999999999</c:v>
                </c:pt>
                <c:pt idx="760" formatCode="0.00">
                  <c:v>1.5009999999999999</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Bond!$A$589:$A$1349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f>Bond!$F$589:$F$1349</c:f>
              <c:numCache>
                <c:formatCode>General</c:formatCode>
                <c:ptCount val="761"/>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pt idx="588" formatCode="0.00">
                  <c:v>6.5640000000000001</c:v>
                </c:pt>
                <c:pt idx="589" formatCode="0.00">
                  <c:v>6.5490000000000004</c:v>
                </c:pt>
                <c:pt idx="590" formatCode="0.00">
                  <c:v>6.5510000000000002</c:v>
                </c:pt>
                <c:pt idx="591" formatCode="0.00">
                  <c:v>6.5380000000000003</c:v>
                </c:pt>
                <c:pt idx="592" formatCode="0.00">
                  <c:v>6.532</c:v>
                </c:pt>
                <c:pt idx="593" formatCode="0.00">
                  <c:v>6.4740000000000002</c:v>
                </c:pt>
                <c:pt idx="594" formatCode="0.00">
                  <c:v>6.4850000000000003</c:v>
                </c:pt>
                <c:pt idx="595" formatCode="0.00">
                  <c:v>6.4589999999999996</c:v>
                </c:pt>
                <c:pt idx="596" formatCode="0.00">
                  <c:v>6.4560000000000004</c:v>
                </c:pt>
                <c:pt idx="597" formatCode="0.00">
                  <c:v>6.4640000000000004</c:v>
                </c:pt>
                <c:pt idx="598" formatCode="0.00">
                  <c:v>6.4560000000000004</c:v>
                </c:pt>
                <c:pt idx="599" formatCode="0.00">
                  <c:v>6.4560000000000004</c:v>
                </c:pt>
                <c:pt idx="600" formatCode="0.00">
                  <c:v>6.4489999999999998</c:v>
                </c:pt>
                <c:pt idx="601" formatCode="0.00">
                  <c:v>6.452</c:v>
                </c:pt>
                <c:pt idx="602" formatCode="0.00">
                  <c:v>6.4359999999999999</c:v>
                </c:pt>
                <c:pt idx="603" formatCode="0.00">
                  <c:v>6.4139999999999997</c:v>
                </c:pt>
                <c:pt idx="604" formatCode="0.00">
                  <c:v>6.43</c:v>
                </c:pt>
                <c:pt idx="605" formatCode="0.00">
                  <c:v>6.444</c:v>
                </c:pt>
                <c:pt idx="606" formatCode="0.00">
                  <c:v>6.44</c:v>
                </c:pt>
                <c:pt idx="607" formatCode="0.00">
                  <c:v>6.4630000000000001</c:v>
                </c:pt>
                <c:pt idx="608" formatCode="0.00">
                  <c:v>6.4690000000000003</c:v>
                </c:pt>
                <c:pt idx="609" formatCode="0.00">
                  <c:v>6.4420000000000002</c:v>
                </c:pt>
                <c:pt idx="610" formatCode="0.00">
                  <c:v>6.4640000000000004</c:v>
                </c:pt>
                <c:pt idx="611" formatCode="0.00">
                  <c:v>6.43</c:v>
                </c:pt>
                <c:pt idx="612" formatCode="0.00">
                  <c:v>6.4409999999999998</c:v>
                </c:pt>
                <c:pt idx="613" formatCode="0.00">
                  <c:v>6.4580000000000002</c:v>
                </c:pt>
                <c:pt idx="614" formatCode="0.00">
                  <c:v>6.4580000000000002</c:v>
                </c:pt>
                <c:pt idx="615" formatCode="0.00">
                  <c:v>6.4660000000000002</c:v>
                </c:pt>
                <c:pt idx="616" formatCode="0.00">
                  <c:v>6.4939999999999998</c:v>
                </c:pt>
                <c:pt idx="617" formatCode="0.00">
                  <c:v>6.5069999999999997</c:v>
                </c:pt>
                <c:pt idx="618" formatCode="0.00">
                  <c:v>6.52</c:v>
                </c:pt>
                <c:pt idx="619" formatCode="0.00">
                  <c:v>6.52</c:v>
                </c:pt>
                <c:pt idx="620" formatCode="0.00">
                  <c:v>6.5330000000000004</c:v>
                </c:pt>
                <c:pt idx="621" formatCode="0.00">
                  <c:v>6.5330000000000004</c:v>
                </c:pt>
                <c:pt idx="622" formatCode="0.00">
                  <c:v>6.5129999999999999</c:v>
                </c:pt>
                <c:pt idx="623" formatCode="0.00">
                  <c:v>6.51</c:v>
                </c:pt>
                <c:pt idx="624" formatCode="0.00">
                  <c:v>6.5350000000000001</c:v>
                </c:pt>
                <c:pt idx="625" formatCode="0.00">
                  <c:v>6.5380000000000003</c:v>
                </c:pt>
                <c:pt idx="626" formatCode="0.00">
                  <c:v>6.5380000000000003</c:v>
                </c:pt>
                <c:pt idx="627" formatCode="0.00">
                  <c:v>6.5380000000000003</c:v>
                </c:pt>
                <c:pt idx="628" formatCode="0.00">
                  <c:v>6.5679999999999996</c:v>
                </c:pt>
                <c:pt idx="629" formatCode="0.00">
                  <c:v>6.5330000000000004</c:v>
                </c:pt>
                <c:pt idx="630" formatCode="0.00">
                  <c:v>6.5369999999999999</c:v>
                </c:pt>
                <c:pt idx="631" formatCode="0.00">
                  <c:v>6.5250000000000004</c:v>
                </c:pt>
                <c:pt idx="632" formatCode="0.00">
                  <c:v>6.4829999999999997</c:v>
                </c:pt>
                <c:pt idx="633" formatCode="0.00">
                  <c:v>6.4960000000000004</c:v>
                </c:pt>
                <c:pt idx="634" formatCode="0.00">
                  <c:v>6.5</c:v>
                </c:pt>
                <c:pt idx="635" formatCode="0.00">
                  <c:v>6.5069999999999997</c:v>
                </c:pt>
                <c:pt idx="636" formatCode="0.00">
                  <c:v>6.516</c:v>
                </c:pt>
                <c:pt idx="637" formatCode="0.00">
                  <c:v>6.5430000000000001</c:v>
                </c:pt>
                <c:pt idx="638" formatCode="0.00">
                  <c:v>6.5620000000000003</c:v>
                </c:pt>
                <c:pt idx="639" formatCode="0.00">
                  <c:v>6.5540000000000003</c:v>
                </c:pt>
                <c:pt idx="640" formatCode="0.00">
                  <c:v>6.5860000000000003</c:v>
                </c:pt>
                <c:pt idx="641" formatCode="0.00">
                  <c:v>6.59</c:v>
                </c:pt>
                <c:pt idx="642" formatCode="0.00">
                  <c:v>6.5969999999999995</c:v>
                </c:pt>
                <c:pt idx="643" formatCode="0.00">
                  <c:v>6.61</c:v>
                </c:pt>
                <c:pt idx="644" formatCode="0.00">
                  <c:v>6.5919999999999996</c:v>
                </c:pt>
                <c:pt idx="645" formatCode="0.00">
                  <c:v>6.577</c:v>
                </c:pt>
                <c:pt idx="646" formatCode="0.00">
                  <c:v>6.6749999999999998</c:v>
                </c:pt>
                <c:pt idx="647" formatCode="0.00">
                  <c:v>6.6630000000000003</c:v>
                </c:pt>
                <c:pt idx="648" formatCode="0.00">
                  <c:v>6.6189999999999998</c:v>
                </c:pt>
                <c:pt idx="649" formatCode="0.00">
                  <c:v>6.6690000000000005</c:v>
                </c:pt>
                <c:pt idx="650" formatCode="0.00">
                  <c:v>6.6669999999999998</c:v>
                </c:pt>
                <c:pt idx="651" formatCode="0.00">
                  <c:v>6.641</c:v>
                </c:pt>
                <c:pt idx="652" formatCode="0.00">
                  <c:v>6.6630000000000003</c:v>
                </c:pt>
                <c:pt idx="653" formatCode="0.00">
                  <c:v>6.6630000000000003</c:v>
                </c:pt>
                <c:pt idx="654" formatCode="0.00">
                  <c:v>6.6479999999999997</c:v>
                </c:pt>
                <c:pt idx="655" formatCode="0.00">
                  <c:v>6.702</c:v>
                </c:pt>
                <c:pt idx="656" formatCode="0.00">
                  <c:v>6.7290000000000001</c:v>
                </c:pt>
                <c:pt idx="657" formatCode="0.00">
                  <c:v>6.7569999999999997</c:v>
                </c:pt>
                <c:pt idx="658" formatCode="0.00">
                  <c:v>6.78</c:v>
                </c:pt>
                <c:pt idx="659" formatCode="0.00">
                  <c:v>6.7409999999999997</c:v>
                </c:pt>
                <c:pt idx="660" formatCode="0.00">
                  <c:v>6.7409999999999997</c:v>
                </c:pt>
                <c:pt idx="661" formatCode="0.00">
                  <c:v>6.7530000000000001</c:v>
                </c:pt>
                <c:pt idx="662" formatCode="0.00">
                  <c:v>6.734</c:v>
                </c:pt>
                <c:pt idx="663" formatCode="0.00">
                  <c:v>6.734</c:v>
                </c:pt>
                <c:pt idx="664" formatCode="0.00">
                  <c:v>6.7629999999999999</c:v>
                </c:pt>
                <c:pt idx="665" formatCode="0.00">
                  <c:v>6.76</c:v>
                </c:pt>
                <c:pt idx="666" formatCode="0.00">
                  <c:v>6.76</c:v>
                </c:pt>
                <c:pt idx="667" formatCode="0.00">
                  <c:v>6.76</c:v>
                </c:pt>
                <c:pt idx="668" formatCode="0.00">
                  <c:v>6.7960000000000003</c:v>
                </c:pt>
                <c:pt idx="669" formatCode="0.00">
                  <c:v>6.7750000000000004</c:v>
                </c:pt>
                <c:pt idx="670" formatCode="0.00">
                  <c:v>6.8109999999999999</c:v>
                </c:pt>
                <c:pt idx="671" formatCode="0.00">
                  <c:v>6.7990000000000004</c:v>
                </c:pt>
                <c:pt idx="672" formatCode="0.00">
                  <c:v>6.8049999999999997</c:v>
                </c:pt>
                <c:pt idx="673" formatCode="0.00">
                  <c:v>6.8849999999999998</c:v>
                </c:pt>
                <c:pt idx="674" formatCode="0.00">
                  <c:v>6.8620000000000001</c:v>
                </c:pt>
                <c:pt idx="675" formatCode="0.00">
                  <c:v>6.8920000000000003</c:v>
                </c:pt>
                <c:pt idx="676" formatCode="0.00">
                  <c:v>6.8609999999999998</c:v>
                </c:pt>
                <c:pt idx="677" formatCode="0.00">
                  <c:v>6.8579999999999997</c:v>
                </c:pt>
                <c:pt idx="678" formatCode="0.00">
                  <c:v>6.8929999999999998</c:v>
                </c:pt>
                <c:pt idx="679" formatCode="0.00">
                  <c:v>6.9269999999999996</c:v>
                </c:pt>
                <c:pt idx="680" formatCode="0.00">
                  <c:v>6.9399999999999995</c:v>
                </c:pt>
                <c:pt idx="681" formatCode="0.00">
                  <c:v>6.931</c:v>
                </c:pt>
                <c:pt idx="682" formatCode="0.00">
                  <c:v>6.9569999999999999</c:v>
                </c:pt>
                <c:pt idx="683" formatCode="0.00">
                  <c:v>6.9719999999999995</c:v>
                </c:pt>
                <c:pt idx="684" formatCode="0.00">
                  <c:v>7.0519999999999996</c:v>
                </c:pt>
                <c:pt idx="685" formatCode="0.00">
                  <c:v>7.0170000000000003</c:v>
                </c:pt>
                <c:pt idx="686" formatCode="0.00">
                  <c:v>7.0620000000000003</c:v>
                </c:pt>
                <c:pt idx="687" formatCode="0.00">
                  <c:v>7.0490000000000004</c:v>
                </c:pt>
                <c:pt idx="688" formatCode="0.00">
                  <c:v>6.89</c:v>
                </c:pt>
                <c:pt idx="689" formatCode="0.00">
                  <c:v>6.8949999999999996</c:v>
                </c:pt>
                <c:pt idx="690" formatCode="0.00">
                  <c:v>6.9580000000000002</c:v>
                </c:pt>
                <c:pt idx="691" formatCode="0.00">
                  <c:v>6.9879999999999995</c:v>
                </c:pt>
                <c:pt idx="692" formatCode="0.00">
                  <c:v>7.0030000000000001</c:v>
                </c:pt>
                <c:pt idx="693" formatCode="0.00">
                  <c:v>7.056</c:v>
                </c:pt>
                <c:pt idx="694" formatCode="0.00">
                  <c:v>7.03</c:v>
                </c:pt>
                <c:pt idx="695" formatCode="0.00">
                  <c:v>7.0279999999999996</c:v>
                </c:pt>
                <c:pt idx="696" formatCode="0.00">
                  <c:v>7.0590000000000002</c:v>
                </c:pt>
                <c:pt idx="697" formatCode="0.00">
                  <c:v>7.0590000000000002</c:v>
                </c:pt>
                <c:pt idx="698" formatCode="0.00">
                  <c:v>7.0830000000000002</c:v>
                </c:pt>
                <c:pt idx="699" formatCode="0.00">
                  <c:v>7.06</c:v>
                </c:pt>
                <c:pt idx="700" formatCode="0.00">
                  <c:v>7.0309999999999997</c:v>
                </c:pt>
                <c:pt idx="701" formatCode="0.00">
                  <c:v>7.0549999999999997</c:v>
                </c:pt>
                <c:pt idx="702" formatCode="0.00">
                  <c:v>7.09</c:v>
                </c:pt>
                <c:pt idx="703" formatCode="0.00">
                  <c:v>7.1749999999999998</c:v>
                </c:pt>
                <c:pt idx="704" formatCode="0.00">
                  <c:v>7.1849999999999996</c:v>
                </c:pt>
                <c:pt idx="705" formatCode="0.00">
                  <c:v>7.173</c:v>
                </c:pt>
                <c:pt idx="706" formatCode="0.00">
                  <c:v>7.1310000000000002</c:v>
                </c:pt>
                <c:pt idx="707" formatCode="0.00">
                  <c:v>7.1340000000000003</c:v>
                </c:pt>
                <c:pt idx="708" formatCode="0.00">
                  <c:v>7.181</c:v>
                </c:pt>
                <c:pt idx="709" formatCode="0.00">
                  <c:v>7.1779999999999999</c:v>
                </c:pt>
                <c:pt idx="710" formatCode="0.00">
                  <c:v>7.2190000000000003</c:v>
                </c:pt>
                <c:pt idx="711" formatCode="0.00">
                  <c:v>7.2140000000000004</c:v>
                </c:pt>
                <c:pt idx="712" formatCode="0.00">
                  <c:v>7.2709999999999999</c:v>
                </c:pt>
                <c:pt idx="713" formatCode="0.00">
                  <c:v>7.2709999999999999</c:v>
                </c:pt>
                <c:pt idx="714" formatCode="0.00">
                  <c:v>7.2750000000000004</c:v>
                </c:pt>
                <c:pt idx="715" formatCode="0.00">
                  <c:v>7.2190000000000003</c:v>
                </c:pt>
                <c:pt idx="716" formatCode="0.00">
                  <c:v>7.3959999999999999</c:v>
                </c:pt>
                <c:pt idx="717" formatCode="0.00">
                  <c:v>7.3259999999999996</c:v>
                </c:pt>
                <c:pt idx="718" formatCode="0.00">
                  <c:v>7.3369999999999997</c:v>
                </c:pt>
                <c:pt idx="719" formatCode="0.00">
                  <c:v>7.3860000000000001</c:v>
                </c:pt>
                <c:pt idx="720" formatCode="0.00">
                  <c:v>7.32</c:v>
                </c:pt>
                <c:pt idx="721" formatCode="0.00">
                  <c:v>7.3330000000000002</c:v>
                </c:pt>
                <c:pt idx="722" formatCode="0.00">
                  <c:v>7.2880000000000003</c:v>
                </c:pt>
                <c:pt idx="723" formatCode="0.00">
                  <c:v>7.3440000000000003</c:v>
                </c:pt>
                <c:pt idx="724" formatCode="0.00">
                  <c:v>7.367</c:v>
                </c:pt>
                <c:pt idx="725" formatCode="0.00">
                  <c:v>7.26</c:v>
                </c:pt>
                <c:pt idx="726" formatCode="0.00">
                  <c:v>7.2640000000000002</c:v>
                </c:pt>
                <c:pt idx="727" formatCode="0.00">
                  <c:v>7.282</c:v>
                </c:pt>
                <c:pt idx="728" formatCode="0.00">
                  <c:v>7.2690000000000001</c:v>
                </c:pt>
                <c:pt idx="729" formatCode="0.00">
                  <c:v>7.383</c:v>
                </c:pt>
                <c:pt idx="730" formatCode="0.00">
                  <c:v>7.2220000000000004</c:v>
                </c:pt>
                <c:pt idx="731" formatCode="0.00">
                  <c:v>7.2620000000000005</c:v>
                </c:pt>
                <c:pt idx="732" formatCode="0.00">
                  <c:v>7.2949999999999999</c:v>
                </c:pt>
                <c:pt idx="733" formatCode="0.00">
                  <c:v>7.2640000000000002</c:v>
                </c:pt>
                <c:pt idx="734" formatCode="0.00">
                  <c:v>7.2530000000000001</c:v>
                </c:pt>
                <c:pt idx="735" formatCode="0.00">
                  <c:v>7.2759999999999998</c:v>
                </c:pt>
                <c:pt idx="736" formatCode="0.00">
                  <c:v>7.3070000000000004</c:v>
                </c:pt>
                <c:pt idx="737" formatCode="0.00">
                  <c:v>7.3070000000000004</c:v>
                </c:pt>
                <c:pt idx="738" formatCode="0.00">
                  <c:v>7.4420000000000002</c:v>
                </c:pt>
                <c:pt idx="739" formatCode="0.00">
                  <c:v>7.4340000000000002</c:v>
                </c:pt>
                <c:pt idx="740" formatCode="0.00">
                  <c:v>7.43</c:v>
                </c:pt>
                <c:pt idx="741" formatCode="0.00">
                  <c:v>7.6050000000000004</c:v>
                </c:pt>
                <c:pt idx="742" formatCode="0.00">
                  <c:v>7.5620000000000003</c:v>
                </c:pt>
                <c:pt idx="743" formatCode="0.00">
                  <c:v>7.6050000000000004</c:v>
                </c:pt>
                <c:pt idx="744" formatCode="0.00">
                  <c:v>7.5679999999999996</c:v>
                </c:pt>
                <c:pt idx="745" formatCode="0.00">
                  <c:v>7.53</c:v>
                </c:pt>
                <c:pt idx="746" formatCode="0.00">
                  <c:v>7.4690000000000003</c:v>
                </c:pt>
                <c:pt idx="747" formatCode="0.00">
                  <c:v>7.49</c:v>
                </c:pt>
                <c:pt idx="748" formatCode="0.00">
                  <c:v>7.4989999999999997</c:v>
                </c:pt>
                <c:pt idx="749" formatCode="0.00">
                  <c:v>7.4989999999999997</c:v>
                </c:pt>
                <c:pt idx="750" formatCode="0.00">
                  <c:v>7.4909999999999997</c:v>
                </c:pt>
                <c:pt idx="751" formatCode="0.00">
                  <c:v>7.5730000000000004</c:v>
                </c:pt>
                <c:pt idx="752" formatCode="0.00">
                  <c:v>7.5789999999999997</c:v>
                </c:pt>
                <c:pt idx="753" formatCode="0.00">
                  <c:v>7.5789999999999997</c:v>
                </c:pt>
                <c:pt idx="754" formatCode="0.00">
                  <c:v>7.673</c:v>
                </c:pt>
                <c:pt idx="755" formatCode="0.00">
                  <c:v>7.71</c:v>
                </c:pt>
                <c:pt idx="756" formatCode="0.00">
                  <c:v>7.7460000000000004</c:v>
                </c:pt>
                <c:pt idx="757" formatCode="0.00">
                  <c:v>7.6669999999999998</c:v>
                </c:pt>
                <c:pt idx="758" formatCode="0.00">
                  <c:v>7.6879999999999997</c:v>
                </c:pt>
                <c:pt idx="759" formatCode="0.00">
                  <c:v>7.6660000000000004</c:v>
                </c:pt>
                <c:pt idx="760" formatCode="0.00">
                  <c:v>7.726</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Bond!$A$589:$A$1349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f>Bond!$G$589:$G$1349</c:f>
              <c:numCache>
                <c:formatCode>General</c:formatCode>
                <c:ptCount val="761"/>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pt idx="588" formatCode="0.00">
                  <c:v>3.601</c:v>
                </c:pt>
                <c:pt idx="589" formatCode="0.00">
                  <c:v>3.6080000000000001</c:v>
                </c:pt>
                <c:pt idx="590" formatCode="0.00">
                  <c:v>3.589</c:v>
                </c:pt>
                <c:pt idx="591" formatCode="0.00">
                  <c:v>3.573</c:v>
                </c:pt>
                <c:pt idx="592" formatCode="0.00">
                  <c:v>3.601</c:v>
                </c:pt>
                <c:pt idx="593" formatCode="0.00">
                  <c:v>3.5979999999999999</c:v>
                </c:pt>
                <c:pt idx="594" formatCode="0.00">
                  <c:v>3.5859999999999999</c:v>
                </c:pt>
                <c:pt idx="595" formatCode="0.00">
                  <c:v>3.58</c:v>
                </c:pt>
                <c:pt idx="596" formatCode="0.00">
                  <c:v>3.569</c:v>
                </c:pt>
                <c:pt idx="597" formatCode="0.00">
                  <c:v>3.5670000000000002</c:v>
                </c:pt>
                <c:pt idx="598" formatCode="0.00">
                  <c:v>3.569</c:v>
                </c:pt>
                <c:pt idx="599" formatCode="0.00">
                  <c:v>3.593</c:v>
                </c:pt>
                <c:pt idx="600" formatCode="0.00">
                  <c:v>3.597</c:v>
                </c:pt>
                <c:pt idx="601" formatCode="0.00">
                  <c:v>3.5779999999999998</c:v>
                </c:pt>
                <c:pt idx="602" formatCode="0.00">
                  <c:v>3.5859999999999999</c:v>
                </c:pt>
                <c:pt idx="603" formatCode="0.00">
                  <c:v>3.5859999999999999</c:v>
                </c:pt>
                <c:pt idx="604" formatCode="0.00">
                  <c:v>3.5939999999999999</c:v>
                </c:pt>
                <c:pt idx="605" formatCode="0.00">
                  <c:v>3.6179999999999999</c:v>
                </c:pt>
                <c:pt idx="606" formatCode="0.00">
                  <c:v>3.605</c:v>
                </c:pt>
                <c:pt idx="607" formatCode="0.00">
                  <c:v>3.6070000000000002</c:v>
                </c:pt>
                <c:pt idx="608" formatCode="0.00">
                  <c:v>3.6259999999999999</c:v>
                </c:pt>
                <c:pt idx="609" formatCode="0.00">
                  <c:v>3.641</c:v>
                </c:pt>
                <c:pt idx="610" formatCode="0.00">
                  <c:v>3.637</c:v>
                </c:pt>
                <c:pt idx="611" formatCode="0.00">
                  <c:v>3.6349999999999998</c:v>
                </c:pt>
                <c:pt idx="612" formatCode="0.00">
                  <c:v>3.6379999999999999</c:v>
                </c:pt>
                <c:pt idx="613" formatCode="0.00">
                  <c:v>3.6710000000000003</c:v>
                </c:pt>
                <c:pt idx="614" formatCode="0.00">
                  <c:v>3.6720000000000002</c:v>
                </c:pt>
                <c:pt idx="615" formatCode="0.00">
                  <c:v>3.6760000000000002</c:v>
                </c:pt>
                <c:pt idx="616" formatCode="0.00">
                  <c:v>3.6640000000000001</c:v>
                </c:pt>
                <c:pt idx="617" formatCode="0.00">
                  <c:v>3.6360000000000001</c:v>
                </c:pt>
                <c:pt idx="618" formatCode="0.00">
                  <c:v>3.6189999999999998</c:v>
                </c:pt>
                <c:pt idx="619" formatCode="0.00">
                  <c:v>3.6120000000000001</c:v>
                </c:pt>
                <c:pt idx="620" formatCode="0.00">
                  <c:v>3.6219999999999999</c:v>
                </c:pt>
                <c:pt idx="621" formatCode="0.00">
                  <c:v>3.625</c:v>
                </c:pt>
                <c:pt idx="622" formatCode="0.00">
                  <c:v>3.64</c:v>
                </c:pt>
                <c:pt idx="623" formatCode="0.00">
                  <c:v>3.65</c:v>
                </c:pt>
                <c:pt idx="624" formatCode="0.00">
                  <c:v>3.6589999999999998</c:v>
                </c:pt>
                <c:pt idx="625" formatCode="0.00">
                  <c:v>3.6669999999999998</c:v>
                </c:pt>
                <c:pt idx="626" formatCode="0.00">
                  <c:v>3.67</c:v>
                </c:pt>
                <c:pt idx="627" formatCode="0.00">
                  <c:v>3.681</c:v>
                </c:pt>
                <c:pt idx="628" formatCode="0.00">
                  <c:v>3.7010000000000001</c:v>
                </c:pt>
                <c:pt idx="629" formatCode="0.00">
                  <c:v>3.6680000000000001</c:v>
                </c:pt>
                <c:pt idx="630" formatCode="0.00">
                  <c:v>3.6710000000000003</c:v>
                </c:pt>
                <c:pt idx="631" formatCode="0.00">
                  <c:v>3.6589999999999998</c:v>
                </c:pt>
                <c:pt idx="632" formatCode="0.00">
                  <c:v>3.669</c:v>
                </c:pt>
                <c:pt idx="633" formatCode="0.00">
                  <c:v>3.6819999999999999</c:v>
                </c:pt>
                <c:pt idx="634" formatCode="0.00">
                  <c:v>3.702</c:v>
                </c:pt>
                <c:pt idx="635" formatCode="0.00">
                  <c:v>3.6890000000000001</c:v>
                </c:pt>
                <c:pt idx="636" formatCode="0.00">
                  <c:v>3.6480000000000001</c:v>
                </c:pt>
                <c:pt idx="637" formatCode="0.00">
                  <c:v>3.6360000000000001</c:v>
                </c:pt>
                <c:pt idx="638" formatCode="0.00">
                  <c:v>3.64</c:v>
                </c:pt>
                <c:pt idx="639" formatCode="0.00">
                  <c:v>3.6179999999999999</c:v>
                </c:pt>
                <c:pt idx="640" formatCode="0.00">
                  <c:v>3.6349999999999998</c:v>
                </c:pt>
                <c:pt idx="641" formatCode="0.00">
                  <c:v>3.6019999999999999</c:v>
                </c:pt>
                <c:pt idx="642" formatCode="0.00">
                  <c:v>3.605</c:v>
                </c:pt>
                <c:pt idx="643" formatCode="0.00">
                  <c:v>3.6259999999999999</c:v>
                </c:pt>
                <c:pt idx="644" formatCode="0.00">
                  <c:v>3.62</c:v>
                </c:pt>
                <c:pt idx="645" formatCode="0.00">
                  <c:v>3.625</c:v>
                </c:pt>
                <c:pt idx="646" formatCode="0.00">
                  <c:v>3.6379999999999999</c:v>
                </c:pt>
                <c:pt idx="647" formatCode="0.00">
                  <c:v>3.6230000000000002</c:v>
                </c:pt>
                <c:pt idx="648" formatCode="0.00">
                  <c:v>3.6059999999999999</c:v>
                </c:pt>
                <c:pt idx="649" formatCode="0.00">
                  <c:v>3.621</c:v>
                </c:pt>
                <c:pt idx="650" formatCode="0.00">
                  <c:v>3.6269999999999998</c:v>
                </c:pt>
                <c:pt idx="651" formatCode="0.00">
                  <c:v>3.617</c:v>
                </c:pt>
                <c:pt idx="652" formatCode="0.00">
                  <c:v>3.6230000000000002</c:v>
                </c:pt>
                <c:pt idx="653" formatCode="0.00">
                  <c:v>3.6230000000000002</c:v>
                </c:pt>
                <c:pt idx="654" formatCode="0.00">
                  <c:v>3.6230000000000002</c:v>
                </c:pt>
                <c:pt idx="655" formatCode="0.00">
                  <c:v>3.6230000000000002</c:v>
                </c:pt>
                <c:pt idx="656" formatCode="0.00">
                  <c:v>3.6230000000000002</c:v>
                </c:pt>
                <c:pt idx="657" formatCode="0.00">
                  <c:v>3.6230000000000002</c:v>
                </c:pt>
                <c:pt idx="658" formatCode="0.00">
                  <c:v>3.6539999999999999</c:v>
                </c:pt>
                <c:pt idx="659" formatCode="0.00">
                  <c:v>3.6539999999999999</c:v>
                </c:pt>
                <c:pt idx="660" formatCode="0.00">
                  <c:v>3.6579999999999999</c:v>
                </c:pt>
                <c:pt idx="661" formatCode="0.00">
                  <c:v>3.6819999999999999</c:v>
                </c:pt>
                <c:pt idx="662" formatCode="0.00">
                  <c:v>3.681</c:v>
                </c:pt>
                <c:pt idx="663" formatCode="0.00">
                  <c:v>3.71</c:v>
                </c:pt>
                <c:pt idx="664" formatCode="0.00">
                  <c:v>3.746</c:v>
                </c:pt>
                <c:pt idx="665" formatCode="0.00">
                  <c:v>3.7359999999999998</c:v>
                </c:pt>
                <c:pt idx="666" formatCode="0.00">
                  <c:v>3.7199999999999998</c:v>
                </c:pt>
                <c:pt idx="667" formatCode="0.00">
                  <c:v>3.7349999999999999</c:v>
                </c:pt>
                <c:pt idx="668" formatCode="0.00">
                  <c:v>3.7320000000000002</c:v>
                </c:pt>
                <c:pt idx="669" formatCode="0.00">
                  <c:v>3.73</c:v>
                </c:pt>
                <c:pt idx="670" formatCode="0.00">
                  <c:v>3.7909999999999999</c:v>
                </c:pt>
                <c:pt idx="671" formatCode="0.00">
                  <c:v>3.7909999999999999</c:v>
                </c:pt>
                <c:pt idx="672" formatCode="0.00">
                  <c:v>3.839</c:v>
                </c:pt>
                <c:pt idx="673" formatCode="0.00">
                  <c:v>3.9279999999999999</c:v>
                </c:pt>
                <c:pt idx="674" formatCode="0.00">
                  <c:v>3.8940000000000001</c:v>
                </c:pt>
                <c:pt idx="675" formatCode="0.00">
                  <c:v>3.8689999999999998</c:v>
                </c:pt>
                <c:pt idx="676" formatCode="0.00">
                  <c:v>3.8839999999999999</c:v>
                </c:pt>
                <c:pt idx="677" formatCode="0.00">
                  <c:v>3.891</c:v>
                </c:pt>
                <c:pt idx="678" formatCode="0.00">
                  <c:v>3.875</c:v>
                </c:pt>
                <c:pt idx="679" formatCode="0.00">
                  <c:v>3.8970000000000002</c:v>
                </c:pt>
                <c:pt idx="680" formatCode="0.00">
                  <c:v>3.899</c:v>
                </c:pt>
                <c:pt idx="681" formatCode="0.00">
                  <c:v>3.9089999999999998</c:v>
                </c:pt>
                <c:pt idx="682" formatCode="0.00">
                  <c:v>3.9260000000000002</c:v>
                </c:pt>
                <c:pt idx="683" formatCode="0.00">
                  <c:v>3.976</c:v>
                </c:pt>
                <c:pt idx="684" formatCode="0.00">
                  <c:v>3.9929999999999999</c:v>
                </c:pt>
                <c:pt idx="685" formatCode="0.00">
                  <c:v>3.9750000000000001</c:v>
                </c:pt>
                <c:pt idx="686" formatCode="0.00">
                  <c:v>3.944</c:v>
                </c:pt>
                <c:pt idx="687" formatCode="0.00">
                  <c:v>3.956</c:v>
                </c:pt>
                <c:pt idx="688" formatCode="0.00">
                  <c:v>3.9670000000000001</c:v>
                </c:pt>
                <c:pt idx="689" formatCode="0.00">
                  <c:v>3.992</c:v>
                </c:pt>
                <c:pt idx="690" formatCode="0.00">
                  <c:v>4.0350000000000001</c:v>
                </c:pt>
                <c:pt idx="691" formatCode="0.00">
                  <c:v>4.0199999999999996</c:v>
                </c:pt>
                <c:pt idx="692" formatCode="0.00">
                  <c:v>3.9729999999999999</c:v>
                </c:pt>
                <c:pt idx="693" formatCode="0.00">
                  <c:v>3.9980000000000002</c:v>
                </c:pt>
                <c:pt idx="694" formatCode="0.00">
                  <c:v>3.9990000000000001</c:v>
                </c:pt>
                <c:pt idx="695" formatCode="0.00">
                  <c:v>3.9670000000000001</c:v>
                </c:pt>
                <c:pt idx="696" formatCode="0.00">
                  <c:v>3.9169999999999998</c:v>
                </c:pt>
                <c:pt idx="697" formatCode="0.00">
                  <c:v>3.92</c:v>
                </c:pt>
                <c:pt idx="698" formatCode="0.00">
                  <c:v>3.9249999999999998</c:v>
                </c:pt>
                <c:pt idx="699" formatCode="0.00">
                  <c:v>3.9050000000000002</c:v>
                </c:pt>
                <c:pt idx="700" formatCode="0.00">
                  <c:v>3.91</c:v>
                </c:pt>
                <c:pt idx="701" formatCode="0.00">
                  <c:v>3.9050000000000002</c:v>
                </c:pt>
                <c:pt idx="702" formatCode="0.00">
                  <c:v>3.9449999999999998</c:v>
                </c:pt>
                <c:pt idx="703" formatCode="0.00">
                  <c:v>3.9449999999999998</c:v>
                </c:pt>
                <c:pt idx="704" formatCode="0.00">
                  <c:v>3.9510000000000001</c:v>
                </c:pt>
                <c:pt idx="705" formatCode="0.00">
                  <c:v>3.944</c:v>
                </c:pt>
                <c:pt idx="706" formatCode="0.00">
                  <c:v>3.927</c:v>
                </c:pt>
                <c:pt idx="707" formatCode="0.00">
                  <c:v>3.8940000000000001</c:v>
                </c:pt>
                <c:pt idx="708" formatCode="0.00">
                  <c:v>3.9050000000000002</c:v>
                </c:pt>
                <c:pt idx="709" formatCode="0.00">
                  <c:v>3.9050000000000002</c:v>
                </c:pt>
                <c:pt idx="710" formatCode="0.00">
                  <c:v>3.9119999999999999</c:v>
                </c:pt>
                <c:pt idx="711" formatCode="0.00">
                  <c:v>3.9119999999999999</c:v>
                </c:pt>
                <c:pt idx="712" formatCode="0.00">
                  <c:v>3.8890000000000002</c:v>
                </c:pt>
                <c:pt idx="713" formatCode="0.00">
                  <c:v>3.9</c:v>
                </c:pt>
                <c:pt idx="714" formatCode="0.00">
                  <c:v>3.895</c:v>
                </c:pt>
                <c:pt idx="715" formatCode="0.00">
                  <c:v>3.9009999999999998</c:v>
                </c:pt>
                <c:pt idx="716" formatCode="0.00">
                  <c:v>3.8879999999999999</c:v>
                </c:pt>
                <c:pt idx="717" formatCode="0.00">
                  <c:v>3.9020000000000001</c:v>
                </c:pt>
                <c:pt idx="718" formatCode="0.00">
                  <c:v>3.9020000000000001</c:v>
                </c:pt>
                <c:pt idx="719" formatCode="0.00">
                  <c:v>3.9180000000000001</c:v>
                </c:pt>
                <c:pt idx="720" formatCode="0.00">
                  <c:v>3.9249999999999998</c:v>
                </c:pt>
                <c:pt idx="721" formatCode="0.00">
                  <c:v>3.94</c:v>
                </c:pt>
                <c:pt idx="722" formatCode="0.00">
                  <c:v>3.9279999999999999</c:v>
                </c:pt>
                <c:pt idx="723" formatCode="0.00">
                  <c:v>3.9210000000000003</c:v>
                </c:pt>
                <c:pt idx="724" formatCode="0.00">
                  <c:v>3.9089999999999998</c:v>
                </c:pt>
                <c:pt idx="725" formatCode="0.00">
                  <c:v>3.9449999999999998</c:v>
                </c:pt>
                <c:pt idx="726" formatCode="0.00">
                  <c:v>3.956</c:v>
                </c:pt>
                <c:pt idx="727" formatCode="0.00">
                  <c:v>3.948</c:v>
                </c:pt>
                <c:pt idx="728" formatCode="0.00">
                  <c:v>3.9660000000000002</c:v>
                </c:pt>
                <c:pt idx="729" formatCode="0.00">
                  <c:v>3.9649999999999999</c:v>
                </c:pt>
                <c:pt idx="730" formatCode="0.00">
                  <c:v>3.964</c:v>
                </c:pt>
                <c:pt idx="731" formatCode="0.00">
                  <c:v>3.9790000000000001</c:v>
                </c:pt>
                <c:pt idx="732" formatCode="0.00">
                  <c:v>3.9779999999999998</c:v>
                </c:pt>
                <c:pt idx="733" formatCode="0.00">
                  <c:v>3.9609999999999999</c:v>
                </c:pt>
                <c:pt idx="734" formatCode="0.00">
                  <c:v>3.9550000000000001</c:v>
                </c:pt>
                <c:pt idx="735" formatCode="0.00">
                  <c:v>3.956</c:v>
                </c:pt>
                <c:pt idx="736" formatCode="0.00">
                  <c:v>3.948</c:v>
                </c:pt>
                <c:pt idx="737" formatCode="0.00">
                  <c:v>3.9489999999999998</c:v>
                </c:pt>
                <c:pt idx="738" formatCode="0.00">
                  <c:v>3.95</c:v>
                </c:pt>
                <c:pt idx="739" formatCode="0.00">
                  <c:v>3.9359999999999999</c:v>
                </c:pt>
                <c:pt idx="740" formatCode="0.00">
                  <c:v>3.9220000000000002</c:v>
                </c:pt>
                <c:pt idx="741" formatCode="0.00">
                  <c:v>3.915</c:v>
                </c:pt>
                <c:pt idx="742" formatCode="0.00">
                  <c:v>3.919</c:v>
                </c:pt>
                <c:pt idx="743" formatCode="0.00">
                  <c:v>3.9239999999999999</c:v>
                </c:pt>
                <c:pt idx="744" formatCode="0.00">
                  <c:v>3.8959999999999999</c:v>
                </c:pt>
                <c:pt idx="745" formatCode="0.00">
                  <c:v>3.891</c:v>
                </c:pt>
                <c:pt idx="746" formatCode="0.00">
                  <c:v>3.8980000000000001</c:v>
                </c:pt>
                <c:pt idx="747" formatCode="0.00">
                  <c:v>3.8959999999999999</c:v>
                </c:pt>
                <c:pt idx="748" formatCode="0.00">
                  <c:v>3.8919999999999999</c:v>
                </c:pt>
                <c:pt idx="749" formatCode="0.00">
                  <c:v>3.8919999999999999</c:v>
                </c:pt>
                <c:pt idx="750" formatCode="0.00">
                  <c:v>3.891</c:v>
                </c:pt>
                <c:pt idx="751" formatCode="0.00">
                  <c:v>3.891</c:v>
                </c:pt>
                <c:pt idx="752" formatCode="0.00">
                  <c:v>3.891</c:v>
                </c:pt>
                <c:pt idx="753" formatCode="0.00">
                  <c:v>3.891</c:v>
                </c:pt>
                <c:pt idx="754" formatCode="0.00">
                  <c:v>3.891</c:v>
                </c:pt>
                <c:pt idx="755" formatCode="0.00">
                  <c:v>3.891</c:v>
                </c:pt>
                <c:pt idx="756" formatCode="0.00">
                  <c:v>3.891</c:v>
                </c:pt>
                <c:pt idx="757" formatCode="0.00">
                  <c:v>3.8970000000000002</c:v>
                </c:pt>
                <c:pt idx="758" formatCode="0.00">
                  <c:v>3.871</c:v>
                </c:pt>
                <c:pt idx="759" formatCode="0.00">
                  <c:v>3.855</c:v>
                </c:pt>
                <c:pt idx="760" formatCode="0.00">
                  <c:v>3.8449999999999998</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Bond!$A$589:$A$1349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f>Bond!$H$589:$H$1349</c:f>
              <c:numCache>
                <c:formatCode>General</c:formatCode>
                <c:ptCount val="761"/>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pt idx="588" formatCode="0.00">
                  <c:v>8.9809999999999999</c:v>
                </c:pt>
                <c:pt idx="589" formatCode="0.00">
                  <c:v>8.9770000000000003</c:v>
                </c:pt>
                <c:pt idx="590" formatCode="0.00">
                  <c:v>8.9450000000000003</c:v>
                </c:pt>
                <c:pt idx="591" formatCode="0.00">
                  <c:v>8.923</c:v>
                </c:pt>
                <c:pt idx="592" formatCode="0.00">
                  <c:v>8.9589999999999996</c:v>
                </c:pt>
                <c:pt idx="593" formatCode="0.00">
                  <c:v>8.9339999999999993</c:v>
                </c:pt>
                <c:pt idx="594" formatCode="0.00">
                  <c:v>8.9009999999999998</c:v>
                </c:pt>
                <c:pt idx="595" formatCode="0.00">
                  <c:v>8.8209999999999997</c:v>
                </c:pt>
                <c:pt idx="596" formatCode="0.00">
                  <c:v>8.8060000000000009</c:v>
                </c:pt>
                <c:pt idx="597" formatCode="0.00">
                  <c:v>8.7620000000000005</c:v>
                </c:pt>
                <c:pt idx="598" formatCode="0.00">
                  <c:v>8.6950000000000003</c:v>
                </c:pt>
                <c:pt idx="599" formatCode="0.00">
                  <c:v>8.65</c:v>
                </c:pt>
                <c:pt idx="600" formatCode="0.00">
                  <c:v>8.577</c:v>
                </c:pt>
                <c:pt idx="601" formatCode="0.00">
                  <c:v>8.4990000000000006</c:v>
                </c:pt>
                <c:pt idx="602" formatCode="0.00">
                  <c:v>8.5079999999999991</c:v>
                </c:pt>
                <c:pt idx="603" formatCode="0.00">
                  <c:v>8.5190000000000001</c:v>
                </c:pt>
                <c:pt idx="604" formatCode="0.00">
                  <c:v>8.5419999999999998</c:v>
                </c:pt>
                <c:pt idx="605" formatCode="0.00">
                  <c:v>8.5269999999999992</c:v>
                </c:pt>
                <c:pt idx="606" formatCode="0.00">
                  <c:v>8.3000000000000007</c:v>
                </c:pt>
                <c:pt idx="607" formatCode="0.00">
                  <c:v>8.2479999999999993</c:v>
                </c:pt>
                <c:pt idx="608" formatCode="0.00">
                  <c:v>8.2520000000000007</c:v>
                </c:pt>
                <c:pt idx="609" formatCode="0.00">
                  <c:v>8.2200000000000006</c:v>
                </c:pt>
                <c:pt idx="610" formatCode="0.00">
                  <c:v>8.1780000000000008</c:v>
                </c:pt>
                <c:pt idx="611" formatCode="0.00">
                  <c:v>8.1189999999999998</c:v>
                </c:pt>
                <c:pt idx="612" formatCode="0.00">
                  <c:v>8.1669999999999998</c:v>
                </c:pt>
                <c:pt idx="613" formatCode="0.00">
                  <c:v>8.1940000000000008</c:v>
                </c:pt>
                <c:pt idx="614" formatCode="0.00">
                  <c:v>8.202</c:v>
                </c:pt>
                <c:pt idx="615" formatCode="0.00">
                  <c:v>8.2449999999999992</c:v>
                </c:pt>
                <c:pt idx="616" formatCode="0.00">
                  <c:v>8.2759999999999998</c:v>
                </c:pt>
                <c:pt idx="617" formatCode="0.00">
                  <c:v>8.2959999999999994</c:v>
                </c:pt>
                <c:pt idx="618" formatCode="0.00">
                  <c:v>8.2520000000000007</c:v>
                </c:pt>
                <c:pt idx="619" formatCode="0.00">
                  <c:v>8.2390000000000008</c:v>
                </c:pt>
                <c:pt idx="620" formatCode="0.00">
                  <c:v>8.2520000000000007</c:v>
                </c:pt>
                <c:pt idx="621" formatCode="0.00">
                  <c:v>8.3079999999999998</c:v>
                </c:pt>
                <c:pt idx="622" formatCode="0.00">
                  <c:v>8.2740000000000009</c:v>
                </c:pt>
                <c:pt idx="623" formatCode="0.00">
                  <c:v>8.2899999999999991</c:v>
                </c:pt>
                <c:pt idx="624" formatCode="0.00">
                  <c:v>8.2590000000000003</c:v>
                </c:pt>
                <c:pt idx="625" formatCode="0.00">
                  <c:v>8.1489999999999991</c:v>
                </c:pt>
                <c:pt idx="626" formatCode="0.00">
                  <c:v>8.0869999999999997</c:v>
                </c:pt>
                <c:pt idx="627" formatCode="0.00">
                  <c:v>8.0489999999999995</c:v>
                </c:pt>
                <c:pt idx="628" formatCode="0.00">
                  <c:v>8.0429999999999993</c:v>
                </c:pt>
                <c:pt idx="629" formatCode="0.00">
                  <c:v>7.9969999999999999</c:v>
                </c:pt>
                <c:pt idx="630" formatCode="0.00">
                  <c:v>7.9719999999999995</c:v>
                </c:pt>
                <c:pt idx="631" formatCode="0.00">
                  <c:v>7.9429999999999996</c:v>
                </c:pt>
                <c:pt idx="632" formatCode="0.00">
                  <c:v>7.9909999999999997</c:v>
                </c:pt>
                <c:pt idx="633" formatCode="0.00">
                  <c:v>7.9969999999999999</c:v>
                </c:pt>
                <c:pt idx="634" formatCode="0.00">
                  <c:v>7.9559999999999995</c:v>
                </c:pt>
                <c:pt idx="635" formatCode="0.00">
                  <c:v>7.7910000000000004</c:v>
                </c:pt>
                <c:pt idx="636" formatCode="0.00">
                  <c:v>7.7910000000000004</c:v>
                </c:pt>
                <c:pt idx="637" formatCode="0.00">
                  <c:v>7.78</c:v>
                </c:pt>
                <c:pt idx="638" formatCode="0.00">
                  <c:v>7.8469999999999995</c:v>
                </c:pt>
                <c:pt idx="639" formatCode="0.00">
                  <c:v>7.819</c:v>
                </c:pt>
                <c:pt idx="640" formatCode="0.00">
                  <c:v>7.8140000000000001</c:v>
                </c:pt>
                <c:pt idx="641" formatCode="0.00">
                  <c:v>7.7569999999999997</c:v>
                </c:pt>
                <c:pt idx="642" formatCode="0.00">
                  <c:v>7.7110000000000003</c:v>
                </c:pt>
                <c:pt idx="643" formatCode="0.00">
                  <c:v>7.6379999999999999</c:v>
                </c:pt>
                <c:pt idx="644" formatCode="0.00">
                  <c:v>7.5819999999999999</c:v>
                </c:pt>
                <c:pt idx="645" formatCode="0.00">
                  <c:v>7.5440000000000005</c:v>
                </c:pt>
                <c:pt idx="646" formatCode="0.00">
                  <c:v>7.4619999999999997</c:v>
                </c:pt>
                <c:pt idx="647" formatCode="0.00">
                  <c:v>7.4550000000000001</c:v>
                </c:pt>
                <c:pt idx="648" formatCode="0.00">
                  <c:v>7.4989999999999997</c:v>
                </c:pt>
                <c:pt idx="649" formatCode="0.00">
                  <c:v>7.4530000000000003</c:v>
                </c:pt>
                <c:pt idx="650" formatCode="0.00">
                  <c:v>7.4980000000000002</c:v>
                </c:pt>
                <c:pt idx="651" formatCode="0.00">
                  <c:v>7.5030000000000001</c:v>
                </c:pt>
                <c:pt idx="652" formatCode="0.00">
                  <c:v>7.9359999999999999</c:v>
                </c:pt>
                <c:pt idx="653" formatCode="0.00">
                  <c:v>7.923</c:v>
                </c:pt>
                <c:pt idx="654" formatCode="0.00">
                  <c:v>7.9859999999999998</c:v>
                </c:pt>
                <c:pt idx="655" formatCode="0.00">
                  <c:v>7.9989999999999997</c:v>
                </c:pt>
                <c:pt idx="656" formatCode="0.00">
                  <c:v>8.0990000000000002</c:v>
                </c:pt>
                <c:pt idx="657" formatCode="0.00">
                  <c:v>8.0570000000000004</c:v>
                </c:pt>
                <c:pt idx="658" formatCode="0.00">
                  <c:v>8.0890000000000004</c:v>
                </c:pt>
                <c:pt idx="659" formatCode="0.00">
                  <c:v>8.0500000000000007</c:v>
                </c:pt>
                <c:pt idx="660" formatCode="0.00">
                  <c:v>8.0429999999999993</c:v>
                </c:pt>
                <c:pt idx="661" formatCode="0.00">
                  <c:v>8.0429999999999993</c:v>
                </c:pt>
                <c:pt idx="662" formatCode="0.00">
                  <c:v>8.0329999999999995</c:v>
                </c:pt>
                <c:pt idx="663" formatCode="0.00">
                  <c:v>8.0519999999999996</c:v>
                </c:pt>
                <c:pt idx="664" formatCode="0.00">
                  <c:v>8.0050000000000008</c:v>
                </c:pt>
                <c:pt idx="665" formatCode="0.00">
                  <c:v>8.0169999999999995</c:v>
                </c:pt>
                <c:pt idx="666" formatCode="0.00">
                  <c:v>7.9729999999999999</c:v>
                </c:pt>
                <c:pt idx="667" formatCode="0.00">
                  <c:v>7.9909999999999997</c:v>
                </c:pt>
                <c:pt idx="668" formatCode="0.00">
                  <c:v>8.0419999999999998</c:v>
                </c:pt>
                <c:pt idx="669" formatCode="0.00">
                  <c:v>8.032</c:v>
                </c:pt>
                <c:pt idx="670" formatCode="0.00">
                  <c:v>7.9960000000000004</c:v>
                </c:pt>
                <c:pt idx="671" formatCode="0.00">
                  <c:v>8.2289999999999992</c:v>
                </c:pt>
                <c:pt idx="672" formatCode="0.00">
                  <c:v>8.1270000000000007</c:v>
                </c:pt>
                <c:pt idx="673" formatCode="0.00">
                  <c:v>8.1989999999999998</c:v>
                </c:pt>
                <c:pt idx="674" formatCode="0.00">
                  <c:v>8.1530000000000005</c:v>
                </c:pt>
                <c:pt idx="675" formatCode="0.00">
                  <c:v>8.1820000000000004</c:v>
                </c:pt>
                <c:pt idx="676" formatCode="0.00">
                  <c:v>8.1820000000000004</c:v>
                </c:pt>
                <c:pt idx="677" formatCode="0.00">
                  <c:v>8.2650000000000006</c:v>
                </c:pt>
                <c:pt idx="678" formatCode="0.00">
                  <c:v>8.1950000000000003</c:v>
                </c:pt>
                <c:pt idx="679" formatCode="0.00">
                  <c:v>8.2319999999999993</c:v>
                </c:pt>
                <c:pt idx="680" formatCode="0.00">
                  <c:v>8.1769999999999996</c:v>
                </c:pt>
                <c:pt idx="681" formatCode="0.00">
                  <c:v>8.2219999999999995</c:v>
                </c:pt>
                <c:pt idx="682" formatCode="0.00">
                  <c:v>8.2940000000000005</c:v>
                </c:pt>
                <c:pt idx="683" formatCode="0.00">
                  <c:v>8.2710000000000008</c:v>
                </c:pt>
                <c:pt idx="684" formatCode="0.00">
                  <c:v>8.3420000000000005</c:v>
                </c:pt>
                <c:pt idx="685" formatCode="0.00">
                  <c:v>8.3420000000000005</c:v>
                </c:pt>
                <c:pt idx="686" formatCode="0.00">
                  <c:v>8.2889999999999997</c:v>
                </c:pt>
                <c:pt idx="687" formatCode="0.00">
                  <c:v>8.1980000000000004</c:v>
                </c:pt>
                <c:pt idx="688" formatCode="0.00">
                  <c:v>8.1959999999999997</c:v>
                </c:pt>
                <c:pt idx="689" formatCode="0.00">
                  <c:v>8.1820000000000004</c:v>
                </c:pt>
                <c:pt idx="690" formatCode="0.00">
                  <c:v>8.1479999999999997</c:v>
                </c:pt>
                <c:pt idx="691" formatCode="0.00">
                  <c:v>8.0869999999999997</c:v>
                </c:pt>
                <c:pt idx="692" formatCode="0.00">
                  <c:v>8.1020000000000003</c:v>
                </c:pt>
                <c:pt idx="693" formatCode="0.00">
                  <c:v>8.0579999999999998</c:v>
                </c:pt>
                <c:pt idx="694" formatCode="0.00">
                  <c:v>8.0530000000000008</c:v>
                </c:pt>
                <c:pt idx="695" formatCode="0.00">
                  <c:v>8.1289999999999996</c:v>
                </c:pt>
                <c:pt idx="696" formatCode="0.00">
                  <c:v>8.1340000000000003</c:v>
                </c:pt>
                <c:pt idx="697" formatCode="0.00">
                  <c:v>8.1080000000000005</c:v>
                </c:pt>
                <c:pt idx="698" formatCode="0.00">
                  <c:v>8.0180000000000007</c:v>
                </c:pt>
                <c:pt idx="699" formatCode="0.00">
                  <c:v>8.0229999999999997</c:v>
                </c:pt>
                <c:pt idx="700" formatCode="0.00">
                  <c:v>7.9909999999999997</c:v>
                </c:pt>
                <c:pt idx="701" formatCode="0.00">
                  <c:v>8.0340000000000007</c:v>
                </c:pt>
                <c:pt idx="702" formatCode="0.00">
                  <c:v>8.0259999999999998</c:v>
                </c:pt>
                <c:pt idx="703" formatCode="0.00">
                  <c:v>8.0050000000000008</c:v>
                </c:pt>
                <c:pt idx="704" formatCode="0.00">
                  <c:v>7.9930000000000003</c:v>
                </c:pt>
                <c:pt idx="705" formatCode="0.00">
                  <c:v>7.9859999999999998</c:v>
                </c:pt>
                <c:pt idx="706" formatCode="0.00">
                  <c:v>8.0120000000000005</c:v>
                </c:pt>
                <c:pt idx="707" formatCode="0.00">
                  <c:v>7.9829999999999997</c:v>
                </c:pt>
                <c:pt idx="708" formatCode="0.00">
                  <c:v>7.9470000000000001</c:v>
                </c:pt>
                <c:pt idx="709" formatCode="0.00">
                  <c:v>7.9489999999999998</c:v>
                </c:pt>
                <c:pt idx="710" formatCode="0.00">
                  <c:v>7.8490000000000002</c:v>
                </c:pt>
                <c:pt idx="711" formatCode="0.00">
                  <c:v>7.8659999999999997</c:v>
                </c:pt>
                <c:pt idx="712" formatCode="0.00">
                  <c:v>7.8629999999999995</c:v>
                </c:pt>
                <c:pt idx="713" formatCode="0.00">
                  <c:v>7.8629999999999995</c:v>
                </c:pt>
                <c:pt idx="714" formatCode="0.00">
                  <c:v>7.8019999999999996</c:v>
                </c:pt>
                <c:pt idx="715" formatCode="0.00">
                  <c:v>7.8010000000000002</c:v>
                </c:pt>
                <c:pt idx="716" formatCode="0.00">
                  <c:v>7.78</c:v>
                </c:pt>
                <c:pt idx="717" formatCode="0.00">
                  <c:v>7.782</c:v>
                </c:pt>
                <c:pt idx="718" formatCode="0.00">
                  <c:v>7.782</c:v>
                </c:pt>
                <c:pt idx="719" formatCode="0.00">
                  <c:v>7.6269999999999998</c:v>
                </c:pt>
                <c:pt idx="720" formatCode="0.00">
                  <c:v>7.6280000000000001</c:v>
                </c:pt>
                <c:pt idx="721" formatCode="0.00">
                  <c:v>7.6349999999999998</c:v>
                </c:pt>
                <c:pt idx="722" formatCode="0.00">
                  <c:v>7.6879999999999997</c:v>
                </c:pt>
                <c:pt idx="723" formatCode="0.00">
                  <c:v>7.6859999999999999</c:v>
                </c:pt>
                <c:pt idx="724" formatCode="0.00">
                  <c:v>7.7030000000000003</c:v>
                </c:pt>
                <c:pt idx="725" formatCode="0.00">
                  <c:v>7.7590000000000003</c:v>
                </c:pt>
                <c:pt idx="726" formatCode="0.00">
                  <c:v>7.7530000000000001</c:v>
                </c:pt>
                <c:pt idx="727" formatCode="0.00">
                  <c:v>7.7610000000000001</c:v>
                </c:pt>
                <c:pt idx="728" formatCode="0.00">
                  <c:v>7.72</c:v>
                </c:pt>
                <c:pt idx="729" formatCode="0.00">
                  <c:v>7.742</c:v>
                </c:pt>
                <c:pt idx="730" formatCode="0.00">
                  <c:v>7.7560000000000002</c:v>
                </c:pt>
                <c:pt idx="731" formatCode="0.00">
                  <c:v>7.758</c:v>
                </c:pt>
                <c:pt idx="732" formatCode="0.00">
                  <c:v>7.7539999999999996</c:v>
                </c:pt>
                <c:pt idx="733" formatCode="0.00">
                  <c:v>7.766</c:v>
                </c:pt>
                <c:pt idx="734" formatCode="0.00">
                  <c:v>7.7780000000000005</c:v>
                </c:pt>
                <c:pt idx="735" formatCode="0.00">
                  <c:v>7.657</c:v>
                </c:pt>
                <c:pt idx="736" formatCode="0.00">
                  <c:v>7.673</c:v>
                </c:pt>
                <c:pt idx="737" formatCode="0.00">
                  <c:v>7.6230000000000002</c:v>
                </c:pt>
                <c:pt idx="738" formatCode="0.00">
                  <c:v>7.6589999999999998</c:v>
                </c:pt>
                <c:pt idx="739" formatCode="0.00">
                  <c:v>7.694</c:v>
                </c:pt>
                <c:pt idx="740" formatCode="0.00">
                  <c:v>7.6909999999999998</c:v>
                </c:pt>
                <c:pt idx="741" formatCode="0.00">
                  <c:v>7.7050000000000001</c:v>
                </c:pt>
                <c:pt idx="742" formatCode="0.00">
                  <c:v>7.77</c:v>
                </c:pt>
                <c:pt idx="743" formatCode="0.00">
                  <c:v>7.7720000000000002</c:v>
                </c:pt>
                <c:pt idx="744" formatCode="0.00">
                  <c:v>7.7569999999999997</c:v>
                </c:pt>
                <c:pt idx="745" formatCode="0.00">
                  <c:v>7.7140000000000004</c:v>
                </c:pt>
                <c:pt idx="746" formatCode="0.00">
                  <c:v>7.6609999999999996</c:v>
                </c:pt>
                <c:pt idx="747" formatCode="0.00">
                  <c:v>7.6550000000000002</c:v>
                </c:pt>
                <c:pt idx="748" formatCode="0.00">
                  <c:v>7.6550000000000002</c:v>
                </c:pt>
                <c:pt idx="749" formatCode="0.00">
                  <c:v>7.6550000000000002</c:v>
                </c:pt>
                <c:pt idx="750" formatCode="0.00">
                  <c:v>7.5910000000000002</c:v>
                </c:pt>
                <c:pt idx="751" formatCode="0.00">
                  <c:v>7.556</c:v>
                </c:pt>
                <c:pt idx="752" formatCode="0.00">
                  <c:v>7.399</c:v>
                </c:pt>
                <c:pt idx="753" formatCode="0.00">
                  <c:v>7.3540000000000001</c:v>
                </c:pt>
                <c:pt idx="754" formatCode="0.00">
                  <c:v>7.3129999999999997</c:v>
                </c:pt>
                <c:pt idx="755" formatCode="0.00">
                  <c:v>7.2990000000000004</c:v>
                </c:pt>
                <c:pt idx="756" formatCode="0.00">
                  <c:v>7.3319999999999999</c:v>
                </c:pt>
                <c:pt idx="757" formatCode="0.00">
                  <c:v>7.3170000000000002</c:v>
                </c:pt>
                <c:pt idx="758" formatCode="0.00">
                  <c:v>7.3029999999999999</c:v>
                </c:pt>
                <c:pt idx="759" formatCode="0.00">
                  <c:v>7.3129999999999997</c:v>
                </c:pt>
                <c:pt idx="760" formatCode="0.00">
                  <c:v>7.2780000000000005</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Bond!$A$589:$A$1349</c:f>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f>Bond!$I$589:$I$1349</c:f>
              <c:numCache>
                <c:formatCode>General</c:formatCode>
                <c:ptCount val="761"/>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pt idx="588" formatCode="0.00">
                  <c:v>8.02</c:v>
                </c:pt>
                <c:pt idx="589" formatCode="0.00">
                  <c:v>8.02</c:v>
                </c:pt>
                <c:pt idx="590" formatCode="0.00">
                  <c:v>8.0749999999999993</c:v>
                </c:pt>
                <c:pt idx="591" formatCode="0.00">
                  <c:v>8.125</c:v>
                </c:pt>
                <c:pt idx="592" formatCode="0.00">
                  <c:v>8.1</c:v>
                </c:pt>
                <c:pt idx="593" formatCode="0.00">
                  <c:v>8.09</c:v>
                </c:pt>
                <c:pt idx="594" formatCode="0.00">
                  <c:v>8.11</c:v>
                </c:pt>
                <c:pt idx="595" formatCode="0.00">
                  <c:v>8.11</c:v>
                </c:pt>
                <c:pt idx="596" formatCode="0.00">
                  <c:v>8.1150000000000002</c:v>
                </c:pt>
                <c:pt idx="597" formatCode="0.00">
                  <c:v>8.08</c:v>
                </c:pt>
                <c:pt idx="598" formatCode="0.00">
                  <c:v>8.0649999999999995</c:v>
                </c:pt>
                <c:pt idx="599" formatCode="0.00">
                  <c:v>8.0649999999999995</c:v>
                </c:pt>
                <c:pt idx="600" formatCode="0.00">
                  <c:v>8.0749999999999993</c:v>
                </c:pt>
                <c:pt idx="601" formatCode="0.00">
                  <c:v>8.08</c:v>
                </c:pt>
                <c:pt idx="602" formatCode="0.00">
                  <c:v>8.08</c:v>
                </c:pt>
                <c:pt idx="603" formatCode="0.00">
                  <c:v>8.1050000000000004</c:v>
                </c:pt>
                <c:pt idx="604" formatCode="0.00">
                  <c:v>8.1</c:v>
                </c:pt>
                <c:pt idx="605" formatCode="0.00">
                  <c:v>8.0950000000000006</c:v>
                </c:pt>
                <c:pt idx="606" formatCode="0.00">
                  <c:v>8.0449999999999999</c:v>
                </c:pt>
                <c:pt idx="607" formatCode="0.00">
                  <c:v>8.0500000000000007</c:v>
                </c:pt>
                <c:pt idx="608" formatCode="0.00">
                  <c:v>8.0399999999999991</c:v>
                </c:pt>
                <c:pt idx="609" formatCode="0.00">
                  <c:v>8.0350000000000001</c:v>
                </c:pt>
                <c:pt idx="610" formatCode="0.00">
                  <c:v>8.0350000000000001</c:v>
                </c:pt>
                <c:pt idx="611" formatCode="0.00">
                  <c:v>8.0150000000000006</c:v>
                </c:pt>
                <c:pt idx="612" formatCode="0.00">
                  <c:v>7.9950000000000001</c:v>
                </c:pt>
                <c:pt idx="613" formatCode="0.00">
                  <c:v>7.9850000000000003</c:v>
                </c:pt>
                <c:pt idx="614" formatCode="0.00">
                  <c:v>7.99</c:v>
                </c:pt>
                <c:pt idx="615" formatCode="0.00">
                  <c:v>7.9749999999999996</c:v>
                </c:pt>
                <c:pt idx="616" formatCode="0.00">
                  <c:v>7.9550000000000001</c:v>
                </c:pt>
                <c:pt idx="617" formatCode="0.00">
                  <c:v>7.9350000000000005</c:v>
                </c:pt>
                <c:pt idx="618" formatCode="0.00">
                  <c:v>7.9050000000000002</c:v>
                </c:pt>
                <c:pt idx="619" formatCode="0.00">
                  <c:v>7.875</c:v>
                </c:pt>
                <c:pt idx="620" formatCode="0.00">
                  <c:v>7.835</c:v>
                </c:pt>
                <c:pt idx="621" formatCode="0.00">
                  <c:v>7.8049999999999997</c:v>
                </c:pt>
                <c:pt idx="622" formatCode="0.00">
                  <c:v>7.79</c:v>
                </c:pt>
                <c:pt idx="623" formatCode="0.00">
                  <c:v>7.79</c:v>
                </c:pt>
                <c:pt idx="624" formatCode="0.00">
                  <c:v>7.7949999999999999</c:v>
                </c:pt>
                <c:pt idx="625" formatCode="0.00">
                  <c:v>7.7949999999999999</c:v>
                </c:pt>
                <c:pt idx="626" formatCode="0.00">
                  <c:v>7.78</c:v>
                </c:pt>
                <c:pt idx="627" formatCode="0.00">
                  <c:v>7.8049999999999997</c:v>
                </c:pt>
                <c:pt idx="628" formatCode="0.00">
                  <c:v>7.7850000000000001</c:v>
                </c:pt>
                <c:pt idx="629" formatCode="0.00">
                  <c:v>7.8049999999999997</c:v>
                </c:pt>
                <c:pt idx="630" formatCode="0.00">
                  <c:v>7.8049999999999997</c:v>
                </c:pt>
                <c:pt idx="631" formatCode="0.00">
                  <c:v>7.7750000000000004</c:v>
                </c:pt>
                <c:pt idx="632" formatCode="0.00">
                  <c:v>7.7549999999999999</c:v>
                </c:pt>
                <c:pt idx="633" formatCode="0.00">
                  <c:v>7.7350000000000003</c:v>
                </c:pt>
                <c:pt idx="634" formatCode="0.00">
                  <c:v>7.7149999999999999</c:v>
                </c:pt>
                <c:pt idx="635" formatCode="0.00">
                  <c:v>7.6850000000000005</c:v>
                </c:pt>
                <c:pt idx="636" formatCode="0.00">
                  <c:v>7.6449999999999996</c:v>
                </c:pt>
                <c:pt idx="637" formatCode="0.00">
                  <c:v>7.64</c:v>
                </c:pt>
                <c:pt idx="638" formatCode="0.00">
                  <c:v>7.6349999999999998</c:v>
                </c:pt>
                <c:pt idx="639" formatCode="0.00">
                  <c:v>7.63</c:v>
                </c:pt>
                <c:pt idx="640" formatCode="0.00">
                  <c:v>7.625</c:v>
                </c:pt>
                <c:pt idx="641" formatCode="0.00">
                  <c:v>7.625</c:v>
                </c:pt>
                <c:pt idx="642" formatCode="0.00">
                  <c:v>7.6150000000000002</c:v>
                </c:pt>
                <c:pt idx="643" formatCode="0.00">
                  <c:v>7.6150000000000002</c:v>
                </c:pt>
                <c:pt idx="644" formatCode="0.00">
                  <c:v>7.6050000000000004</c:v>
                </c:pt>
                <c:pt idx="645" formatCode="0.00">
                  <c:v>7.58</c:v>
                </c:pt>
                <c:pt idx="646" formatCode="0.00">
                  <c:v>7.58</c:v>
                </c:pt>
                <c:pt idx="647" formatCode="0.00">
                  <c:v>7.5350000000000001</c:v>
                </c:pt>
                <c:pt idx="648" formatCode="0.00">
                  <c:v>7.49</c:v>
                </c:pt>
                <c:pt idx="649" formatCode="0.00">
                  <c:v>7.61</c:v>
                </c:pt>
                <c:pt idx="650" formatCode="0.00">
                  <c:v>7.65</c:v>
                </c:pt>
                <c:pt idx="651" formatCode="0.00">
                  <c:v>7.64</c:v>
                </c:pt>
                <c:pt idx="652" formatCode="0.00">
                  <c:v>7.6</c:v>
                </c:pt>
                <c:pt idx="653" formatCode="0.00">
                  <c:v>7.5750000000000002</c:v>
                </c:pt>
                <c:pt idx="654" formatCode="0.00">
                  <c:v>7.5750000000000002</c:v>
                </c:pt>
                <c:pt idx="655" formatCode="0.00">
                  <c:v>7.5350000000000001</c:v>
                </c:pt>
                <c:pt idx="656" formatCode="0.00">
                  <c:v>7.47</c:v>
                </c:pt>
                <c:pt idx="657" formatCode="0.00">
                  <c:v>7.46</c:v>
                </c:pt>
                <c:pt idx="658" formatCode="0.00">
                  <c:v>7.4649999999999999</c:v>
                </c:pt>
                <c:pt idx="659" formatCode="0.00">
                  <c:v>7.45</c:v>
                </c:pt>
                <c:pt idx="660" formatCode="0.00">
                  <c:v>7.45</c:v>
                </c:pt>
                <c:pt idx="661" formatCode="0.00">
                  <c:v>7.4</c:v>
                </c:pt>
                <c:pt idx="662" formatCode="0.00">
                  <c:v>7.3650000000000002</c:v>
                </c:pt>
                <c:pt idx="663" formatCode="0.00">
                  <c:v>7.375</c:v>
                </c:pt>
                <c:pt idx="664" formatCode="0.00">
                  <c:v>7.4050000000000002</c:v>
                </c:pt>
                <c:pt idx="665" formatCode="0.00">
                  <c:v>7.4</c:v>
                </c:pt>
                <c:pt idx="666" formatCode="0.00">
                  <c:v>7.3949999999999996</c:v>
                </c:pt>
                <c:pt idx="667" formatCode="0.00">
                  <c:v>7.41</c:v>
                </c:pt>
                <c:pt idx="668" formatCode="0.00">
                  <c:v>7.4050000000000002</c:v>
                </c:pt>
                <c:pt idx="669" formatCode="0.00">
                  <c:v>7.41</c:v>
                </c:pt>
                <c:pt idx="670" formatCode="0.00">
                  <c:v>7.42</c:v>
                </c:pt>
                <c:pt idx="671" formatCode="0.00">
                  <c:v>7.43</c:v>
                </c:pt>
                <c:pt idx="672" formatCode="0.00">
                  <c:v>7.49</c:v>
                </c:pt>
                <c:pt idx="673" formatCode="0.00">
                  <c:v>7.48</c:v>
                </c:pt>
                <c:pt idx="674" formatCode="0.00">
                  <c:v>7.4749999999999996</c:v>
                </c:pt>
                <c:pt idx="675" formatCode="0.00">
                  <c:v>7.45</c:v>
                </c:pt>
                <c:pt idx="676" formatCode="0.00">
                  <c:v>7.44</c:v>
                </c:pt>
                <c:pt idx="677" formatCode="0.00">
                  <c:v>7.4550000000000001</c:v>
                </c:pt>
                <c:pt idx="678" formatCode="0.00">
                  <c:v>7.4550000000000001</c:v>
                </c:pt>
                <c:pt idx="679" formatCode="0.00">
                  <c:v>7.43</c:v>
                </c:pt>
                <c:pt idx="680" formatCode="0.00">
                  <c:v>7.44</c:v>
                </c:pt>
                <c:pt idx="681" formatCode="0.00">
                  <c:v>7.43</c:v>
                </c:pt>
                <c:pt idx="682" formatCode="0.00">
                  <c:v>7.43</c:v>
                </c:pt>
                <c:pt idx="683" formatCode="0.00">
                  <c:v>7.43</c:v>
                </c:pt>
                <c:pt idx="684" formatCode="0.00">
                  <c:v>7.44</c:v>
                </c:pt>
                <c:pt idx="685" formatCode="0.00">
                  <c:v>7.43</c:v>
                </c:pt>
                <c:pt idx="686" formatCode="0.00">
                  <c:v>7.415</c:v>
                </c:pt>
                <c:pt idx="687" formatCode="0.00">
                  <c:v>7.4</c:v>
                </c:pt>
                <c:pt idx="688" formatCode="0.00">
                  <c:v>7.4</c:v>
                </c:pt>
                <c:pt idx="689" formatCode="0.00">
                  <c:v>7.38</c:v>
                </c:pt>
                <c:pt idx="690" formatCode="0.00">
                  <c:v>7.37</c:v>
                </c:pt>
                <c:pt idx="691" formatCode="0.00">
                  <c:v>7.3250000000000002</c:v>
                </c:pt>
                <c:pt idx="692" formatCode="0.00">
                  <c:v>7.31</c:v>
                </c:pt>
                <c:pt idx="693" formatCode="0.00">
                  <c:v>7.2850000000000001</c:v>
                </c:pt>
                <c:pt idx="694" formatCode="0.00">
                  <c:v>7.24</c:v>
                </c:pt>
                <c:pt idx="695" formatCode="0.00">
                  <c:v>7.24</c:v>
                </c:pt>
                <c:pt idx="696" formatCode="0.00">
                  <c:v>7.22</c:v>
                </c:pt>
                <c:pt idx="697" formatCode="0.00">
                  <c:v>7.19</c:v>
                </c:pt>
                <c:pt idx="698" formatCode="0.00">
                  <c:v>7.19</c:v>
                </c:pt>
                <c:pt idx="699" formatCode="0.00">
                  <c:v>7.1849999999999996</c:v>
                </c:pt>
                <c:pt idx="700" formatCode="0.00">
                  <c:v>7.18</c:v>
                </c:pt>
                <c:pt idx="701" formatCode="0.00">
                  <c:v>7.165</c:v>
                </c:pt>
                <c:pt idx="702" formatCode="0.00">
                  <c:v>7.165</c:v>
                </c:pt>
                <c:pt idx="703" formatCode="0.00">
                  <c:v>7.18</c:v>
                </c:pt>
                <c:pt idx="704" formatCode="0.00">
                  <c:v>7.18</c:v>
                </c:pt>
                <c:pt idx="705" formatCode="0.00">
                  <c:v>7.19</c:v>
                </c:pt>
                <c:pt idx="706" formatCode="0.00">
                  <c:v>7.1950000000000003</c:v>
                </c:pt>
                <c:pt idx="707" formatCode="0.00">
                  <c:v>7.1</c:v>
                </c:pt>
                <c:pt idx="708" formatCode="0.00">
                  <c:v>7.0149999999999997</c:v>
                </c:pt>
                <c:pt idx="709" formatCode="0.00">
                  <c:v>7</c:v>
                </c:pt>
                <c:pt idx="710" formatCode="0.00">
                  <c:v>6.99</c:v>
                </c:pt>
                <c:pt idx="711" formatCode="0.00">
                  <c:v>6.99</c:v>
                </c:pt>
                <c:pt idx="712" formatCode="0.00">
                  <c:v>6.9649999999999999</c:v>
                </c:pt>
                <c:pt idx="713" formatCode="0.00">
                  <c:v>6.9050000000000002</c:v>
                </c:pt>
                <c:pt idx="714" formatCode="0.00">
                  <c:v>6.8949999999999996</c:v>
                </c:pt>
                <c:pt idx="715" formatCode="0.00">
                  <c:v>6.8849999999999998</c:v>
                </c:pt>
                <c:pt idx="716" formatCode="0.00">
                  <c:v>6.8650000000000002</c:v>
                </c:pt>
                <c:pt idx="717" formatCode="0.00">
                  <c:v>6.8250000000000002</c:v>
                </c:pt>
                <c:pt idx="718" formatCode="0.00">
                  <c:v>6.8250000000000002</c:v>
                </c:pt>
                <c:pt idx="719" formatCode="0.00">
                  <c:v>6.8250000000000002</c:v>
                </c:pt>
                <c:pt idx="720" formatCode="0.00">
                  <c:v>6.8250000000000002</c:v>
                </c:pt>
                <c:pt idx="721" formatCode="0.00">
                  <c:v>6.8250000000000002</c:v>
                </c:pt>
                <c:pt idx="722" formatCode="0.00">
                  <c:v>6.8250000000000002</c:v>
                </c:pt>
                <c:pt idx="723" formatCode="0.00">
                  <c:v>6.8250000000000002</c:v>
                </c:pt>
                <c:pt idx="724" formatCode="0.00">
                  <c:v>6.68</c:v>
                </c:pt>
                <c:pt idx="725" formatCode="0.00">
                  <c:v>6.7549999999999999</c:v>
                </c:pt>
                <c:pt idx="726" formatCode="0.00">
                  <c:v>6.83</c:v>
                </c:pt>
                <c:pt idx="727" formatCode="0.00">
                  <c:v>6.8</c:v>
                </c:pt>
                <c:pt idx="728" formatCode="0.00">
                  <c:v>6.76</c:v>
                </c:pt>
                <c:pt idx="729" formatCode="0.00">
                  <c:v>6.8</c:v>
                </c:pt>
                <c:pt idx="730" formatCode="0.00">
                  <c:v>6.8149999999999995</c:v>
                </c:pt>
                <c:pt idx="731" formatCode="0.00">
                  <c:v>6.8250000000000002</c:v>
                </c:pt>
                <c:pt idx="732" formatCode="0.00">
                  <c:v>6.82</c:v>
                </c:pt>
                <c:pt idx="733" formatCode="0.00">
                  <c:v>6.8149999999999995</c:v>
                </c:pt>
                <c:pt idx="734" formatCode="0.00">
                  <c:v>6.82</c:v>
                </c:pt>
                <c:pt idx="735" formatCode="0.00">
                  <c:v>6.8100000000000005</c:v>
                </c:pt>
                <c:pt idx="736" formatCode="0.00">
                  <c:v>6.82</c:v>
                </c:pt>
                <c:pt idx="737" formatCode="0.00">
                  <c:v>6.875</c:v>
                </c:pt>
                <c:pt idx="738" formatCode="0.00">
                  <c:v>6.9</c:v>
                </c:pt>
                <c:pt idx="739" formatCode="0.00">
                  <c:v>6.8449999999999998</c:v>
                </c:pt>
                <c:pt idx="740" formatCode="0.00">
                  <c:v>6.84</c:v>
                </c:pt>
                <c:pt idx="741" formatCode="0.00">
                  <c:v>6.82</c:v>
                </c:pt>
                <c:pt idx="742" formatCode="0.00">
                  <c:v>6.8</c:v>
                </c:pt>
                <c:pt idx="743" formatCode="0.00">
                  <c:v>6.82</c:v>
                </c:pt>
                <c:pt idx="744" formatCode="0.00">
                  <c:v>6.83</c:v>
                </c:pt>
                <c:pt idx="745" formatCode="0.00">
                  <c:v>6.78</c:v>
                </c:pt>
                <c:pt idx="746" formatCode="0.00">
                  <c:v>6.77</c:v>
                </c:pt>
                <c:pt idx="747" formatCode="0.00">
                  <c:v>6.72</c:v>
                </c:pt>
                <c:pt idx="748" formatCode="0.00">
                  <c:v>6.67</c:v>
                </c:pt>
                <c:pt idx="749" formatCode="0.00">
                  <c:v>6.66</c:v>
                </c:pt>
                <c:pt idx="750" formatCode="0.00">
                  <c:v>6.63</c:v>
                </c:pt>
                <c:pt idx="751" formatCode="0.00">
                  <c:v>6.5649999999999995</c:v>
                </c:pt>
                <c:pt idx="752" formatCode="0.00">
                  <c:v>6.45</c:v>
                </c:pt>
                <c:pt idx="753" formatCode="0.00">
                  <c:v>6.43</c:v>
                </c:pt>
                <c:pt idx="754" formatCode="0.00">
                  <c:v>6.44</c:v>
                </c:pt>
                <c:pt idx="755" formatCode="0.00">
                  <c:v>6.4050000000000002</c:v>
                </c:pt>
                <c:pt idx="756" formatCode="0.00">
                  <c:v>6.38</c:v>
                </c:pt>
                <c:pt idx="757" formatCode="0.00">
                  <c:v>6.38</c:v>
                </c:pt>
                <c:pt idx="758" formatCode="0.00">
                  <c:v>6.32</c:v>
                </c:pt>
                <c:pt idx="759" formatCode="0.00">
                  <c:v>6.375</c:v>
                </c:pt>
                <c:pt idx="760" formatCode="0.00">
                  <c:v>6.39</c:v>
                </c:pt>
              </c:numCache>
            </c:numRef>
          </c:val>
          <c:smooth val="0"/>
        </c:ser>
        <c:dLbls>
          <c:showLegendKey val="0"/>
          <c:showVal val="0"/>
          <c:showCatName val="0"/>
          <c:showSerName val="0"/>
          <c:showPercent val="0"/>
          <c:showBubbleSize val="0"/>
        </c:dLbls>
        <c:smooth val="0"/>
        <c:axId val="462604592"/>
        <c:axId val="462601064"/>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Bond!$A$589:$A$1349</c15:sqref>
                        </c15:formulaRef>
                      </c:ext>
                    </c:extLst>
                    <c:numCache>
                      <c:formatCode>m/d/yyyy</c:formatCode>
                      <c:ptCount val="761"/>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pt idx="718" formatCode="[$-409]d\-mmm\-yy;@">
                        <c:v>43101</c:v>
                      </c:pt>
                      <c:pt idx="719" formatCode="[$-409]d\-mmm\-yy;@">
                        <c:v>43102</c:v>
                      </c:pt>
                      <c:pt idx="720" formatCode="[$-409]d\-mmm\-yy;@">
                        <c:v>43103</c:v>
                      </c:pt>
                      <c:pt idx="721" formatCode="[$-409]d\-mmm\-yy;@">
                        <c:v>43104</c:v>
                      </c:pt>
                      <c:pt idx="722" formatCode="[$-409]d\-mmm\-yy;@">
                        <c:v>43105</c:v>
                      </c:pt>
                      <c:pt idx="723" formatCode="[$-409]d\-mmm\-yy;@">
                        <c:v>43108</c:v>
                      </c:pt>
                      <c:pt idx="724" formatCode="[$-409]d\-mmm\-yy;@">
                        <c:v>43109</c:v>
                      </c:pt>
                      <c:pt idx="725" formatCode="[$-409]d\-mmm\-yy;@">
                        <c:v>43110</c:v>
                      </c:pt>
                      <c:pt idx="726" formatCode="[$-409]d\-mmm\-yy;@">
                        <c:v>43111</c:v>
                      </c:pt>
                      <c:pt idx="727" formatCode="[$-409]d\-mmm\-yy;@">
                        <c:v>43112</c:v>
                      </c:pt>
                      <c:pt idx="728" formatCode="[$-409]d\-mmm\-yy;@">
                        <c:v>43115</c:v>
                      </c:pt>
                      <c:pt idx="729" formatCode="[$-409]d\-mmm\-yy;@">
                        <c:v>43116</c:v>
                      </c:pt>
                      <c:pt idx="730" formatCode="[$-409]d\-mmm\-yy;@">
                        <c:v>43117</c:v>
                      </c:pt>
                      <c:pt idx="731" formatCode="[$-409]d\-mmm\-yy;@">
                        <c:v>43118</c:v>
                      </c:pt>
                      <c:pt idx="732" formatCode="[$-409]d\-mmm\-yy;@">
                        <c:v>43119</c:v>
                      </c:pt>
                      <c:pt idx="733" formatCode="[$-409]d\-mmm\-yy;@">
                        <c:v>43122</c:v>
                      </c:pt>
                      <c:pt idx="734" formatCode="[$-409]d\-mmm\-yy;@">
                        <c:v>43123</c:v>
                      </c:pt>
                      <c:pt idx="735" formatCode="[$-409]d\-mmm\-yy;@">
                        <c:v>43124</c:v>
                      </c:pt>
                      <c:pt idx="736" formatCode="[$-409]d\-mmm\-yy;@">
                        <c:v>43125</c:v>
                      </c:pt>
                      <c:pt idx="737" formatCode="[$-409]d\-mmm\-yy;@">
                        <c:v>43126</c:v>
                      </c:pt>
                      <c:pt idx="738" formatCode="[$-409]d\-mmm\-yy;@">
                        <c:v>43129</c:v>
                      </c:pt>
                      <c:pt idx="739" formatCode="[$-409]d\-mmm\-yy;@">
                        <c:v>43130</c:v>
                      </c:pt>
                      <c:pt idx="740" formatCode="[$-409]d\-mmm\-yy;@">
                        <c:v>43131</c:v>
                      </c:pt>
                      <c:pt idx="741" formatCode="[$-409]d\-mmm\-yy;@">
                        <c:v>43132</c:v>
                      </c:pt>
                      <c:pt idx="742" formatCode="[$-409]d\-mmm\-yy;@">
                        <c:v>43133</c:v>
                      </c:pt>
                      <c:pt idx="743" formatCode="[$-409]d\-mmm\-yy;@">
                        <c:v>43136</c:v>
                      </c:pt>
                      <c:pt idx="744" formatCode="[$-409]d\-mmm\-yy;@">
                        <c:v>43137</c:v>
                      </c:pt>
                      <c:pt idx="745" formatCode="[$-409]d\-mmm\-yy;@">
                        <c:v>43138</c:v>
                      </c:pt>
                      <c:pt idx="746" formatCode="[$-409]d\-mmm\-yy;@">
                        <c:v>43139</c:v>
                      </c:pt>
                      <c:pt idx="747" formatCode="[$-409]d\-mmm\-yy;@">
                        <c:v>43140</c:v>
                      </c:pt>
                      <c:pt idx="748" formatCode="[$-409]d\-mmm\-yy;@">
                        <c:v>43143</c:v>
                      </c:pt>
                      <c:pt idx="749" formatCode="[$-409]d\-mmm\-yy;@">
                        <c:v>43144</c:v>
                      </c:pt>
                      <c:pt idx="750" formatCode="[$-409]d\-mmm\-yy;@">
                        <c:v>43145</c:v>
                      </c:pt>
                      <c:pt idx="751" formatCode="[$-409]d\-mmm\-yy;@">
                        <c:v>43146</c:v>
                      </c:pt>
                      <c:pt idx="752" formatCode="[$-409]d\-mmm\-yy;@">
                        <c:v>43147</c:v>
                      </c:pt>
                      <c:pt idx="753" formatCode="[$-409]d\-mmm\-yy;@">
                        <c:v>43150</c:v>
                      </c:pt>
                      <c:pt idx="754" formatCode="[$-409]d\-mmm\-yy;@">
                        <c:v>43151</c:v>
                      </c:pt>
                      <c:pt idx="755" formatCode="[$-409]d\-mmm\-yy;@">
                        <c:v>43152</c:v>
                      </c:pt>
                      <c:pt idx="756" formatCode="[$-409]d\-mmm\-yy;@">
                        <c:v>43153</c:v>
                      </c:pt>
                      <c:pt idx="757" formatCode="[$-409]d\-mmm\-yy;@">
                        <c:v>43154</c:v>
                      </c:pt>
                      <c:pt idx="758" formatCode="[$-409]d\-mmm\-yy;@">
                        <c:v>43157</c:v>
                      </c:pt>
                      <c:pt idx="759" formatCode="[$-409]d\-mmm\-yy;@">
                        <c:v>43158</c:v>
                      </c:pt>
                      <c:pt idx="760" formatCode="[$-409]d\-mmm\-yy;@">
                        <c:v>43159</c:v>
                      </c:pt>
                    </c:numCache>
                  </c:numRef>
                </c:cat>
                <c:val>
                  <c:numRef>
                    <c:extLst>
                      <c:ext uri="{02D57815-91ED-43cb-92C2-25804820EDAC}">
                        <c15:formulaRef>
                          <c15:sqref>Bond!$C$589:$C$1349</c15:sqref>
                        </c15:formulaRef>
                      </c:ext>
                    </c:extLst>
                    <c:numCache>
                      <c:formatCode>General</c:formatCode>
                      <c:ptCount val="761"/>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pt idx="588" formatCode="0.00">
                        <c:v>1.526</c:v>
                      </c:pt>
                      <c:pt idx="589" formatCode="0.00">
                        <c:v>1.5249999999999999</c:v>
                      </c:pt>
                      <c:pt idx="590" formatCode="0.00">
                        <c:v>1.571</c:v>
                      </c:pt>
                      <c:pt idx="591" formatCode="0.00">
                        <c:v>1.6779999999999999</c:v>
                      </c:pt>
                      <c:pt idx="592" formatCode="0.00">
                        <c:v>1.732</c:v>
                      </c:pt>
                      <c:pt idx="593" formatCode="0.00">
                        <c:v>1.671</c:v>
                      </c:pt>
                      <c:pt idx="594" formatCode="0.00">
                        <c:v>1.6930000000000001</c:v>
                      </c:pt>
                      <c:pt idx="595" formatCode="0.00">
                        <c:v>1.643</c:v>
                      </c:pt>
                      <c:pt idx="596" formatCode="0.00">
                        <c:v>1.7050000000000001</c:v>
                      </c:pt>
                      <c:pt idx="597" formatCode="0.00">
                        <c:v>1.651</c:v>
                      </c:pt>
                      <c:pt idx="598" formatCode="0.00">
                        <c:v>1.5920000000000001</c:v>
                      </c:pt>
                      <c:pt idx="599" formatCode="0.00">
                        <c:v>1.5550000000000002</c:v>
                      </c:pt>
                      <c:pt idx="600" formatCode="0.00">
                        <c:v>1.5590000000000002</c:v>
                      </c:pt>
                      <c:pt idx="601" formatCode="0.00">
                        <c:v>1.4849999999999999</c:v>
                      </c:pt>
                      <c:pt idx="602" formatCode="0.00">
                        <c:v>1.4510000000000001</c:v>
                      </c:pt>
                      <c:pt idx="603" formatCode="0.00">
                        <c:v>1.4849999999999999</c:v>
                      </c:pt>
                      <c:pt idx="604" formatCode="0.00">
                        <c:v>1.552</c:v>
                      </c:pt>
                      <c:pt idx="605" formatCode="0.00">
                        <c:v>1.5470000000000002</c:v>
                      </c:pt>
                      <c:pt idx="606" formatCode="0.00">
                        <c:v>1.5070000000000001</c:v>
                      </c:pt>
                      <c:pt idx="607" formatCode="0.00">
                        <c:v>1.5249999999999999</c:v>
                      </c:pt>
                      <c:pt idx="608" formatCode="0.00">
                        <c:v>1.5</c:v>
                      </c:pt>
                      <c:pt idx="609" formatCode="0.00">
                        <c:v>1.4379999999999999</c:v>
                      </c:pt>
                      <c:pt idx="610" formatCode="0.00">
                        <c:v>1.458</c:v>
                      </c:pt>
                      <c:pt idx="611" formatCode="0.00">
                        <c:v>1.452</c:v>
                      </c:pt>
                      <c:pt idx="612" formatCode="0.00">
                        <c:v>1.4830000000000001</c:v>
                      </c:pt>
                      <c:pt idx="613" formatCode="0.00">
                        <c:v>1.4590000000000001</c:v>
                      </c:pt>
                      <c:pt idx="614" formatCode="0.00">
                        <c:v>1.454</c:v>
                      </c:pt>
                      <c:pt idx="615" formatCode="0.00">
                        <c:v>1.43</c:v>
                      </c:pt>
                      <c:pt idx="616" formatCode="0.00">
                        <c:v>1.458</c:v>
                      </c:pt>
                      <c:pt idx="617" formatCode="0.00">
                        <c:v>1.458</c:v>
                      </c:pt>
                      <c:pt idx="618" formatCode="0.00">
                        <c:v>1.4379999999999999</c:v>
                      </c:pt>
                      <c:pt idx="619" formatCode="0.00">
                        <c:v>1.4729999999999999</c:v>
                      </c:pt>
                      <c:pt idx="620" formatCode="0.00">
                        <c:v>1.464</c:v>
                      </c:pt>
                      <c:pt idx="621" formatCode="0.00">
                        <c:v>1.4390000000000001</c:v>
                      </c:pt>
                      <c:pt idx="622" formatCode="0.00">
                        <c:v>1.5609999999999999</c:v>
                      </c:pt>
                      <c:pt idx="623" formatCode="0.00">
                        <c:v>1.5470000000000002</c:v>
                      </c:pt>
                      <c:pt idx="624" formatCode="0.00">
                        <c:v>1.5720000000000001</c:v>
                      </c:pt>
                      <c:pt idx="625" formatCode="0.00">
                        <c:v>1.5720000000000001</c:v>
                      </c:pt>
                      <c:pt idx="626" formatCode="0.00">
                        <c:v>1.5979999999999999</c:v>
                      </c:pt>
                      <c:pt idx="627" formatCode="0.00">
                        <c:v>1.609</c:v>
                      </c:pt>
                      <c:pt idx="628" formatCode="0.00">
                        <c:v>1.601</c:v>
                      </c:pt>
                      <c:pt idx="629" formatCode="0.00">
                        <c:v>1.5620000000000001</c:v>
                      </c:pt>
                      <c:pt idx="630" formatCode="0.00">
                        <c:v>1.58</c:v>
                      </c:pt>
                      <c:pt idx="631" formatCode="0.00">
                        <c:v>1.5620000000000001</c:v>
                      </c:pt>
                      <c:pt idx="632" formatCode="0.00">
                        <c:v>1.599</c:v>
                      </c:pt>
                      <c:pt idx="633" formatCode="0.00">
                        <c:v>1.5489999999999999</c:v>
                      </c:pt>
                      <c:pt idx="634" formatCode="0.00">
                        <c:v>1.534</c:v>
                      </c:pt>
                      <c:pt idx="635" formatCode="0.00">
                        <c:v>1.5669999999999999</c:v>
                      </c:pt>
                      <c:pt idx="636" formatCode="0.00">
                        <c:v>1.4950000000000001</c:v>
                      </c:pt>
                      <c:pt idx="637" formatCode="0.00">
                        <c:v>1.544</c:v>
                      </c:pt>
                      <c:pt idx="638" formatCode="0.00">
                        <c:v>1.5659999999999998</c:v>
                      </c:pt>
                      <c:pt idx="639" formatCode="0.00">
                        <c:v>1.6019999999999999</c:v>
                      </c:pt>
                      <c:pt idx="640" formatCode="0.00">
                        <c:v>1.58</c:v>
                      </c:pt>
                      <c:pt idx="641" formatCode="0.00">
                        <c:v>1.6019999999999999</c:v>
                      </c:pt>
                      <c:pt idx="642" formatCode="0.00">
                        <c:v>1.609</c:v>
                      </c:pt>
                      <c:pt idx="643" formatCode="0.00">
                        <c:v>1.587</c:v>
                      </c:pt>
                      <c:pt idx="644" formatCode="0.00">
                        <c:v>1.556</c:v>
                      </c:pt>
                      <c:pt idx="645" formatCode="0.00">
                        <c:v>1.5819999999999999</c:v>
                      </c:pt>
                      <c:pt idx="646" formatCode="0.00">
                        <c:v>1.6219999999999999</c:v>
                      </c:pt>
                      <c:pt idx="647" formatCode="0.00">
                        <c:v>1.6259999999999999</c:v>
                      </c:pt>
                      <c:pt idx="648" formatCode="0.00">
                        <c:v>1.6240000000000001</c:v>
                      </c:pt>
                      <c:pt idx="649" formatCode="0.00">
                        <c:v>1.6120000000000001</c:v>
                      </c:pt>
                      <c:pt idx="650" formatCode="0.00">
                        <c:v>1.6459999999999999</c:v>
                      </c:pt>
                      <c:pt idx="651" formatCode="0.00">
                        <c:v>1.6259999999999999</c:v>
                      </c:pt>
                      <c:pt idx="652" formatCode="0.00">
                        <c:v>1.6040000000000001</c:v>
                      </c:pt>
                      <c:pt idx="653" formatCode="0.00">
                        <c:v>1.694</c:v>
                      </c:pt>
                      <c:pt idx="654" formatCode="0.00">
                        <c:v>1.7229999999999999</c:v>
                      </c:pt>
                      <c:pt idx="655" formatCode="0.00">
                        <c:v>1.784</c:v>
                      </c:pt>
                      <c:pt idx="656" formatCode="0.00">
                        <c:v>1.6989999999999998</c:v>
                      </c:pt>
                      <c:pt idx="657" formatCode="0.00">
                        <c:v>1.7090000000000001</c:v>
                      </c:pt>
                      <c:pt idx="658" formatCode="0.00">
                        <c:v>1.677</c:v>
                      </c:pt>
                      <c:pt idx="659" formatCode="0.00">
                        <c:v>1.6949999999999998</c:v>
                      </c:pt>
                      <c:pt idx="660" formatCode="0.00">
                        <c:v>1.6379999999999999</c:v>
                      </c:pt>
                      <c:pt idx="661" formatCode="0.00">
                        <c:v>1.637</c:v>
                      </c:pt>
                      <c:pt idx="662" formatCode="0.00">
                        <c:v>1.611</c:v>
                      </c:pt>
                      <c:pt idx="663" formatCode="0.00">
                        <c:v>1.5819999999999999</c:v>
                      </c:pt>
                      <c:pt idx="664" formatCode="0.00">
                        <c:v>1.5470000000000002</c:v>
                      </c:pt>
                      <c:pt idx="665" formatCode="0.00">
                        <c:v>1.619</c:v>
                      </c:pt>
                      <c:pt idx="666" formatCode="0.00">
                        <c:v>1.635</c:v>
                      </c:pt>
                      <c:pt idx="667" formatCode="0.00">
                        <c:v>1.663</c:v>
                      </c:pt>
                      <c:pt idx="668" formatCode="0.00">
                        <c:v>1.627</c:v>
                      </c:pt>
                      <c:pt idx="669" formatCode="0.00">
                        <c:v>1.657</c:v>
                      </c:pt>
                      <c:pt idx="670" formatCode="0.00">
                        <c:v>1.6459999999999999</c:v>
                      </c:pt>
                      <c:pt idx="671" formatCode="0.00">
                        <c:v>1.5369999999999999</c:v>
                      </c:pt>
                      <c:pt idx="672" formatCode="0.00">
                        <c:v>1.5859999999999999</c:v>
                      </c:pt>
                      <c:pt idx="673" formatCode="0.00">
                        <c:v>1.4950000000000001</c:v>
                      </c:pt>
                      <c:pt idx="674" formatCode="0.00">
                        <c:v>1.4610000000000001</c:v>
                      </c:pt>
                      <c:pt idx="675" formatCode="0.00">
                        <c:v>1.4750000000000001</c:v>
                      </c:pt>
                      <c:pt idx="676" formatCode="0.00">
                        <c:v>1.4830000000000001</c:v>
                      </c:pt>
                      <c:pt idx="677" formatCode="0.00">
                        <c:v>1.474</c:v>
                      </c:pt>
                      <c:pt idx="678" formatCode="0.00">
                        <c:v>1.468</c:v>
                      </c:pt>
                      <c:pt idx="679" formatCode="0.00">
                        <c:v>1.4079999999999999</c:v>
                      </c:pt>
                      <c:pt idx="680" formatCode="0.00">
                        <c:v>1.4849999999999999</c:v>
                      </c:pt>
                      <c:pt idx="681" formatCode="0.00">
                        <c:v>1.5329999999999999</c:v>
                      </c:pt>
                      <c:pt idx="682" formatCode="0.00">
                        <c:v>1.5760000000000001</c:v>
                      </c:pt>
                      <c:pt idx="683" formatCode="0.00">
                        <c:v>1.532</c:v>
                      </c:pt>
                      <c:pt idx="684" formatCode="0.00">
                        <c:v>1.534</c:v>
                      </c:pt>
                      <c:pt idx="685" formatCode="0.00">
                        <c:v>1.55</c:v>
                      </c:pt>
                      <c:pt idx="686" formatCode="0.00">
                        <c:v>1.542</c:v>
                      </c:pt>
                      <c:pt idx="687" formatCode="0.00">
                        <c:v>1.5550000000000002</c:v>
                      </c:pt>
                      <c:pt idx="688" formatCode="0.00">
                        <c:v>1.5150000000000001</c:v>
                      </c:pt>
                      <c:pt idx="689" formatCode="0.00">
                        <c:v>1.478</c:v>
                      </c:pt>
                      <c:pt idx="690" formatCode="0.00">
                        <c:v>1.452</c:v>
                      </c:pt>
                      <c:pt idx="691" formatCode="0.00">
                        <c:v>1.4630000000000001</c:v>
                      </c:pt>
                      <c:pt idx="692" formatCode="0.00">
                        <c:v>1.486</c:v>
                      </c:pt>
                      <c:pt idx="693" formatCode="0.00">
                        <c:v>1.4729999999999999</c:v>
                      </c:pt>
                      <c:pt idx="694" formatCode="0.00">
                        <c:v>1.46</c:v>
                      </c:pt>
                      <c:pt idx="695" formatCode="0.00">
                        <c:v>1.4849999999999999</c:v>
                      </c:pt>
                      <c:pt idx="696" formatCode="0.00">
                        <c:v>1.446</c:v>
                      </c:pt>
                      <c:pt idx="697" formatCode="0.00">
                        <c:v>1.417</c:v>
                      </c:pt>
                      <c:pt idx="698" formatCode="0.00">
                        <c:v>1.4139999999999999</c:v>
                      </c:pt>
                      <c:pt idx="699" formatCode="0.00">
                        <c:v>1.413</c:v>
                      </c:pt>
                      <c:pt idx="700" formatCode="0.00">
                        <c:v>1.4339999999999999</c:v>
                      </c:pt>
                      <c:pt idx="701" formatCode="0.00">
                        <c:v>1.41</c:v>
                      </c:pt>
                      <c:pt idx="702" formatCode="0.00">
                        <c:v>1.401</c:v>
                      </c:pt>
                      <c:pt idx="703" formatCode="0.00">
                        <c:v>1.413</c:v>
                      </c:pt>
                      <c:pt idx="704" formatCode="0.00">
                        <c:v>1.462</c:v>
                      </c:pt>
                      <c:pt idx="705" formatCode="0.00">
                        <c:v>1.4969999999999999</c:v>
                      </c:pt>
                      <c:pt idx="706" formatCode="0.00">
                        <c:v>1.4470000000000001</c:v>
                      </c:pt>
                      <c:pt idx="707" formatCode="0.00">
                        <c:v>1.4590000000000001</c:v>
                      </c:pt>
                      <c:pt idx="708" formatCode="0.00">
                        <c:v>1.4359999999999999</c:v>
                      </c:pt>
                      <c:pt idx="709" formatCode="0.00">
                        <c:v>1.4849999999999999</c:v>
                      </c:pt>
                      <c:pt idx="710" formatCode="0.00">
                        <c:v>1.476</c:v>
                      </c:pt>
                      <c:pt idx="711" formatCode="0.00">
                        <c:v>1.4670000000000001</c:v>
                      </c:pt>
                      <c:pt idx="712" formatCode="0.00">
                        <c:v>1.472</c:v>
                      </c:pt>
                      <c:pt idx="713" formatCode="0.00">
                        <c:v>1.472</c:v>
                      </c:pt>
                      <c:pt idx="714" formatCode="0.00">
                        <c:v>1.472</c:v>
                      </c:pt>
                      <c:pt idx="715" formatCode="0.00">
                        <c:v>1.47</c:v>
                      </c:pt>
                      <c:pt idx="716" formatCode="0.00">
                        <c:v>1.52</c:v>
                      </c:pt>
                      <c:pt idx="717" formatCode="0.00">
                        <c:v>1.5669999999999999</c:v>
                      </c:pt>
                      <c:pt idx="718" formatCode="0.00">
                        <c:v>1.5669999999999999</c:v>
                      </c:pt>
                      <c:pt idx="719" formatCode="0.00">
                        <c:v>1.6139999999999999</c:v>
                      </c:pt>
                      <c:pt idx="720" formatCode="0.00">
                        <c:v>1.5979999999999999</c:v>
                      </c:pt>
                      <c:pt idx="721" formatCode="0.00">
                        <c:v>1.5430000000000001</c:v>
                      </c:pt>
                      <c:pt idx="722" formatCode="0.00">
                        <c:v>1.522</c:v>
                      </c:pt>
                      <c:pt idx="723" formatCode="0.00">
                        <c:v>1.482</c:v>
                      </c:pt>
                      <c:pt idx="724" formatCode="0.00">
                        <c:v>1.5150000000000001</c:v>
                      </c:pt>
                      <c:pt idx="725" formatCode="0.00">
                        <c:v>1.5510000000000002</c:v>
                      </c:pt>
                      <c:pt idx="726" formatCode="0.00">
                        <c:v>1.538</c:v>
                      </c:pt>
                      <c:pt idx="727" formatCode="0.00">
                        <c:v>1.5009999999999999</c:v>
                      </c:pt>
                      <c:pt idx="728" formatCode="0.00">
                        <c:v>1.5310000000000001</c:v>
                      </c:pt>
                      <c:pt idx="729" formatCode="0.00">
                        <c:v>1.502</c:v>
                      </c:pt>
                      <c:pt idx="730" formatCode="0.00">
                        <c:v>1.502</c:v>
                      </c:pt>
                      <c:pt idx="731" formatCode="0.00">
                        <c:v>1.4929999999999999</c:v>
                      </c:pt>
                      <c:pt idx="732" formatCode="0.00">
                        <c:v>1.4430000000000001</c:v>
                      </c:pt>
                      <c:pt idx="733" formatCode="0.00">
                        <c:v>1.393</c:v>
                      </c:pt>
                      <c:pt idx="734" formatCode="0.00">
                        <c:v>1.3580000000000001</c:v>
                      </c:pt>
                      <c:pt idx="735" formatCode="0.00">
                        <c:v>1.3580000000000001</c:v>
                      </c:pt>
                      <c:pt idx="736" formatCode="0.00">
                        <c:v>1.41</c:v>
                      </c:pt>
                      <c:pt idx="737" formatCode="0.00">
                        <c:v>1.409</c:v>
                      </c:pt>
                      <c:pt idx="738" formatCode="0.00">
                        <c:v>1.419</c:v>
                      </c:pt>
                      <c:pt idx="739" formatCode="0.00">
                        <c:v>1.409</c:v>
                      </c:pt>
                      <c:pt idx="740" formatCode="0.00">
                        <c:v>1.427</c:v>
                      </c:pt>
                      <c:pt idx="741" formatCode="0.00">
                        <c:v>1.409</c:v>
                      </c:pt>
                      <c:pt idx="742" formatCode="0.00">
                        <c:v>1.472</c:v>
                      </c:pt>
                      <c:pt idx="743" formatCode="0.00">
                        <c:v>1.4590000000000001</c:v>
                      </c:pt>
                      <c:pt idx="744" formatCode="0.00">
                        <c:v>1.4259999999999999</c:v>
                      </c:pt>
                      <c:pt idx="745" formatCode="0.00">
                        <c:v>1.415</c:v>
                      </c:pt>
                      <c:pt idx="746" formatCode="0.00">
                        <c:v>1.45</c:v>
                      </c:pt>
                      <c:pt idx="747" formatCode="0.00">
                        <c:v>1.48</c:v>
                      </c:pt>
                      <c:pt idx="748" formatCode="0.00">
                        <c:v>1.4809999999999999</c:v>
                      </c:pt>
                      <c:pt idx="749" formatCode="0.00">
                        <c:v>1.524</c:v>
                      </c:pt>
                      <c:pt idx="750" formatCode="0.00">
                        <c:v>1.514</c:v>
                      </c:pt>
                      <c:pt idx="751" formatCode="0.00">
                        <c:v>1.5070000000000001</c:v>
                      </c:pt>
                      <c:pt idx="752" formatCode="0.00">
                        <c:v>1.4610000000000001</c:v>
                      </c:pt>
                      <c:pt idx="753" formatCode="0.00">
                        <c:v>1.5110000000000001</c:v>
                      </c:pt>
                      <c:pt idx="754" formatCode="0.00">
                        <c:v>1.5310000000000001</c:v>
                      </c:pt>
                      <c:pt idx="755" formatCode="0.00">
                        <c:v>1.5129999999999999</c:v>
                      </c:pt>
                      <c:pt idx="756" formatCode="0.00">
                        <c:v>1.518</c:v>
                      </c:pt>
                      <c:pt idx="757" formatCode="0.00">
                        <c:v>1.597</c:v>
                      </c:pt>
                      <c:pt idx="758" formatCode="0.00">
                        <c:v>1.556</c:v>
                      </c:pt>
                      <c:pt idx="759" formatCode="0.00">
                        <c:v>1.5649999999999999</c:v>
                      </c:pt>
                      <c:pt idx="760" formatCode="0.00">
                        <c:v>1.5390000000000001</c:v>
                      </c:pt>
                    </c:numCache>
                  </c:numRef>
                </c:val>
                <c:smooth val="0"/>
              </c15:ser>
            </c15:filteredLineSeries>
          </c:ext>
        </c:extLst>
      </c:lineChart>
      <c:dateAx>
        <c:axId val="462604592"/>
        <c:scaling>
          <c:orientation val="minMax"/>
          <c:min val="42430"/>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462601064"/>
        <c:crosses val="autoZero"/>
        <c:auto val="1"/>
        <c:lblOffset val="100"/>
        <c:baseTimeUnit val="days"/>
        <c:majorUnit val="1"/>
        <c:majorTimeUnit val="months"/>
      </c:dateAx>
      <c:valAx>
        <c:axId val="462601064"/>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604592"/>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Raw'!$K$1</c:f>
              <c:strCache>
                <c:ptCount val="1"/>
                <c:pt idx="0">
                  <c:v>INR</c:v>
                </c:pt>
              </c:strCache>
            </c:strRef>
          </c:tx>
          <c:spPr>
            <a:ln>
              <a:solidFill>
                <a:sysClr val="windowText" lastClr="000000"/>
              </a:solidFill>
            </a:ln>
          </c:spPr>
          <c:marker>
            <c:symbol val="none"/>
          </c:marker>
          <c:cat>
            <c:numRef>
              <c:f>'Currency Raw'!$J$2:$J$545</c:f>
              <c:numCache>
                <c:formatCode>m/d/yyyy</c:formatCode>
                <c:ptCount val="544"/>
                <c:pt idx="1">
                  <c:v>42401</c:v>
                </c:pt>
                <c:pt idx="2">
                  <c:v>42402</c:v>
                </c:pt>
                <c:pt idx="3">
                  <c:v>42403</c:v>
                </c:pt>
                <c:pt idx="4">
                  <c:v>42404</c:v>
                </c:pt>
                <c:pt idx="5">
                  <c:v>42405</c:v>
                </c:pt>
                <c:pt idx="6">
                  <c:v>42408</c:v>
                </c:pt>
                <c:pt idx="7">
                  <c:v>42409</c:v>
                </c:pt>
                <c:pt idx="8">
                  <c:v>42410</c:v>
                </c:pt>
                <c:pt idx="9">
                  <c:v>42411</c:v>
                </c:pt>
                <c:pt idx="10">
                  <c:v>42412</c:v>
                </c:pt>
                <c:pt idx="11">
                  <c:v>42415</c:v>
                </c:pt>
                <c:pt idx="12">
                  <c:v>42416</c:v>
                </c:pt>
                <c:pt idx="13">
                  <c:v>42417</c:v>
                </c:pt>
                <c:pt idx="14">
                  <c:v>42418</c:v>
                </c:pt>
                <c:pt idx="15">
                  <c:v>42419</c:v>
                </c:pt>
                <c:pt idx="16">
                  <c:v>42422</c:v>
                </c:pt>
                <c:pt idx="17">
                  <c:v>42423</c:v>
                </c:pt>
                <c:pt idx="18">
                  <c:v>42424</c:v>
                </c:pt>
                <c:pt idx="19">
                  <c:v>42425</c:v>
                </c:pt>
                <c:pt idx="20">
                  <c:v>42426</c:v>
                </c:pt>
                <c:pt idx="21">
                  <c:v>42429</c:v>
                </c:pt>
                <c:pt idx="22">
                  <c:v>42430</c:v>
                </c:pt>
                <c:pt idx="23">
                  <c:v>42431</c:v>
                </c:pt>
                <c:pt idx="24">
                  <c:v>42432</c:v>
                </c:pt>
                <c:pt idx="25">
                  <c:v>42433</c:v>
                </c:pt>
                <c:pt idx="26">
                  <c:v>42436</c:v>
                </c:pt>
                <c:pt idx="27">
                  <c:v>42437</c:v>
                </c:pt>
                <c:pt idx="28">
                  <c:v>42438</c:v>
                </c:pt>
                <c:pt idx="29">
                  <c:v>42439</c:v>
                </c:pt>
                <c:pt idx="30">
                  <c:v>42440</c:v>
                </c:pt>
                <c:pt idx="31">
                  <c:v>42443</c:v>
                </c:pt>
                <c:pt idx="32">
                  <c:v>42444</c:v>
                </c:pt>
                <c:pt idx="33">
                  <c:v>42445</c:v>
                </c:pt>
                <c:pt idx="34">
                  <c:v>42446</c:v>
                </c:pt>
                <c:pt idx="35">
                  <c:v>42447</c:v>
                </c:pt>
                <c:pt idx="36">
                  <c:v>42450</c:v>
                </c:pt>
                <c:pt idx="37">
                  <c:v>42451</c:v>
                </c:pt>
                <c:pt idx="38">
                  <c:v>42452</c:v>
                </c:pt>
                <c:pt idx="39">
                  <c:v>42453</c:v>
                </c:pt>
                <c:pt idx="40">
                  <c:v>42454</c:v>
                </c:pt>
                <c:pt idx="41">
                  <c:v>42457</c:v>
                </c:pt>
                <c:pt idx="42">
                  <c:v>42458</c:v>
                </c:pt>
                <c:pt idx="43">
                  <c:v>42459</c:v>
                </c:pt>
                <c:pt idx="44">
                  <c:v>42460</c:v>
                </c:pt>
                <c:pt idx="45">
                  <c:v>42461</c:v>
                </c:pt>
                <c:pt idx="46">
                  <c:v>42464</c:v>
                </c:pt>
                <c:pt idx="47">
                  <c:v>42465</c:v>
                </c:pt>
                <c:pt idx="48">
                  <c:v>42466</c:v>
                </c:pt>
                <c:pt idx="49">
                  <c:v>42467</c:v>
                </c:pt>
                <c:pt idx="50">
                  <c:v>42468</c:v>
                </c:pt>
                <c:pt idx="51">
                  <c:v>42471</c:v>
                </c:pt>
                <c:pt idx="52">
                  <c:v>42472</c:v>
                </c:pt>
                <c:pt idx="53">
                  <c:v>42473</c:v>
                </c:pt>
                <c:pt idx="54">
                  <c:v>42474</c:v>
                </c:pt>
                <c:pt idx="55">
                  <c:v>42475</c:v>
                </c:pt>
                <c:pt idx="56">
                  <c:v>42478</c:v>
                </c:pt>
                <c:pt idx="57">
                  <c:v>42479</c:v>
                </c:pt>
                <c:pt idx="58">
                  <c:v>42480</c:v>
                </c:pt>
                <c:pt idx="59">
                  <c:v>42481</c:v>
                </c:pt>
                <c:pt idx="60">
                  <c:v>42482</c:v>
                </c:pt>
                <c:pt idx="61">
                  <c:v>42485</c:v>
                </c:pt>
                <c:pt idx="62">
                  <c:v>42486</c:v>
                </c:pt>
                <c:pt idx="63">
                  <c:v>42487</c:v>
                </c:pt>
                <c:pt idx="64">
                  <c:v>42488</c:v>
                </c:pt>
                <c:pt idx="65">
                  <c:v>42489</c:v>
                </c:pt>
                <c:pt idx="66">
                  <c:v>42492</c:v>
                </c:pt>
                <c:pt idx="67">
                  <c:v>42493</c:v>
                </c:pt>
                <c:pt idx="68">
                  <c:v>42494</c:v>
                </c:pt>
                <c:pt idx="69">
                  <c:v>42495</c:v>
                </c:pt>
                <c:pt idx="70">
                  <c:v>42496</c:v>
                </c:pt>
                <c:pt idx="71">
                  <c:v>42499</c:v>
                </c:pt>
                <c:pt idx="72">
                  <c:v>42500</c:v>
                </c:pt>
                <c:pt idx="73">
                  <c:v>42501</c:v>
                </c:pt>
                <c:pt idx="74">
                  <c:v>42502</c:v>
                </c:pt>
                <c:pt idx="75">
                  <c:v>42503</c:v>
                </c:pt>
                <c:pt idx="76">
                  <c:v>42506</c:v>
                </c:pt>
                <c:pt idx="77">
                  <c:v>42507</c:v>
                </c:pt>
                <c:pt idx="78">
                  <c:v>42508</c:v>
                </c:pt>
                <c:pt idx="79">
                  <c:v>42509</c:v>
                </c:pt>
                <c:pt idx="80">
                  <c:v>42510</c:v>
                </c:pt>
                <c:pt idx="81">
                  <c:v>42513</c:v>
                </c:pt>
                <c:pt idx="82">
                  <c:v>42514</c:v>
                </c:pt>
                <c:pt idx="83">
                  <c:v>42515</c:v>
                </c:pt>
                <c:pt idx="84">
                  <c:v>42516</c:v>
                </c:pt>
                <c:pt idx="85">
                  <c:v>42517</c:v>
                </c:pt>
                <c:pt idx="86">
                  <c:v>42520</c:v>
                </c:pt>
                <c:pt idx="87">
                  <c:v>42521</c:v>
                </c:pt>
                <c:pt idx="88">
                  <c:v>42522</c:v>
                </c:pt>
                <c:pt idx="89">
                  <c:v>42523</c:v>
                </c:pt>
                <c:pt idx="90">
                  <c:v>42524</c:v>
                </c:pt>
                <c:pt idx="91">
                  <c:v>42527</c:v>
                </c:pt>
                <c:pt idx="92">
                  <c:v>42528</c:v>
                </c:pt>
                <c:pt idx="93">
                  <c:v>42529</c:v>
                </c:pt>
                <c:pt idx="94">
                  <c:v>42530</c:v>
                </c:pt>
                <c:pt idx="95">
                  <c:v>42531</c:v>
                </c:pt>
                <c:pt idx="96">
                  <c:v>42534</c:v>
                </c:pt>
                <c:pt idx="97">
                  <c:v>42535</c:v>
                </c:pt>
                <c:pt idx="98">
                  <c:v>42536</c:v>
                </c:pt>
                <c:pt idx="99">
                  <c:v>42537</c:v>
                </c:pt>
                <c:pt idx="100">
                  <c:v>42538</c:v>
                </c:pt>
                <c:pt idx="101">
                  <c:v>42541</c:v>
                </c:pt>
                <c:pt idx="102">
                  <c:v>42542</c:v>
                </c:pt>
                <c:pt idx="103">
                  <c:v>42543</c:v>
                </c:pt>
                <c:pt idx="104">
                  <c:v>42544</c:v>
                </c:pt>
                <c:pt idx="105">
                  <c:v>42545</c:v>
                </c:pt>
                <c:pt idx="106">
                  <c:v>42548</c:v>
                </c:pt>
                <c:pt idx="107">
                  <c:v>42549</c:v>
                </c:pt>
                <c:pt idx="108">
                  <c:v>42550</c:v>
                </c:pt>
                <c:pt idx="109">
                  <c:v>42551</c:v>
                </c:pt>
                <c:pt idx="110">
                  <c:v>42552</c:v>
                </c:pt>
                <c:pt idx="111">
                  <c:v>42555</c:v>
                </c:pt>
                <c:pt idx="112">
                  <c:v>42556</c:v>
                </c:pt>
                <c:pt idx="113">
                  <c:v>42557</c:v>
                </c:pt>
                <c:pt idx="114">
                  <c:v>42558</c:v>
                </c:pt>
                <c:pt idx="115">
                  <c:v>42559</c:v>
                </c:pt>
                <c:pt idx="116">
                  <c:v>42562</c:v>
                </c:pt>
                <c:pt idx="117">
                  <c:v>42563</c:v>
                </c:pt>
                <c:pt idx="118">
                  <c:v>42564</c:v>
                </c:pt>
                <c:pt idx="119">
                  <c:v>42565</c:v>
                </c:pt>
                <c:pt idx="120">
                  <c:v>42566</c:v>
                </c:pt>
                <c:pt idx="121">
                  <c:v>42569</c:v>
                </c:pt>
                <c:pt idx="122">
                  <c:v>42570</c:v>
                </c:pt>
                <c:pt idx="123">
                  <c:v>42571</c:v>
                </c:pt>
                <c:pt idx="124">
                  <c:v>42572</c:v>
                </c:pt>
                <c:pt idx="125">
                  <c:v>42573</c:v>
                </c:pt>
                <c:pt idx="126">
                  <c:v>42576</c:v>
                </c:pt>
                <c:pt idx="127">
                  <c:v>42577</c:v>
                </c:pt>
                <c:pt idx="128">
                  <c:v>42578</c:v>
                </c:pt>
                <c:pt idx="129">
                  <c:v>42579</c:v>
                </c:pt>
                <c:pt idx="130">
                  <c:v>42580</c:v>
                </c:pt>
                <c:pt idx="131">
                  <c:v>42583</c:v>
                </c:pt>
                <c:pt idx="132">
                  <c:v>42584</c:v>
                </c:pt>
                <c:pt idx="133">
                  <c:v>42585</c:v>
                </c:pt>
                <c:pt idx="134">
                  <c:v>42586</c:v>
                </c:pt>
                <c:pt idx="135">
                  <c:v>42587</c:v>
                </c:pt>
                <c:pt idx="136">
                  <c:v>42590</c:v>
                </c:pt>
                <c:pt idx="137">
                  <c:v>42591</c:v>
                </c:pt>
                <c:pt idx="138">
                  <c:v>42592</c:v>
                </c:pt>
                <c:pt idx="139">
                  <c:v>42593</c:v>
                </c:pt>
                <c:pt idx="140">
                  <c:v>42594</c:v>
                </c:pt>
                <c:pt idx="141">
                  <c:v>42597</c:v>
                </c:pt>
                <c:pt idx="142">
                  <c:v>42598</c:v>
                </c:pt>
                <c:pt idx="143">
                  <c:v>42599</c:v>
                </c:pt>
                <c:pt idx="144">
                  <c:v>42600</c:v>
                </c:pt>
                <c:pt idx="145">
                  <c:v>42601</c:v>
                </c:pt>
                <c:pt idx="146">
                  <c:v>42604</c:v>
                </c:pt>
                <c:pt idx="147">
                  <c:v>42605</c:v>
                </c:pt>
                <c:pt idx="148">
                  <c:v>42606</c:v>
                </c:pt>
                <c:pt idx="149">
                  <c:v>42607</c:v>
                </c:pt>
                <c:pt idx="150">
                  <c:v>42608</c:v>
                </c:pt>
                <c:pt idx="151">
                  <c:v>42611</c:v>
                </c:pt>
                <c:pt idx="152">
                  <c:v>42612</c:v>
                </c:pt>
                <c:pt idx="153">
                  <c:v>42613</c:v>
                </c:pt>
                <c:pt idx="154">
                  <c:v>42614</c:v>
                </c:pt>
                <c:pt idx="155">
                  <c:v>42615</c:v>
                </c:pt>
                <c:pt idx="156">
                  <c:v>42618</c:v>
                </c:pt>
                <c:pt idx="157">
                  <c:v>42619</c:v>
                </c:pt>
                <c:pt idx="158">
                  <c:v>42620</c:v>
                </c:pt>
                <c:pt idx="159">
                  <c:v>42621</c:v>
                </c:pt>
                <c:pt idx="160">
                  <c:v>42622</c:v>
                </c:pt>
                <c:pt idx="161">
                  <c:v>42625</c:v>
                </c:pt>
                <c:pt idx="162">
                  <c:v>42626</c:v>
                </c:pt>
                <c:pt idx="163">
                  <c:v>42627</c:v>
                </c:pt>
                <c:pt idx="164">
                  <c:v>42628</c:v>
                </c:pt>
                <c:pt idx="165">
                  <c:v>42629</c:v>
                </c:pt>
                <c:pt idx="166">
                  <c:v>42632</c:v>
                </c:pt>
                <c:pt idx="167">
                  <c:v>42633</c:v>
                </c:pt>
                <c:pt idx="168">
                  <c:v>42634</c:v>
                </c:pt>
                <c:pt idx="169">
                  <c:v>42635</c:v>
                </c:pt>
                <c:pt idx="170">
                  <c:v>42636</c:v>
                </c:pt>
                <c:pt idx="171">
                  <c:v>42639</c:v>
                </c:pt>
                <c:pt idx="172">
                  <c:v>42640</c:v>
                </c:pt>
                <c:pt idx="173">
                  <c:v>42641</c:v>
                </c:pt>
                <c:pt idx="174">
                  <c:v>42642</c:v>
                </c:pt>
                <c:pt idx="175">
                  <c:v>42643</c:v>
                </c:pt>
                <c:pt idx="176">
                  <c:v>42646</c:v>
                </c:pt>
                <c:pt idx="177">
                  <c:v>42647</c:v>
                </c:pt>
                <c:pt idx="178">
                  <c:v>42648</c:v>
                </c:pt>
                <c:pt idx="179">
                  <c:v>42649</c:v>
                </c:pt>
                <c:pt idx="180">
                  <c:v>42650</c:v>
                </c:pt>
                <c:pt idx="181">
                  <c:v>42653</c:v>
                </c:pt>
                <c:pt idx="182">
                  <c:v>42654</c:v>
                </c:pt>
                <c:pt idx="183">
                  <c:v>42655</c:v>
                </c:pt>
                <c:pt idx="184">
                  <c:v>42656</c:v>
                </c:pt>
                <c:pt idx="185">
                  <c:v>42657</c:v>
                </c:pt>
                <c:pt idx="186">
                  <c:v>42660</c:v>
                </c:pt>
                <c:pt idx="187">
                  <c:v>42661</c:v>
                </c:pt>
                <c:pt idx="188">
                  <c:v>42662</c:v>
                </c:pt>
                <c:pt idx="189">
                  <c:v>42663</c:v>
                </c:pt>
                <c:pt idx="190">
                  <c:v>42664</c:v>
                </c:pt>
                <c:pt idx="191">
                  <c:v>42667</c:v>
                </c:pt>
                <c:pt idx="192">
                  <c:v>42668</c:v>
                </c:pt>
                <c:pt idx="193">
                  <c:v>42669</c:v>
                </c:pt>
                <c:pt idx="194">
                  <c:v>42670</c:v>
                </c:pt>
                <c:pt idx="195">
                  <c:v>42671</c:v>
                </c:pt>
                <c:pt idx="196">
                  <c:v>42674</c:v>
                </c:pt>
                <c:pt idx="197">
                  <c:v>42675</c:v>
                </c:pt>
                <c:pt idx="198">
                  <c:v>42676</c:v>
                </c:pt>
                <c:pt idx="199">
                  <c:v>42677</c:v>
                </c:pt>
                <c:pt idx="200">
                  <c:v>42678</c:v>
                </c:pt>
                <c:pt idx="201">
                  <c:v>42681</c:v>
                </c:pt>
                <c:pt idx="202">
                  <c:v>42682</c:v>
                </c:pt>
                <c:pt idx="203">
                  <c:v>42683</c:v>
                </c:pt>
                <c:pt idx="204">
                  <c:v>42684</c:v>
                </c:pt>
                <c:pt idx="205">
                  <c:v>42685</c:v>
                </c:pt>
                <c:pt idx="206">
                  <c:v>42688</c:v>
                </c:pt>
                <c:pt idx="207">
                  <c:v>42689</c:v>
                </c:pt>
                <c:pt idx="208">
                  <c:v>42690</c:v>
                </c:pt>
                <c:pt idx="209">
                  <c:v>42691</c:v>
                </c:pt>
                <c:pt idx="210">
                  <c:v>42692</c:v>
                </c:pt>
                <c:pt idx="211">
                  <c:v>42695</c:v>
                </c:pt>
                <c:pt idx="212">
                  <c:v>42696</c:v>
                </c:pt>
                <c:pt idx="213">
                  <c:v>42697</c:v>
                </c:pt>
                <c:pt idx="214">
                  <c:v>42698</c:v>
                </c:pt>
                <c:pt idx="215">
                  <c:v>42699</c:v>
                </c:pt>
                <c:pt idx="216">
                  <c:v>42702</c:v>
                </c:pt>
                <c:pt idx="217">
                  <c:v>42703</c:v>
                </c:pt>
                <c:pt idx="218">
                  <c:v>42704</c:v>
                </c:pt>
                <c:pt idx="219">
                  <c:v>42705</c:v>
                </c:pt>
                <c:pt idx="220">
                  <c:v>42706</c:v>
                </c:pt>
                <c:pt idx="221">
                  <c:v>42709</c:v>
                </c:pt>
                <c:pt idx="222">
                  <c:v>42710</c:v>
                </c:pt>
                <c:pt idx="223">
                  <c:v>42711</c:v>
                </c:pt>
                <c:pt idx="224">
                  <c:v>42712</c:v>
                </c:pt>
                <c:pt idx="225">
                  <c:v>42713</c:v>
                </c:pt>
                <c:pt idx="226">
                  <c:v>42716</c:v>
                </c:pt>
                <c:pt idx="227">
                  <c:v>42717</c:v>
                </c:pt>
                <c:pt idx="228">
                  <c:v>42718</c:v>
                </c:pt>
                <c:pt idx="229">
                  <c:v>42719</c:v>
                </c:pt>
                <c:pt idx="230">
                  <c:v>42720</c:v>
                </c:pt>
                <c:pt idx="231">
                  <c:v>42723</c:v>
                </c:pt>
                <c:pt idx="232">
                  <c:v>42724</c:v>
                </c:pt>
                <c:pt idx="233">
                  <c:v>42725</c:v>
                </c:pt>
                <c:pt idx="234">
                  <c:v>42726</c:v>
                </c:pt>
                <c:pt idx="235">
                  <c:v>42727</c:v>
                </c:pt>
                <c:pt idx="236">
                  <c:v>42730</c:v>
                </c:pt>
                <c:pt idx="237">
                  <c:v>42731</c:v>
                </c:pt>
                <c:pt idx="238">
                  <c:v>42732</c:v>
                </c:pt>
                <c:pt idx="239">
                  <c:v>42733</c:v>
                </c:pt>
                <c:pt idx="240">
                  <c:v>42734</c:v>
                </c:pt>
                <c:pt idx="241">
                  <c:v>42737</c:v>
                </c:pt>
                <c:pt idx="242">
                  <c:v>42738</c:v>
                </c:pt>
                <c:pt idx="243">
                  <c:v>42739</c:v>
                </c:pt>
                <c:pt idx="244">
                  <c:v>42740</c:v>
                </c:pt>
                <c:pt idx="245">
                  <c:v>42741</c:v>
                </c:pt>
                <c:pt idx="246">
                  <c:v>42744</c:v>
                </c:pt>
                <c:pt idx="247">
                  <c:v>42745</c:v>
                </c:pt>
                <c:pt idx="248">
                  <c:v>42746</c:v>
                </c:pt>
                <c:pt idx="249">
                  <c:v>42747</c:v>
                </c:pt>
                <c:pt idx="250">
                  <c:v>42748</c:v>
                </c:pt>
                <c:pt idx="251">
                  <c:v>42751</c:v>
                </c:pt>
                <c:pt idx="252">
                  <c:v>42752</c:v>
                </c:pt>
                <c:pt idx="253">
                  <c:v>42753</c:v>
                </c:pt>
                <c:pt idx="254">
                  <c:v>42754</c:v>
                </c:pt>
                <c:pt idx="255">
                  <c:v>42755</c:v>
                </c:pt>
                <c:pt idx="256">
                  <c:v>42758</c:v>
                </c:pt>
                <c:pt idx="257">
                  <c:v>42759</c:v>
                </c:pt>
                <c:pt idx="258">
                  <c:v>42760</c:v>
                </c:pt>
                <c:pt idx="259">
                  <c:v>42761</c:v>
                </c:pt>
                <c:pt idx="260">
                  <c:v>42762</c:v>
                </c:pt>
                <c:pt idx="261">
                  <c:v>42765</c:v>
                </c:pt>
                <c:pt idx="262">
                  <c:v>42766</c:v>
                </c:pt>
                <c:pt idx="263">
                  <c:v>42767</c:v>
                </c:pt>
                <c:pt idx="264">
                  <c:v>42768</c:v>
                </c:pt>
                <c:pt idx="265">
                  <c:v>42769</c:v>
                </c:pt>
                <c:pt idx="266">
                  <c:v>42772</c:v>
                </c:pt>
                <c:pt idx="267">
                  <c:v>42773</c:v>
                </c:pt>
                <c:pt idx="268">
                  <c:v>42774</c:v>
                </c:pt>
                <c:pt idx="269">
                  <c:v>42775</c:v>
                </c:pt>
                <c:pt idx="270">
                  <c:v>42776</c:v>
                </c:pt>
                <c:pt idx="271">
                  <c:v>42779</c:v>
                </c:pt>
                <c:pt idx="272">
                  <c:v>42780</c:v>
                </c:pt>
                <c:pt idx="273">
                  <c:v>42781</c:v>
                </c:pt>
                <c:pt idx="274">
                  <c:v>42782</c:v>
                </c:pt>
                <c:pt idx="275">
                  <c:v>42783</c:v>
                </c:pt>
                <c:pt idx="276">
                  <c:v>42786</c:v>
                </c:pt>
                <c:pt idx="277">
                  <c:v>42787</c:v>
                </c:pt>
                <c:pt idx="278">
                  <c:v>42788</c:v>
                </c:pt>
                <c:pt idx="279">
                  <c:v>42789</c:v>
                </c:pt>
                <c:pt idx="280">
                  <c:v>42790</c:v>
                </c:pt>
                <c:pt idx="281">
                  <c:v>42793</c:v>
                </c:pt>
                <c:pt idx="282">
                  <c:v>42794</c:v>
                </c:pt>
                <c:pt idx="283">
                  <c:v>42795</c:v>
                </c:pt>
                <c:pt idx="284">
                  <c:v>42796</c:v>
                </c:pt>
                <c:pt idx="285">
                  <c:v>42797</c:v>
                </c:pt>
                <c:pt idx="286">
                  <c:v>42800</c:v>
                </c:pt>
                <c:pt idx="287">
                  <c:v>42801</c:v>
                </c:pt>
                <c:pt idx="288">
                  <c:v>42802</c:v>
                </c:pt>
                <c:pt idx="289">
                  <c:v>42803</c:v>
                </c:pt>
                <c:pt idx="290">
                  <c:v>42804</c:v>
                </c:pt>
                <c:pt idx="291">
                  <c:v>42807</c:v>
                </c:pt>
                <c:pt idx="292">
                  <c:v>42808</c:v>
                </c:pt>
                <c:pt idx="293">
                  <c:v>42809</c:v>
                </c:pt>
                <c:pt idx="294">
                  <c:v>42810</c:v>
                </c:pt>
                <c:pt idx="295">
                  <c:v>42811</c:v>
                </c:pt>
                <c:pt idx="296">
                  <c:v>42814</c:v>
                </c:pt>
                <c:pt idx="297">
                  <c:v>42815</c:v>
                </c:pt>
                <c:pt idx="298">
                  <c:v>42816</c:v>
                </c:pt>
                <c:pt idx="299">
                  <c:v>42817</c:v>
                </c:pt>
                <c:pt idx="300">
                  <c:v>42818</c:v>
                </c:pt>
                <c:pt idx="301">
                  <c:v>42821</c:v>
                </c:pt>
                <c:pt idx="302">
                  <c:v>42822</c:v>
                </c:pt>
                <c:pt idx="303">
                  <c:v>42823</c:v>
                </c:pt>
                <c:pt idx="304">
                  <c:v>42824</c:v>
                </c:pt>
                <c:pt idx="305">
                  <c:v>42825</c:v>
                </c:pt>
                <c:pt idx="306">
                  <c:v>42828</c:v>
                </c:pt>
                <c:pt idx="307">
                  <c:v>42829</c:v>
                </c:pt>
                <c:pt idx="308">
                  <c:v>42830</c:v>
                </c:pt>
                <c:pt idx="309">
                  <c:v>42831</c:v>
                </c:pt>
                <c:pt idx="310">
                  <c:v>42832</c:v>
                </c:pt>
                <c:pt idx="311">
                  <c:v>42835</c:v>
                </c:pt>
                <c:pt idx="312">
                  <c:v>42836</c:v>
                </c:pt>
                <c:pt idx="313">
                  <c:v>42837</c:v>
                </c:pt>
                <c:pt idx="314">
                  <c:v>42838</c:v>
                </c:pt>
                <c:pt idx="315">
                  <c:v>42839</c:v>
                </c:pt>
                <c:pt idx="316">
                  <c:v>42842</c:v>
                </c:pt>
                <c:pt idx="317">
                  <c:v>42843</c:v>
                </c:pt>
                <c:pt idx="318">
                  <c:v>42844</c:v>
                </c:pt>
                <c:pt idx="319">
                  <c:v>42845</c:v>
                </c:pt>
                <c:pt idx="320">
                  <c:v>42846</c:v>
                </c:pt>
                <c:pt idx="321">
                  <c:v>42849</c:v>
                </c:pt>
                <c:pt idx="322">
                  <c:v>42850</c:v>
                </c:pt>
                <c:pt idx="323">
                  <c:v>42851</c:v>
                </c:pt>
                <c:pt idx="324">
                  <c:v>42852</c:v>
                </c:pt>
                <c:pt idx="325">
                  <c:v>42853</c:v>
                </c:pt>
                <c:pt idx="326">
                  <c:v>42856</c:v>
                </c:pt>
                <c:pt idx="327">
                  <c:v>42857</c:v>
                </c:pt>
                <c:pt idx="328">
                  <c:v>42858</c:v>
                </c:pt>
                <c:pt idx="329">
                  <c:v>42859</c:v>
                </c:pt>
                <c:pt idx="330">
                  <c:v>42860</c:v>
                </c:pt>
                <c:pt idx="331">
                  <c:v>42863</c:v>
                </c:pt>
                <c:pt idx="332">
                  <c:v>42864</c:v>
                </c:pt>
                <c:pt idx="333">
                  <c:v>42865</c:v>
                </c:pt>
                <c:pt idx="334">
                  <c:v>42866</c:v>
                </c:pt>
                <c:pt idx="335">
                  <c:v>42867</c:v>
                </c:pt>
                <c:pt idx="336">
                  <c:v>42870</c:v>
                </c:pt>
                <c:pt idx="337">
                  <c:v>42871</c:v>
                </c:pt>
                <c:pt idx="338">
                  <c:v>42872</c:v>
                </c:pt>
                <c:pt idx="339">
                  <c:v>42873</c:v>
                </c:pt>
                <c:pt idx="340">
                  <c:v>42874</c:v>
                </c:pt>
                <c:pt idx="341">
                  <c:v>42877</c:v>
                </c:pt>
                <c:pt idx="342">
                  <c:v>42878</c:v>
                </c:pt>
                <c:pt idx="343">
                  <c:v>42879</c:v>
                </c:pt>
                <c:pt idx="344">
                  <c:v>42880</c:v>
                </c:pt>
                <c:pt idx="345">
                  <c:v>42881</c:v>
                </c:pt>
                <c:pt idx="346">
                  <c:v>42884</c:v>
                </c:pt>
                <c:pt idx="347">
                  <c:v>42885</c:v>
                </c:pt>
                <c:pt idx="348">
                  <c:v>42886</c:v>
                </c:pt>
                <c:pt idx="349">
                  <c:v>42887</c:v>
                </c:pt>
                <c:pt idx="350">
                  <c:v>42888</c:v>
                </c:pt>
                <c:pt idx="351">
                  <c:v>42891</c:v>
                </c:pt>
                <c:pt idx="352">
                  <c:v>42892</c:v>
                </c:pt>
                <c:pt idx="353">
                  <c:v>42893</c:v>
                </c:pt>
                <c:pt idx="354">
                  <c:v>42894</c:v>
                </c:pt>
                <c:pt idx="355">
                  <c:v>42895</c:v>
                </c:pt>
                <c:pt idx="356">
                  <c:v>42898</c:v>
                </c:pt>
                <c:pt idx="357">
                  <c:v>42899</c:v>
                </c:pt>
                <c:pt idx="358">
                  <c:v>42900</c:v>
                </c:pt>
                <c:pt idx="359">
                  <c:v>42901</c:v>
                </c:pt>
                <c:pt idx="360">
                  <c:v>42902</c:v>
                </c:pt>
                <c:pt idx="361">
                  <c:v>42905</c:v>
                </c:pt>
                <c:pt idx="362">
                  <c:v>42906</c:v>
                </c:pt>
                <c:pt idx="363">
                  <c:v>42907</c:v>
                </c:pt>
                <c:pt idx="364">
                  <c:v>42908</c:v>
                </c:pt>
                <c:pt idx="365">
                  <c:v>42909</c:v>
                </c:pt>
                <c:pt idx="366">
                  <c:v>42912</c:v>
                </c:pt>
                <c:pt idx="367">
                  <c:v>42913</c:v>
                </c:pt>
                <c:pt idx="368">
                  <c:v>42914</c:v>
                </c:pt>
                <c:pt idx="369">
                  <c:v>42915</c:v>
                </c:pt>
                <c:pt idx="370">
                  <c:v>42916</c:v>
                </c:pt>
                <c:pt idx="371">
                  <c:v>42919</c:v>
                </c:pt>
                <c:pt idx="372">
                  <c:v>42920</c:v>
                </c:pt>
                <c:pt idx="373">
                  <c:v>42921</c:v>
                </c:pt>
                <c:pt idx="374">
                  <c:v>42922</c:v>
                </c:pt>
                <c:pt idx="375">
                  <c:v>42923</c:v>
                </c:pt>
                <c:pt idx="376">
                  <c:v>42926</c:v>
                </c:pt>
                <c:pt idx="377">
                  <c:v>42927</c:v>
                </c:pt>
                <c:pt idx="378">
                  <c:v>42928</c:v>
                </c:pt>
                <c:pt idx="379">
                  <c:v>42929</c:v>
                </c:pt>
                <c:pt idx="380">
                  <c:v>42930</c:v>
                </c:pt>
                <c:pt idx="381">
                  <c:v>42933</c:v>
                </c:pt>
                <c:pt idx="382">
                  <c:v>42934</c:v>
                </c:pt>
                <c:pt idx="383">
                  <c:v>42935</c:v>
                </c:pt>
                <c:pt idx="384">
                  <c:v>42936</c:v>
                </c:pt>
                <c:pt idx="385">
                  <c:v>42937</c:v>
                </c:pt>
                <c:pt idx="386">
                  <c:v>42940</c:v>
                </c:pt>
                <c:pt idx="387">
                  <c:v>42941</c:v>
                </c:pt>
                <c:pt idx="388">
                  <c:v>42942</c:v>
                </c:pt>
                <c:pt idx="389">
                  <c:v>42943</c:v>
                </c:pt>
                <c:pt idx="390">
                  <c:v>42944</c:v>
                </c:pt>
                <c:pt idx="391">
                  <c:v>42947</c:v>
                </c:pt>
                <c:pt idx="392">
                  <c:v>42948</c:v>
                </c:pt>
                <c:pt idx="393">
                  <c:v>42949</c:v>
                </c:pt>
                <c:pt idx="394">
                  <c:v>42950</c:v>
                </c:pt>
                <c:pt idx="395">
                  <c:v>42951</c:v>
                </c:pt>
                <c:pt idx="396">
                  <c:v>42954</c:v>
                </c:pt>
                <c:pt idx="397">
                  <c:v>42955</c:v>
                </c:pt>
                <c:pt idx="398">
                  <c:v>42956</c:v>
                </c:pt>
                <c:pt idx="399">
                  <c:v>42957</c:v>
                </c:pt>
                <c:pt idx="400">
                  <c:v>42958</c:v>
                </c:pt>
                <c:pt idx="401">
                  <c:v>42961</c:v>
                </c:pt>
                <c:pt idx="402">
                  <c:v>42962</c:v>
                </c:pt>
                <c:pt idx="403">
                  <c:v>42963</c:v>
                </c:pt>
                <c:pt idx="404">
                  <c:v>42964</c:v>
                </c:pt>
                <c:pt idx="405">
                  <c:v>42965</c:v>
                </c:pt>
                <c:pt idx="406">
                  <c:v>42968</c:v>
                </c:pt>
                <c:pt idx="407">
                  <c:v>42969</c:v>
                </c:pt>
                <c:pt idx="408">
                  <c:v>42970</c:v>
                </c:pt>
                <c:pt idx="409">
                  <c:v>42971</c:v>
                </c:pt>
                <c:pt idx="410">
                  <c:v>42972</c:v>
                </c:pt>
                <c:pt idx="411">
                  <c:v>42975</c:v>
                </c:pt>
                <c:pt idx="412">
                  <c:v>42976</c:v>
                </c:pt>
                <c:pt idx="413">
                  <c:v>42977</c:v>
                </c:pt>
                <c:pt idx="414">
                  <c:v>42978</c:v>
                </c:pt>
                <c:pt idx="415">
                  <c:v>42979</c:v>
                </c:pt>
                <c:pt idx="416">
                  <c:v>42982</c:v>
                </c:pt>
                <c:pt idx="417">
                  <c:v>42983</c:v>
                </c:pt>
                <c:pt idx="418">
                  <c:v>42984</c:v>
                </c:pt>
                <c:pt idx="419">
                  <c:v>42985</c:v>
                </c:pt>
                <c:pt idx="420">
                  <c:v>42986</c:v>
                </c:pt>
                <c:pt idx="421">
                  <c:v>42989</c:v>
                </c:pt>
                <c:pt idx="422">
                  <c:v>42990</c:v>
                </c:pt>
                <c:pt idx="423">
                  <c:v>42991</c:v>
                </c:pt>
                <c:pt idx="424">
                  <c:v>42992</c:v>
                </c:pt>
                <c:pt idx="425">
                  <c:v>42993</c:v>
                </c:pt>
                <c:pt idx="426">
                  <c:v>42996</c:v>
                </c:pt>
                <c:pt idx="427">
                  <c:v>42997</c:v>
                </c:pt>
                <c:pt idx="428">
                  <c:v>42998</c:v>
                </c:pt>
                <c:pt idx="429">
                  <c:v>42999</c:v>
                </c:pt>
                <c:pt idx="430">
                  <c:v>43000</c:v>
                </c:pt>
                <c:pt idx="431">
                  <c:v>43003</c:v>
                </c:pt>
                <c:pt idx="432">
                  <c:v>43004</c:v>
                </c:pt>
                <c:pt idx="433">
                  <c:v>43005</c:v>
                </c:pt>
                <c:pt idx="434">
                  <c:v>43006</c:v>
                </c:pt>
                <c:pt idx="435">
                  <c:v>43007</c:v>
                </c:pt>
                <c:pt idx="436">
                  <c:v>43010</c:v>
                </c:pt>
                <c:pt idx="437">
                  <c:v>43011</c:v>
                </c:pt>
                <c:pt idx="438">
                  <c:v>43012</c:v>
                </c:pt>
                <c:pt idx="439">
                  <c:v>43013</c:v>
                </c:pt>
                <c:pt idx="440">
                  <c:v>43014</c:v>
                </c:pt>
                <c:pt idx="441">
                  <c:v>43017</c:v>
                </c:pt>
                <c:pt idx="442">
                  <c:v>43018</c:v>
                </c:pt>
                <c:pt idx="443">
                  <c:v>43019</c:v>
                </c:pt>
                <c:pt idx="444">
                  <c:v>43020</c:v>
                </c:pt>
                <c:pt idx="445">
                  <c:v>43021</c:v>
                </c:pt>
                <c:pt idx="446">
                  <c:v>43024</c:v>
                </c:pt>
                <c:pt idx="447">
                  <c:v>43025</c:v>
                </c:pt>
                <c:pt idx="448">
                  <c:v>43026</c:v>
                </c:pt>
                <c:pt idx="449">
                  <c:v>43027</c:v>
                </c:pt>
                <c:pt idx="450">
                  <c:v>43028</c:v>
                </c:pt>
                <c:pt idx="451">
                  <c:v>43031</c:v>
                </c:pt>
                <c:pt idx="452">
                  <c:v>43032</c:v>
                </c:pt>
                <c:pt idx="453">
                  <c:v>43033</c:v>
                </c:pt>
                <c:pt idx="454">
                  <c:v>43034</c:v>
                </c:pt>
                <c:pt idx="455">
                  <c:v>43035</c:v>
                </c:pt>
                <c:pt idx="456">
                  <c:v>43038</c:v>
                </c:pt>
                <c:pt idx="457">
                  <c:v>43039</c:v>
                </c:pt>
                <c:pt idx="458">
                  <c:v>43040</c:v>
                </c:pt>
                <c:pt idx="459">
                  <c:v>43041</c:v>
                </c:pt>
                <c:pt idx="460">
                  <c:v>43042</c:v>
                </c:pt>
                <c:pt idx="461">
                  <c:v>43045</c:v>
                </c:pt>
                <c:pt idx="462">
                  <c:v>43046</c:v>
                </c:pt>
                <c:pt idx="463">
                  <c:v>43047</c:v>
                </c:pt>
                <c:pt idx="464">
                  <c:v>43048</c:v>
                </c:pt>
                <c:pt idx="465">
                  <c:v>43049</c:v>
                </c:pt>
                <c:pt idx="466">
                  <c:v>43052</c:v>
                </c:pt>
                <c:pt idx="467">
                  <c:v>43053</c:v>
                </c:pt>
                <c:pt idx="468">
                  <c:v>43054</c:v>
                </c:pt>
                <c:pt idx="469">
                  <c:v>43055</c:v>
                </c:pt>
                <c:pt idx="470">
                  <c:v>43056</c:v>
                </c:pt>
                <c:pt idx="471">
                  <c:v>43059</c:v>
                </c:pt>
                <c:pt idx="472">
                  <c:v>43060</c:v>
                </c:pt>
                <c:pt idx="473">
                  <c:v>43061</c:v>
                </c:pt>
                <c:pt idx="474">
                  <c:v>43062</c:v>
                </c:pt>
                <c:pt idx="475">
                  <c:v>43063</c:v>
                </c:pt>
                <c:pt idx="476">
                  <c:v>43066</c:v>
                </c:pt>
                <c:pt idx="477">
                  <c:v>43067</c:v>
                </c:pt>
                <c:pt idx="478">
                  <c:v>43068</c:v>
                </c:pt>
                <c:pt idx="479">
                  <c:v>43069</c:v>
                </c:pt>
                <c:pt idx="480">
                  <c:v>43070</c:v>
                </c:pt>
                <c:pt idx="481">
                  <c:v>43073</c:v>
                </c:pt>
                <c:pt idx="482">
                  <c:v>43074</c:v>
                </c:pt>
                <c:pt idx="483">
                  <c:v>43075</c:v>
                </c:pt>
                <c:pt idx="484">
                  <c:v>43076</c:v>
                </c:pt>
                <c:pt idx="485">
                  <c:v>43077</c:v>
                </c:pt>
                <c:pt idx="486">
                  <c:v>43080</c:v>
                </c:pt>
                <c:pt idx="487">
                  <c:v>43081</c:v>
                </c:pt>
                <c:pt idx="488">
                  <c:v>43082</c:v>
                </c:pt>
                <c:pt idx="489">
                  <c:v>43083</c:v>
                </c:pt>
                <c:pt idx="490">
                  <c:v>43084</c:v>
                </c:pt>
                <c:pt idx="491">
                  <c:v>43087</c:v>
                </c:pt>
                <c:pt idx="492">
                  <c:v>43088</c:v>
                </c:pt>
                <c:pt idx="493">
                  <c:v>43089</c:v>
                </c:pt>
                <c:pt idx="494">
                  <c:v>43090</c:v>
                </c:pt>
                <c:pt idx="495">
                  <c:v>43091</c:v>
                </c:pt>
                <c:pt idx="496">
                  <c:v>43094</c:v>
                </c:pt>
                <c:pt idx="497">
                  <c:v>43095</c:v>
                </c:pt>
                <c:pt idx="498">
                  <c:v>43096</c:v>
                </c:pt>
                <c:pt idx="499">
                  <c:v>43097</c:v>
                </c:pt>
                <c:pt idx="500">
                  <c:v>43098</c:v>
                </c:pt>
                <c:pt idx="501">
                  <c:v>43101</c:v>
                </c:pt>
                <c:pt idx="502">
                  <c:v>43102</c:v>
                </c:pt>
                <c:pt idx="503">
                  <c:v>43103</c:v>
                </c:pt>
                <c:pt idx="504">
                  <c:v>43104</c:v>
                </c:pt>
                <c:pt idx="505">
                  <c:v>43105</c:v>
                </c:pt>
                <c:pt idx="506">
                  <c:v>43108</c:v>
                </c:pt>
                <c:pt idx="507">
                  <c:v>43109</c:v>
                </c:pt>
                <c:pt idx="508">
                  <c:v>43110</c:v>
                </c:pt>
                <c:pt idx="509">
                  <c:v>43111</c:v>
                </c:pt>
                <c:pt idx="510">
                  <c:v>43112</c:v>
                </c:pt>
                <c:pt idx="511">
                  <c:v>43115</c:v>
                </c:pt>
                <c:pt idx="512">
                  <c:v>43116</c:v>
                </c:pt>
                <c:pt idx="513">
                  <c:v>43117</c:v>
                </c:pt>
                <c:pt idx="514">
                  <c:v>43118</c:v>
                </c:pt>
                <c:pt idx="515">
                  <c:v>43119</c:v>
                </c:pt>
                <c:pt idx="516">
                  <c:v>43122</c:v>
                </c:pt>
                <c:pt idx="517">
                  <c:v>43123</c:v>
                </c:pt>
                <c:pt idx="518">
                  <c:v>43124</c:v>
                </c:pt>
                <c:pt idx="519">
                  <c:v>43125</c:v>
                </c:pt>
                <c:pt idx="520">
                  <c:v>43126</c:v>
                </c:pt>
                <c:pt idx="521">
                  <c:v>43129</c:v>
                </c:pt>
                <c:pt idx="522">
                  <c:v>43130</c:v>
                </c:pt>
                <c:pt idx="523">
                  <c:v>43131</c:v>
                </c:pt>
                <c:pt idx="524">
                  <c:v>43132</c:v>
                </c:pt>
                <c:pt idx="525">
                  <c:v>43133</c:v>
                </c:pt>
                <c:pt idx="526">
                  <c:v>43136</c:v>
                </c:pt>
                <c:pt idx="527">
                  <c:v>43137</c:v>
                </c:pt>
                <c:pt idx="528">
                  <c:v>43138</c:v>
                </c:pt>
                <c:pt idx="529">
                  <c:v>43139</c:v>
                </c:pt>
                <c:pt idx="530">
                  <c:v>43140</c:v>
                </c:pt>
                <c:pt idx="531">
                  <c:v>43143</c:v>
                </c:pt>
                <c:pt idx="532">
                  <c:v>43144</c:v>
                </c:pt>
                <c:pt idx="533">
                  <c:v>43145</c:v>
                </c:pt>
                <c:pt idx="534">
                  <c:v>43146</c:v>
                </c:pt>
                <c:pt idx="535">
                  <c:v>43147</c:v>
                </c:pt>
                <c:pt idx="536">
                  <c:v>43150</c:v>
                </c:pt>
                <c:pt idx="537">
                  <c:v>43151</c:v>
                </c:pt>
                <c:pt idx="538">
                  <c:v>43152</c:v>
                </c:pt>
                <c:pt idx="539">
                  <c:v>43153</c:v>
                </c:pt>
                <c:pt idx="540">
                  <c:v>43154</c:v>
                </c:pt>
                <c:pt idx="541">
                  <c:v>43157</c:v>
                </c:pt>
                <c:pt idx="542">
                  <c:v>43158</c:v>
                </c:pt>
                <c:pt idx="543">
                  <c:v>43159</c:v>
                </c:pt>
              </c:numCache>
            </c:numRef>
          </c:cat>
          <c:val>
            <c:numRef>
              <c:f>'Currency Raw'!$K$2:$K$545</c:f>
              <c:numCache>
                <c:formatCode>General</c:formatCode>
                <c:ptCount val="544"/>
                <c:pt idx="1">
                  <c:v>-7.0066747796584325E-2</c:v>
                </c:pt>
                <c:pt idx="2">
                  <c:v>-0.2802669911863373</c:v>
                </c:pt>
                <c:pt idx="3">
                  <c:v>-0.41302503964303006</c:v>
                </c:pt>
                <c:pt idx="4">
                  <c:v>0.33366522845448349</c:v>
                </c:pt>
                <c:pt idx="5">
                  <c:v>0.20474241250876329</c:v>
                </c:pt>
                <c:pt idx="6">
                  <c:v>-0.21757569052622891</c:v>
                </c:pt>
                <c:pt idx="7">
                  <c:v>-0.15665449717889321</c:v>
                </c:pt>
                <c:pt idx="8">
                  <c:v>-9.2193089206033113E-2</c:v>
                </c:pt>
                <c:pt idx="9">
                  <c:v>-0.74860788435297876</c:v>
                </c:pt>
                <c:pt idx="10">
                  <c:v>-0.65272707157870768</c:v>
                </c:pt>
                <c:pt idx="11">
                  <c:v>-0.39458642180181924</c:v>
                </c:pt>
                <c:pt idx="12">
                  <c:v>-0.87030276210493662</c:v>
                </c:pt>
                <c:pt idx="13">
                  <c:v>-0.9976029796806396</c:v>
                </c:pt>
                <c:pt idx="14">
                  <c:v>-0.99568536342515346</c:v>
                </c:pt>
                <c:pt idx="15">
                  <c:v>-0.99568536342515346</c:v>
                </c:pt>
                <c:pt idx="16">
                  <c:v>-1.1985101596784304</c:v>
                </c:pt>
                <c:pt idx="17">
                  <c:v>-1.1707784784452575</c:v>
                </c:pt>
                <c:pt idx="18">
                  <c:v>-1.135818859018322</c:v>
                </c:pt>
                <c:pt idx="19">
                  <c:v>-1.353394549544551</c:v>
                </c:pt>
                <c:pt idx="20">
                  <c:v>-1.2390751189290692</c:v>
                </c:pt>
                <c:pt idx="21">
                  <c:v>-0.92930633919680694</c:v>
                </c:pt>
                <c:pt idx="22">
                  <c:v>0.24589740753034012</c:v>
                </c:pt>
                <c:pt idx="23">
                  <c:v>0.65567725043331493</c:v>
                </c:pt>
                <c:pt idx="24">
                  <c:v>0.89611682708264428</c:v>
                </c:pt>
                <c:pt idx="25">
                  <c:v>1.3084043220120225</c:v>
                </c:pt>
                <c:pt idx="26">
                  <c:v>1.3084043220120225</c:v>
                </c:pt>
                <c:pt idx="27">
                  <c:v>0.73606962422098221</c:v>
                </c:pt>
                <c:pt idx="28">
                  <c:v>1.0318250543939234</c:v>
                </c:pt>
                <c:pt idx="29">
                  <c:v>0.73975734778922031</c:v>
                </c:pt>
                <c:pt idx="30">
                  <c:v>1.2482206733783385</c:v>
                </c:pt>
                <c:pt idx="31">
                  <c:v>0.97886934395398062</c:v>
                </c:pt>
                <c:pt idx="32">
                  <c:v>0.6301582033410762</c:v>
                </c:pt>
                <c:pt idx="33">
                  <c:v>0.67485341298817747</c:v>
                </c:pt>
                <c:pt idx="34">
                  <c:v>1.9780949220046584</c:v>
                </c:pt>
                <c:pt idx="35">
                  <c:v>2.0540620275104149</c:v>
                </c:pt>
                <c:pt idx="36">
                  <c:v>1.8128849061474339</c:v>
                </c:pt>
                <c:pt idx="37">
                  <c:v>1.6078474757532224</c:v>
                </c:pt>
                <c:pt idx="38">
                  <c:v>1.3824538112623139</c:v>
                </c:pt>
                <c:pt idx="39">
                  <c:v>1.3824538112623139</c:v>
                </c:pt>
                <c:pt idx="40">
                  <c:v>1.3824538112623139</c:v>
                </c:pt>
                <c:pt idx="41">
                  <c:v>1.7653870265885021</c:v>
                </c:pt>
                <c:pt idx="42">
                  <c:v>2.1199985249105788</c:v>
                </c:pt>
                <c:pt idx="43">
                  <c:v>2.3036471586089933</c:v>
                </c:pt>
                <c:pt idx="44">
                  <c:v>2.4268171257882547</c:v>
                </c:pt>
                <c:pt idx="45">
                  <c:v>2.2790131651731409</c:v>
                </c:pt>
                <c:pt idx="46">
                  <c:v>2.3417044658332493</c:v>
                </c:pt>
                <c:pt idx="47">
                  <c:v>1.9618689383043821</c:v>
                </c:pt>
                <c:pt idx="48">
                  <c:v>1.6705387764133308</c:v>
                </c:pt>
                <c:pt idx="49">
                  <c:v>1.9544934911679062</c:v>
                </c:pt>
                <c:pt idx="50">
                  <c:v>1.9544934911679062</c:v>
                </c:pt>
                <c:pt idx="51">
                  <c:v>2.0080392373787661</c:v>
                </c:pt>
                <c:pt idx="52">
                  <c:v>2.0152671755725282</c:v>
                </c:pt>
                <c:pt idx="53">
                  <c:v>1.6926651178227798</c:v>
                </c:pt>
                <c:pt idx="54">
                  <c:v>1.6926651178227798</c:v>
                </c:pt>
                <c:pt idx="55">
                  <c:v>1.6926651178227798</c:v>
                </c:pt>
                <c:pt idx="56">
                  <c:v>1.8291108898477102</c:v>
                </c:pt>
                <c:pt idx="57">
                  <c:v>1.8291108898477102</c:v>
                </c:pt>
                <c:pt idx="58">
                  <c:v>2.3176605081683141</c:v>
                </c:pt>
                <c:pt idx="59">
                  <c:v>2.0614374746469122</c:v>
                </c:pt>
                <c:pt idx="60">
                  <c:v>1.9305970424457055</c:v>
                </c:pt>
                <c:pt idx="61">
                  <c:v>1.7332300770734184</c:v>
                </c:pt>
                <c:pt idx="62">
                  <c:v>1.8715934653538353</c:v>
                </c:pt>
                <c:pt idx="63">
                  <c:v>1.976619832577355</c:v>
                </c:pt>
                <c:pt idx="64">
                  <c:v>1.8751336799793596</c:v>
                </c:pt>
                <c:pt idx="65">
                  <c:v>2.1573182874211829</c:v>
                </c:pt>
                <c:pt idx="66">
                  <c:v>2.0847438875981954</c:v>
                </c:pt>
                <c:pt idx="67">
                  <c:v>1.881329055574001</c:v>
                </c:pt>
                <c:pt idx="68">
                  <c:v>1.6565254268540097</c:v>
                </c:pt>
                <c:pt idx="69">
                  <c:v>1.7836781354869782</c:v>
                </c:pt>
                <c:pt idx="70">
                  <c:v>1.827930818305876</c:v>
                </c:pt>
                <c:pt idx="71">
                  <c:v>1.5991444481321775</c:v>
                </c:pt>
                <c:pt idx="72">
                  <c:v>1.62038573588524</c:v>
                </c:pt>
                <c:pt idx="73">
                  <c:v>1.8453368735479658</c:v>
                </c:pt>
                <c:pt idx="74">
                  <c:v>1.6218608253125437</c:v>
                </c:pt>
                <c:pt idx="75">
                  <c:v>1.1328686801637358</c:v>
                </c:pt>
                <c:pt idx="76">
                  <c:v>1.4688940517018882</c:v>
                </c:pt>
                <c:pt idx="77">
                  <c:v>1.4879227053140165</c:v>
                </c:pt>
                <c:pt idx="78">
                  <c:v>1.1569126378286709</c:v>
                </c:pt>
                <c:pt idx="79">
                  <c:v>0.32923996017259372</c:v>
                </c:pt>
                <c:pt idx="80">
                  <c:v>0.59446103920051008</c:v>
                </c:pt>
                <c:pt idx="81">
                  <c:v>0.44768964118449628</c:v>
                </c:pt>
                <c:pt idx="82">
                  <c:v>9.3373160747867584E-2</c:v>
                </c:pt>
                <c:pt idx="83">
                  <c:v>0.75672087620312745</c:v>
                </c:pt>
                <c:pt idx="84">
                  <c:v>1.2673968359331802</c:v>
                </c:pt>
                <c:pt idx="85">
                  <c:v>1.2359774311317693</c:v>
                </c:pt>
                <c:pt idx="86">
                  <c:v>0.98462219272043949</c:v>
                </c:pt>
                <c:pt idx="87">
                  <c:v>0.98255706752221861</c:v>
                </c:pt>
                <c:pt idx="88">
                  <c:v>0.47910904598592824</c:v>
                </c:pt>
                <c:pt idx="89">
                  <c:v>0.75524578677582388</c:v>
                </c:pt>
                <c:pt idx="90">
                  <c:v>1.3482317365490304</c:v>
                </c:pt>
                <c:pt idx="91">
                  <c:v>1.4132831802928076</c:v>
                </c:pt>
                <c:pt idx="92">
                  <c:v>1.6609506951358994</c:v>
                </c:pt>
                <c:pt idx="93">
                  <c:v>1.9360548733266953</c:v>
                </c:pt>
                <c:pt idx="94">
                  <c:v>1.5838035180882875</c:v>
                </c:pt>
                <c:pt idx="95">
                  <c:v>1.3091418667256742</c:v>
                </c:pt>
                <c:pt idx="96">
                  <c:v>0.88490614743519591</c:v>
                </c:pt>
                <c:pt idx="97">
                  <c:v>0.64948187483867337</c:v>
                </c:pt>
                <c:pt idx="98">
                  <c:v>0.97724674558396352</c:v>
                </c:pt>
                <c:pt idx="99">
                  <c:v>0.64697422281226991</c:v>
                </c:pt>
                <c:pt idx="100">
                  <c:v>1.0333001438212268</c:v>
                </c:pt>
                <c:pt idx="101">
                  <c:v>0.34487590810193192</c:v>
                </c:pt>
                <c:pt idx="102">
                  <c:v>8.6735258325043432E-2</c:v>
                </c:pt>
                <c:pt idx="103">
                  <c:v>0.47291367039126581</c:v>
                </c:pt>
                <c:pt idx="104">
                  <c:v>0.71615591695246783</c:v>
                </c:pt>
                <c:pt idx="105">
                  <c:v>-7.3311944536639612E-2</c:v>
                </c:pt>
                <c:pt idx="106">
                  <c:v>-0.21610060109892534</c:v>
                </c:pt>
                <c:pt idx="107">
                  <c:v>-1.6225983700171606E-3</c:v>
                </c:pt>
                <c:pt idx="108">
                  <c:v>0.53811262307777774</c:v>
                </c:pt>
                <c:pt idx="109">
                  <c:v>0.3908986982335812</c:v>
                </c:pt>
                <c:pt idx="110">
                  <c:v>0.84625880444002244</c:v>
                </c:pt>
                <c:pt idx="111">
                  <c:v>0.76040859977136543</c:v>
                </c:pt>
                <c:pt idx="112">
                  <c:v>0.56112401814361279</c:v>
                </c:pt>
                <c:pt idx="113">
                  <c:v>0.54799572224065707</c:v>
                </c:pt>
                <c:pt idx="114">
                  <c:v>0.45624515986282765</c:v>
                </c:pt>
                <c:pt idx="115">
                  <c:v>0.950695135892625</c:v>
                </c:pt>
                <c:pt idx="116">
                  <c:v>0.96323339602464253</c:v>
                </c:pt>
                <c:pt idx="117">
                  <c:v>1.1868569532027993</c:v>
                </c:pt>
                <c:pt idx="118">
                  <c:v>1.1247556883136083</c:v>
                </c:pt>
                <c:pt idx="119">
                  <c:v>1.4212486632002217</c:v>
                </c:pt>
                <c:pt idx="120">
                  <c:v>0.99804550650884338</c:v>
                </c:pt>
                <c:pt idx="121">
                  <c:v>0.95438285946086299</c:v>
                </c:pt>
                <c:pt idx="122">
                  <c:v>0.90614743518825835</c:v>
                </c:pt>
                <c:pt idx="123">
                  <c:v>0.90599992624554471</c:v>
                </c:pt>
                <c:pt idx="124">
                  <c:v>0.92119334734667935</c:v>
                </c:pt>
                <c:pt idx="125">
                  <c:v>0.88431611166427859</c:v>
                </c:pt>
                <c:pt idx="126">
                  <c:v>0.53427739056680512</c:v>
                </c:pt>
                <c:pt idx="127">
                  <c:v>0.61334218386990358</c:v>
                </c:pt>
                <c:pt idx="128">
                  <c:v>0.9760666740421291</c:v>
                </c:pt>
                <c:pt idx="129">
                  <c:v>1.1890695873437336</c:v>
                </c:pt>
                <c:pt idx="130">
                  <c:v>1.4647638013054676</c:v>
                </c:pt>
                <c:pt idx="131">
                  <c:v>1.5852786075155909</c:v>
                </c:pt>
                <c:pt idx="132">
                  <c:v>1.6630158203341203</c:v>
                </c:pt>
                <c:pt idx="133">
                  <c:v>1.4575358631117052</c:v>
                </c:pt>
                <c:pt idx="134">
                  <c:v>1.4832024191466575</c:v>
                </c:pt>
                <c:pt idx="135">
                  <c:v>1.3899767673415244</c:v>
                </c:pt>
                <c:pt idx="136">
                  <c:v>1.4600435151381088</c:v>
                </c:pt>
                <c:pt idx="137">
                  <c:v>1.5152118597190067</c:v>
                </c:pt>
                <c:pt idx="138">
                  <c:v>1.5283401556219414</c:v>
                </c:pt>
                <c:pt idx="139">
                  <c:v>1.5069513589261445</c:v>
                </c:pt>
                <c:pt idx="140">
                  <c:v>1.3150422244348676</c:v>
                </c:pt>
                <c:pt idx="141">
                  <c:v>1.3150422244348676</c:v>
                </c:pt>
                <c:pt idx="142">
                  <c:v>1.4011874469889729</c:v>
                </c:pt>
                <c:pt idx="143">
                  <c:v>1.3643102113065722</c:v>
                </c:pt>
                <c:pt idx="144">
                  <c:v>1.3752258730685516</c:v>
                </c:pt>
                <c:pt idx="145">
                  <c:v>0.98462219272043949</c:v>
                </c:pt>
                <c:pt idx="146">
                  <c:v>0.88180845963787524</c:v>
                </c:pt>
                <c:pt idx="147">
                  <c:v>1.0700298705609139</c:v>
                </c:pt>
                <c:pt idx="148">
                  <c:v>0.97547663827119091</c:v>
                </c:pt>
                <c:pt idx="149">
                  <c:v>1.1368514216174428</c:v>
                </c:pt>
                <c:pt idx="150">
                  <c:v>1.1564701110004882</c:v>
                </c:pt>
                <c:pt idx="151">
                  <c:v>0.92724121399860726</c:v>
                </c:pt>
                <c:pt idx="152">
                  <c:v>0.94877751963713886</c:v>
                </c:pt>
                <c:pt idx="153">
                  <c:v>1.2405502083563935</c:v>
                </c:pt>
                <c:pt idx="154">
                  <c:v>1.4162333591473939</c:v>
                </c:pt>
                <c:pt idx="155">
                  <c:v>1.7855957517424648</c:v>
                </c:pt>
                <c:pt idx="156">
                  <c:v>1.784415680200609</c:v>
                </c:pt>
                <c:pt idx="157">
                  <c:v>2.2236973116495298</c:v>
                </c:pt>
                <c:pt idx="158">
                  <c:v>2.033705793413739</c:v>
                </c:pt>
                <c:pt idx="159">
                  <c:v>1.6885348674263378</c:v>
                </c:pt>
                <c:pt idx="160">
                  <c:v>1.350739388575434</c:v>
                </c:pt>
                <c:pt idx="161">
                  <c:v>1.4888077589704027</c:v>
                </c:pt>
                <c:pt idx="162">
                  <c:v>1.526127521480986</c:v>
                </c:pt>
                <c:pt idx="163">
                  <c:v>1.4118080908655042</c:v>
                </c:pt>
                <c:pt idx="164">
                  <c:v>1.3637201755356549</c:v>
                </c:pt>
                <c:pt idx="165">
                  <c:v>1.0122063650108779</c:v>
                </c:pt>
                <c:pt idx="166">
                  <c:v>1.2073606962422099</c:v>
                </c:pt>
                <c:pt idx="167">
                  <c:v>1.1749087288416991</c:v>
                </c:pt>
                <c:pt idx="168">
                  <c:v>1.2191614116605967</c:v>
                </c:pt>
                <c:pt idx="169">
                  <c:v>1.7497510786591428</c:v>
                </c:pt>
                <c:pt idx="170">
                  <c:v>1.6425120772946888</c:v>
                </c:pt>
                <c:pt idx="171">
                  <c:v>1.7743850720949952</c:v>
                </c:pt>
                <c:pt idx="172">
                  <c:v>2.014677139801611</c:v>
                </c:pt>
                <c:pt idx="173">
                  <c:v>1.9329571855293746</c:v>
                </c:pt>
                <c:pt idx="174">
                  <c:v>1.4802522402920713</c:v>
                </c:pt>
                <c:pt idx="175">
                  <c:v>1.7143489324040246</c:v>
                </c:pt>
                <c:pt idx="176">
                  <c:v>1.8755762068075423</c:v>
                </c:pt>
                <c:pt idx="177">
                  <c:v>1.7441457388354187</c:v>
                </c:pt>
                <c:pt idx="178">
                  <c:v>1.6823394918316965</c:v>
                </c:pt>
                <c:pt idx="179">
                  <c:v>1.617435557030654</c:v>
                </c:pt>
                <c:pt idx="180">
                  <c:v>1.6771766788361551</c:v>
                </c:pt>
                <c:pt idx="181">
                  <c:v>1.9441678651768231</c:v>
                </c:pt>
                <c:pt idx="182">
                  <c:v>1.9354648375557781</c:v>
                </c:pt>
                <c:pt idx="183">
                  <c:v>1.9354648375557781</c:v>
                </c:pt>
                <c:pt idx="184">
                  <c:v>1.4056127152708626</c:v>
                </c:pt>
                <c:pt idx="185">
                  <c:v>1.6115351993214604</c:v>
                </c:pt>
                <c:pt idx="186">
                  <c:v>1.458273407825357</c:v>
                </c:pt>
                <c:pt idx="187">
                  <c:v>1.5727403473835735</c:v>
                </c:pt>
                <c:pt idx="188">
                  <c:v>1.7032857616993109</c:v>
                </c:pt>
                <c:pt idx="189">
                  <c:v>1.4088579120109179</c:v>
                </c:pt>
                <c:pt idx="190">
                  <c:v>1.2561861562857319</c:v>
                </c:pt>
                <c:pt idx="191">
                  <c:v>1.3355459674742785</c:v>
                </c:pt>
                <c:pt idx="192">
                  <c:v>1.443227495666936</c:v>
                </c:pt>
                <c:pt idx="193">
                  <c:v>1.3659328096765895</c:v>
                </c:pt>
                <c:pt idx="194">
                  <c:v>1.3691780064166448</c:v>
                </c:pt>
                <c:pt idx="195">
                  <c:v>1.4660913817900367</c:v>
                </c:pt>
                <c:pt idx="196">
                  <c:v>1.4660913817900367</c:v>
                </c:pt>
                <c:pt idx="197">
                  <c:v>1.5665449717889111</c:v>
                </c:pt>
                <c:pt idx="198">
                  <c:v>1.5422059962385279</c:v>
                </c:pt>
                <c:pt idx="199">
                  <c:v>1.6373492642991472</c:v>
                </c:pt>
                <c:pt idx="200">
                  <c:v>1.4522255411734293</c:v>
                </c:pt>
                <c:pt idx="201">
                  <c:v>1.5525316222296111</c:v>
                </c:pt>
                <c:pt idx="202">
                  <c:v>2.1192609801969269</c:v>
                </c:pt>
                <c:pt idx="203">
                  <c:v>1.9331046944721091</c:v>
                </c:pt>
                <c:pt idx="204">
                  <c:v>1.0875834347457383</c:v>
                </c:pt>
                <c:pt idx="205">
                  <c:v>0.1972194564295528</c:v>
                </c:pt>
                <c:pt idx="206">
                  <c:v>0.1972194564295528</c:v>
                </c:pt>
                <c:pt idx="207">
                  <c:v>-7.6262123391225789E-2</c:v>
                </c:pt>
                <c:pt idx="208">
                  <c:v>-0.41671276321126793</c:v>
                </c:pt>
                <c:pt idx="209">
                  <c:v>-0.20429988568055965</c:v>
                </c:pt>
                <c:pt idx="210">
                  <c:v>-0.51347862964192548</c:v>
                </c:pt>
                <c:pt idx="211">
                  <c:v>-0.66747796585168062</c:v>
                </c:pt>
                <c:pt idx="212">
                  <c:v>-0.87295792307407472</c:v>
                </c:pt>
                <c:pt idx="213">
                  <c:v>-1.5746579636390388</c:v>
                </c:pt>
                <c:pt idx="214">
                  <c:v>-1.4457351476933187</c:v>
                </c:pt>
                <c:pt idx="215">
                  <c:v>-1.2021978832466684</c:v>
                </c:pt>
                <c:pt idx="216">
                  <c:v>-1.1808090865508714</c:v>
                </c:pt>
                <c:pt idx="217">
                  <c:v>-1.2513183611756384</c:v>
                </c:pt>
                <c:pt idx="218">
                  <c:v>-1.1315410996791668</c:v>
                </c:pt>
                <c:pt idx="219">
                  <c:v>-0.66644540325255974</c:v>
                </c:pt>
                <c:pt idx="220">
                  <c:v>-0.34192572924732478</c:v>
                </c:pt>
                <c:pt idx="221">
                  <c:v>-0.3099162886749966</c:v>
                </c:pt>
                <c:pt idx="222">
                  <c:v>9.0422981893281407E-2</c:v>
                </c:pt>
                <c:pt idx="223">
                  <c:v>0.38322823321163618</c:v>
                </c:pt>
                <c:pt idx="224">
                  <c:v>0.54534056127154007</c:v>
                </c:pt>
                <c:pt idx="225">
                  <c:v>0.39370136814545381</c:v>
                </c:pt>
                <c:pt idx="226">
                  <c:v>0.39370136814545381</c:v>
                </c:pt>
                <c:pt idx="227">
                  <c:v>0.4830917874396144</c:v>
                </c:pt>
                <c:pt idx="228">
                  <c:v>0.47129107202124865</c:v>
                </c:pt>
                <c:pt idx="229">
                  <c:v>-0.17863332964560746</c:v>
                </c:pt>
                <c:pt idx="230">
                  <c:v>-7.522956079212588E-2</c:v>
                </c:pt>
                <c:pt idx="231">
                  <c:v>-9.0422981893281407E-2</c:v>
                </c:pt>
                <c:pt idx="232">
                  <c:v>-0.22495113766270486</c:v>
                </c:pt>
                <c:pt idx="233">
                  <c:v>-4.4252682818897569E-2</c:v>
                </c:pt>
                <c:pt idx="234">
                  <c:v>-0.14824648744329638</c:v>
                </c:pt>
                <c:pt idx="235">
                  <c:v>-7.0066747796584325E-2</c:v>
                </c:pt>
                <c:pt idx="236">
                  <c:v>2.8764243832293906E-2</c:v>
                </c:pt>
                <c:pt idx="237">
                  <c:v>-0.30755614559132766</c:v>
                </c:pt>
                <c:pt idx="238">
                  <c:v>-0.62322528303278302</c:v>
                </c:pt>
                <c:pt idx="239">
                  <c:v>-0.23601430836743972</c:v>
                </c:pt>
                <c:pt idx="240">
                  <c:v>-0.27126894567982324</c:v>
                </c:pt>
                <c:pt idx="241">
                  <c:v>-0.46834089316664151</c:v>
                </c:pt>
                <c:pt idx="242">
                  <c:v>-0.88505365637790956</c:v>
                </c:pt>
                <c:pt idx="243">
                  <c:v>-0.13644577202493066</c:v>
                </c:pt>
                <c:pt idx="244">
                  <c:v>6.2838809602842938E-2</c:v>
                </c:pt>
                <c:pt idx="245">
                  <c:v>-0.53855514990596032</c:v>
                </c:pt>
                <c:pt idx="246">
                  <c:v>-0.53545746210863965</c:v>
                </c:pt>
                <c:pt idx="247">
                  <c:v>-0.74949293800936512</c:v>
                </c:pt>
                <c:pt idx="248">
                  <c:v>-0.64638418704133171</c:v>
                </c:pt>
                <c:pt idx="249">
                  <c:v>-0.35033373898292164</c:v>
                </c:pt>
                <c:pt idx="250">
                  <c:v>-0.53471991739498781</c:v>
                </c:pt>
                <c:pt idx="251">
                  <c:v>-0.49489250285798009</c:v>
                </c:pt>
                <c:pt idx="252">
                  <c:v>-0.23999704982114681</c:v>
                </c:pt>
                <c:pt idx="253">
                  <c:v>-0.55050337426706064</c:v>
                </c:pt>
                <c:pt idx="254">
                  <c:v>-0.50743076298999756</c:v>
                </c:pt>
                <c:pt idx="255">
                  <c:v>-0.4466570785853754</c:v>
                </c:pt>
                <c:pt idx="256">
                  <c:v>-0.46834089316664151</c:v>
                </c:pt>
                <c:pt idx="257">
                  <c:v>-0.51996902312201498</c:v>
                </c:pt>
                <c:pt idx="258">
                  <c:v>-0.42408821034774391</c:v>
                </c:pt>
                <c:pt idx="259">
                  <c:v>-0.42408821034774391</c:v>
                </c:pt>
                <c:pt idx="260">
                  <c:v>-0.48987719880517305</c:v>
                </c:pt>
                <c:pt idx="261">
                  <c:v>2.507652026403497E-3</c:v>
                </c:pt>
                <c:pt idx="262">
                  <c:v>0.40727219087657124</c:v>
                </c:pt>
                <c:pt idx="263">
                  <c:v>0.59210089611684102</c:v>
                </c:pt>
                <c:pt idx="264">
                  <c:v>0.85333923369105036</c:v>
                </c:pt>
                <c:pt idx="265">
                  <c:v>0.98639230003319112</c:v>
                </c:pt>
                <c:pt idx="266">
                  <c:v>0.85024154589372958</c:v>
                </c:pt>
                <c:pt idx="267">
                  <c:v>0.59003577091862025</c:v>
                </c:pt>
                <c:pt idx="268">
                  <c:v>1.1468820297230569</c:v>
                </c:pt>
                <c:pt idx="269">
                  <c:v>1.5551867831987281</c:v>
                </c:pt>
                <c:pt idx="270">
                  <c:v>1.3681454438175449</c:v>
                </c:pt>
                <c:pt idx="271">
                  <c:v>1.1653206475642677</c:v>
                </c:pt>
                <c:pt idx="272">
                  <c:v>1.3250728325404817</c:v>
                </c:pt>
                <c:pt idx="273">
                  <c:v>1.3398237268134336</c:v>
                </c:pt>
                <c:pt idx="274">
                  <c:v>0.94184459932884546</c:v>
                </c:pt>
                <c:pt idx="275">
                  <c:v>1.0399380462440508</c:v>
                </c:pt>
                <c:pt idx="276">
                  <c:v>1.242762842497328</c:v>
                </c:pt>
                <c:pt idx="277">
                  <c:v>1.2833278017479874</c:v>
                </c:pt>
                <c:pt idx="278">
                  <c:v>1.183611756462744</c:v>
                </c:pt>
                <c:pt idx="279">
                  <c:v>1.7224619242541732</c:v>
                </c:pt>
                <c:pt idx="280">
                  <c:v>1.7224619242541732</c:v>
                </c:pt>
                <c:pt idx="281">
                  <c:v>1.5864586790574255</c:v>
                </c:pt>
                <c:pt idx="282">
                  <c:v>1.6211232805988918</c:v>
                </c:pt>
                <c:pt idx="283">
                  <c:v>1.5820334107755358</c:v>
                </c:pt>
                <c:pt idx="284">
                  <c:v>1.4300991997640013</c:v>
                </c:pt>
                <c:pt idx="285">
                  <c:v>1.5042961979570062</c:v>
                </c:pt>
                <c:pt idx="286">
                  <c:v>1.6668510528450931</c:v>
                </c:pt>
                <c:pt idx="287">
                  <c:v>1.7317549876461356</c:v>
                </c:pt>
                <c:pt idx="288">
                  <c:v>1.4122506176937077</c:v>
                </c:pt>
                <c:pt idx="289">
                  <c:v>1.677914223549807</c:v>
                </c:pt>
                <c:pt idx="290">
                  <c:v>1.8248331305085341</c:v>
                </c:pt>
                <c:pt idx="291">
                  <c:v>1.8248331305085341</c:v>
                </c:pt>
                <c:pt idx="292">
                  <c:v>3.0003318951211502</c:v>
                </c:pt>
                <c:pt idx="293">
                  <c:v>3.3226389349854299</c:v>
                </c:pt>
                <c:pt idx="294">
                  <c:v>3.5419847328244316</c:v>
                </c:pt>
                <c:pt idx="295">
                  <c:v>3.3521407235313756</c:v>
                </c:pt>
                <c:pt idx="296">
                  <c:v>3.6692849504001139</c:v>
                </c:pt>
                <c:pt idx="297">
                  <c:v>3.3676291625179795</c:v>
                </c:pt>
                <c:pt idx="298">
                  <c:v>3.510270310137551</c:v>
                </c:pt>
                <c:pt idx="299">
                  <c:v>3.4807685215916271</c:v>
                </c:pt>
                <c:pt idx="300">
                  <c:v>3.5217760076704692</c:v>
                </c:pt>
                <c:pt idx="301">
                  <c:v>4.0085555186783219</c:v>
                </c:pt>
                <c:pt idx="302">
                  <c:v>4.0647564258583193</c:v>
                </c:pt>
                <c:pt idx="303">
                  <c:v>4.3301250138289697</c:v>
                </c:pt>
                <c:pt idx="304">
                  <c:v>4.4363314525943238</c:v>
                </c:pt>
                <c:pt idx="305">
                  <c:v>4.3197993878378869</c:v>
                </c:pt>
                <c:pt idx="306">
                  <c:v>4.0585610502636777</c:v>
                </c:pt>
                <c:pt idx="307">
                  <c:v>4.0988309916288683</c:v>
                </c:pt>
                <c:pt idx="308">
                  <c:v>4.0852601688977508</c:v>
                </c:pt>
                <c:pt idx="309">
                  <c:v>4.7089279787587168</c:v>
                </c:pt>
                <c:pt idx="310">
                  <c:v>5.1660581922779096</c:v>
                </c:pt>
                <c:pt idx="311">
                  <c:v>4.7533281705203478</c:v>
                </c:pt>
                <c:pt idx="312">
                  <c:v>4.6207176310063902</c:v>
                </c:pt>
                <c:pt idx="313">
                  <c:v>4.4732086882767241</c:v>
                </c:pt>
                <c:pt idx="314">
                  <c:v>4.8862337279197545</c:v>
                </c:pt>
                <c:pt idx="315">
                  <c:v>4.8139543459822365</c:v>
                </c:pt>
                <c:pt idx="316">
                  <c:v>4.9953903455396951</c:v>
                </c:pt>
                <c:pt idx="317">
                  <c:v>4.7078954161596167</c:v>
                </c:pt>
                <c:pt idx="318">
                  <c:v>4.64254895453037</c:v>
                </c:pt>
                <c:pt idx="319">
                  <c:v>4.524836818232119</c:v>
                </c:pt>
                <c:pt idx="320">
                  <c:v>4.6236678098609758</c:v>
                </c:pt>
                <c:pt idx="321">
                  <c:v>4.851716635321023</c:v>
                </c:pt>
                <c:pt idx="322">
                  <c:v>5.1045469631596561</c:v>
                </c:pt>
                <c:pt idx="323">
                  <c:v>5.3902717852269832</c:v>
                </c:pt>
                <c:pt idx="324">
                  <c:v>5.4393922631559537</c:v>
                </c:pt>
                <c:pt idx="325">
                  <c:v>5.1887745694582748</c:v>
                </c:pt>
                <c:pt idx="326">
                  <c:v>5.1805140686654125</c:v>
                </c:pt>
                <c:pt idx="327">
                  <c:v>5.3362835121879417</c:v>
                </c:pt>
                <c:pt idx="328">
                  <c:v>5.343806468267152</c:v>
                </c:pt>
                <c:pt idx="329">
                  <c:v>5.2542685400302354</c:v>
                </c:pt>
                <c:pt idx="330">
                  <c:v>5.1001216948777666</c:v>
                </c:pt>
                <c:pt idx="331">
                  <c:v>5.0424456982704653</c:v>
                </c:pt>
                <c:pt idx="332">
                  <c:v>4.6000663790242244</c:v>
                </c:pt>
                <c:pt idx="333">
                  <c:v>4.5923959140023003</c:v>
                </c:pt>
                <c:pt idx="334">
                  <c:v>5.00748607884353</c:v>
                </c:pt>
                <c:pt idx="335">
                  <c:v>5.3678504259320867</c:v>
                </c:pt>
                <c:pt idx="336">
                  <c:v>5.5572519083969594</c:v>
                </c:pt>
                <c:pt idx="337">
                  <c:v>5.5280451377364832</c:v>
                </c:pt>
                <c:pt idx="338">
                  <c:v>5.4097429656672942</c:v>
                </c:pt>
                <c:pt idx="339">
                  <c:v>4.1781908028174355</c:v>
                </c:pt>
                <c:pt idx="340">
                  <c:v>4.768226573736035</c:v>
                </c:pt>
                <c:pt idx="341">
                  <c:v>4.8049563004757223</c:v>
                </c:pt>
                <c:pt idx="342">
                  <c:v>4.2683187668252476</c:v>
                </c:pt>
                <c:pt idx="343">
                  <c:v>4.451229855810011</c:v>
                </c:pt>
                <c:pt idx="344">
                  <c:v>4.762326216026862</c:v>
                </c:pt>
                <c:pt idx="345">
                  <c:v>4.7461002323265857</c:v>
                </c:pt>
                <c:pt idx="346">
                  <c:v>4.7978758712246945</c:v>
                </c:pt>
                <c:pt idx="347">
                  <c:v>4.7638013054541455</c:v>
                </c:pt>
                <c:pt idx="348" formatCode="0.00">
                  <c:v>4.8360806873916848</c:v>
                </c:pt>
                <c:pt idx="349">
                  <c:v>5.0042408821034741</c:v>
                </c:pt>
                <c:pt idx="350">
                  <c:v>5.1812516133790645</c:v>
                </c:pt>
                <c:pt idx="351">
                  <c:v>5.0632444591953449</c:v>
                </c:pt>
                <c:pt idx="352">
                  <c:v>4.9452373050116254</c:v>
                </c:pt>
                <c:pt idx="353">
                  <c:v>4.930486410738653</c:v>
                </c:pt>
                <c:pt idx="354">
                  <c:v>5.2107534019249897</c:v>
                </c:pt>
                <c:pt idx="355">
                  <c:v>5.0484935649223726</c:v>
                </c:pt>
                <c:pt idx="356">
                  <c:v>4.8714828336468026</c:v>
                </c:pt>
                <c:pt idx="357">
                  <c:v>5.0484935649223726</c:v>
                </c:pt>
                <c:pt idx="358">
                  <c:v>5.4762694988383753</c:v>
                </c:pt>
                <c:pt idx="359">
                  <c:v>4.6944721023712122</c:v>
                </c:pt>
                <c:pt idx="360">
                  <c:v>4.9157355164657002</c:v>
                </c:pt>
                <c:pt idx="361">
                  <c:v>4.8862337279197545</c:v>
                </c:pt>
                <c:pt idx="362">
                  <c:v>4.6354685252793422</c:v>
                </c:pt>
                <c:pt idx="363">
                  <c:v>4.7239738909171374</c:v>
                </c:pt>
                <c:pt idx="364">
                  <c:v>4.6944721023712122</c:v>
                </c:pt>
                <c:pt idx="365">
                  <c:v>4.9009846221927278</c:v>
                </c:pt>
                <c:pt idx="366">
                  <c:v>4.8567319393738302</c:v>
                </c:pt>
                <c:pt idx="367">
                  <c:v>4.9009846221927278</c:v>
                </c:pt>
                <c:pt idx="368">
                  <c:v>4.8567319393738302</c:v>
                </c:pt>
                <c:pt idx="369">
                  <c:v>4.4142051111848755</c:v>
                </c:pt>
                <c:pt idx="370" formatCode="0.00">
                  <c:v>4.6797212080982398</c:v>
                </c:pt>
                <c:pt idx="371">
                  <c:v>4.34753106907106</c:v>
                </c:pt>
                <c:pt idx="372">
                  <c:v>4.4820592248405049</c:v>
                </c:pt>
                <c:pt idx="373">
                  <c:v>4.4555076151491662</c:v>
                </c:pt>
                <c:pt idx="374">
                  <c:v>4.524836818232119</c:v>
                </c:pt>
                <c:pt idx="375">
                  <c:v>4.6575948666887914</c:v>
                </c:pt>
                <c:pt idx="376">
                  <c:v>4.8937566839989657</c:v>
                </c:pt>
                <c:pt idx="377">
                  <c:v>4.7927130582291522</c:v>
                </c:pt>
                <c:pt idx="378">
                  <c:v>4.9821145406940257</c:v>
                </c:pt>
                <c:pt idx="379">
                  <c:v>4.9160305343511483</c:v>
                </c:pt>
                <c:pt idx="380">
                  <c:v>5.1731386215289374</c:v>
                </c:pt>
                <c:pt idx="381">
                  <c:v>5.0728325404727759</c:v>
                </c:pt>
                <c:pt idx="382">
                  <c:v>5.1458494671239468</c:v>
                </c:pt>
                <c:pt idx="383">
                  <c:v>5.2032304458457794</c:v>
                </c:pt>
                <c:pt idx="384">
                  <c:v>5.0706199063318209</c:v>
                </c:pt>
                <c:pt idx="385">
                  <c:v>5.0189917763764473</c:v>
                </c:pt>
                <c:pt idx="386">
                  <c:v>5.0114688202972371</c:v>
                </c:pt>
                <c:pt idx="387">
                  <c:v>4.9452373050116254</c:v>
                </c:pt>
                <c:pt idx="388">
                  <c:v>5.1073496330715082</c:v>
                </c:pt>
                <c:pt idx="389">
                  <c:v>5.3435114503816825</c:v>
                </c:pt>
                <c:pt idx="390">
                  <c:v>5.4244938599402674</c:v>
                </c:pt>
                <c:pt idx="391" formatCode="0.00">
                  <c:v>5.3368735479588585</c:v>
                </c:pt>
                <c:pt idx="392">
                  <c:v>5.4541431574289261</c:v>
                </c:pt>
                <c:pt idx="393">
                  <c:v>6.1326842939853314</c:v>
                </c:pt>
                <c:pt idx="394">
                  <c:v>6.028542980418198</c:v>
                </c:pt>
                <c:pt idx="395">
                  <c:v>5.9667367334144652</c:v>
                </c:pt>
                <c:pt idx="396">
                  <c:v>5.8266032378212973</c:v>
                </c:pt>
                <c:pt idx="397">
                  <c:v>6.0493417413430777</c:v>
                </c:pt>
                <c:pt idx="398">
                  <c:v>5.719659254342301</c:v>
                </c:pt>
                <c:pt idx="399">
                  <c:v>5.4247888778257156</c:v>
                </c:pt>
                <c:pt idx="400">
                  <c:v>5.4947081166795853</c:v>
                </c:pt>
                <c:pt idx="401">
                  <c:v>5.4910203931113486</c:v>
                </c:pt>
                <c:pt idx="402">
                  <c:v>5.4320168160194777</c:v>
                </c:pt>
                <c:pt idx="403">
                  <c:v>5.3213851089722333</c:v>
                </c:pt>
                <c:pt idx="404">
                  <c:v>5.3821587933768562</c:v>
                </c:pt>
                <c:pt idx="405">
                  <c:v>5.4681565069882474</c:v>
                </c:pt>
                <c:pt idx="406">
                  <c:v>5.3361360032452065</c:v>
                </c:pt>
                <c:pt idx="407">
                  <c:v>5.487185160600375</c:v>
                </c:pt>
                <c:pt idx="408">
                  <c:v>5.5278976287937489</c:v>
                </c:pt>
                <c:pt idx="409">
                  <c:v>5.5441236124940039</c:v>
                </c:pt>
                <c:pt idx="410">
                  <c:v>5.5514990596305012</c:v>
                </c:pt>
                <c:pt idx="411">
                  <c:v>5.9047829774680194</c:v>
                </c:pt>
                <c:pt idx="412">
                  <c:v>5.6879448316554209</c:v>
                </c:pt>
                <c:pt idx="413">
                  <c:v>5.6090275472950575</c:v>
                </c:pt>
                <c:pt idx="414" formatCode="0.00">
                  <c:v>5.6237784415680299</c:v>
                </c:pt>
                <c:pt idx="415">
                  <c:v>5.8634804735037083</c:v>
                </c:pt>
                <c:pt idx="416">
                  <c:v>5.5795257587491225</c:v>
                </c:pt>
                <c:pt idx="417">
                  <c:v>5.4393922631559537</c:v>
                </c:pt>
                <c:pt idx="418">
                  <c:v>5.4932330272522822</c:v>
                </c:pt>
                <c:pt idx="419">
                  <c:v>5.6385293358409925</c:v>
                </c:pt>
                <c:pt idx="420">
                  <c:v>5.6827820186598901</c:v>
                </c:pt>
                <c:pt idx="421">
                  <c:v>5.6953202787919075</c:v>
                </c:pt>
                <c:pt idx="422">
                  <c:v>5.549138916546811</c:v>
                </c:pt>
                <c:pt idx="423">
                  <c:v>5.3966146697643591</c:v>
                </c:pt>
                <c:pt idx="424">
                  <c:v>5.2859829627171155</c:v>
                </c:pt>
                <c:pt idx="425">
                  <c:v>5.4084153851827255</c:v>
                </c:pt>
                <c:pt idx="426">
                  <c:v>5.3497068259763241</c:v>
                </c:pt>
                <c:pt idx="427">
                  <c:v>5.1516023158904058</c:v>
                </c:pt>
                <c:pt idx="428">
                  <c:v>5.0852232916620599</c:v>
                </c:pt>
                <c:pt idx="429">
                  <c:v>4.2392595051075057</c:v>
                </c:pt>
                <c:pt idx="430">
                  <c:v>4.3183242984106043</c:v>
                </c:pt>
                <c:pt idx="431">
                  <c:v>3.7423018770513052</c:v>
                </c:pt>
                <c:pt idx="432">
                  <c:v>3.4760482354242681</c:v>
                </c:pt>
                <c:pt idx="433">
                  <c:v>3.3506656341040717</c:v>
                </c:pt>
                <c:pt idx="434">
                  <c:v>3.4738356012833336</c:v>
                </c:pt>
                <c:pt idx="435" formatCode="0.00">
                  <c:v>3.602905926171788</c:v>
                </c:pt>
                <c:pt idx="436">
                  <c:v>3.6614669764354546</c:v>
                </c:pt>
                <c:pt idx="437">
                  <c:v>3.3965409152929866</c:v>
                </c:pt>
                <c:pt idx="438">
                  <c:v>4.0085555186783219</c:v>
                </c:pt>
                <c:pt idx="439">
                  <c:v>3.9200501530405258</c:v>
                </c:pt>
                <c:pt idx="440">
                  <c:v>3.4081941217686387</c:v>
                </c:pt>
                <c:pt idx="441">
                  <c:v>3.5874174871851636</c:v>
                </c:pt>
                <c:pt idx="442">
                  <c:v>3.8005679094295237</c:v>
                </c:pt>
                <c:pt idx="443">
                  <c:v>3.8684220230851523</c:v>
                </c:pt>
                <c:pt idx="444">
                  <c:v>4.0382048161669806</c:v>
                </c:pt>
                <c:pt idx="445">
                  <c:v>4.5618615628572545</c:v>
                </c:pt>
                <c:pt idx="446">
                  <c:v>4.561566544971785</c:v>
                </c:pt>
                <c:pt idx="447">
                  <c:v>4.0750820518494022</c:v>
                </c:pt>
                <c:pt idx="448">
                  <c:v>4.016668510528449</c:v>
                </c:pt>
                <c:pt idx="449">
                  <c:v>4.0306818600877703</c:v>
                </c:pt>
                <c:pt idx="450">
                  <c:v>4.0306818600877703</c:v>
                </c:pt>
                <c:pt idx="451">
                  <c:v>4.0896854371796403</c:v>
                </c:pt>
                <c:pt idx="452">
                  <c:v>3.8181214736143483</c:v>
                </c:pt>
                <c:pt idx="453">
                  <c:v>4.2150680384998367</c:v>
                </c:pt>
                <c:pt idx="454">
                  <c:v>4.2001696352841495</c:v>
                </c:pt>
                <c:pt idx="455">
                  <c:v>4.1627023638308103</c:v>
                </c:pt>
                <c:pt idx="456">
                  <c:v>4.2925102334329175</c:v>
                </c:pt>
                <c:pt idx="457" formatCode="0.00">
                  <c:v>4.6199800862927392</c:v>
                </c:pt>
                <c:pt idx="458">
                  <c:v>4.8148393996386014</c:v>
                </c:pt>
                <c:pt idx="459">
                  <c:v>4.7977283622819593</c:v>
                </c:pt>
                <c:pt idx="460">
                  <c:v>4.6207176310063902</c:v>
                </c:pt>
                <c:pt idx="461">
                  <c:v>4.7263340340008062</c:v>
                </c:pt>
                <c:pt idx="462">
                  <c:v>3.832282332116383</c:v>
                </c:pt>
                <c:pt idx="463">
                  <c:v>4.2054799572224049</c:v>
                </c:pt>
                <c:pt idx="464">
                  <c:v>3.9126747059040503</c:v>
                </c:pt>
                <c:pt idx="465">
                  <c:v>3.5881550318988156</c:v>
                </c:pt>
                <c:pt idx="466">
                  <c:v>3.4332706420326735</c:v>
                </c:pt>
                <c:pt idx="467">
                  <c:v>3.5210384629568172</c:v>
                </c:pt>
                <c:pt idx="468">
                  <c:v>3.5734041376258427</c:v>
                </c:pt>
                <c:pt idx="469">
                  <c:v>3.8241693402662551</c:v>
                </c:pt>
                <c:pt idx="470">
                  <c:v>4.2040048677951223</c:v>
                </c:pt>
                <c:pt idx="471">
                  <c:v>3.9901169008371102</c:v>
                </c:pt>
                <c:pt idx="472">
                  <c:v>4.3945864218018302</c:v>
                </c:pt>
                <c:pt idx="473">
                  <c:v>4.4708485451930562</c:v>
                </c:pt>
                <c:pt idx="474">
                  <c:v>4.753475679463083</c:v>
                </c:pt>
                <c:pt idx="475">
                  <c:v>4.7497879558948242</c:v>
                </c:pt>
                <c:pt idx="476">
                  <c:v>4.8559943946601782</c:v>
                </c:pt>
                <c:pt idx="477">
                  <c:v>4.9577755651436428</c:v>
                </c:pt>
                <c:pt idx="478">
                  <c:v>4.9231109636021761</c:v>
                </c:pt>
                <c:pt idx="479" formatCode="0.00">
                  <c:v>4.753475679463083</c:v>
                </c:pt>
                <c:pt idx="480">
                  <c:v>4.760851126599559</c:v>
                </c:pt>
                <c:pt idx="481">
                  <c:v>5.0126488918390715</c:v>
                </c:pt>
                <c:pt idx="482">
                  <c:v>5.0493786185787588</c:v>
                </c:pt>
                <c:pt idx="483">
                  <c:v>4.7719142973042725</c:v>
                </c:pt>
                <c:pt idx="484">
                  <c:v>4.8419810451008569</c:v>
                </c:pt>
                <c:pt idx="485">
                  <c:v>4.8272301508279059</c:v>
                </c:pt>
                <c:pt idx="486">
                  <c:v>5.0507061990633275</c:v>
                </c:pt>
                <c:pt idx="487">
                  <c:v>4.7564258583176695</c:v>
                </c:pt>
                <c:pt idx="488">
                  <c:v>5.0588191909134554</c:v>
                </c:pt>
                <c:pt idx="489">
                  <c:v>5.1665007191060921</c:v>
                </c:pt>
                <c:pt idx="490">
                  <c:v>5.5647748644761705</c:v>
                </c:pt>
                <c:pt idx="491">
                  <c:v>5.3730132389276068</c:v>
                </c:pt>
                <c:pt idx="492">
                  <c:v>5.5079839215252546</c:v>
                </c:pt>
                <c:pt idx="493">
                  <c:v>5.6164029944315432</c:v>
                </c:pt>
                <c:pt idx="494">
                  <c:v>5.5795257587491225</c:v>
                </c:pt>
                <c:pt idx="495">
                  <c:v>5.5696426595862425</c:v>
                </c:pt>
                <c:pt idx="496">
                  <c:v>5.5696426595862425</c:v>
                </c:pt>
                <c:pt idx="497">
                  <c:v>5.537633219013915</c:v>
                </c:pt>
                <c:pt idx="498">
                  <c:v>5.3767009624958657</c:v>
                </c:pt>
                <c:pt idx="499">
                  <c:v>5.5138842792344276</c:v>
                </c:pt>
                <c:pt idx="500" formatCode="0.00">
                  <c:v>5.8133274329756279</c:v>
                </c:pt>
                <c:pt idx="501">
                  <c:v>5.8022642622709029</c:v>
                </c:pt>
                <c:pt idx="502">
                  <c:v>6.4141313567135025</c:v>
                </c:pt>
                <c:pt idx="503">
                  <c:v>6.4830180329682534</c:v>
                </c:pt>
                <c:pt idx="504">
                  <c:v>6.5198952686506644</c:v>
                </c:pt>
                <c:pt idx="505">
                  <c:v>6.6194638049931838</c:v>
                </c:pt>
                <c:pt idx="506">
                  <c:v>6.3886123096212746</c:v>
                </c:pt>
                <c:pt idx="507">
                  <c:v>6.1076077737212859</c:v>
                </c:pt>
                <c:pt idx="508">
                  <c:v>5.9040454327543674</c:v>
                </c:pt>
                <c:pt idx="509">
                  <c:v>5.9999262455286386</c:v>
                </c:pt>
                <c:pt idx="510">
                  <c:v>6.2433160010325643</c:v>
                </c:pt>
                <c:pt idx="511">
                  <c:v>6.2728177895785002</c:v>
                </c:pt>
                <c:pt idx="512">
                  <c:v>5.5616771766788498</c:v>
                </c:pt>
                <c:pt idx="513">
                  <c:v>5.83250359553048</c:v>
                </c:pt>
                <c:pt idx="514">
                  <c:v>5.7326400413025125</c:v>
                </c:pt>
                <c:pt idx="515">
                  <c:v>5.870118375926543</c:v>
                </c:pt>
                <c:pt idx="516">
                  <c:v>5.7221669063687042</c:v>
                </c:pt>
                <c:pt idx="517">
                  <c:v>5.9121584246044954</c:v>
                </c:pt>
                <c:pt idx="518">
                  <c:v>6.1710366190950356</c:v>
                </c:pt>
                <c:pt idx="519">
                  <c:v>6.3878747649076235</c:v>
                </c:pt>
                <c:pt idx="520">
                  <c:v>6.3878747649076235</c:v>
                </c:pt>
                <c:pt idx="521">
                  <c:v>6.062617546188747</c:v>
                </c:pt>
                <c:pt idx="522">
                  <c:v>5.9224840505955685</c:v>
                </c:pt>
                <c:pt idx="523" formatCode="0.00">
                  <c:v>6.0522919201976642</c:v>
                </c:pt>
                <c:pt idx="524">
                  <c:v>5.6407419699819377</c:v>
                </c:pt>
                <c:pt idx="525">
                  <c:v>5.3914518567688186</c:v>
                </c:pt>
                <c:pt idx="526">
                  <c:v>5.5278976287937489</c:v>
                </c:pt>
                <c:pt idx="527">
                  <c:v>5.410185492495498</c:v>
                </c:pt>
                <c:pt idx="528">
                  <c:v>5.1148725891507185</c:v>
                </c:pt>
                <c:pt idx="529">
                  <c:v>4.8714828336468026</c:v>
                </c:pt>
                <c:pt idx="530">
                  <c:v>4.8936091750562518</c:v>
                </c:pt>
                <c:pt idx="531">
                  <c:v>5.2119334734668241</c:v>
                </c:pt>
                <c:pt idx="532">
                  <c:v>5.2119334734668241</c:v>
                </c:pt>
                <c:pt idx="533">
                  <c:v>5.5610871409079321</c:v>
                </c:pt>
                <c:pt idx="534">
                  <c:v>5.6703912674705963</c:v>
                </c:pt>
                <c:pt idx="535">
                  <c:v>5.0145665080945578</c:v>
                </c:pt>
                <c:pt idx="536">
                  <c:v>5.0145665080945578</c:v>
                </c:pt>
                <c:pt idx="537">
                  <c:v>4.3847033226389502</c:v>
                </c:pt>
                <c:pt idx="538">
                  <c:v>4.4215805583213514</c:v>
                </c:pt>
                <c:pt idx="539">
                  <c:v>4.130250396430279</c:v>
                </c:pt>
                <c:pt idx="540">
                  <c:v>4.2740716155917067</c:v>
                </c:pt>
                <c:pt idx="541">
                  <c:v>4.3529888999520701</c:v>
                </c:pt>
                <c:pt idx="542">
                  <c:v>3.9643028358594234</c:v>
                </c:pt>
                <c:pt idx="543" formatCode="0.00">
                  <c:v>3.8566213076667868</c:v>
                </c:pt>
              </c:numCache>
            </c:numRef>
          </c:val>
          <c:smooth val="0"/>
        </c:ser>
        <c:ser>
          <c:idx val="1"/>
          <c:order val="1"/>
          <c:tx>
            <c:strRef>
              <c:f>'Currency Raw'!$L$1</c:f>
              <c:strCache>
                <c:ptCount val="1"/>
                <c:pt idx="0">
                  <c:v>Yen</c:v>
                </c:pt>
              </c:strCache>
            </c:strRef>
          </c:tx>
          <c:marker>
            <c:symbol val="none"/>
          </c:marker>
          <c:cat>
            <c:numRef>
              <c:f>'Currency Raw'!$J$2:$J$545</c:f>
              <c:numCache>
                <c:formatCode>m/d/yyyy</c:formatCode>
                <c:ptCount val="544"/>
                <c:pt idx="1">
                  <c:v>42401</c:v>
                </c:pt>
                <c:pt idx="2">
                  <c:v>42402</c:v>
                </c:pt>
                <c:pt idx="3">
                  <c:v>42403</c:v>
                </c:pt>
                <c:pt idx="4">
                  <c:v>42404</c:v>
                </c:pt>
                <c:pt idx="5">
                  <c:v>42405</c:v>
                </c:pt>
                <c:pt idx="6">
                  <c:v>42408</c:v>
                </c:pt>
                <c:pt idx="7">
                  <c:v>42409</c:v>
                </c:pt>
                <c:pt idx="8">
                  <c:v>42410</c:v>
                </c:pt>
                <c:pt idx="9">
                  <c:v>42411</c:v>
                </c:pt>
                <c:pt idx="10">
                  <c:v>42412</c:v>
                </c:pt>
                <c:pt idx="11">
                  <c:v>42415</c:v>
                </c:pt>
                <c:pt idx="12">
                  <c:v>42416</c:v>
                </c:pt>
                <c:pt idx="13">
                  <c:v>42417</c:v>
                </c:pt>
                <c:pt idx="14">
                  <c:v>42418</c:v>
                </c:pt>
                <c:pt idx="15">
                  <c:v>42419</c:v>
                </c:pt>
                <c:pt idx="16">
                  <c:v>42422</c:v>
                </c:pt>
                <c:pt idx="17">
                  <c:v>42423</c:v>
                </c:pt>
                <c:pt idx="18">
                  <c:v>42424</c:v>
                </c:pt>
                <c:pt idx="19">
                  <c:v>42425</c:v>
                </c:pt>
                <c:pt idx="20">
                  <c:v>42426</c:v>
                </c:pt>
                <c:pt idx="21">
                  <c:v>42429</c:v>
                </c:pt>
                <c:pt idx="22">
                  <c:v>42430</c:v>
                </c:pt>
                <c:pt idx="23">
                  <c:v>42431</c:v>
                </c:pt>
                <c:pt idx="24">
                  <c:v>42432</c:v>
                </c:pt>
                <c:pt idx="25">
                  <c:v>42433</c:v>
                </c:pt>
                <c:pt idx="26">
                  <c:v>42436</c:v>
                </c:pt>
                <c:pt idx="27">
                  <c:v>42437</c:v>
                </c:pt>
                <c:pt idx="28">
                  <c:v>42438</c:v>
                </c:pt>
                <c:pt idx="29">
                  <c:v>42439</c:v>
                </c:pt>
                <c:pt idx="30">
                  <c:v>42440</c:v>
                </c:pt>
                <c:pt idx="31">
                  <c:v>42443</c:v>
                </c:pt>
                <c:pt idx="32">
                  <c:v>42444</c:v>
                </c:pt>
                <c:pt idx="33">
                  <c:v>42445</c:v>
                </c:pt>
                <c:pt idx="34">
                  <c:v>42446</c:v>
                </c:pt>
                <c:pt idx="35">
                  <c:v>42447</c:v>
                </c:pt>
                <c:pt idx="36">
                  <c:v>42450</c:v>
                </c:pt>
                <c:pt idx="37">
                  <c:v>42451</c:v>
                </c:pt>
                <c:pt idx="38">
                  <c:v>42452</c:v>
                </c:pt>
                <c:pt idx="39">
                  <c:v>42453</c:v>
                </c:pt>
                <c:pt idx="40">
                  <c:v>42454</c:v>
                </c:pt>
                <c:pt idx="41">
                  <c:v>42457</c:v>
                </c:pt>
                <c:pt idx="42">
                  <c:v>42458</c:v>
                </c:pt>
                <c:pt idx="43">
                  <c:v>42459</c:v>
                </c:pt>
                <c:pt idx="44">
                  <c:v>42460</c:v>
                </c:pt>
                <c:pt idx="45">
                  <c:v>42461</c:v>
                </c:pt>
                <c:pt idx="46">
                  <c:v>42464</c:v>
                </c:pt>
                <c:pt idx="47">
                  <c:v>42465</c:v>
                </c:pt>
                <c:pt idx="48">
                  <c:v>42466</c:v>
                </c:pt>
                <c:pt idx="49">
                  <c:v>42467</c:v>
                </c:pt>
                <c:pt idx="50">
                  <c:v>42468</c:v>
                </c:pt>
                <c:pt idx="51">
                  <c:v>42471</c:v>
                </c:pt>
                <c:pt idx="52">
                  <c:v>42472</c:v>
                </c:pt>
                <c:pt idx="53">
                  <c:v>42473</c:v>
                </c:pt>
                <c:pt idx="54">
                  <c:v>42474</c:v>
                </c:pt>
                <c:pt idx="55">
                  <c:v>42475</c:v>
                </c:pt>
                <c:pt idx="56">
                  <c:v>42478</c:v>
                </c:pt>
                <c:pt idx="57">
                  <c:v>42479</c:v>
                </c:pt>
                <c:pt idx="58">
                  <c:v>42480</c:v>
                </c:pt>
                <c:pt idx="59">
                  <c:v>42481</c:v>
                </c:pt>
                <c:pt idx="60">
                  <c:v>42482</c:v>
                </c:pt>
                <c:pt idx="61">
                  <c:v>42485</c:v>
                </c:pt>
                <c:pt idx="62">
                  <c:v>42486</c:v>
                </c:pt>
                <c:pt idx="63">
                  <c:v>42487</c:v>
                </c:pt>
                <c:pt idx="64">
                  <c:v>42488</c:v>
                </c:pt>
                <c:pt idx="65">
                  <c:v>42489</c:v>
                </c:pt>
                <c:pt idx="66">
                  <c:v>42492</c:v>
                </c:pt>
                <c:pt idx="67">
                  <c:v>42493</c:v>
                </c:pt>
                <c:pt idx="68">
                  <c:v>42494</c:v>
                </c:pt>
                <c:pt idx="69">
                  <c:v>42495</c:v>
                </c:pt>
                <c:pt idx="70">
                  <c:v>42496</c:v>
                </c:pt>
                <c:pt idx="71">
                  <c:v>42499</c:v>
                </c:pt>
                <c:pt idx="72">
                  <c:v>42500</c:v>
                </c:pt>
                <c:pt idx="73">
                  <c:v>42501</c:v>
                </c:pt>
                <c:pt idx="74">
                  <c:v>42502</c:v>
                </c:pt>
                <c:pt idx="75">
                  <c:v>42503</c:v>
                </c:pt>
                <c:pt idx="76">
                  <c:v>42506</c:v>
                </c:pt>
                <c:pt idx="77">
                  <c:v>42507</c:v>
                </c:pt>
                <c:pt idx="78">
                  <c:v>42508</c:v>
                </c:pt>
                <c:pt idx="79">
                  <c:v>42509</c:v>
                </c:pt>
                <c:pt idx="80">
                  <c:v>42510</c:v>
                </c:pt>
                <c:pt idx="81">
                  <c:v>42513</c:v>
                </c:pt>
                <c:pt idx="82">
                  <c:v>42514</c:v>
                </c:pt>
                <c:pt idx="83">
                  <c:v>42515</c:v>
                </c:pt>
                <c:pt idx="84">
                  <c:v>42516</c:v>
                </c:pt>
                <c:pt idx="85">
                  <c:v>42517</c:v>
                </c:pt>
                <c:pt idx="86">
                  <c:v>42520</c:v>
                </c:pt>
                <c:pt idx="87">
                  <c:v>42521</c:v>
                </c:pt>
                <c:pt idx="88">
                  <c:v>42522</c:v>
                </c:pt>
                <c:pt idx="89">
                  <c:v>42523</c:v>
                </c:pt>
                <c:pt idx="90">
                  <c:v>42524</c:v>
                </c:pt>
                <c:pt idx="91">
                  <c:v>42527</c:v>
                </c:pt>
                <c:pt idx="92">
                  <c:v>42528</c:v>
                </c:pt>
                <c:pt idx="93">
                  <c:v>42529</c:v>
                </c:pt>
                <c:pt idx="94">
                  <c:v>42530</c:v>
                </c:pt>
                <c:pt idx="95">
                  <c:v>42531</c:v>
                </c:pt>
                <c:pt idx="96">
                  <c:v>42534</c:v>
                </c:pt>
                <c:pt idx="97">
                  <c:v>42535</c:v>
                </c:pt>
                <c:pt idx="98">
                  <c:v>42536</c:v>
                </c:pt>
                <c:pt idx="99">
                  <c:v>42537</c:v>
                </c:pt>
                <c:pt idx="100">
                  <c:v>42538</c:v>
                </c:pt>
                <c:pt idx="101">
                  <c:v>42541</c:v>
                </c:pt>
                <c:pt idx="102">
                  <c:v>42542</c:v>
                </c:pt>
                <c:pt idx="103">
                  <c:v>42543</c:v>
                </c:pt>
                <c:pt idx="104">
                  <c:v>42544</c:v>
                </c:pt>
                <c:pt idx="105">
                  <c:v>42545</c:v>
                </c:pt>
                <c:pt idx="106">
                  <c:v>42548</c:v>
                </c:pt>
                <c:pt idx="107">
                  <c:v>42549</c:v>
                </c:pt>
                <c:pt idx="108">
                  <c:v>42550</c:v>
                </c:pt>
                <c:pt idx="109">
                  <c:v>42551</c:v>
                </c:pt>
                <c:pt idx="110">
                  <c:v>42552</c:v>
                </c:pt>
                <c:pt idx="111">
                  <c:v>42555</c:v>
                </c:pt>
                <c:pt idx="112">
                  <c:v>42556</c:v>
                </c:pt>
                <c:pt idx="113">
                  <c:v>42557</c:v>
                </c:pt>
                <c:pt idx="114">
                  <c:v>42558</c:v>
                </c:pt>
                <c:pt idx="115">
                  <c:v>42559</c:v>
                </c:pt>
                <c:pt idx="116">
                  <c:v>42562</c:v>
                </c:pt>
                <c:pt idx="117">
                  <c:v>42563</c:v>
                </c:pt>
                <c:pt idx="118">
                  <c:v>42564</c:v>
                </c:pt>
                <c:pt idx="119">
                  <c:v>42565</c:v>
                </c:pt>
                <c:pt idx="120">
                  <c:v>42566</c:v>
                </c:pt>
                <c:pt idx="121">
                  <c:v>42569</c:v>
                </c:pt>
                <c:pt idx="122">
                  <c:v>42570</c:v>
                </c:pt>
                <c:pt idx="123">
                  <c:v>42571</c:v>
                </c:pt>
                <c:pt idx="124">
                  <c:v>42572</c:v>
                </c:pt>
                <c:pt idx="125">
                  <c:v>42573</c:v>
                </c:pt>
                <c:pt idx="126">
                  <c:v>42576</c:v>
                </c:pt>
                <c:pt idx="127">
                  <c:v>42577</c:v>
                </c:pt>
                <c:pt idx="128">
                  <c:v>42578</c:v>
                </c:pt>
                <c:pt idx="129">
                  <c:v>42579</c:v>
                </c:pt>
                <c:pt idx="130">
                  <c:v>42580</c:v>
                </c:pt>
                <c:pt idx="131">
                  <c:v>42583</c:v>
                </c:pt>
                <c:pt idx="132">
                  <c:v>42584</c:v>
                </c:pt>
                <c:pt idx="133">
                  <c:v>42585</c:v>
                </c:pt>
                <c:pt idx="134">
                  <c:v>42586</c:v>
                </c:pt>
                <c:pt idx="135">
                  <c:v>42587</c:v>
                </c:pt>
                <c:pt idx="136">
                  <c:v>42590</c:v>
                </c:pt>
                <c:pt idx="137">
                  <c:v>42591</c:v>
                </c:pt>
                <c:pt idx="138">
                  <c:v>42592</c:v>
                </c:pt>
                <c:pt idx="139">
                  <c:v>42593</c:v>
                </c:pt>
                <c:pt idx="140">
                  <c:v>42594</c:v>
                </c:pt>
                <c:pt idx="141">
                  <c:v>42597</c:v>
                </c:pt>
                <c:pt idx="142">
                  <c:v>42598</c:v>
                </c:pt>
                <c:pt idx="143">
                  <c:v>42599</c:v>
                </c:pt>
                <c:pt idx="144">
                  <c:v>42600</c:v>
                </c:pt>
                <c:pt idx="145">
                  <c:v>42601</c:v>
                </c:pt>
                <c:pt idx="146">
                  <c:v>42604</c:v>
                </c:pt>
                <c:pt idx="147">
                  <c:v>42605</c:v>
                </c:pt>
                <c:pt idx="148">
                  <c:v>42606</c:v>
                </c:pt>
                <c:pt idx="149">
                  <c:v>42607</c:v>
                </c:pt>
                <c:pt idx="150">
                  <c:v>42608</c:v>
                </c:pt>
                <c:pt idx="151">
                  <c:v>42611</c:v>
                </c:pt>
                <c:pt idx="152">
                  <c:v>42612</c:v>
                </c:pt>
                <c:pt idx="153">
                  <c:v>42613</c:v>
                </c:pt>
                <c:pt idx="154">
                  <c:v>42614</c:v>
                </c:pt>
                <c:pt idx="155">
                  <c:v>42615</c:v>
                </c:pt>
                <c:pt idx="156">
                  <c:v>42618</c:v>
                </c:pt>
                <c:pt idx="157">
                  <c:v>42619</c:v>
                </c:pt>
                <c:pt idx="158">
                  <c:v>42620</c:v>
                </c:pt>
                <c:pt idx="159">
                  <c:v>42621</c:v>
                </c:pt>
                <c:pt idx="160">
                  <c:v>42622</c:v>
                </c:pt>
                <c:pt idx="161">
                  <c:v>42625</c:v>
                </c:pt>
                <c:pt idx="162">
                  <c:v>42626</c:v>
                </c:pt>
                <c:pt idx="163">
                  <c:v>42627</c:v>
                </c:pt>
                <c:pt idx="164">
                  <c:v>42628</c:v>
                </c:pt>
                <c:pt idx="165">
                  <c:v>42629</c:v>
                </c:pt>
                <c:pt idx="166">
                  <c:v>42632</c:v>
                </c:pt>
                <c:pt idx="167">
                  <c:v>42633</c:v>
                </c:pt>
                <c:pt idx="168">
                  <c:v>42634</c:v>
                </c:pt>
                <c:pt idx="169">
                  <c:v>42635</c:v>
                </c:pt>
                <c:pt idx="170">
                  <c:v>42636</c:v>
                </c:pt>
                <c:pt idx="171">
                  <c:v>42639</c:v>
                </c:pt>
                <c:pt idx="172">
                  <c:v>42640</c:v>
                </c:pt>
                <c:pt idx="173">
                  <c:v>42641</c:v>
                </c:pt>
                <c:pt idx="174">
                  <c:v>42642</c:v>
                </c:pt>
                <c:pt idx="175">
                  <c:v>42643</c:v>
                </c:pt>
                <c:pt idx="176">
                  <c:v>42646</c:v>
                </c:pt>
                <c:pt idx="177">
                  <c:v>42647</c:v>
                </c:pt>
                <c:pt idx="178">
                  <c:v>42648</c:v>
                </c:pt>
                <c:pt idx="179">
                  <c:v>42649</c:v>
                </c:pt>
                <c:pt idx="180">
                  <c:v>42650</c:v>
                </c:pt>
                <c:pt idx="181">
                  <c:v>42653</c:v>
                </c:pt>
                <c:pt idx="182">
                  <c:v>42654</c:v>
                </c:pt>
                <c:pt idx="183">
                  <c:v>42655</c:v>
                </c:pt>
                <c:pt idx="184">
                  <c:v>42656</c:v>
                </c:pt>
                <c:pt idx="185">
                  <c:v>42657</c:v>
                </c:pt>
                <c:pt idx="186">
                  <c:v>42660</c:v>
                </c:pt>
                <c:pt idx="187">
                  <c:v>42661</c:v>
                </c:pt>
                <c:pt idx="188">
                  <c:v>42662</c:v>
                </c:pt>
                <c:pt idx="189">
                  <c:v>42663</c:v>
                </c:pt>
                <c:pt idx="190">
                  <c:v>42664</c:v>
                </c:pt>
                <c:pt idx="191">
                  <c:v>42667</c:v>
                </c:pt>
                <c:pt idx="192">
                  <c:v>42668</c:v>
                </c:pt>
                <c:pt idx="193">
                  <c:v>42669</c:v>
                </c:pt>
                <c:pt idx="194">
                  <c:v>42670</c:v>
                </c:pt>
                <c:pt idx="195">
                  <c:v>42671</c:v>
                </c:pt>
                <c:pt idx="196">
                  <c:v>42674</c:v>
                </c:pt>
                <c:pt idx="197">
                  <c:v>42675</c:v>
                </c:pt>
                <c:pt idx="198">
                  <c:v>42676</c:v>
                </c:pt>
                <c:pt idx="199">
                  <c:v>42677</c:v>
                </c:pt>
                <c:pt idx="200">
                  <c:v>42678</c:v>
                </c:pt>
                <c:pt idx="201">
                  <c:v>42681</c:v>
                </c:pt>
                <c:pt idx="202">
                  <c:v>42682</c:v>
                </c:pt>
                <c:pt idx="203">
                  <c:v>42683</c:v>
                </c:pt>
                <c:pt idx="204">
                  <c:v>42684</c:v>
                </c:pt>
                <c:pt idx="205">
                  <c:v>42685</c:v>
                </c:pt>
                <c:pt idx="206">
                  <c:v>42688</c:v>
                </c:pt>
                <c:pt idx="207">
                  <c:v>42689</c:v>
                </c:pt>
                <c:pt idx="208">
                  <c:v>42690</c:v>
                </c:pt>
                <c:pt idx="209">
                  <c:v>42691</c:v>
                </c:pt>
                <c:pt idx="210">
                  <c:v>42692</c:v>
                </c:pt>
                <c:pt idx="211">
                  <c:v>42695</c:v>
                </c:pt>
                <c:pt idx="212">
                  <c:v>42696</c:v>
                </c:pt>
                <c:pt idx="213">
                  <c:v>42697</c:v>
                </c:pt>
                <c:pt idx="214">
                  <c:v>42698</c:v>
                </c:pt>
                <c:pt idx="215">
                  <c:v>42699</c:v>
                </c:pt>
                <c:pt idx="216">
                  <c:v>42702</c:v>
                </c:pt>
                <c:pt idx="217">
                  <c:v>42703</c:v>
                </c:pt>
                <c:pt idx="218">
                  <c:v>42704</c:v>
                </c:pt>
                <c:pt idx="219">
                  <c:v>42705</c:v>
                </c:pt>
                <c:pt idx="220">
                  <c:v>42706</c:v>
                </c:pt>
                <c:pt idx="221">
                  <c:v>42709</c:v>
                </c:pt>
                <c:pt idx="222">
                  <c:v>42710</c:v>
                </c:pt>
                <c:pt idx="223">
                  <c:v>42711</c:v>
                </c:pt>
                <c:pt idx="224">
                  <c:v>42712</c:v>
                </c:pt>
                <c:pt idx="225">
                  <c:v>42713</c:v>
                </c:pt>
                <c:pt idx="226">
                  <c:v>42716</c:v>
                </c:pt>
                <c:pt idx="227">
                  <c:v>42717</c:v>
                </c:pt>
                <c:pt idx="228">
                  <c:v>42718</c:v>
                </c:pt>
                <c:pt idx="229">
                  <c:v>42719</c:v>
                </c:pt>
                <c:pt idx="230">
                  <c:v>42720</c:v>
                </c:pt>
                <c:pt idx="231">
                  <c:v>42723</c:v>
                </c:pt>
                <c:pt idx="232">
                  <c:v>42724</c:v>
                </c:pt>
                <c:pt idx="233">
                  <c:v>42725</c:v>
                </c:pt>
                <c:pt idx="234">
                  <c:v>42726</c:v>
                </c:pt>
                <c:pt idx="235">
                  <c:v>42727</c:v>
                </c:pt>
                <c:pt idx="236">
                  <c:v>42730</c:v>
                </c:pt>
                <c:pt idx="237">
                  <c:v>42731</c:v>
                </c:pt>
                <c:pt idx="238">
                  <c:v>42732</c:v>
                </c:pt>
                <c:pt idx="239">
                  <c:v>42733</c:v>
                </c:pt>
                <c:pt idx="240">
                  <c:v>42734</c:v>
                </c:pt>
                <c:pt idx="241">
                  <c:v>42737</c:v>
                </c:pt>
                <c:pt idx="242">
                  <c:v>42738</c:v>
                </c:pt>
                <c:pt idx="243">
                  <c:v>42739</c:v>
                </c:pt>
                <c:pt idx="244">
                  <c:v>42740</c:v>
                </c:pt>
                <c:pt idx="245">
                  <c:v>42741</c:v>
                </c:pt>
                <c:pt idx="246">
                  <c:v>42744</c:v>
                </c:pt>
                <c:pt idx="247">
                  <c:v>42745</c:v>
                </c:pt>
                <c:pt idx="248">
                  <c:v>42746</c:v>
                </c:pt>
                <c:pt idx="249">
                  <c:v>42747</c:v>
                </c:pt>
                <c:pt idx="250">
                  <c:v>42748</c:v>
                </c:pt>
                <c:pt idx="251">
                  <c:v>42751</c:v>
                </c:pt>
                <c:pt idx="252">
                  <c:v>42752</c:v>
                </c:pt>
                <c:pt idx="253">
                  <c:v>42753</c:v>
                </c:pt>
                <c:pt idx="254">
                  <c:v>42754</c:v>
                </c:pt>
                <c:pt idx="255">
                  <c:v>42755</c:v>
                </c:pt>
                <c:pt idx="256">
                  <c:v>42758</c:v>
                </c:pt>
                <c:pt idx="257">
                  <c:v>42759</c:v>
                </c:pt>
                <c:pt idx="258">
                  <c:v>42760</c:v>
                </c:pt>
                <c:pt idx="259">
                  <c:v>42761</c:v>
                </c:pt>
                <c:pt idx="260">
                  <c:v>42762</c:v>
                </c:pt>
                <c:pt idx="261">
                  <c:v>42765</c:v>
                </c:pt>
                <c:pt idx="262">
                  <c:v>42766</c:v>
                </c:pt>
                <c:pt idx="263">
                  <c:v>42767</c:v>
                </c:pt>
                <c:pt idx="264">
                  <c:v>42768</c:v>
                </c:pt>
                <c:pt idx="265">
                  <c:v>42769</c:v>
                </c:pt>
                <c:pt idx="266">
                  <c:v>42772</c:v>
                </c:pt>
                <c:pt idx="267">
                  <c:v>42773</c:v>
                </c:pt>
                <c:pt idx="268">
                  <c:v>42774</c:v>
                </c:pt>
                <c:pt idx="269">
                  <c:v>42775</c:v>
                </c:pt>
                <c:pt idx="270">
                  <c:v>42776</c:v>
                </c:pt>
                <c:pt idx="271">
                  <c:v>42779</c:v>
                </c:pt>
                <c:pt idx="272">
                  <c:v>42780</c:v>
                </c:pt>
                <c:pt idx="273">
                  <c:v>42781</c:v>
                </c:pt>
                <c:pt idx="274">
                  <c:v>42782</c:v>
                </c:pt>
                <c:pt idx="275">
                  <c:v>42783</c:v>
                </c:pt>
                <c:pt idx="276">
                  <c:v>42786</c:v>
                </c:pt>
                <c:pt idx="277">
                  <c:v>42787</c:v>
                </c:pt>
                <c:pt idx="278">
                  <c:v>42788</c:v>
                </c:pt>
                <c:pt idx="279">
                  <c:v>42789</c:v>
                </c:pt>
                <c:pt idx="280">
                  <c:v>42790</c:v>
                </c:pt>
                <c:pt idx="281">
                  <c:v>42793</c:v>
                </c:pt>
                <c:pt idx="282">
                  <c:v>42794</c:v>
                </c:pt>
                <c:pt idx="283">
                  <c:v>42795</c:v>
                </c:pt>
                <c:pt idx="284">
                  <c:v>42796</c:v>
                </c:pt>
                <c:pt idx="285">
                  <c:v>42797</c:v>
                </c:pt>
                <c:pt idx="286">
                  <c:v>42800</c:v>
                </c:pt>
                <c:pt idx="287">
                  <c:v>42801</c:v>
                </c:pt>
                <c:pt idx="288">
                  <c:v>42802</c:v>
                </c:pt>
                <c:pt idx="289">
                  <c:v>42803</c:v>
                </c:pt>
                <c:pt idx="290">
                  <c:v>42804</c:v>
                </c:pt>
                <c:pt idx="291">
                  <c:v>42807</c:v>
                </c:pt>
                <c:pt idx="292">
                  <c:v>42808</c:v>
                </c:pt>
                <c:pt idx="293">
                  <c:v>42809</c:v>
                </c:pt>
                <c:pt idx="294">
                  <c:v>42810</c:v>
                </c:pt>
                <c:pt idx="295">
                  <c:v>42811</c:v>
                </c:pt>
                <c:pt idx="296">
                  <c:v>42814</c:v>
                </c:pt>
                <c:pt idx="297">
                  <c:v>42815</c:v>
                </c:pt>
                <c:pt idx="298">
                  <c:v>42816</c:v>
                </c:pt>
                <c:pt idx="299">
                  <c:v>42817</c:v>
                </c:pt>
                <c:pt idx="300">
                  <c:v>42818</c:v>
                </c:pt>
                <c:pt idx="301">
                  <c:v>42821</c:v>
                </c:pt>
                <c:pt idx="302">
                  <c:v>42822</c:v>
                </c:pt>
                <c:pt idx="303">
                  <c:v>42823</c:v>
                </c:pt>
                <c:pt idx="304">
                  <c:v>42824</c:v>
                </c:pt>
                <c:pt idx="305">
                  <c:v>42825</c:v>
                </c:pt>
                <c:pt idx="306">
                  <c:v>42828</c:v>
                </c:pt>
                <c:pt idx="307">
                  <c:v>42829</c:v>
                </c:pt>
                <c:pt idx="308">
                  <c:v>42830</c:v>
                </c:pt>
                <c:pt idx="309">
                  <c:v>42831</c:v>
                </c:pt>
                <c:pt idx="310">
                  <c:v>42832</c:v>
                </c:pt>
                <c:pt idx="311">
                  <c:v>42835</c:v>
                </c:pt>
                <c:pt idx="312">
                  <c:v>42836</c:v>
                </c:pt>
                <c:pt idx="313">
                  <c:v>42837</c:v>
                </c:pt>
                <c:pt idx="314">
                  <c:v>42838</c:v>
                </c:pt>
                <c:pt idx="315">
                  <c:v>42839</c:v>
                </c:pt>
                <c:pt idx="316">
                  <c:v>42842</c:v>
                </c:pt>
                <c:pt idx="317">
                  <c:v>42843</c:v>
                </c:pt>
                <c:pt idx="318">
                  <c:v>42844</c:v>
                </c:pt>
                <c:pt idx="319">
                  <c:v>42845</c:v>
                </c:pt>
                <c:pt idx="320">
                  <c:v>42846</c:v>
                </c:pt>
                <c:pt idx="321">
                  <c:v>42849</c:v>
                </c:pt>
                <c:pt idx="322">
                  <c:v>42850</c:v>
                </c:pt>
                <c:pt idx="323">
                  <c:v>42851</c:v>
                </c:pt>
                <c:pt idx="324">
                  <c:v>42852</c:v>
                </c:pt>
                <c:pt idx="325">
                  <c:v>42853</c:v>
                </c:pt>
                <c:pt idx="326">
                  <c:v>42856</c:v>
                </c:pt>
                <c:pt idx="327">
                  <c:v>42857</c:v>
                </c:pt>
                <c:pt idx="328">
                  <c:v>42858</c:v>
                </c:pt>
                <c:pt idx="329">
                  <c:v>42859</c:v>
                </c:pt>
                <c:pt idx="330">
                  <c:v>42860</c:v>
                </c:pt>
                <c:pt idx="331">
                  <c:v>42863</c:v>
                </c:pt>
                <c:pt idx="332">
                  <c:v>42864</c:v>
                </c:pt>
                <c:pt idx="333">
                  <c:v>42865</c:v>
                </c:pt>
                <c:pt idx="334">
                  <c:v>42866</c:v>
                </c:pt>
                <c:pt idx="335">
                  <c:v>42867</c:v>
                </c:pt>
                <c:pt idx="336">
                  <c:v>42870</c:v>
                </c:pt>
                <c:pt idx="337">
                  <c:v>42871</c:v>
                </c:pt>
                <c:pt idx="338">
                  <c:v>42872</c:v>
                </c:pt>
                <c:pt idx="339">
                  <c:v>42873</c:v>
                </c:pt>
                <c:pt idx="340">
                  <c:v>42874</c:v>
                </c:pt>
                <c:pt idx="341">
                  <c:v>42877</c:v>
                </c:pt>
                <c:pt idx="342">
                  <c:v>42878</c:v>
                </c:pt>
                <c:pt idx="343">
                  <c:v>42879</c:v>
                </c:pt>
                <c:pt idx="344">
                  <c:v>42880</c:v>
                </c:pt>
                <c:pt idx="345">
                  <c:v>42881</c:v>
                </c:pt>
                <c:pt idx="346">
                  <c:v>42884</c:v>
                </c:pt>
                <c:pt idx="347">
                  <c:v>42885</c:v>
                </c:pt>
                <c:pt idx="348">
                  <c:v>42886</c:v>
                </c:pt>
                <c:pt idx="349">
                  <c:v>42887</c:v>
                </c:pt>
                <c:pt idx="350">
                  <c:v>42888</c:v>
                </c:pt>
                <c:pt idx="351">
                  <c:v>42891</c:v>
                </c:pt>
                <c:pt idx="352">
                  <c:v>42892</c:v>
                </c:pt>
                <c:pt idx="353">
                  <c:v>42893</c:v>
                </c:pt>
                <c:pt idx="354">
                  <c:v>42894</c:v>
                </c:pt>
                <c:pt idx="355">
                  <c:v>42895</c:v>
                </c:pt>
                <c:pt idx="356">
                  <c:v>42898</c:v>
                </c:pt>
                <c:pt idx="357">
                  <c:v>42899</c:v>
                </c:pt>
                <c:pt idx="358">
                  <c:v>42900</c:v>
                </c:pt>
                <c:pt idx="359">
                  <c:v>42901</c:v>
                </c:pt>
                <c:pt idx="360">
                  <c:v>42902</c:v>
                </c:pt>
                <c:pt idx="361">
                  <c:v>42905</c:v>
                </c:pt>
                <c:pt idx="362">
                  <c:v>42906</c:v>
                </c:pt>
                <c:pt idx="363">
                  <c:v>42907</c:v>
                </c:pt>
                <c:pt idx="364">
                  <c:v>42908</c:v>
                </c:pt>
                <c:pt idx="365">
                  <c:v>42909</c:v>
                </c:pt>
                <c:pt idx="366">
                  <c:v>42912</c:v>
                </c:pt>
                <c:pt idx="367">
                  <c:v>42913</c:v>
                </c:pt>
                <c:pt idx="368">
                  <c:v>42914</c:v>
                </c:pt>
                <c:pt idx="369">
                  <c:v>42915</c:v>
                </c:pt>
                <c:pt idx="370">
                  <c:v>42916</c:v>
                </c:pt>
                <c:pt idx="371">
                  <c:v>42919</c:v>
                </c:pt>
                <c:pt idx="372">
                  <c:v>42920</c:v>
                </c:pt>
                <c:pt idx="373">
                  <c:v>42921</c:v>
                </c:pt>
                <c:pt idx="374">
                  <c:v>42922</c:v>
                </c:pt>
                <c:pt idx="375">
                  <c:v>42923</c:v>
                </c:pt>
                <c:pt idx="376">
                  <c:v>42926</c:v>
                </c:pt>
                <c:pt idx="377">
                  <c:v>42927</c:v>
                </c:pt>
                <c:pt idx="378">
                  <c:v>42928</c:v>
                </c:pt>
                <c:pt idx="379">
                  <c:v>42929</c:v>
                </c:pt>
                <c:pt idx="380">
                  <c:v>42930</c:v>
                </c:pt>
                <c:pt idx="381">
                  <c:v>42933</c:v>
                </c:pt>
                <c:pt idx="382">
                  <c:v>42934</c:v>
                </c:pt>
                <c:pt idx="383">
                  <c:v>42935</c:v>
                </c:pt>
                <c:pt idx="384">
                  <c:v>42936</c:v>
                </c:pt>
                <c:pt idx="385">
                  <c:v>42937</c:v>
                </c:pt>
                <c:pt idx="386">
                  <c:v>42940</c:v>
                </c:pt>
                <c:pt idx="387">
                  <c:v>42941</c:v>
                </c:pt>
                <c:pt idx="388">
                  <c:v>42942</c:v>
                </c:pt>
                <c:pt idx="389">
                  <c:v>42943</c:v>
                </c:pt>
                <c:pt idx="390">
                  <c:v>42944</c:v>
                </c:pt>
                <c:pt idx="391">
                  <c:v>42947</c:v>
                </c:pt>
                <c:pt idx="392">
                  <c:v>42948</c:v>
                </c:pt>
                <c:pt idx="393">
                  <c:v>42949</c:v>
                </c:pt>
                <c:pt idx="394">
                  <c:v>42950</c:v>
                </c:pt>
                <c:pt idx="395">
                  <c:v>42951</c:v>
                </c:pt>
                <c:pt idx="396">
                  <c:v>42954</c:v>
                </c:pt>
                <c:pt idx="397">
                  <c:v>42955</c:v>
                </c:pt>
                <c:pt idx="398">
                  <c:v>42956</c:v>
                </c:pt>
                <c:pt idx="399">
                  <c:v>42957</c:v>
                </c:pt>
                <c:pt idx="400">
                  <c:v>42958</c:v>
                </c:pt>
                <c:pt idx="401">
                  <c:v>42961</c:v>
                </c:pt>
                <c:pt idx="402">
                  <c:v>42962</c:v>
                </c:pt>
                <c:pt idx="403">
                  <c:v>42963</c:v>
                </c:pt>
                <c:pt idx="404">
                  <c:v>42964</c:v>
                </c:pt>
                <c:pt idx="405">
                  <c:v>42965</c:v>
                </c:pt>
                <c:pt idx="406">
                  <c:v>42968</c:v>
                </c:pt>
                <c:pt idx="407">
                  <c:v>42969</c:v>
                </c:pt>
                <c:pt idx="408">
                  <c:v>42970</c:v>
                </c:pt>
                <c:pt idx="409">
                  <c:v>42971</c:v>
                </c:pt>
                <c:pt idx="410">
                  <c:v>42972</c:v>
                </c:pt>
                <c:pt idx="411">
                  <c:v>42975</c:v>
                </c:pt>
                <c:pt idx="412">
                  <c:v>42976</c:v>
                </c:pt>
                <c:pt idx="413">
                  <c:v>42977</c:v>
                </c:pt>
                <c:pt idx="414">
                  <c:v>42978</c:v>
                </c:pt>
                <c:pt idx="415">
                  <c:v>42979</c:v>
                </c:pt>
                <c:pt idx="416">
                  <c:v>42982</c:v>
                </c:pt>
                <c:pt idx="417">
                  <c:v>42983</c:v>
                </c:pt>
                <c:pt idx="418">
                  <c:v>42984</c:v>
                </c:pt>
                <c:pt idx="419">
                  <c:v>42985</c:v>
                </c:pt>
                <c:pt idx="420">
                  <c:v>42986</c:v>
                </c:pt>
                <c:pt idx="421">
                  <c:v>42989</c:v>
                </c:pt>
                <c:pt idx="422">
                  <c:v>42990</c:v>
                </c:pt>
                <c:pt idx="423">
                  <c:v>42991</c:v>
                </c:pt>
                <c:pt idx="424">
                  <c:v>42992</c:v>
                </c:pt>
                <c:pt idx="425">
                  <c:v>42993</c:v>
                </c:pt>
                <c:pt idx="426">
                  <c:v>42996</c:v>
                </c:pt>
                <c:pt idx="427">
                  <c:v>42997</c:v>
                </c:pt>
                <c:pt idx="428">
                  <c:v>42998</c:v>
                </c:pt>
                <c:pt idx="429">
                  <c:v>42999</c:v>
                </c:pt>
                <c:pt idx="430">
                  <c:v>43000</c:v>
                </c:pt>
                <c:pt idx="431">
                  <c:v>43003</c:v>
                </c:pt>
                <c:pt idx="432">
                  <c:v>43004</c:v>
                </c:pt>
                <c:pt idx="433">
                  <c:v>43005</c:v>
                </c:pt>
                <c:pt idx="434">
                  <c:v>43006</c:v>
                </c:pt>
                <c:pt idx="435">
                  <c:v>43007</c:v>
                </c:pt>
                <c:pt idx="436">
                  <c:v>43010</c:v>
                </c:pt>
                <c:pt idx="437">
                  <c:v>43011</c:v>
                </c:pt>
                <c:pt idx="438">
                  <c:v>43012</c:v>
                </c:pt>
                <c:pt idx="439">
                  <c:v>43013</c:v>
                </c:pt>
                <c:pt idx="440">
                  <c:v>43014</c:v>
                </c:pt>
                <c:pt idx="441">
                  <c:v>43017</c:v>
                </c:pt>
                <c:pt idx="442">
                  <c:v>43018</c:v>
                </c:pt>
                <c:pt idx="443">
                  <c:v>43019</c:v>
                </c:pt>
                <c:pt idx="444">
                  <c:v>43020</c:v>
                </c:pt>
                <c:pt idx="445">
                  <c:v>43021</c:v>
                </c:pt>
                <c:pt idx="446">
                  <c:v>43024</c:v>
                </c:pt>
                <c:pt idx="447">
                  <c:v>43025</c:v>
                </c:pt>
                <c:pt idx="448">
                  <c:v>43026</c:v>
                </c:pt>
                <c:pt idx="449">
                  <c:v>43027</c:v>
                </c:pt>
                <c:pt idx="450">
                  <c:v>43028</c:v>
                </c:pt>
                <c:pt idx="451">
                  <c:v>43031</c:v>
                </c:pt>
                <c:pt idx="452">
                  <c:v>43032</c:v>
                </c:pt>
                <c:pt idx="453">
                  <c:v>43033</c:v>
                </c:pt>
                <c:pt idx="454">
                  <c:v>43034</c:v>
                </c:pt>
                <c:pt idx="455">
                  <c:v>43035</c:v>
                </c:pt>
                <c:pt idx="456">
                  <c:v>43038</c:v>
                </c:pt>
                <c:pt idx="457">
                  <c:v>43039</c:v>
                </c:pt>
                <c:pt idx="458">
                  <c:v>43040</c:v>
                </c:pt>
                <c:pt idx="459">
                  <c:v>43041</c:v>
                </c:pt>
                <c:pt idx="460">
                  <c:v>43042</c:v>
                </c:pt>
                <c:pt idx="461">
                  <c:v>43045</c:v>
                </c:pt>
                <c:pt idx="462">
                  <c:v>43046</c:v>
                </c:pt>
                <c:pt idx="463">
                  <c:v>43047</c:v>
                </c:pt>
                <c:pt idx="464">
                  <c:v>43048</c:v>
                </c:pt>
                <c:pt idx="465">
                  <c:v>43049</c:v>
                </c:pt>
                <c:pt idx="466">
                  <c:v>43052</c:v>
                </c:pt>
                <c:pt idx="467">
                  <c:v>43053</c:v>
                </c:pt>
                <c:pt idx="468">
                  <c:v>43054</c:v>
                </c:pt>
                <c:pt idx="469">
                  <c:v>43055</c:v>
                </c:pt>
                <c:pt idx="470">
                  <c:v>43056</c:v>
                </c:pt>
                <c:pt idx="471">
                  <c:v>43059</c:v>
                </c:pt>
                <c:pt idx="472">
                  <c:v>43060</c:v>
                </c:pt>
                <c:pt idx="473">
                  <c:v>43061</c:v>
                </c:pt>
                <c:pt idx="474">
                  <c:v>43062</c:v>
                </c:pt>
                <c:pt idx="475">
                  <c:v>43063</c:v>
                </c:pt>
                <c:pt idx="476">
                  <c:v>43066</c:v>
                </c:pt>
                <c:pt idx="477">
                  <c:v>43067</c:v>
                </c:pt>
                <c:pt idx="478">
                  <c:v>43068</c:v>
                </c:pt>
                <c:pt idx="479">
                  <c:v>43069</c:v>
                </c:pt>
                <c:pt idx="480">
                  <c:v>43070</c:v>
                </c:pt>
                <c:pt idx="481">
                  <c:v>43073</c:v>
                </c:pt>
                <c:pt idx="482">
                  <c:v>43074</c:v>
                </c:pt>
                <c:pt idx="483">
                  <c:v>43075</c:v>
                </c:pt>
                <c:pt idx="484">
                  <c:v>43076</c:v>
                </c:pt>
                <c:pt idx="485">
                  <c:v>43077</c:v>
                </c:pt>
                <c:pt idx="486">
                  <c:v>43080</c:v>
                </c:pt>
                <c:pt idx="487">
                  <c:v>43081</c:v>
                </c:pt>
                <c:pt idx="488">
                  <c:v>43082</c:v>
                </c:pt>
                <c:pt idx="489">
                  <c:v>43083</c:v>
                </c:pt>
                <c:pt idx="490">
                  <c:v>43084</c:v>
                </c:pt>
                <c:pt idx="491">
                  <c:v>43087</c:v>
                </c:pt>
                <c:pt idx="492">
                  <c:v>43088</c:v>
                </c:pt>
                <c:pt idx="493">
                  <c:v>43089</c:v>
                </c:pt>
                <c:pt idx="494">
                  <c:v>43090</c:v>
                </c:pt>
                <c:pt idx="495">
                  <c:v>43091</c:v>
                </c:pt>
                <c:pt idx="496">
                  <c:v>43094</c:v>
                </c:pt>
                <c:pt idx="497">
                  <c:v>43095</c:v>
                </c:pt>
                <c:pt idx="498">
                  <c:v>43096</c:v>
                </c:pt>
                <c:pt idx="499">
                  <c:v>43097</c:v>
                </c:pt>
                <c:pt idx="500">
                  <c:v>43098</c:v>
                </c:pt>
                <c:pt idx="501">
                  <c:v>43101</c:v>
                </c:pt>
                <c:pt idx="502">
                  <c:v>43102</c:v>
                </c:pt>
                <c:pt idx="503">
                  <c:v>43103</c:v>
                </c:pt>
                <c:pt idx="504">
                  <c:v>43104</c:v>
                </c:pt>
                <c:pt idx="505">
                  <c:v>43105</c:v>
                </c:pt>
                <c:pt idx="506">
                  <c:v>43108</c:v>
                </c:pt>
                <c:pt idx="507">
                  <c:v>43109</c:v>
                </c:pt>
                <c:pt idx="508">
                  <c:v>43110</c:v>
                </c:pt>
                <c:pt idx="509">
                  <c:v>43111</c:v>
                </c:pt>
                <c:pt idx="510">
                  <c:v>43112</c:v>
                </c:pt>
                <c:pt idx="511">
                  <c:v>43115</c:v>
                </c:pt>
                <c:pt idx="512">
                  <c:v>43116</c:v>
                </c:pt>
                <c:pt idx="513">
                  <c:v>43117</c:v>
                </c:pt>
                <c:pt idx="514">
                  <c:v>43118</c:v>
                </c:pt>
                <c:pt idx="515">
                  <c:v>43119</c:v>
                </c:pt>
                <c:pt idx="516">
                  <c:v>43122</c:v>
                </c:pt>
                <c:pt idx="517">
                  <c:v>43123</c:v>
                </c:pt>
                <c:pt idx="518">
                  <c:v>43124</c:v>
                </c:pt>
                <c:pt idx="519">
                  <c:v>43125</c:v>
                </c:pt>
                <c:pt idx="520">
                  <c:v>43126</c:v>
                </c:pt>
                <c:pt idx="521">
                  <c:v>43129</c:v>
                </c:pt>
                <c:pt idx="522">
                  <c:v>43130</c:v>
                </c:pt>
                <c:pt idx="523">
                  <c:v>43131</c:v>
                </c:pt>
                <c:pt idx="524">
                  <c:v>43132</c:v>
                </c:pt>
                <c:pt idx="525">
                  <c:v>43133</c:v>
                </c:pt>
                <c:pt idx="526">
                  <c:v>43136</c:v>
                </c:pt>
                <c:pt idx="527">
                  <c:v>43137</c:v>
                </c:pt>
                <c:pt idx="528">
                  <c:v>43138</c:v>
                </c:pt>
                <c:pt idx="529">
                  <c:v>43139</c:v>
                </c:pt>
                <c:pt idx="530">
                  <c:v>43140</c:v>
                </c:pt>
                <c:pt idx="531">
                  <c:v>43143</c:v>
                </c:pt>
                <c:pt idx="532">
                  <c:v>43144</c:v>
                </c:pt>
                <c:pt idx="533">
                  <c:v>43145</c:v>
                </c:pt>
                <c:pt idx="534">
                  <c:v>43146</c:v>
                </c:pt>
                <c:pt idx="535">
                  <c:v>43147</c:v>
                </c:pt>
                <c:pt idx="536">
                  <c:v>43150</c:v>
                </c:pt>
                <c:pt idx="537">
                  <c:v>43151</c:v>
                </c:pt>
                <c:pt idx="538">
                  <c:v>43152</c:v>
                </c:pt>
                <c:pt idx="539">
                  <c:v>43153</c:v>
                </c:pt>
                <c:pt idx="540">
                  <c:v>43154</c:v>
                </c:pt>
                <c:pt idx="541">
                  <c:v>43157</c:v>
                </c:pt>
                <c:pt idx="542">
                  <c:v>43158</c:v>
                </c:pt>
                <c:pt idx="543">
                  <c:v>43159</c:v>
                </c:pt>
              </c:numCache>
            </c:numRef>
          </c:cat>
          <c:val>
            <c:numRef>
              <c:f>'Currency Raw'!$L$2:$L$545</c:f>
              <c:numCache>
                <c:formatCode>General</c:formatCode>
                <c:ptCount val="544"/>
                <c:pt idx="1">
                  <c:v>0.12382367508668127</c:v>
                </c:pt>
                <c:pt idx="2">
                  <c:v>0.96582466567607872</c:v>
                </c:pt>
                <c:pt idx="3">
                  <c:v>2.6745913818722098</c:v>
                </c:pt>
                <c:pt idx="4">
                  <c:v>3.5991414891860654</c:v>
                </c:pt>
                <c:pt idx="5">
                  <c:v>3.5248472841340561</c:v>
                </c:pt>
                <c:pt idx="6">
                  <c:v>4.3668482747234654</c:v>
                </c:pt>
                <c:pt idx="7">
                  <c:v>4.9777117384843992</c:v>
                </c:pt>
                <c:pt idx="8">
                  <c:v>6.4305761928347414</c:v>
                </c:pt>
                <c:pt idx="9">
                  <c:v>7.1982829783721307</c:v>
                </c:pt>
                <c:pt idx="10">
                  <c:v>6.5131253095591886</c:v>
                </c:pt>
                <c:pt idx="11">
                  <c:v>5.3987122337791034</c:v>
                </c:pt>
                <c:pt idx="12">
                  <c:v>5.836222552418695</c:v>
                </c:pt>
                <c:pt idx="13">
                  <c:v>5.8114578174013589</c:v>
                </c:pt>
                <c:pt idx="14">
                  <c:v>6.5213802212316372</c:v>
                </c:pt>
                <c:pt idx="15">
                  <c:v>7.0249298332507886</c:v>
                </c:pt>
                <c:pt idx="16">
                  <c:v>6.7855373947498761</c:v>
                </c:pt>
                <c:pt idx="17">
                  <c:v>7.4624401518903802</c:v>
                </c:pt>
                <c:pt idx="18">
                  <c:v>7.3964008585108081</c:v>
                </c:pt>
                <c:pt idx="19">
                  <c:v>6.7194981013703163</c:v>
                </c:pt>
                <c:pt idx="20">
                  <c:v>5.8940069341258052</c:v>
                </c:pt>
                <c:pt idx="21">
                  <c:v>6.9754003632161163</c:v>
                </c:pt>
                <c:pt idx="22">
                  <c:v>5.8940069341258052</c:v>
                </c:pt>
                <c:pt idx="23">
                  <c:v>6.0921248142644835</c:v>
                </c:pt>
                <c:pt idx="24">
                  <c:v>6.2984976060756104</c:v>
                </c:pt>
                <c:pt idx="25">
                  <c:v>5.9600462275053649</c:v>
                </c:pt>
                <c:pt idx="26">
                  <c:v>6.2572230477133877</c:v>
                </c:pt>
                <c:pt idx="27">
                  <c:v>7.0909691266303474</c:v>
                </c:pt>
                <c:pt idx="28">
                  <c:v>6.6452038963183062</c:v>
                </c:pt>
                <c:pt idx="29">
                  <c:v>6.8433217764569969</c:v>
                </c:pt>
                <c:pt idx="30">
                  <c:v>6.1168895492818196</c:v>
                </c:pt>
                <c:pt idx="31">
                  <c:v>6.075614990919596</c:v>
                </c:pt>
                <c:pt idx="32">
                  <c:v>6.7029882780254288</c:v>
                </c:pt>
                <c:pt idx="33">
                  <c:v>6.1581641076440432</c:v>
                </c:pt>
                <c:pt idx="34">
                  <c:v>8.0733036156513123</c:v>
                </c:pt>
                <c:pt idx="35">
                  <c:v>7.8916955588575224</c:v>
                </c:pt>
                <c:pt idx="36">
                  <c:v>7.7183424137361678</c:v>
                </c:pt>
                <c:pt idx="37">
                  <c:v>7.2313026250619163</c:v>
                </c:pt>
                <c:pt idx="38">
                  <c:v>7.1074789499752349</c:v>
                </c:pt>
                <c:pt idx="39">
                  <c:v>6.9506356281987802</c:v>
                </c:pt>
                <c:pt idx="40">
                  <c:v>6.612184249628533</c:v>
                </c:pt>
                <c:pt idx="41">
                  <c:v>6.4223212811622927</c:v>
                </c:pt>
                <c:pt idx="42">
                  <c:v>6.736007924715202</c:v>
                </c:pt>
                <c:pt idx="43">
                  <c:v>7.0992240383027854</c:v>
                </c:pt>
                <c:pt idx="44">
                  <c:v>7.1322436849925719</c:v>
                </c:pt>
                <c:pt idx="45">
                  <c:v>7.8008915304606266</c:v>
                </c:pt>
                <c:pt idx="46">
                  <c:v>8.0898134389962006</c:v>
                </c:pt>
                <c:pt idx="47">
                  <c:v>8.91530460624071</c:v>
                </c:pt>
                <c:pt idx="48">
                  <c:v>9.3693247482251891</c:v>
                </c:pt>
                <c:pt idx="49">
                  <c:v>10.673600792471525</c:v>
                </c:pt>
                <c:pt idx="50">
                  <c:v>10.789169555885758</c:v>
                </c:pt>
                <c:pt idx="51">
                  <c:v>10.896483407627541</c:v>
                </c:pt>
                <c:pt idx="52">
                  <c:v>10.401188707280827</c:v>
                </c:pt>
                <c:pt idx="53">
                  <c:v>9.7407957734852211</c:v>
                </c:pt>
                <c:pt idx="54">
                  <c:v>9.6912663034505488</c:v>
                </c:pt>
                <c:pt idx="55">
                  <c:v>10.219580650487035</c:v>
                </c:pt>
                <c:pt idx="56">
                  <c:v>10.170051180452374</c:v>
                </c:pt>
                <c:pt idx="57">
                  <c:v>9.8481096252270159</c:v>
                </c:pt>
                <c:pt idx="58">
                  <c:v>9.3280501898629655</c:v>
                </c:pt>
                <c:pt idx="59">
                  <c:v>9.6417368334158891</c:v>
                </c:pt>
                <c:pt idx="60">
                  <c:v>7.7183424137361678</c:v>
                </c:pt>
                <c:pt idx="61">
                  <c:v>8.2053822024104335</c:v>
                </c:pt>
                <c:pt idx="62">
                  <c:v>8.1145781740135376</c:v>
                </c:pt>
                <c:pt idx="63">
                  <c:v>7.9907544989268668</c:v>
                </c:pt>
                <c:pt idx="64">
                  <c:v>10.756149909195972</c:v>
                </c:pt>
                <c:pt idx="65">
                  <c:v>12.085190688459633</c:v>
                </c:pt>
                <c:pt idx="66">
                  <c:v>12.134720158494307</c:v>
                </c:pt>
                <c:pt idx="67">
                  <c:v>12.242034010236088</c:v>
                </c:pt>
                <c:pt idx="68">
                  <c:v>11.606405811457819</c:v>
                </c:pt>
                <c:pt idx="69">
                  <c:v>11.441307578008916</c:v>
                </c:pt>
                <c:pt idx="70">
                  <c:v>11.961367013372953</c:v>
                </c:pt>
                <c:pt idx="71">
                  <c:v>10.508502559022622</c:v>
                </c:pt>
                <c:pt idx="72">
                  <c:v>9.7903252435198951</c:v>
                </c:pt>
                <c:pt idx="73">
                  <c:v>10.417698530625726</c:v>
                </c:pt>
                <c:pt idx="74">
                  <c:v>10.062737328710581</c:v>
                </c:pt>
                <c:pt idx="75">
                  <c:v>10.128776622090141</c:v>
                </c:pt>
                <c:pt idx="76">
                  <c:v>10.046227505365694</c:v>
                </c:pt>
                <c:pt idx="77">
                  <c:v>9.9884431236585716</c:v>
                </c:pt>
                <c:pt idx="78">
                  <c:v>9.4188542182598614</c:v>
                </c:pt>
                <c:pt idx="79">
                  <c:v>9.3693247482251891</c:v>
                </c:pt>
                <c:pt idx="80">
                  <c:v>8.7914809311540409</c:v>
                </c:pt>
                <c:pt idx="81">
                  <c:v>9.7242859501403345</c:v>
                </c:pt>
                <c:pt idx="82">
                  <c:v>9.2042265147762965</c:v>
                </c:pt>
                <c:pt idx="83">
                  <c:v>9.0226184579825048</c:v>
                </c:pt>
                <c:pt idx="84">
                  <c:v>9.3610698365527512</c:v>
                </c:pt>
                <c:pt idx="85">
                  <c:v>9.2537559848109581</c:v>
                </c:pt>
                <c:pt idx="86">
                  <c:v>8.2549116724451039</c:v>
                </c:pt>
                <c:pt idx="87">
                  <c:v>8.6346376093775739</c:v>
                </c:pt>
                <c:pt idx="88">
                  <c:v>9.476638599966984</c:v>
                </c:pt>
                <c:pt idx="89">
                  <c:v>10.244345385504372</c:v>
                </c:pt>
                <c:pt idx="90">
                  <c:v>11.887072808320957</c:v>
                </c:pt>
                <c:pt idx="91">
                  <c:v>11.721974574872052</c:v>
                </c:pt>
                <c:pt idx="92">
                  <c:v>11.317483902922234</c:v>
                </c:pt>
                <c:pt idx="93">
                  <c:v>11.837543338286283</c:v>
                </c:pt>
                <c:pt idx="94">
                  <c:v>12.019151395080074</c:v>
                </c:pt>
                <c:pt idx="95">
                  <c:v>11.573386164768033</c:v>
                </c:pt>
                <c:pt idx="96">
                  <c:v>12.390622420340106</c:v>
                </c:pt>
                <c:pt idx="97">
                  <c:v>12.423642067029879</c:v>
                </c:pt>
                <c:pt idx="98">
                  <c:v>12.547465742116563</c:v>
                </c:pt>
                <c:pt idx="99">
                  <c:v>13.851741786362886</c:v>
                </c:pt>
                <c:pt idx="100">
                  <c:v>13.959055638104671</c:v>
                </c:pt>
                <c:pt idx="101">
                  <c:v>13.950800726432233</c:v>
                </c:pt>
                <c:pt idx="102">
                  <c:v>13.637114082879309</c:v>
                </c:pt>
                <c:pt idx="103">
                  <c:v>13.752682846293544</c:v>
                </c:pt>
                <c:pt idx="104">
                  <c:v>12.712563975565466</c:v>
                </c:pt>
                <c:pt idx="105">
                  <c:v>15.610037972593691</c:v>
                </c:pt>
                <c:pt idx="106">
                  <c:v>15.940234439491499</c:v>
                </c:pt>
                <c:pt idx="107">
                  <c:v>15.238566947333659</c:v>
                </c:pt>
                <c:pt idx="108">
                  <c:v>15.205547300643884</c:v>
                </c:pt>
                <c:pt idx="109">
                  <c:v>14.817566452038966</c:v>
                </c:pt>
                <c:pt idx="110">
                  <c:v>15.378900445765225</c:v>
                </c:pt>
                <c:pt idx="111">
                  <c:v>15.387155357437676</c:v>
                </c:pt>
                <c:pt idx="112">
                  <c:v>16.196136701337299</c:v>
                </c:pt>
                <c:pt idx="113">
                  <c:v>16.270430906389297</c:v>
                </c:pt>
                <c:pt idx="114">
                  <c:v>16.897804193495126</c:v>
                </c:pt>
                <c:pt idx="115">
                  <c:v>17.013372956909361</c:v>
                </c:pt>
                <c:pt idx="116">
                  <c:v>15.172527653954099</c:v>
                </c:pt>
                <c:pt idx="117">
                  <c:v>13.38946673270596</c:v>
                </c:pt>
                <c:pt idx="118">
                  <c:v>13.909526168069997</c:v>
                </c:pt>
                <c:pt idx="119">
                  <c:v>13.059270265808163</c:v>
                </c:pt>
                <c:pt idx="120">
                  <c:v>12.984976060756154</c:v>
                </c:pt>
                <c:pt idx="121">
                  <c:v>12.374112596995209</c:v>
                </c:pt>
                <c:pt idx="122">
                  <c:v>12.415387155357442</c:v>
                </c:pt>
                <c:pt idx="123">
                  <c:v>11.928347366683179</c:v>
                </c:pt>
                <c:pt idx="124">
                  <c:v>12.638269770513459</c:v>
                </c:pt>
                <c:pt idx="125">
                  <c:v>12.341092950305434</c:v>
                </c:pt>
                <c:pt idx="126">
                  <c:v>12.61350503549612</c:v>
                </c:pt>
                <c:pt idx="127">
                  <c:v>13.496780584447743</c:v>
                </c:pt>
                <c:pt idx="128">
                  <c:v>12.75383853392769</c:v>
                </c:pt>
                <c:pt idx="129">
                  <c:v>13.438996202740633</c:v>
                </c:pt>
                <c:pt idx="130">
                  <c:v>15.510979032524357</c:v>
                </c:pt>
                <c:pt idx="131">
                  <c:v>15.601783060921253</c:v>
                </c:pt>
                <c:pt idx="132">
                  <c:v>16.831764900115569</c:v>
                </c:pt>
                <c:pt idx="133">
                  <c:v>16.344725111441306</c:v>
                </c:pt>
                <c:pt idx="134">
                  <c:v>16.51807825656266</c:v>
                </c:pt>
                <c:pt idx="135">
                  <c:v>15.989763909526172</c:v>
                </c:pt>
                <c:pt idx="136">
                  <c:v>15.329370975730566</c:v>
                </c:pt>
                <c:pt idx="137">
                  <c:v>15.841175499422155</c:v>
                </c:pt>
                <c:pt idx="138">
                  <c:v>16.344725111441306</c:v>
                </c:pt>
                <c:pt idx="139">
                  <c:v>16.113587584612841</c:v>
                </c:pt>
                <c:pt idx="140">
                  <c:v>16.493313521545321</c:v>
                </c:pt>
                <c:pt idx="141">
                  <c:v>16.435529139838202</c:v>
                </c:pt>
                <c:pt idx="142">
                  <c:v>17.178471190358266</c:v>
                </c:pt>
                <c:pt idx="143">
                  <c:v>17.186726102030715</c:v>
                </c:pt>
                <c:pt idx="144">
                  <c:v>17.426118540531615</c:v>
                </c:pt>
                <c:pt idx="145">
                  <c:v>17.285785042100045</c:v>
                </c:pt>
                <c:pt idx="146">
                  <c:v>17.178471190358266</c:v>
                </c:pt>
                <c:pt idx="147">
                  <c:v>17.269275218755162</c:v>
                </c:pt>
                <c:pt idx="148">
                  <c:v>17.071157338616484</c:v>
                </c:pt>
                <c:pt idx="149">
                  <c:v>17.005118045236912</c:v>
                </c:pt>
                <c:pt idx="150">
                  <c:v>16.394254581475977</c:v>
                </c:pt>
                <c:pt idx="151">
                  <c:v>15.667822354300812</c:v>
                </c:pt>
                <c:pt idx="152">
                  <c:v>14.949645038798085</c:v>
                </c:pt>
                <c:pt idx="153">
                  <c:v>14.743272246986958</c:v>
                </c:pt>
                <c:pt idx="154">
                  <c:v>14.735017335314508</c:v>
                </c:pt>
                <c:pt idx="155">
                  <c:v>14.190193164933133</c:v>
                </c:pt>
                <c:pt idx="156">
                  <c:v>14.718507511969619</c:v>
                </c:pt>
                <c:pt idx="157">
                  <c:v>15.676077265973252</c:v>
                </c:pt>
                <c:pt idx="158">
                  <c:v>15.940234439491499</c:v>
                </c:pt>
                <c:pt idx="159">
                  <c:v>15.420175004127461</c:v>
                </c:pt>
                <c:pt idx="160">
                  <c:v>15.172527653954099</c:v>
                </c:pt>
                <c:pt idx="161">
                  <c:v>15.874195146111939</c:v>
                </c:pt>
                <c:pt idx="162">
                  <c:v>15.634802707611026</c:v>
                </c:pt>
                <c:pt idx="163">
                  <c:v>15.395410269110124</c:v>
                </c:pt>
                <c:pt idx="164">
                  <c:v>15.593528149248803</c:v>
                </c:pt>
                <c:pt idx="165">
                  <c:v>15.535743767541693</c:v>
                </c:pt>
                <c:pt idx="166">
                  <c:v>16.014528644543507</c:v>
                </c:pt>
                <c:pt idx="167">
                  <c:v>16.072313026250619</c:v>
                </c:pt>
                <c:pt idx="168">
                  <c:v>16.856529635132905</c:v>
                </c:pt>
                <c:pt idx="169">
                  <c:v>16.782235430080895</c:v>
                </c:pt>
                <c:pt idx="170">
                  <c:v>16.633647019976891</c:v>
                </c:pt>
                <c:pt idx="171">
                  <c:v>17.170216278685814</c:v>
                </c:pt>
                <c:pt idx="172">
                  <c:v>17.145451543668479</c:v>
                </c:pt>
                <c:pt idx="173">
                  <c:v>16.972098398547136</c:v>
                </c:pt>
                <c:pt idx="174">
                  <c:v>16.501568433217763</c:v>
                </c:pt>
                <c:pt idx="175">
                  <c:v>16.270430906389297</c:v>
                </c:pt>
                <c:pt idx="176">
                  <c:v>16.18788178966485</c:v>
                </c:pt>
                <c:pt idx="177">
                  <c:v>15.015684332177646</c:v>
                </c:pt>
                <c:pt idx="178">
                  <c:v>14.553409278520716</c:v>
                </c:pt>
                <c:pt idx="179">
                  <c:v>14.190193164933133</c:v>
                </c:pt>
                <c:pt idx="180">
                  <c:v>14.933135215453197</c:v>
                </c:pt>
                <c:pt idx="181">
                  <c:v>14.35529139838204</c:v>
                </c:pt>
                <c:pt idx="182">
                  <c:v>14.594683836882952</c:v>
                </c:pt>
                <c:pt idx="183">
                  <c:v>13.835231963018</c:v>
                </c:pt>
                <c:pt idx="184">
                  <c:v>14.454350338451382</c:v>
                </c:pt>
                <c:pt idx="185">
                  <c:v>14.148918606570909</c:v>
                </c:pt>
                <c:pt idx="186">
                  <c:v>14.21495789995047</c:v>
                </c:pt>
                <c:pt idx="187">
                  <c:v>14.280997193330029</c:v>
                </c:pt>
                <c:pt idx="188">
                  <c:v>14.751527158659405</c:v>
                </c:pt>
                <c:pt idx="189">
                  <c:v>14.190193164933133</c:v>
                </c:pt>
                <c:pt idx="190">
                  <c:v>14.206702988278019</c:v>
                </c:pt>
                <c:pt idx="191">
                  <c:v>13.959055638104671</c:v>
                </c:pt>
                <c:pt idx="192">
                  <c:v>13.942545814759782</c:v>
                </c:pt>
                <c:pt idx="193">
                  <c:v>13.670133729569095</c:v>
                </c:pt>
                <c:pt idx="194">
                  <c:v>13.092289912497938</c:v>
                </c:pt>
                <c:pt idx="195">
                  <c:v>13.034505530790828</c:v>
                </c:pt>
                <c:pt idx="196">
                  <c:v>13.33168235099885</c:v>
                </c:pt>
                <c:pt idx="197">
                  <c:v>13.983820373122006</c:v>
                </c:pt>
                <c:pt idx="198">
                  <c:v>14.701997688624733</c:v>
                </c:pt>
                <c:pt idx="199">
                  <c:v>14.966154862142972</c:v>
                </c:pt>
                <c:pt idx="200">
                  <c:v>14.817566452038966</c:v>
                </c:pt>
                <c:pt idx="201">
                  <c:v>13.802212316328214</c:v>
                </c:pt>
                <c:pt idx="202">
                  <c:v>13.257388145946841</c:v>
                </c:pt>
                <c:pt idx="203">
                  <c:v>13.026250619118377</c:v>
                </c:pt>
                <c:pt idx="204">
                  <c:v>11.961367013372953</c:v>
                </c:pt>
                <c:pt idx="205">
                  <c:v>12.052171041769848</c:v>
                </c:pt>
                <c:pt idx="206">
                  <c:v>10.772659732540859</c:v>
                </c:pt>
                <c:pt idx="207">
                  <c:v>10.153541357107477</c:v>
                </c:pt>
                <c:pt idx="208">
                  <c:v>9.8563645368994539</c:v>
                </c:pt>
                <c:pt idx="209">
                  <c:v>9.3032854548456285</c:v>
                </c:pt>
                <c:pt idx="210">
                  <c:v>8.5603434043255788</c:v>
                </c:pt>
                <c:pt idx="211">
                  <c:v>8.2879313191348913</c:v>
                </c:pt>
                <c:pt idx="212">
                  <c:v>8.3374607891695511</c:v>
                </c:pt>
                <c:pt idx="213">
                  <c:v>7.0992240383027854</c:v>
                </c:pt>
                <c:pt idx="214">
                  <c:v>6.4058114578174052</c:v>
                </c:pt>
                <c:pt idx="215">
                  <c:v>6.5626547795938599</c:v>
                </c:pt>
                <c:pt idx="216">
                  <c:v>7.2560673600792516</c:v>
                </c:pt>
                <c:pt idx="217">
                  <c:v>6.9919101865610029</c:v>
                </c:pt>
                <c:pt idx="218">
                  <c:v>5.7866930823840228</c:v>
                </c:pt>
                <c:pt idx="219">
                  <c:v>5.4812613505035506</c:v>
                </c:pt>
                <c:pt idx="220">
                  <c:v>6.1581641076440432</c:v>
                </c:pt>
                <c:pt idx="221">
                  <c:v>6.3727918111276205</c:v>
                </c:pt>
                <c:pt idx="222">
                  <c:v>5.9683011391778136</c:v>
                </c:pt>
                <c:pt idx="223">
                  <c:v>6.075614990919596</c:v>
                </c:pt>
                <c:pt idx="224">
                  <c:v>5.7371636123493506</c:v>
                </c:pt>
                <c:pt idx="225">
                  <c:v>4.812613505035495</c:v>
                </c:pt>
                <c:pt idx="226">
                  <c:v>5.0850255902261816</c:v>
                </c:pt>
                <c:pt idx="227">
                  <c:v>4.8373782400528311</c:v>
                </c:pt>
                <c:pt idx="228">
                  <c:v>4.9364371801221756</c:v>
                </c:pt>
                <c:pt idx="229">
                  <c:v>2.6663364701997723</c:v>
                </c:pt>
                <c:pt idx="230">
                  <c:v>2.8809641736833371</c:v>
                </c:pt>
                <c:pt idx="231">
                  <c:v>3.648670959220738</c:v>
                </c:pt>
                <c:pt idx="232">
                  <c:v>2.7653954102691056</c:v>
                </c:pt>
                <c:pt idx="233">
                  <c:v>2.9304936437180098</c:v>
                </c:pt>
                <c:pt idx="234">
                  <c:v>2.9387485553904589</c:v>
                </c:pt>
                <c:pt idx="235">
                  <c:v>3.2606901106158186</c:v>
                </c:pt>
                <c:pt idx="236">
                  <c:v>3.3102195806504913</c:v>
                </c:pt>
                <c:pt idx="237">
                  <c:v>3.0378074954598042</c:v>
                </c:pt>
                <c:pt idx="238">
                  <c:v>2.9635132904077954</c:v>
                </c:pt>
                <c:pt idx="239">
                  <c:v>3.8302790160145288</c:v>
                </c:pt>
                <c:pt idx="240">
                  <c:v>3.7147102526002973</c:v>
                </c:pt>
                <c:pt idx="241">
                  <c:v>3.1038467888393635</c:v>
                </c:pt>
                <c:pt idx="242">
                  <c:v>3.0625722304771283</c:v>
                </c:pt>
                <c:pt idx="243">
                  <c:v>3.1038467888393635</c:v>
                </c:pt>
                <c:pt idx="244">
                  <c:v>4.7300643883110487</c:v>
                </c:pt>
                <c:pt idx="245">
                  <c:v>3.516592372461619</c:v>
                </c:pt>
                <c:pt idx="246">
                  <c:v>4.1026911012052167</c:v>
                </c:pt>
                <c:pt idx="247">
                  <c:v>4.3751031863959033</c:v>
                </c:pt>
                <c:pt idx="248">
                  <c:v>4.7548291233283839</c:v>
                </c:pt>
                <c:pt idx="249">
                  <c:v>5.8609872874360196</c:v>
                </c:pt>
                <c:pt idx="250">
                  <c:v>5.2583787353475353</c:v>
                </c:pt>
                <c:pt idx="251">
                  <c:v>5.8032029057289094</c:v>
                </c:pt>
                <c:pt idx="252">
                  <c:v>6.7690275714049886</c:v>
                </c:pt>
                <c:pt idx="253">
                  <c:v>6.38104672280007</c:v>
                </c:pt>
                <c:pt idx="254">
                  <c:v>4.7300643883110487</c:v>
                </c:pt>
                <c:pt idx="255">
                  <c:v>5.15931979527819</c:v>
                </c:pt>
                <c:pt idx="256">
                  <c:v>6.6699686313356432</c:v>
                </c:pt>
                <c:pt idx="257">
                  <c:v>6.2572230477133877</c:v>
                </c:pt>
                <c:pt idx="258">
                  <c:v>6.1664190193164918</c:v>
                </c:pt>
                <c:pt idx="259">
                  <c:v>5.3822024104342052</c:v>
                </c:pt>
                <c:pt idx="260">
                  <c:v>4.8869077100875034</c:v>
                </c:pt>
                <c:pt idx="261">
                  <c:v>6.2242034010236136</c:v>
                </c:pt>
                <c:pt idx="262">
                  <c:v>6.7194981013703163</c:v>
                </c:pt>
                <c:pt idx="263">
                  <c:v>6.3315172527653969</c:v>
                </c:pt>
                <c:pt idx="264">
                  <c:v>6.9258708931814432</c:v>
                </c:pt>
                <c:pt idx="265">
                  <c:v>7.0909691266303474</c:v>
                </c:pt>
                <c:pt idx="266">
                  <c:v>7.4872048869077172</c:v>
                </c:pt>
                <c:pt idx="267">
                  <c:v>7.6027736503219367</c:v>
                </c:pt>
                <c:pt idx="268">
                  <c:v>7.7431071487535048</c:v>
                </c:pt>
                <c:pt idx="269">
                  <c:v>6.6039293379560844</c:v>
                </c:pt>
                <c:pt idx="270">
                  <c:v>6.4140663694898432</c:v>
                </c:pt>
                <c:pt idx="271">
                  <c:v>6.0838699025920464</c:v>
                </c:pt>
                <c:pt idx="272">
                  <c:v>5.5555555555555589</c:v>
                </c:pt>
                <c:pt idx="273">
                  <c:v>5.7123988773320136</c:v>
                </c:pt>
                <c:pt idx="274">
                  <c:v>6.4223212811622927</c:v>
                </c:pt>
                <c:pt idx="275">
                  <c:v>6.8515766881294349</c:v>
                </c:pt>
                <c:pt idx="276">
                  <c:v>6.5956744262836349</c:v>
                </c:pt>
                <c:pt idx="277">
                  <c:v>6.2737328710582752</c:v>
                </c:pt>
                <c:pt idx="278">
                  <c:v>6.3232623410929474</c:v>
                </c:pt>
                <c:pt idx="279">
                  <c:v>6.9506356281987802</c:v>
                </c:pt>
                <c:pt idx="280">
                  <c:v>7.3716361234934844</c:v>
                </c:pt>
                <c:pt idx="281">
                  <c:v>7.3221066534588113</c:v>
                </c:pt>
                <c:pt idx="282">
                  <c:v>7.5945187386494988</c:v>
                </c:pt>
                <c:pt idx="283">
                  <c:v>6.1746739309889414</c:v>
                </c:pt>
                <c:pt idx="284">
                  <c:v>5.4812613505035506</c:v>
                </c:pt>
                <c:pt idx="285">
                  <c:v>5.5307908205382228</c:v>
                </c:pt>
                <c:pt idx="286">
                  <c:v>5.8609872874360196</c:v>
                </c:pt>
                <c:pt idx="287">
                  <c:v>5.9105167574706918</c:v>
                </c:pt>
                <c:pt idx="288">
                  <c:v>5.3904573221066547</c:v>
                </c:pt>
                <c:pt idx="289">
                  <c:v>5.2583787353475353</c:v>
                </c:pt>
                <c:pt idx="290">
                  <c:v>5.184084530295527</c:v>
                </c:pt>
                <c:pt idx="291">
                  <c:v>5.2666336470199733</c:v>
                </c:pt>
                <c:pt idx="292">
                  <c:v>5.3409278520719816</c:v>
                </c:pt>
                <c:pt idx="293">
                  <c:v>5.4069671454515413</c:v>
                </c:pt>
                <c:pt idx="294">
                  <c:v>6.4553409278520784</c:v>
                </c:pt>
                <c:pt idx="295">
                  <c:v>7.0084200099058895</c:v>
                </c:pt>
                <c:pt idx="296">
                  <c:v>7.0827142149578988</c:v>
                </c:pt>
                <c:pt idx="297">
                  <c:v>7.7678718837708409</c:v>
                </c:pt>
                <c:pt idx="298">
                  <c:v>8.5603434043255788</c:v>
                </c:pt>
                <c:pt idx="299">
                  <c:v>8.3374607891695511</c:v>
                </c:pt>
                <c:pt idx="300">
                  <c:v>8.4777942876011192</c:v>
                </c:pt>
                <c:pt idx="301">
                  <c:v>8.7171867261020335</c:v>
                </c:pt>
                <c:pt idx="302">
                  <c:v>8.6594023443949109</c:v>
                </c:pt>
                <c:pt idx="303">
                  <c:v>8.3292058774971132</c:v>
                </c:pt>
                <c:pt idx="304">
                  <c:v>8.048538880633977</c:v>
                </c:pt>
                <c:pt idx="305">
                  <c:v>8.1145781740135376</c:v>
                </c:pt>
                <c:pt idx="306">
                  <c:v>8.3539706125144502</c:v>
                </c:pt>
                <c:pt idx="307">
                  <c:v>8.6263826977051377</c:v>
                </c:pt>
                <c:pt idx="308">
                  <c:v>8.1310879973584225</c:v>
                </c:pt>
                <c:pt idx="309">
                  <c:v>8.469539375928683</c:v>
                </c:pt>
                <c:pt idx="310">
                  <c:v>8.2466567607726553</c:v>
                </c:pt>
                <c:pt idx="311">
                  <c:v>8.395245170876672</c:v>
                </c:pt>
                <c:pt idx="312">
                  <c:v>9.3940894832425244</c:v>
                </c:pt>
                <c:pt idx="313">
                  <c:v>9.5179131583292076</c:v>
                </c:pt>
                <c:pt idx="314">
                  <c:v>9.9471685652963497</c:v>
                </c:pt>
                <c:pt idx="315">
                  <c:v>10.32689450222883</c:v>
                </c:pt>
                <c:pt idx="316">
                  <c:v>10.417698530625726</c:v>
                </c:pt>
                <c:pt idx="317">
                  <c:v>10.467228000660398</c:v>
                </c:pt>
                <c:pt idx="318">
                  <c:v>10.13703153376259</c:v>
                </c:pt>
                <c:pt idx="319">
                  <c:v>9.7490506851576697</c:v>
                </c:pt>
                <c:pt idx="320">
                  <c:v>10.037972593693246</c:v>
                </c:pt>
                <c:pt idx="321">
                  <c:v>9.3693247482251891</c:v>
                </c:pt>
                <c:pt idx="322">
                  <c:v>8.3869902592042234</c:v>
                </c:pt>
                <c:pt idx="323">
                  <c:v>7.78438170711574</c:v>
                </c:pt>
                <c:pt idx="324">
                  <c:v>8.1393429090308729</c:v>
                </c:pt>
                <c:pt idx="325">
                  <c:v>8.0237741456166418</c:v>
                </c:pt>
                <c:pt idx="326">
                  <c:v>7.7513620604259534</c:v>
                </c:pt>
                <c:pt idx="327">
                  <c:v>7.4376754168730432</c:v>
                </c:pt>
                <c:pt idx="328">
                  <c:v>7.2560673600792516</c:v>
                </c:pt>
                <c:pt idx="329">
                  <c:v>7.1074789499752349</c:v>
                </c:pt>
                <c:pt idx="330">
                  <c:v>6.9258708931814432</c:v>
                </c:pt>
                <c:pt idx="331">
                  <c:v>6.7277530130427659</c:v>
                </c:pt>
                <c:pt idx="332">
                  <c:v>5.7454185240217877</c:v>
                </c:pt>
                <c:pt idx="333">
                  <c:v>5.844477464091133</c:v>
                </c:pt>
                <c:pt idx="334">
                  <c:v>6.0591051675747094</c:v>
                </c:pt>
                <c:pt idx="335">
                  <c:v>6.3727918111276205</c:v>
                </c:pt>
                <c:pt idx="336">
                  <c:v>6.2242034010236136</c:v>
                </c:pt>
                <c:pt idx="337">
                  <c:v>6.5296351329040752</c:v>
                </c:pt>
                <c:pt idx="338">
                  <c:v>8.0320290572890904</c:v>
                </c:pt>
                <c:pt idx="339">
                  <c:v>8.395245170876672</c:v>
                </c:pt>
                <c:pt idx="340">
                  <c:v>7.9990094105993048</c:v>
                </c:pt>
                <c:pt idx="341">
                  <c:v>8.2549116724451039</c:v>
                </c:pt>
                <c:pt idx="342">
                  <c:v>7.8256562654779618</c:v>
                </c:pt>
                <c:pt idx="343">
                  <c:v>7.5202245335974904</c:v>
                </c:pt>
                <c:pt idx="344">
                  <c:v>7.759616972098403</c:v>
                </c:pt>
                <c:pt idx="345">
                  <c:v>8.0733036156513123</c:v>
                </c:pt>
                <c:pt idx="346">
                  <c:v>8.1228330856859863</c:v>
                </c:pt>
                <c:pt idx="347">
                  <c:v>8.543833580980678</c:v>
                </c:pt>
                <c:pt idx="348" formatCode="0.00">
                  <c:v>8.6428925210500225</c:v>
                </c:pt>
                <c:pt idx="349">
                  <c:v>8.0567937923064274</c:v>
                </c:pt>
                <c:pt idx="350">
                  <c:v>8.8079907544989293</c:v>
                </c:pt>
                <c:pt idx="351">
                  <c:v>8.8162456661713779</c:v>
                </c:pt>
                <c:pt idx="352">
                  <c:v>9.6747564801056622</c:v>
                </c:pt>
                <c:pt idx="353">
                  <c:v>9.6995212151229993</c:v>
                </c:pt>
                <c:pt idx="354">
                  <c:v>9.1134224863794007</c:v>
                </c:pt>
                <c:pt idx="355">
                  <c:v>8.7914809311540409</c:v>
                </c:pt>
                <c:pt idx="356">
                  <c:v>9.451873864949647</c:v>
                </c:pt>
                <c:pt idx="357">
                  <c:v>9.129932309724289</c:v>
                </c:pt>
                <c:pt idx="358">
                  <c:v>9.9471685652963497</c:v>
                </c:pt>
                <c:pt idx="359">
                  <c:v>8.4117549942215604</c:v>
                </c:pt>
                <c:pt idx="360">
                  <c:v>8.5108139342909048</c:v>
                </c:pt>
                <c:pt idx="361">
                  <c:v>8.0155192339441914</c:v>
                </c:pt>
                <c:pt idx="362">
                  <c:v>7.9907544989268668</c:v>
                </c:pt>
                <c:pt idx="363">
                  <c:v>8.0650487039788636</c:v>
                </c:pt>
                <c:pt idx="364">
                  <c:v>8.1063232623410997</c:v>
                </c:pt>
                <c:pt idx="365">
                  <c:v>8.1228330856859863</c:v>
                </c:pt>
                <c:pt idx="366">
                  <c:v>7.8008915304606266</c:v>
                </c:pt>
                <c:pt idx="367">
                  <c:v>7.2313026250619163</c:v>
                </c:pt>
                <c:pt idx="368">
                  <c:v>7.3551263001485863</c:v>
                </c:pt>
                <c:pt idx="369">
                  <c:v>7.5697540036321618</c:v>
                </c:pt>
                <c:pt idx="370" formatCode="0.00">
                  <c:v>7.2560673600792516</c:v>
                </c:pt>
                <c:pt idx="371">
                  <c:v>6.3893016344725062</c:v>
                </c:pt>
                <c:pt idx="372">
                  <c:v>6.5709096912662979</c:v>
                </c:pt>
                <c:pt idx="373">
                  <c:v>6.5296351329040752</c:v>
                </c:pt>
                <c:pt idx="374">
                  <c:v>6.4635958395245163</c:v>
                </c:pt>
                <c:pt idx="375">
                  <c:v>5.8527323757635825</c:v>
                </c:pt>
                <c:pt idx="376">
                  <c:v>5.7619283473666867</c:v>
                </c:pt>
                <c:pt idx="377">
                  <c:v>5.9352814924880288</c:v>
                </c:pt>
                <c:pt idx="378">
                  <c:v>6.5543998679214104</c:v>
                </c:pt>
                <c:pt idx="379">
                  <c:v>6.4635958395245163</c:v>
                </c:pt>
                <c:pt idx="380">
                  <c:v>7.0579494799405618</c:v>
                </c:pt>
                <c:pt idx="381">
                  <c:v>6.9506356281987802</c:v>
                </c:pt>
                <c:pt idx="382">
                  <c:v>7.5037147102526029</c:v>
                </c:pt>
                <c:pt idx="383">
                  <c:v>7.7926366187881779</c:v>
                </c:pt>
                <c:pt idx="384">
                  <c:v>7.759616972098403</c:v>
                </c:pt>
                <c:pt idx="385">
                  <c:v>8.3044411424797779</c:v>
                </c:pt>
                <c:pt idx="386">
                  <c:v>8.1971272907379955</c:v>
                </c:pt>
                <c:pt idx="387">
                  <c:v>7.8421660888228493</c:v>
                </c:pt>
                <c:pt idx="388">
                  <c:v>7.4211655935281451</c:v>
                </c:pt>
                <c:pt idx="389">
                  <c:v>8.1063232623410997</c:v>
                </c:pt>
                <c:pt idx="390">
                  <c:v>8.5025590226184562</c:v>
                </c:pt>
                <c:pt idx="391" formatCode="0.00">
                  <c:v>8.8575202245336015</c:v>
                </c:pt>
                <c:pt idx="392">
                  <c:v>8.964834076275384</c:v>
                </c:pt>
                <c:pt idx="393">
                  <c:v>8.8410104011887025</c:v>
                </c:pt>
                <c:pt idx="394">
                  <c:v>9.0473831929998294</c:v>
                </c:pt>
                <c:pt idx="395">
                  <c:v>8.5273237576357914</c:v>
                </c:pt>
                <c:pt idx="396">
                  <c:v>8.5851081393429141</c:v>
                </c:pt>
                <c:pt idx="397">
                  <c:v>8.7914809311540409</c:v>
                </c:pt>
                <c:pt idx="398">
                  <c:v>9.2455010731385201</c:v>
                </c:pt>
                <c:pt idx="399">
                  <c:v>9.7738154201750067</c:v>
                </c:pt>
                <c:pt idx="400">
                  <c:v>10.004952947003471</c:v>
                </c:pt>
                <c:pt idx="401">
                  <c:v>9.6499917450883252</c:v>
                </c:pt>
                <c:pt idx="402">
                  <c:v>8.8162456661713779</c:v>
                </c:pt>
                <c:pt idx="403">
                  <c:v>8.5851081393429141</c:v>
                </c:pt>
                <c:pt idx="404">
                  <c:v>9.3775796598976395</c:v>
                </c:pt>
                <c:pt idx="405">
                  <c:v>9.6499917450883252</c:v>
                </c:pt>
                <c:pt idx="406">
                  <c:v>10.170051180452374</c:v>
                </c:pt>
                <c:pt idx="407">
                  <c:v>9.6417368334158891</c:v>
                </c:pt>
                <c:pt idx="408">
                  <c:v>9.8811292719167909</c:v>
                </c:pt>
                <c:pt idx="409">
                  <c:v>9.7573055968301201</c:v>
                </c:pt>
                <c:pt idx="410">
                  <c:v>9.8481096252270159</c:v>
                </c:pt>
                <c:pt idx="411">
                  <c:v>9.8563645368994539</c:v>
                </c:pt>
                <c:pt idx="412">
                  <c:v>9.8893841835892395</c:v>
                </c:pt>
                <c:pt idx="413">
                  <c:v>8.9565791646029354</c:v>
                </c:pt>
                <c:pt idx="414" formatCode="0.00">
                  <c:v>9.0721479280171664</c:v>
                </c:pt>
                <c:pt idx="415">
                  <c:v>8.964834076275384</c:v>
                </c:pt>
                <c:pt idx="416">
                  <c:v>9.4436189532771984</c:v>
                </c:pt>
                <c:pt idx="417">
                  <c:v>10.227835562159484</c:v>
                </c:pt>
                <c:pt idx="418">
                  <c:v>9.9058940069341261</c:v>
                </c:pt>
                <c:pt idx="419">
                  <c:v>10.434208353970613</c:v>
                </c:pt>
                <c:pt idx="420">
                  <c:v>10.954267789334651</c:v>
                </c:pt>
                <c:pt idx="421">
                  <c:v>9.9471685652963497</c:v>
                </c:pt>
                <c:pt idx="422">
                  <c:v>9.1629519564140622</c:v>
                </c:pt>
                <c:pt idx="423">
                  <c:v>8.6428925210500225</c:v>
                </c:pt>
                <c:pt idx="424">
                  <c:v>8.5851081393429141</c:v>
                </c:pt>
                <c:pt idx="425">
                  <c:v>8.5273237576357914</c:v>
                </c:pt>
                <c:pt idx="426">
                  <c:v>7.9164602938748576</c:v>
                </c:pt>
                <c:pt idx="427">
                  <c:v>7.7513620604259534</c:v>
                </c:pt>
                <c:pt idx="428">
                  <c:v>8.048538880633977</c:v>
                </c:pt>
                <c:pt idx="429">
                  <c:v>7.1900280666996812</c:v>
                </c:pt>
                <c:pt idx="430">
                  <c:v>7.4541852402179307</c:v>
                </c:pt>
                <c:pt idx="431">
                  <c:v>7.8999504705299719</c:v>
                </c:pt>
                <c:pt idx="432">
                  <c:v>7.3138517417863618</c:v>
                </c:pt>
                <c:pt idx="433">
                  <c:v>6.9836552748885534</c:v>
                </c:pt>
                <c:pt idx="434">
                  <c:v>7.1735182433547946</c:v>
                </c:pt>
                <c:pt idx="435" formatCode="0.00">
                  <c:v>7.0331847449232265</c:v>
                </c:pt>
                <c:pt idx="436">
                  <c:v>6.9754003632161163</c:v>
                </c:pt>
                <c:pt idx="437">
                  <c:v>6.8598315998018844</c:v>
                </c:pt>
                <c:pt idx="438">
                  <c:v>6.868086511474333</c:v>
                </c:pt>
                <c:pt idx="439">
                  <c:v>6.9176159815089937</c:v>
                </c:pt>
                <c:pt idx="440">
                  <c:v>6.9588905398712289</c:v>
                </c:pt>
                <c:pt idx="441">
                  <c:v>6.9919101865610029</c:v>
                </c:pt>
                <c:pt idx="442">
                  <c:v>7.3798910351659224</c:v>
                </c:pt>
                <c:pt idx="443">
                  <c:v>7.1982829783721307</c:v>
                </c:pt>
                <c:pt idx="444">
                  <c:v>7.2643222717516904</c:v>
                </c:pt>
                <c:pt idx="445">
                  <c:v>7.6440482086841719</c:v>
                </c:pt>
                <c:pt idx="446">
                  <c:v>7.7431071487535048</c:v>
                </c:pt>
                <c:pt idx="447">
                  <c:v>7.3138517417863618</c:v>
                </c:pt>
                <c:pt idx="448">
                  <c:v>6.8268119531120979</c:v>
                </c:pt>
                <c:pt idx="449">
                  <c:v>7.0827142149578988</c:v>
                </c:pt>
                <c:pt idx="450">
                  <c:v>6.3975565461449557</c:v>
                </c:pt>
                <c:pt idx="451">
                  <c:v>6.1416542842991566</c:v>
                </c:pt>
                <c:pt idx="452">
                  <c:v>6.0013207858675877</c:v>
                </c:pt>
                <c:pt idx="453">
                  <c:v>6.215948489351165</c:v>
                </c:pt>
                <c:pt idx="454">
                  <c:v>6.1086346376093825</c:v>
                </c:pt>
                <c:pt idx="455">
                  <c:v>5.9105167574706918</c:v>
                </c:pt>
                <c:pt idx="456">
                  <c:v>6.5956744262836349</c:v>
                </c:pt>
                <c:pt idx="457" formatCode="0.00">
                  <c:v>6.1581641076440432</c:v>
                </c:pt>
                <c:pt idx="458">
                  <c:v>5.9600462275053649</c:v>
                </c:pt>
                <c:pt idx="459">
                  <c:v>5.819712729073796</c:v>
                </c:pt>
                <c:pt idx="460">
                  <c:v>5.6793792306422288</c:v>
                </c:pt>
                <c:pt idx="461">
                  <c:v>6.0260855208849238</c:v>
                </c:pt>
                <c:pt idx="462">
                  <c:v>6.0178306092124867</c:v>
                </c:pt>
                <c:pt idx="463">
                  <c:v>6.075614990919596</c:v>
                </c:pt>
                <c:pt idx="464">
                  <c:v>6.5543998679214104</c:v>
                </c:pt>
                <c:pt idx="465">
                  <c:v>6.3067525177480599</c:v>
                </c:pt>
                <c:pt idx="466">
                  <c:v>6.2076935776787154</c:v>
                </c:pt>
                <c:pt idx="467">
                  <c:v>6.38104672280007</c:v>
                </c:pt>
                <c:pt idx="468">
                  <c:v>6.6617137196632052</c:v>
                </c:pt>
                <c:pt idx="469">
                  <c:v>6.8268119531120979</c:v>
                </c:pt>
                <c:pt idx="470">
                  <c:v>7.5284794452699391</c:v>
                </c:pt>
                <c:pt idx="471">
                  <c:v>7.0662043916130113</c:v>
                </c:pt>
                <c:pt idx="472">
                  <c:v>7.1900280666996812</c:v>
                </c:pt>
                <c:pt idx="473">
                  <c:v>7.8916955588575224</c:v>
                </c:pt>
                <c:pt idx="474">
                  <c:v>8.2053822024104335</c:v>
                </c:pt>
                <c:pt idx="475">
                  <c:v>7.8999504705299719</c:v>
                </c:pt>
                <c:pt idx="476">
                  <c:v>8.3292058774971132</c:v>
                </c:pt>
                <c:pt idx="477">
                  <c:v>8.1641076440482081</c:v>
                </c:pt>
                <c:pt idx="478">
                  <c:v>7.6110285619943863</c:v>
                </c:pt>
                <c:pt idx="479" formatCode="0.00">
                  <c:v>7.1239887733201224</c:v>
                </c:pt>
                <c:pt idx="480">
                  <c:v>7.5367343569423779</c:v>
                </c:pt>
                <c:pt idx="481">
                  <c:v>6.8515766881294349</c:v>
                </c:pt>
                <c:pt idx="482">
                  <c:v>6.9506356281987802</c:v>
                </c:pt>
                <c:pt idx="483">
                  <c:v>7.3468713884761474</c:v>
                </c:pt>
                <c:pt idx="484">
                  <c:v>6.9093610698365557</c:v>
                </c:pt>
                <c:pt idx="485">
                  <c:v>6.2902426944031742</c:v>
                </c:pt>
                <c:pt idx="486">
                  <c:v>6.356281987782733</c:v>
                </c:pt>
                <c:pt idx="487">
                  <c:v>6.1994386660062784</c:v>
                </c:pt>
                <c:pt idx="488">
                  <c:v>6.612184249628533</c:v>
                </c:pt>
                <c:pt idx="489">
                  <c:v>7.2478124484068029</c:v>
                </c:pt>
                <c:pt idx="490">
                  <c:v>6.9754003632161163</c:v>
                </c:pt>
                <c:pt idx="491">
                  <c:v>7.1570084200099071</c:v>
                </c:pt>
                <c:pt idx="492">
                  <c:v>6.6782235430080927</c:v>
                </c:pt>
                <c:pt idx="493">
                  <c:v>6.4553409278520784</c:v>
                </c:pt>
                <c:pt idx="494">
                  <c:v>6.3397721644378455</c:v>
                </c:pt>
                <c:pt idx="495">
                  <c:v>6.4966154862143011</c:v>
                </c:pt>
                <c:pt idx="496">
                  <c:v>6.5956744262836349</c:v>
                </c:pt>
                <c:pt idx="497">
                  <c:v>6.5626547795938599</c:v>
                </c:pt>
                <c:pt idx="498">
                  <c:v>6.4553409278520784</c:v>
                </c:pt>
                <c:pt idx="499">
                  <c:v>6.8350668647845474</c:v>
                </c:pt>
                <c:pt idx="500" formatCode="0.00">
                  <c:v>7.0662043916130113</c:v>
                </c:pt>
                <c:pt idx="501">
                  <c:v>6.9836552748885534</c:v>
                </c:pt>
                <c:pt idx="502">
                  <c:v>7.3055968301139123</c:v>
                </c:pt>
                <c:pt idx="503">
                  <c:v>7.2725771834241391</c:v>
                </c:pt>
                <c:pt idx="504">
                  <c:v>6.9093610698365557</c:v>
                </c:pt>
                <c:pt idx="505">
                  <c:v>6.5874195146111969</c:v>
                </c:pt>
                <c:pt idx="506">
                  <c:v>6.6534588079907557</c:v>
                </c:pt>
                <c:pt idx="507">
                  <c:v>7.0662043916130113</c:v>
                </c:pt>
                <c:pt idx="508">
                  <c:v>7.9659897639095316</c:v>
                </c:pt>
                <c:pt idx="509">
                  <c:v>8.0815585273237627</c:v>
                </c:pt>
                <c:pt idx="510">
                  <c:v>8.1723625557206585</c:v>
                </c:pt>
                <c:pt idx="511">
                  <c:v>8.8410104011887025</c:v>
                </c:pt>
                <c:pt idx="512">
                  <c:v>8.593363051015352</c:v>
                </c:pt>
                <c:pt idx="513">
                  <c:v>8.5603434043255788</c:v>
                </c:pt>
                <c:pt idx="514">
                  <c:v>8.4035000825491224</c:v>
                </c:pt>
                <c:pt idx="515">
                  <c:v>8.6924219910846965</c:v>
                </c:pt>
                <c:pt idx="516">
                  <c:v>8.2631665841175543</c:v>
                </c:pt>
                <c:pt idx="517">
                  <c:v>8.8492653128611511</c:v>
                </c:pt>
                <c:pt idx="518">
                  <c:v>9.8481096252270159</c:v>
                </c:pt>
                <c:pt idx="519">
                  <c:v>10.293874855539045</c:v>
                </c:pt>
                <c:pt idx="520">
                  <c:v>10.467228000660398</c:v>
                </c:pt>
                <c:pt idx="521">
                  <c:v>9.9471685652963497</c:v>
                </c:pt>
                <c:pt idx="522">
                  <c:v>10.161796268779925</c:v>
                </c:pt>
                <c:pt idx="523" formatCode="0.00">
                  <c:v>9.7242859501403345</c:v>
                </c:pt>
                <c:pt idx="524">
                  <c:v>9.5509328050189932</c:v>
                </c:pt>
                <c:pt idx="525">
                  <c:v>9.0721479280171664</c:v>
                </c:pt>
                <c:pt idx="526">
                  <c:v>9.2207363381211849</c:v>
                </c:pt>
                <c:pt idx="527">
                  <c:v>9.7242859501403345</c:v>
                </c:pt>
                <c:pt idx="528">
                  <c:v>9.5426778933465428</c:v>
                </c:pt>
                <c:pt idx="529">
                  <c:v>10.285619943866596</c:v>
                </c:pt>
                <c:pt idx="530">
                  <c:v>10.500247647350172</c:v>
                </c:pt>
                <c:pt idx="531">
                  <c:v>10.277365032194158</c:v>
                </c:pt>
                <c:pt idx="532">
                  <c:v>11.102856199438667</c:v>
                </c:pt>
                <c:pt idx="533">
                  <c:v>11.631170546475156</c:v>
                </c:pt>
                <c:pt idx="534">
                  <c:v>11.936602278355616</c:v>
                </c:pt>
                <c:pt idx="535">
                  <c:v>12.448406802047217</c:v>
                </c:pt>
                <c:pt idx="536">
                  <c:v>12.027406306752523</c:v>
                </c:pt>
                <c:pt idx="537">
                  <c:v>11.449562489681364</c:v>
                </c:pt>
                <c:pt idx="538">
                  <c:v>11.135875846128442</c:v>
                </c:pt>
                <c:pt idx="539">
                  <c:v>11.829288426613834</c:v>
                </c:pt>
                <c:pt idx="540">
                  <c:v>12.035661218424961</c:v>
                </c:pt>
                <c:pt idx="541">
                  <c:v>11.664190193164929</c:v>
                </c:pt>
                <c:pt idx="542">
                  <c:v>11.358758461284468</c:v>
                </c:pt>
                <c:pt idx="543" formatCode="0.00">
                  <c:v>11.895327719993393</c:v>
                </c:pt>
              </c:numCache>
            </c:numRef>
          </c:val>
          <c:smooth val="0"/>
        </c:ser>
        <c:ser>
          <c:idx val="2"/>
          <c:order val="2"/>
          <c:tx>
            <c:strRef>
              <c:f>'Currency Raw'!$M$1</c:f>
              <c:strCache>
                <c:ptCount val="1"/>
                <c:pt idx="0">
                  <c:v>GBP</c:v>
                </c:pt>
              </c:strCache>
            </c:strRef>
          </c:tx>
          <c:marker>
            <c:symbol val="none"/>
          </c:marker>
          <c:cat>
            <c:numRef>
              <c:f>'Currency Raw'!$J$2:$J$545</c:f>
              <c:numCache>
                <c:formatCode>m/d/yyyy</c:formatCode>
                <c:ptCount val="544"/>
                <c:pt idx="1">
                  <c:v>42401</c:v>
                </c:pt>
                <c:pt idx="2">
                  <c:v>42402</c:v>
                </c:pt>
                <c:pt idx="3">
                  <c:v>42403</c:v>
                </c:pt>
                <c:pt idx="4">
                  <c:v>42404</c:v>
                </c:pt>
                <c:pt idx="5">
                  <c:v>42405</c:v>
                </c:pt>
                <c:pt idx="6">
                  <c:v>42408</c:v>
                </c:pt>
                <c:pt idx="7">
                  <c:v>42409</c:v>
                </c:pt>
                <c:pt idx="8">
                  <c:v>42410</c:v>
                </c:pt>
                <c:pt idx="9">
                  <c:v>42411</c:v>
                </c:pt>
                <c:pt idx="10">
                  <c:v>42412</c:v>
                </c:pt>
                <c:pt idx="11">
                  <c:v>42415</c:v>
                </c:pt>
                <c:pt idx="12">
                  <c:v>42416</c:v>
                </c:pt>
                <c:pt idx="13">
                  <c:v>42417</c:v>
                </c:pt>
                <c:pt idx="14">
                  <c:v>42418</c:v>
                </c:pt>
                <c:pt idx="15">
                  <c:v>42419</c:v>
                </c:pt>
                <c:pt idx="16">
                  <c:v>42422</c:v>
                </c:pt>
                <c:pt idx="17">
                  <c:v>42423</c:v>
                </c:pt>
                <c:pt idx="18">
                  <c:v>42424</c:v>
                </c:pt>
                <c:pt idx="19">
                  <c:v>42425</c:v>
                </c:pt>
                <c:pt idx="20">
                  <c:v>42426</c:v>
                </c:pt>
                <c:pt idx="21">
                  <c:v>42429</c:v>
                </c:pt>
                <c:pt idx="22">
                  <c:v>42430</c:v>
                </c:pt>
                <c:pt idx="23">
                  <c:v>42431</c:v>
                </c:pt>
                <c:pt idx="24">
                  <c:v>42432</c:v>
                </c:pt>
                <c:pt idx="25">
                  <c:v>42433</c:v>
                </c:pt>
                <c:pt idx="26">
                  <c:v>42436</c:v>
                </c:pt>
                <c:pt idx="27">
                  <c:v>42437</c:v>
                </c:pt>
                <c:pt idx="28">
                  <c:v>42438</c:v>
                </c:pt>
                <c:pt idx="29">
                  <c:v>42439</c:v>
                </c:pt>
                <c:pt idx="30">
                  <c:v>42440</c:v>
                </c:pt>
                <c:pt idx="31">
                  <c:v>42443</c:v>
                </c:pt>
                <c:pt idx="32">
                  <c:v>42444</c:v>
                </c:pt>
                <c:pt idx="33">
                  <c:v>42445</c:v>
                </c:pt>
                <c:pt idx="34">
                  <c:v>42446</c:v>
                </c:pt>
                <c:pt idx="35">
                  <c:v>42447</c:v>
                </c:pt>
                <c:pt idx="36">
                  <c:v>42450</c:v>
                </c:pt>
                <c:pt idx="37">
                  <c:v>42451</c:v>
                </c:pt>
                <c:pt idx="38">
                  <c:v>42452</c:v>
                </c:pt>
                <c:pt idx="39">
                  <c:v>42453</c:v>
                </c:pt>
                <c:pt idx="40">
                  <c:v>42454</c:v>
                </c:pt>
                <c:pt idx="41">
                  <c:v>42457</c:v>
                </c:pt>
                <c:pt idx="42">
                  <c:v>42458</c:v>
                </c:pt>
                <c:pt idx="43">
                  <c:v>42459</c:v>
                </c:pt>
                <c:pt idx="44">
                  <c:v>42460</c:v>
                </c:pt>
                <c:pt idx="45">
                  <c:v>42461</c:v>
                </c:pt>
                <c:pt idx="46">
                  <c:v>42464</c:v>
                </c:pt>
                <c:pt idx="47">
                  <c:v>42465</c:v>
                </c:pt>
                <c:pt idx="48">
                  <c:v>42466</c:v>
                </c:pt>
                <c:pt idx="49">
                  <c:v>42467</c:v>
                </c:pt>
                <c:pt idx="50">
                  <c:v>42468</c:v>
                </c:pt>
                <c:pt idx="51">
                  <c:v>42471</c:v>
                </c:pt>
                <c:pt idx="52">
                  <c:v>42472</c:v>
                </c:pt>
                <c:pt idx="53">
                  <c:v>42473</c:v>
                </c:pt>
                <c:pt idx="54">
                  <c:v>42474</c:v>
                </c:pt>
                <c:pt idx="55">
                  <c:v>42475</c:v>
                </c:pt>
                <c:pt idx="56">
                  <c:v>42478</c:v>
                </c:pt>
                <c:pt idx="57">
                  <c:v>42479</c:v>
                </c:pt>
                <c:pt idx="58">
                  <c:v>42480</c:v>
                </c:pt>
                <c:pt idx="59">
                  <c:v>42481</c:v>
                </c:pt>
                <c:pt idx="60">
                  <c:v>42482</c:v>
                </c:pt>
                <c:pt idx="61">
                  <c:v>42485</c:v>
                </c:pt>
                <c:pt idx="62">
                  <c:v>42486</c:v>
                </c:pt>
                <c:pt idx="63">
                  <c:v>42487</c:v>
                </c:pt>
                <c:pt idx="64">
                  <c:v>42488</c:v>
                </c:pt>
                <c:pt idx="65">
                  <c:v>42489</c:v>
                </c:pt>
                <c:pt idx="66">
                  <c:v>42492</c:v>
                </c:pt>
                <c:pt idx="67">
                  <c:v>42493</c:v>
                </c:pt>
                <c:pt idx="68">
                  <c:v>42494</c:v>
                </c:pt>
                <c:pt idx="69">
                  <c:v>42495</c:v>
                </c:pt>
                <c:pt idx="70">
                  <c:v>42496</c:v>
                </c:pt>
                <c:pt idx="71">
                  <c:v>42499</c:v>
                </c:pt>
                <c:pt idx="72">
                  <c:v>42500</c:v>
                </c:pt>
                <c:pt idx="73">
                  <c:v>42501</c:v>
                </c:pt>
                <c:pt idx="74">
                  <c:v>42502</c:v>
                </c:pt>
                <c:pt idx="75">
                  <c:v>42503</c:v>
                </c:pt>
                <c:pt idx="76">
                  <c:v>42506</c:v>
                </c:pt>
                <c:pt idx="77">
                  <c:v>42507</c:v>
                </c:pt>
                <c:pt idx="78">
                  <c:v>42508</c:v>
                </c:pt>
                <c:pt idx="79">
                  <c:v>42509</c:v>
                </c:pt>
                <c:pt idx="80">
                  <c:v>42510</c:v>
                </c:pt>
                <c:pt idx="81">
                  <c:v>42513</c:v>
                </c:pt>
                <c:pt idx="82">
                  <c:v>42514</c:v>
                </c:pt>
                <c:pt idx="83">
                  <c:v>42515</c:v>
                </c:pt>
                <c:pt idx="84">
                  <c:v>42516</c:v>
                </c:pt>
                <c:pt idx="85">
                  <c:v>42517</c:v>
                </c:pt>
                <c:pt idx="86">
                  <c:v>42520</c:v>
                </c:pt>
                <c:pt idx="87">
                  <c:v>42521</c:v>
                </c:pt>
                <c:pt idx="88">
                  <c:v>42522</c:v>
                </c:pt>
                <c:pt idx="89">
                  <c:v>42523</c:v>
                </c:pt>
                <c:pt idx="90">
                  <c:v>42524</c:v>
                </c:pt>
                <c:pt idx="91">
                  <c:v>42527</c:v>
                </c:pt>
                <c:pt idx="92">
                  <c:v>42528</c:v>
                </c:pt>
                <c:pt idx="93">
                  <c:v>42529</c:v>
                </c:pt>
                <c:pt idx="94">
                  <c:v>42530</c:v>
                </c:pt>
                <c:pt idx="95">
                  <c:v>42531</c:v>
                </c:pt>
                <c:pt idx="96">
                  <c:v>42534</c:v>
                </c:pt>
                <c:pt idx="97">
                  <c:v>42535</c:v>
                </c:pt>
                <c:pt idx="98">
                  <c:v>42536</c:v>
                </c:pt>
                <c:pt idx="99">
                  <c:v>42537</c:v>
                </c:pt>
                <c:pt idx="100">
                  <c:v>42538</c:v>
                </c:pt>
                <c:pt idx="101">
                  <c:v>42541</c:v>
                </c:pt>
                <c:pt idx="102">
                  <c:v>42542</c:v>
                </c:pt>
                <c:pt idx="103">
                  <c:v>42543</c:v>
                </c:pt>
                <c:pt idx="104">
                  <c:v>42544</c:v>
                </c:pt>
                <c:pt idx="105">
                  <c:v>42545</c:v>
                </c:pt>
                <c:pt idx="106">
                  <c:v>42548</c:v>
                </c:pt>
                <c:pt idx="107">
                  <c:v>42549</c:v>
                </c:pt>
                <c:pt idx="108">
                  <c:v>42550</c:v>
                </c:pt>
                <c:pt idx="109">
                  <c:v>42551</c:v>
                </c:pt>
                <c:pt idx="110">
                  <c:v>42552</c:v>
                </c:pt>
                <c:pt idx="111">
                  <c:v>42555</c:v>
                </c:pt>
                <c:pt idx="112">
                  <c:v>42556</c:v>
                </c:pt>
                <c:pt idx="113">
                  <c:v>42557</c:v>
                </c:pt>
                <c:pt idx="114">
                  <c:v>42558</c:v>
                </c:pt>
                <c:pt idx="115">
                  <c:v>42559</c:v>
                </c:pt>
                <c:pt idx="116">
                  <c:v>42562</c:v>
                </c:pt>
                <c:pt idx="117">
                  <c:v>42563</c:v>
                </c:pt>
                <c:pt idx="118">
                  <c:v>42564</c:v>
                </c:pt>
                <c:pt idx="119">
                  <c:v>42565</c:v>
                </c:pt>
                <c:pt idx="120">
                  <c:v>42566</c:v>
                </c:pt>
                <c:pt idx="121">
                  <c:v>42569</c:v>
                </c:pt>
                <c:pt idx="122">
                  <c:v>42570</c:v>
                </c:pt>
                <c:pt idx="123">
                  <c:v>42571</c:v>
                </c:pt>
                <c:pt idx="124">
                  <c:v>42572</c:v>
                </c:pt>
                <c:pt idx="125">
                  <c:v>42573</c:v>
                </c:pt>
                <c:pt idx="126">
                  <c:v>42576</c:v>
                </c:pt>
                <c:pt idx="127">
                  <c:v>42577</c:v>
                </c:pt>
                <c:pt idx="128">
                  <c:v>42578</c:v>
                </c:pt>
                <c:pt idx="129">
                  <c:v>42579</c:v>
                </c:pt>
                <c:pt idx="130">
                  <c:v>42580</c:v>
                </c:pt>
                <c:pt idx="131">
                  <c:v>42583</c:v>
                </c:pt>
                <c:pt idx="132">
                  <c:v>42584</c:v>
                </c:pt>
                <c:pt idx="133">
                  <c:v>42585</c:v>
                </c:pt>
                <c:pt idx="134">
                  <c:v>42586</c:v>
                </c:pt>
                <c:pt idx="135">
                  <c:v>42587</c:v>
                </c:pt>
                <c:pt idx="136">
                  <c:v>42590</c:v>
                </c:pt>
                <c:pt idx="137">
                  <c:v>42591</c:v>
                </c:pt>
                <c:pt idx="138">
                  <c:v>42592</c:v>
                </c:pt>
                <c:pt idx="139">
                  <c:v>42593</c:v>
                </c:pt>
                <c:pt idx="140">
                  <c:v>42594</c:v>
                </c:pt>
                <c:pt idx="141">
                  <c:v>42597</c:v>
                </c:pt>
                <c:pt idx="142">
                  <c:v>42598</c:v>
                </c:pt>
                <c:pt idx="143">
                  <c:v>42599</c:v>
                </c:pt>
                <c:pt idx="144">
                  <c:v>42600</c:v>
                </c:pt>
                <c:pt idx="145">
                  <c:v>42601</c:v>
                </c:pt>
                <c:pt idx="146">
                  <c:v>42604</c:v>
                </c:pt>
                <c:pt idx="147">
                  <c:v>42605</c:v>
                </c:pt>
                <c:pt idx="148">
                  <c:v>42606</c:v>
                </c:pt>
                <c:pt idx="149">
                  <c:v>42607</c:v>
                </c:pt>
                <c:pt idx="150">
                  <c:v>42608</c:v>
                </c:pt>
                <c:pt idx="151">
                  <c:v>42611</c:v>
                </c:pt>
                <c:pt idx="152">
                  <c:v>42612</c:v>
                </c:pt>
                <c:pt idx="153">
                  <c:v>42613</c:v>
                </c:pt>
                <c:pt idx="154">
                  <c:v>42614</c:v>
                </c:pt>
                <c:pt idx="155">
                  <c:v>42615</c:v>
                </c:pt>
                <c:pt idx="156">
                  <c:v>42618</c:v>
                </c:pt>
                <c:pt idx="157">
                  <c:v>42619</c:v>
                </c:pt>
                <c:pt idx="158">
                  <c:v>42620</c:v>
                </c:pt>
                <c:pt idx="159">
                  <c:v>42621</c:v>
                </c:pt>
                <c:pt idx="160">
                  <c:v>42622</c:v>
                </c:pt>
                <c:pt idx="161">
                  <c:v>42625</c:v>
                </c:pt>
                <c:pt idx="162">
                  <c:v>42626</c:v>
                </c:pt>
                <c:pt idx="163">
                  <c:v>42627</c:v>
                </c:pt>
                <c:pt idx="164">
                  <c:v>42628</c:v>
                </c:pt>
                <c:pt idx="165">
                  <c:v>42629</c:v>
                </c:pt>
                <c:pt idx="166">
                  <c:v>42632</c:v>
                </c:pt>
                <c:pt idx="167">
                  <c:v>42633</c:v>
                </c:pt>
                <c:pt idx="168">
                  <c:v>42634</c:v>
                </c:pt>
                <c:pt idx="169">
                  <c:v>42635</c:v>
                </c:pt>
                <c:pt idx="170">
                  <c:v>42636</c:v>
                </c:pt>
                <c:pt idx="171">
                  <c:v>42639</c:v>
                </c:pt>
                <c:pt idx="172">
                  <c:v>42640</c:v>
                </c:pt>
                <c:pt idx="173">
                  <c:v>42641</c:v>
                </c:pt>
                <c:pt idx="174">
                  <c:v>42642</c:v>
                </c:pt>
                <c:pt idx="175">
                  <c:v>42643</c:v>
                </c:pt>
                <c:pt idx="176">
                  <c:v>42646</c:v>
                </c:pt>
                <c:pt idx="177">
                  <c:v>42647</c:v>
                </c:pt>
                <c:pt idx="178">
                  <c:v>42648</c:v>
                </c:pt>
                <c:pt idx="179">
                  <c:v>42649</c:v>
                </c:pt>
                <c:pt idx="180">
                  <c:v>42650</c:v>
                </c:pt>
                <c:pt idx="181">
                  <c:v>42653</c:v>
                </c:pt>
                <c:pt idx="182">
                  <c:v>42654</c:v>
                </c:pt>
                <c:pt idx="183">
                  <c:v>42655</c:v>
                </c:pt>
                <c:pt idx="184">
                  <c:v>42656</c:v>
                </c:pt>
                <c:pt idx="185">
                  <c:v>42657</c:v>
                </c:pt>
                <c:pt idx="186">
                  <c:v>42660</c:v>
                </c:pt>
                <c:pt idx="187">
                  <c:v>42661</c:v>
                </c:pt>
                <c:pt idx="188">
                  <c:v>42662</c:v>
                </c:pt>
                <c:pt idx="189">
                  <c:v>42663</c:v>
                </c:pt>
                <c:pt idx="190">
                  <c:v>42664</c:v>
                </c:pt>
                <c:pt idx="191">
                  <c:v>42667</c:v>
                </c:pt>
                <c:pt idx="192">
                  <c:v>42668</c:v>
                </c:pt>
                <c:pt idx="193">
                  <c:v>42669</c:v>
                </c:pt>
                <c:pt idx="194">
                  <c:v>42670</c:v>
                </c:pt>
                <c:pt idx="195">
                  <c:v>42671</c:v>
                </c:pt>
                <c:pt idx="196">
                  <c:v>42674</c:v>
                </c:pt>
                <c:pt idx="197">
                  <c:v>42675</c:v>
                </c:pt>
                <c:pt idx="198">
                  <c:v>42676</c:v>
                </c:pt>
                <c:pt idx="199">
                  <c:v>42677</c:v>
                </c:pt>
                <c:pt idx="200">
                  <c:v>42678</c:v>
                </c:pt>
                <c:pt idx="201">
                  <c:v>42681</c:v>
                </c:pt>
                <c:pt idx="202">
                  <c:v>42682</c:v>
                </c:pt>
                <c:pt idx="203">
                  <c:v>42683</c:v>
                </c:pt>
                <c:pt idx="204">
                  <c:v>42684</c:v>
                </c:pt>
                <c:pt idx="205">
                  <c:v>42685</c:v>
                </c:pt>
                <c:pt idx="206">
                  <c:v>42688</c:v>
                </c:pt>
                <c:pt idx="207">
                  <c:v>42689</c:v>
                </c:pt>
                <c:pt idx="208">
                  <c:v>42690</c:v>
                </c:pt>
                <c:pt idx="209">
                  <c:v>42691</c:v>
                </c:pt>
                <c:pt idx="210">
                  <c:v>42692</c:v>
                </c:pt>
                <c:pt idx="211">
                  <c:v>42695</c:v>
                </c:pt>
                <c:pt idx="212">
                  <c:v>42696</c:v>
                </c:pt>
                <c:pt idx="213">
                  <c:v>42697</c:v>
                </c:pt>
                <c:pt idx="214">
                  <c:v>42698</c:v>
                </c:pt>
                <c:pt idx="215">
                  <c:v>42699</c:v>
                </c:pt>
                <c:pt idx="216">
                  <c:v>42702</c:v>
                </c:pt>
                <c:pt idx="217">
                  <c:v>42703</c:v>
                </c:pt>
                <c:pt idx="218">
                  <c:v>42704</c:v>
                </c:pt>
                <c:pt idx="219">
                  <c:v>42705</c:v>
                </c:pt>
                <c:pt idx="220">
                  <c:v>42706</c:v>
                </c:pt>
                <c:pt idx="221">
                  <c:v>42709</c:v>
                </c:pt>
                <c:pt idx="222">
                  <c:v>42710</c:v>
                </c:pt>
                <c:pt idx="223">
                  <c:v>42711</c:v>
                </c:pt>
                <c:pt idx="224">
                  <c:v>42712</c:v>
                </c:pt>
                <c:pt idx="225">
                  <c:v>42713</c:v>
                </c:pt>
                <c:pt idx="226">
                  <c:v>42716</c:v>
                </c:pt>
                <c:pt idx="227">
                  <c:v>42717</c:v>
                </c:pt>
                <c:pt idx="228">
                  <c:v>42718</c:v>
                </c:pt>
                <c:pt idx="229">
                  <c:v>42719</c:v>
                </c:pt>
                <c:pt idx="230">
                  <c:v>42720</c:v>
                </c:pt>
                <c:pt idx="231">
                  <c:v>42723</c:v>
                </c:pt>
                <c:pt idx="232">
                  <c:v>42724</c:v>
                </c:pt>
                <c:pt idx="233">
                  <c:v>42725</c:v>
                </c:pt>
                <c:pt idx="234">
                  <c:v>42726</c:v>
                </c:pt>
                <c:pt idx="235">
                  <c:v>42727</c:v>
                </c:pt>
                <c:pt idx="236">
                  <c:v>42730</c:v>
                </c:pt>
                <c:pt idx="237">
                  <c:v>42731</c:v>
                </c:pt>
                <c:pt idx="238">
                  <c:v>42732</c:v>
                </c:pt>
                <c:pt idx="239">
                  <c:v>42733</c:v>
                </c:pt>
                <c:pt idx="240">
                  <c:v>42734</c:v>
                </c:pt>
                <c:pt idx="241">
                  <c:v>42737</c:v>
                </c:pt>
                <c:pt idx="242">
                  <c:v>42738</c:v>
                </c:pt>
                <c:pt idx="243">
                  <c:v>42739</c:v>
                </c:pt>
                <c:pt idx="244">
                  <c:v>42740</c:v>
                </c:pt>
                <c:pt idx="245">
                  <c:v>42741</c:v>
                </c:pt>
                <c:pt idx="246">
                  <c:v>42744</c:v>
                </c:pt>
                <c:pt idx="247">
                  <c:v>42745</c:v>
                </c:pt>
                <c:pt idx="248">
                  <c:v>42746</c:v>
                </c:pt>
                <c:pt idx="249">
                  <c:v>42747</c:v>
                </c:pt>
                <c:pt idx="250">
                  <c:v>42748</c:v>
                </c:pt>
                <c:pt idx="251">
                  <c:v>42751</c:v>
                </c:pt>
                <c:pt idx="252">
                  <c:v>42752</c:v>
                </c:pt>
                <c:pt idx="253">
                  <c:v>42753</c:v>
                </c:pt>
                <c:pt idx="254">
                  <c:v>42754</c:v>
                </c:pt>
                <c:pt idx="255">
                  <c:v>42755</c:v>
                </c:pt>
                <c:pt idx="256">
                  <c:v>42758</c:v>
                </c:pt>
                <c:pt idx="257">
                  <c:v>42759</c:v>
                </c:pt>
                <c:pt idx="258">
                  <c:v>42760</c:v>
                </c:pt>
                <c:pt idx="259">
                  <c:v>42761</c:v>
                </c:pt>
                <c:pt idx="260">
                  <c:v>42762</c:v>
                </c:pt>
                <c:pt idx="261">
                  <c:v>42765</c:v>
                </c:pt>
                <c:pt idx="262">
                  <c:v>42766</c:v>
                </c:pt>
                <c:pt idx="263">
                  <c:v>42767</c:v>
                </c:pt>
                <c:pt idx="264">
                  <c:v>42768</c:v>
                </c:pt>
                <c:pt idx="265">
                  <c:v>42769</c:v>
                </c:pt>
                <c:pt idx="266">
                  <c:v>42772</c:v>
                </c:pt>
                <c:pt idx="267">
                  <c:v>42773</c:v>
                </c:pt>
                <c:pt idx="268">
                  <c:v>42774</c:v>
                </c:pt>
                <c:pt idx="269">
                  <c:v>42775</c:v>
                </c:pt>
                <c:pt idx="270">
                  <c:v>42776</c:v>
                </c:pt>
                <c:pt idx="271">
                  <c:v>42779</c:v>
                </c:pt>
                <c:pt idx="272">
                  <c:v>42780</c:v>
                </c:pt>
                <c:pt idx="273">
                  <c:v>42781</c:v>
                </c:pt>
                <c:pt idx="274">
                  <c:v>42782</c:v>
                </c:pt>
                <c:pt idx="275">
                  <c:v>42783</c:v>
                </c:pt>
                <c:pt idx="276">
                  <c:v>42786</c:v>
                </c:pt>
                <c:pt idx="277">
                  <c:v>42787</c:v>
                </c:pt>
                <c:pt idx="278">
                  <c:v>42788</c:v>
                </c:pt>
                <c:pt idx="279">
                  <c:v>42789</c:v>
                </c:pt>
                <c:pt idx="280">
                  <c:v>42790</c:v>
                </c:pt>
                <c:pt idx="281">
                  <c:v>42793</c:v>
                </c:pt>
                <c:pt idx="282">
                  <c:v>42794</c:v>
                </c:pt>
                <c:pt idx="283">
                  <c:v>42795</c:v>
                </c:pt>
                <c:pt idx="284">
                  <c:v>42796</c:v>
                </c:pt>
                <c:pt idx="285">
                  <c:v>42797</c:v>
                </c:pt>
                <c:pt idx="286">
                  <c:v>42800</c:v>
                </c:pt>
                <c:pt idx="287">
                  <c:v>42801</c:v>
                </c:pt>
                <c:pt idx="288">
                  <c:v>42802</c:v>
                </c:pt>
                <c:pt idx="289">
                  <c:v>42803</c:v>
                </c:pt>
                <c:pt idx="290">
                  <c:v>42804</c:v>
                </c:pt>
                <c:pt idx="291">
                  <c:v>42807</c:v>
                </c:pt>
                <c:pt idx="292">
                  <c:v>42808</c:v>
                </c:pt>
                <c:pt idx="293">
                  <c:v>42809</c:v>
                </c:pt>
                <c:pt idx="294">
                  <c:v>42810</c:v>
                </c:pt>
                <c:pt idx="295">
                  <c:v>42811</c:v>
                </c:pt>
                <c:pt idx="296">
                  <c:v>42814</c:v>
                </c:pt>
                <c:pt idx="297">
                  <c:v>42815</c:v>
                </c:pt>
                <c:pt idx="298">
                  <c:v>42816</c:v>
                </c:pt>
                <c:pt idx="299">
                  <c:v>42817</c:v>
                </c:pt>
                <c:pt idx="300">
                  <c:v>42818</c:v>
                </c:pt>
                <c:pt idx="301">
                  <c:v>42821</c:v>
                </c:pt>
                <c:pt idx="302">
                  <c:v>42822</c:v>
                </c:pt>
                <c:pt idx="303">
                  <c:v>42823</c:v>
                </c:pt>
                <c:pt idx="304">
                  <c:v>42824</c:v>
                </c:pt>
                <c:pt idx="305">
                  <c:v>42825</c:v>
                </c:pt>
                <c:pt idx="306">
                  <c:v>42828</c:v>
                </c:pt>
                <c:pt idx="307">
                  <c:v>42829</c:v>
                </c:pt>
                <c:pt idx="308">
                  <c:v>42830</c:v>
                </c:pt>
                <c:pt idx="309">
                  <c:v>42831</c:v>
                </c:pt>
                <c:pt idx="310">
                  <c:v>42832</c:v>
                </c:pt>
                <c:pt idx="311">
                  <c:v>42835</c:v>
                </c:pt>
                <c:pt idx="312">
                  <c:v>42836</c:v>
                </c:pt>
                <c:pt idx="313">
                  <c:v>42837</c:v>
                </c:pt>
                <c:pt idx="314">
                  <c:v>42838</c:v>
                </c:pt>
                <c:pt idx="315">
                  <c:v>42839</c:v>
                </c:pt>
                <c:pt idx="316">
                  <c:v>42842</c:v>
                </c:pt>
                <c:pt idx="317">
                  <c:v>42843</c:v>
                </c:pt>
                <c:pt idx="318">
                  <c:v>42844</c:v>
                </c:pt>
                <c:pt idx="319">
                  <c:v>42845</c:v>
                </c:pt>
                <c:pt idx="320">
                  <c:v>42846</c:v>
                </c:pt>
                <c:pt idx="321">
                  <c:v>42849</c:v>
                </c:pt>
                <c:pt idx="322">
                  <c:v>42850</c:v>
                </c:pt>
                <c:pt idx="323">
                  <c:v>42851</c:v>
                </c:pt>
                <c:pt idx="324">
                  <c:v>42852</c:v>
                </c:pt>
                <c:pt idx="325">
                  <c:v>42853</c:v>
                </c:pt>
                <c:pt idx="326">
                  <c:v>42856</c:v>
                </c:pt>
                <c:pt idx="327">
                  <c:v>42857</c:v>
                </c:pt>
                <c:pt idx="328">
                  <c:v>42858</c:v>
                </c:pt>
                <c:pt idx="329">
                  <c:v>42859</c:v>
                </c:pt>
                <c:pt idx="330">
                  <c:v>42860</c:v>
                </c:pt>
                <c:pt idx="331">
                  <c:v>42863</c:v>
                </c:pt>
                <c:pt idx="332">
                  <c:v>42864</c:v>
                </c:pt>
                <c:pt idx="333">
                  <c:v>42865</c:v>
                </c:pt>
                <c:pt idx="334">
                  <c:v>42866</c:v>
                </c:pt>
                <c:pt idx="335">
                  <c:v>42867</c:v>
                </c:pt>
                <c:pt idx="336">
                  <c:v>42870</c:v>
                </c:pt>
                <c:pt idx="337">
                  <c:v>42871</c:v>
                </c:pt>
                <c:pt idx="338">
                  <c:v>42872</c:v>
                </c:pt>
                <c:pt idx="339">
                  <c:v>42873</c:v>
                </c:pt>
                <c:pt idx="340">
                  <c:v>42874</c:v>
                </c:pt>
                <c:pt idx="341">
                  <c:v>42877</c:v>
                </c:pt>
                <c:pt idx="342">
                  <c:v>42878</c:v>
                </c:pt>
                <c:pt idx="343">
                  <c:v>42879</c:v>
                </c:pt>
                <c:pt idx="344">
                  <c:v>42880</c:v>
                </c:pt>
                <c:pt idx="345">
                  <c:v>42881</c:v>
                </c:pt>
                <c:pt idx="346">
                  <c:v>42884</c:v>
                </c:pt>
                <c:pt idx="347">
                  <c:v>42885</c:v>
                </c:pt>
                <c:pt idx="348">
                  <c:v>42886</c:v>
                </c:pt>
                <c:pt idx="349">
                  <c:v>42887</c:v>
                </c:pt>
                <c:pt idx="350">
                  <c:v>42888</c:v>
                </c:pt>
                <c:pt idx="351">
                  <c:v>42891</c:v>
                </c:pt>
                <c:pt idx="352">
                  <c:v>42892</c:v>
                </c:pt>
                <c:pt idx="353">
                  <c:v>42893</c:v>
                </c:pt>
                <c:pt idx="354">
                  <c:v>42894</c:v>
                </c:pt>
                <c:pt idx="355">
                  <c:v>42895</c:v>
                </c:pt>
                <c:pt idx="356">
                  <c:v>42898</c:v>
                </c:pt>
                <c:pt idx="357">
                  <c:v>42899</c:v>
                </c:pt>
                <c:pt idx="358">
                  <c:v>42900</c:v>
                </c:pt>
                <c:pt idx="359">
                  <c:v>42901</c:v>
                </c:pt>
                <c:pt idx="360">
                  <c:v>42902</c:v>
                </c:pt>
                <c:pt idx="361">
                  <c:v>42905</c:v>
                </c:pt>
                <c:pt idx="362">
                  <c:v>42906</c:v>
                </c:pt>
                <c:pt idx="363">
                  <c:v>42907</c:v>
                </c:pt>
                <c:pt idx="364">
                  <c:v>42908</c:v>
                </c:pt>
                <c:pt idx="365">
                  <c:v>42909</c:v>
                </c:pt>
                <c:pt idx="366">
                  <c:v>42912</c:v>
                </c:pt>
                <c:pt idx="367">
                  <c:v>42913</c:v>
                </c:pt>
                <c:pt idx="368">
                  <c:v>42914</c:v>
                </c:pt>
                <c:pt idx="369">
                  <c:v>42915</c:v>
                </c:pt>
                <c:pt idx="370">
                  <c:v>42916</c:v>
                </c:pt>
                <c:pt idx="371">
                  <c:v>42919</c:v>
                </c:pt>
                <c:pt idx="372">
                  <c:v>42920</c:v>
                </c:pt>
                <c:pt idx="373">
                  <c:v>42921</c:v>
                </c:pt>
                <c:pt idx="374">
                  <c:v>42922</c:v>
                </c:pt>
                <c:pt idx="375">
                  <c:v>42923</c:v>
                </c:pt>
                <c:pt idx="376">
                  <c:v>42926</c:v>
                </c:pt>
                <c:pt idx="377">
                  <c:v>42927</c:v>
                </c:pt>
                <c:pt idx="378">
                  <c:v>42928</c:v>
                </c:pt>
                <c:pt idx="379">
                  <c:v>42929</c:v>
                </c:pt>
                <c:pt idx="380">
                  <c:v>42930</c:v>
                </c:pt>
                <c:pt idx="381">
                  <c:v>42933</c:v>
                </c:pt>
                <c:pt idx="382">
                  <c:v>42934</c:v>
                </c:pt>
                <c:pt idx="383">
                  <c:v>42935</c:v>
                </c:pt>
                <c:pt idx="384">
                  <c:v>42936</c:v>
                </c:pt>
                <c:pt idx="385">
                  <c:v>42937</c:v>
                </c:pt>
                <c:pt idx="386">
                  <c:v>42940</c:v>
                </c:pt>
                <c:pt idx="387">
                  <c:v>42941</c:v>
                </c:pt>
                <c:pt idx="388">
                  <c:v>42942</c:v>
                </c:pt>
                <c:pt idx="389">
                  <c:v>42943</c:v>
                </c:pt>
                <c:pt idx="390">
                  <c:v>42944</c:v>
                </c:pt>
                <c:pt idx="391">
                  <c:v>42947</c:v>
                </c:pt>
                <c:pt idx="392">
                  <c:v>42948</c:v>
                </c:pt>
                <c:pt idx="393">
                  <c:v>42949</c:v>
                </c:pt>
                <c:pt idx="394">
                  <c:v>42950</c:v>
                </c:pt>
                <c:pt idx="395">
                  <c:v>42951</c:v>
                </c:pt>
                <c:pt idx="396">
                  <c:v>42954</c:v>
                </c:pt>
                <c:pt idx="397">
                  <c:v>42955</c:v>
                </c:pt>
                <c:pt idx="398">
                  <c:v>42956</c:v>
                </c:pt>
                <c:pt idx="399">
                  <c:v>42957</c:v>
                </c:pt>
                <c:pt idx="400">
                  <c:v>42958</c:v>
                </c:pt>
                <c:pt idx="401">
                  <c:v>42961</c:v>
                </c:pt>
                <c:pt idx="402">
                  <c:v>42962</c:v>
                </c:pt>
                <c:pt idx="403">
                  <c:v>42963</c:v>
                </c:pt>
                <c:pt idx="404">
                  <c:v>42964</c:v>
                </c:pt>
                <c:pt idx="405">
                  <c:v>42965</c:v>
                </c:pt>
                <c:pt idx="406">
                  <c:v>42968</c:v>
                </c:pt>
                <c:pt idx="407">
                  <c:v>42969</c:v>
                </c:pt>
                <c:pt idx="408">
                  <c:v>42970</c:v>
                </c:pt>
                <c:pt idx="409">
                  <c:v>42971</c:v>
                </c:pt>
                <c:pt idx="410">
                  <c:v>42972</c:v>
                </c:pt>
                <c:pt idx="411">
                  <c:v>42975</c:v>
                </c:pt>
                <c:pt idx="412">
                  <c:v>42976</c:v>
                </c:pt>
                <c:pt idx="413">
                  <c:v>42977</c:v>
                </c:pt>
                <c:pt idx="414">
                  <c:v>42978</c:v>
                </c:pt>
                <c:pt idx="415">
                  <c:v>42979</c:v>
                </c:pt>
                <c:pt idx="416">
                  <c:v>42982</c:v>
                </c:pt>
                <c:pt idx="417">
                  <c:v>42983</c:v>
                </c:pt>
                <c:pt idx="418">
                  <c:v>42984</c:v>
                </c:pt>
                <c:pt idx="419">
                  <c:v>42985</c:v>
                </c:pt>
                <c:pt idx="420">
                  <c:v>42986</c:v>
                </c:pt>
                <c:pt idx="421">
                  <c:v>42989</c:v>
                </c:pt>
                <c:pt idx="422">
                  <c:v>42990</c:v>
                </c:pt>
                <c:pt idx="423">
                  <c:v>42991</c:v>
                </c:pt>
                <c:pt idx="424">
                  <c:v>42992</c:v>
                </c:pt>
                <c:pt idx="425">
                  <c:v>42993</c:v>
                </c:pt>
                <c:pt idx="426">
                  <c:v>42996</c:v>
                </c:pt>
                <c:pt idx="427">
                  <c:v>42997</c:v>
                </c:pt>
                <c:pt idx="428">
                  <c:v>42998</c:v>
                </c:pt>
                <c:pt idx="429">
                  <c:v>42999</c:v>
                </c:pt>
                <c:pt idx="430">
                  <c:v>43000</c:v>
                </c:pt>
                <c:pt idx="431">
                  <c:v>43003</c:v>
                </c:pt>
                <c:pt idx="432">
                  <c:v>43004</c:v>
                </c:pt>
                <c:pt idx="433">
                  <c:v>43005</c:v>
                </c:pt>
                <c:pt idx="434">
                  <c:v>43006</c:v>
                </c:pt>
                <c:pt idx="435">
                  <c:v>43007</c:v>
                </c:pt>
                <c:pt idx="436">
                  <c:v>43010</c:v>
                </c:pt>
                <c:pt idx="437">
                  <c:v>43011</c:v>
                </c:pt>
                <c:pt idx="438">
                  <c:v>43012</c:v>
                </c:pt>
                <c:pt idx="439">
                  <c:v>43013</c:v>
                </c:pt>
                <c:pt idx="440">
                  <c:v>43014</c:v>
                </c:pt>
                <c:pt idx="441">
                  <c:v>43017</c:v>
                </c:pt>
                <c:pt idx="442">
                  <c:v>43018</c:v>
                </c:pt>
                <c:pt idx="443">
                  <c:v>43019</c:v>
                </c:pt>
                <c:pt idx="444">
                  <c:v>43020</c:v>
                </c:pt>
                <c:pt idx="445">
                  <c:v>43021</c:v>
                </c:pt>
                <c:pt idx="446">
                  <c:v>43024</c:v>
                </c:pt>
                <c:pt idx="447">
                  <c:v>43025</c:v>
                </c:pt>
                <c:pt idx="448">
                  <c:v>43026</c:v>
                </c:pt>
                <c:pt idx="449">
                  <c:v>43027</c:v>
                </c:pt>
                <c:pt idx="450">
                  <c:v>43028</c:v>
                </c:pt>
                <c:pt idx="451">
                  <c:v>43031</c:v>
                </c:pt>
                <c:pt idx="452">
                  <c:v>43032</c:v>
                </c:pt>
                <c:pt idx="453">
                  <c:v>43033</c:v>
                </c:pt>
                <c:pt idx="454">
                  <c:v>43034</c:v>
                </c:pt>
                <c:pt idx="455">
                  <c:v>43035</c:v>
                </c:pt>
                <c:pt idx="456">
                  <c:v>43038</c:v>
                </c:pt>
                <c:pt idx="457">
                  <c:v>43039</c:v>
                </c:pt>
                <c:pt idx="458">
                  <c:v>43040</c:v>
                </c:pt>
                <c:pt idx="459">
                  <c:v>43041</c:v>
                </c:pt>
                <c:pt idx="460">
                  <c:v>43042</c:v>
                </c:pt>
                <c:pt idx="461">
                  <c:v>43045</c:v>
                </c:pt>
                <c:pt idx="462">
                  <c:v>43046</c:v>
                </c:pt>
                <c:pt idx="463">
                  <c:v>43047</c:v>
                </c:pt>
                <c:pt idx="464">
                  <c:v>43048</c:v>
                </c:pt>
                <c:pt idx="465">
                  <c:v>43049</c:v>
                </c:pt>
                <c:pt idx="466">
                  <c:v>43052</c:v>
                </c:pt>
                <c:pt idx="467">
                  <c:v>43053</c:v>
                </c:pt>
                <c:pt idx="468">
                  <c:v>43054</c:v>
                </c:pt>
                <c:pt idx="469">
                  <c:v>43055</c:v>
                </c:pt>
                <c:pt idx="470">
                  <c:v>43056</c:v>
                </c:pt>
                <c:pt idx="471">
                  <c:v>43059</c:v>
                </c:pt>
                <c:pt idx="472">
                  <c:v>43060</c:v>
                </c:pt>
                <c:pt idx="473">
                  <c:v>43061</c:v>
                </c:pt>
                <c:pt idx="474">
                  <c:v>43062</c:v>
                </c:pt>
                <c:pt idx="475">
                  <c:v>43063</c:v>
                </c:pt>
                <c:pt idx="476">
                  <c:v>43066</c:v>
                </c:pt>
                <c:pt idx="477">
                  <c:v>43067</c:v>
                </c:pt>
                <c:pt idx="478">
                  <c:v>43068</c:v>
                </c:pt>
                <c:pt idx="479">
                  <c:v>43069</c:v>
                </c:pt>
                <c:pt idx="480">
                  <c:v>43070</c:v>
                </c:pt>
                <c:pt idx="481">
                  <c:v>43073</c:v>
                </c:pt>
                <c:pt idx="482">
                  <c:v>43074</c:v>
                </c:pt>
                <c:pt idx="483">
                  <c:v>43075</c:v>
                </c:pt>
                <c:pt idx="484">
                  <c:v>43076</c:v>
                </c:pt>
                <c:pt idx="485">
                  <c:v>43077</c:v>
                </c:pt>
                <c:pt idx="486">
                  <c:v>43080</c:v>
                </c:pt>
                <c:pt idx="487">
                  <c:v>43081</c:v>
                </c:pt>
                <c:pt idx="488">
                  <c:v>43082</c:v>
                </c:pt>
                <c:pt idx="489">
                  <c:v>43083</c:v>
                </c:pt>
                <c:pt idx="490">
                  <c:v>43084</c:v>
                </c:pt>
                <c:pt idx="491">
                  <c:v>43087</c:v>
                </c:pt>
                <c:pt idx="492">
                  <c:v>43088</c:v>
                </c:pt>
                <c:pt idx="493">
                  <c:v>43089</c:v>
                </c:pt>
                <c:pt idx="494">
                  <c:v>43090</c:v>
                </c:pt>
                <c:pt idx="495">
                  <c:v>43091</c:v>
                </c:pt>
                <c:pt idx="496">
                  <c:v>43094</c:v>
                </c:pt>
                <c:pt idx="497">
                  <c:v>43095</c:v>
                </c:pt>
                <c:pt idx="498">
                  <c:v>43096</c:v>
                </c:pt>
                <c:pt idx="499">
                  <c:v>43097</c:v>
                </c:pt>
                <c:pt idx="500">
                  <c:v>43098</c:v>
                </c:pt>
                <c:pt idx="501">
                  <c:v>43101</c:v>
                </c:pt>
                <c:pt idx="502">
                  <c:v>43102</c:v>
                </c:pt>
                <c:pt idx="503">
                  <c:v>43103</c:v>
                </c:pt>
                <c:pt idx="504">
                  <c:v>43104</c:v>
                </c:pt>
                <c:pt idx="505">
                  <c:v>43105</c:v>
                </c:pt>
                <c:pt idx="506">
                  <c:v>43108</c:v>
                </c:pt>
                <c:pt idx="507">
                  <c:v>43109</c:v>
                </c:pt>
                <c:pt idx="508">
                  <c:v>43110</c:v>
                </c:pt>
                <c:pt idx="509">
                  <c:v>43111</c:v>
                </c:pt>
                <c:pt idx="510">
                  <c:v>43112</c:v>
                </c:pt>
                <c:pt idx="511">
                  <c:v>43115</c:v>
                </c:pt>
                <c:pt idx="512">
                  <c:v>43116</c:v>
                </c:pt>
                <c:pt idx="513">
                  <c:v>43117</c:v>
                </c:pt>
                <c:pt idx="514">
                  <c:v>43118</c:v>
                </c:pt>
                <c:pt idx="515">
                  <c:v>43119</c:v>
                </c:pt>
                <c:pt idx="516">
                  <c:v>43122</c:v>
                </c:pt>
                <c:pt idx="517">
                  <c:v>43123</c:v>
                </c:pt>
                <c:pt idx="518">
                  <c:v>43124</c:v>
                </c:pt>
                <c:pt idx="519">
                  <c:v>43125</c:v>
                </c:pt>
                <c:pt idx="520">
                  <c:v>43126</c:v>
                </c:pt>
                <c:pt idx="521">
                  <c:v>43129</c:v>
                </c:pt>
                <c:pt idx="522">
                  <c:v>43130</c:v>
                </c:pt>
                <c:pt idx="523">
                  <c:v>43131</c:v>
                </c:pt>
                <c:pt idx="524">
                  <c:v>43132</c:v>
                </c:pt>
                <c:pt idx="525">
                  <c:v>43133</c:v>
                </c:pt>
                <c:pt idx="526">
                  <c:v>43136</c:v>
                </c:pt>
                <c:pt idx="527">
                  <c:v>43137</c:v>
                </c:pt>
                <c:pt idx="528">
                  <c:v>43138</c:v>
                </c:pt>
                <c:pt idx="529">
                  <c:v>43139</c:v>
                </c:pt>
                <c:pt idx="530">
                  <c:v>43140</c:v>
                </c:pt>
                <c:pt idx="531">
                  <c:v>43143</c:v>
                </c:pt>
                <c:pt idx="532">
                  <c:v>43144</c:v>
                </c:pt>
                <c:pt idx="533">
                  <c:v>43145</c:v>
                </c:pt>
                <c:pt idx="534">
                  <c:v>43146</c:v>
                </c:pt>
                <c:pt idx="535">
                  <c:v>43147</c:v>
                </c:pt>
                <c:pt idx="536">
                  <c:v>43150</c:v>
                </c:pt>
                <c:pt idx="537">
                  <c:v>43151</c:v>
                </c:pt>
                <c:pt idx="538">
                  <c:v>43152</c:v>
                </c:pt>
                <c:pt idx="539">
                  <c:v>43153</c:v>
                </c:pt>
                <c:pt idx="540">
                  <c:v>43154</c:v>
                </c:pt>
                <c:pt idx="541">
                  <c:v>43157</c:v>
                </c:pt>
                <c:pt idx="542">
                  <c:v>43158</c:v>
                </c:pt>
                <c:pt idx="543">
                  <c:v>43159</c:v>
                </c:pt>
              </c:numCache>
            </c:numRef>
          </c:cat>
          <c:val>
            <c:numRef>
              <c:f>'Currency Raw'!$M$2:$M$545</c:f>
              <c:numCache>
                <c:formatCode>General</c:formatCode>
                <c:ptCount val="544"/>
                <c:pt idx="1">
                  <c:v>1.3105413105413086</c:v>
                </c:pt>
                <c:pt idx="2">
                  <c:v>1.1396011396011407</c:v>
                </c:pt>
                <c:pt idx="3">
                  <c:v>2.4501424501424491</c:v>
                </c:pt>
                <c:pt idx="4">
                  <c:v>2.3646723646723578</c:v>
                </c:pt>
                <c:pt idx="5">
                  <c:v>1.7663817663817618</c:v>
                </c:pt>
                <c:pt idx="6">
                  <c:v>1.2962962962962958</c:v>
                </c:pt>
                <c:pt idx="7">
                  <c:v>1.5669515669515683</c:v>
                </c:pt>
                <c:pt idx="8">
                  <c:v>1.9230769230769169</c:v>
                </c:pt>
                <c:pt idx="9">
                  <c:v>1.5954415954415939</c:v>
                </c:pt>
                <c:pt idx="10">
                  <c:v>1.7948717948717872</c:v>
                </c:pt>
                <c:pt idx="11">
                  <c:v>1.3105413105413086</c:v>
                </c:pt>
                <c:pt idx="12">
                  <c:v>0.42735042735042772</c:v>
                </c:pt>
                <c:pt idx="13">
                  <c:v>0.32763532763532321</c:v>
                </c:pt>
                <c:pt idx="14">
                  <c:v>0.66951566951565911</c:v>
                </c:pt>
                <c:pt idx="15">
                  <c:v>1.1253561253561122</c:v>
                </c:pt>
                <c:pt idx="16">
                  <c:v>-0.66951566951567487</c:v>
                </c:pt>
                <c:pt idx="17">
                  <c:v>-1.5954415954415939</c:v>
                </c:pt>
                <c:pt idx="18">
                  <c:v>-2.293447293447294</c:v>
                </c:pt>
                <c:pt idx="19">
                  <c:v>-2.0227920227920215</c:v>
                </c:pt>
                <c:pt idx="20">
                  <c:v>-2.6780626780626839</c:v>
                </c:pt>
                <c:pt idx="21">
                  <c:v>-2.3504273504273603</c:v>
                </c:pt>
                <c:pt idx="22">
                  <c:v>-2.0797720797720882</c:v>
                </c:pt>
                <c:pt idx="23">
                  <c:v>-1.2820512820512833</c:v>
                </c:pt>
                <c:pt idx="24">
                  <c:v>-0.7122507122507129</c:v>
                </c:pt>
                <c:pt idx="25">
                  <c:v>-0.17094017094018377</c:v>
                </c:pt>
                <c:pt idx="26">
                  <c:v>0.21367521367520598</c:v>
                </c:pt>
                <c:pt idx="27">
                  <c:v>-0.14245014245014259</c:v>
                </c:pt>
                <c:pt idx="28">
                  <c:v>-0.14245014245014259</c:v>
                </c:pt>
                <c:pt idx="29">
                  <c:v>0.28490028490028518</c:v>
                </c:pt>
                <c:pt idx="30">
                  <c:v>1.1111111111110996</c:v>
                </c:pt>
                <c:pt idx="31">
                  <c:v>0.45584045584045313</c:v>
                </c:pt>
                <c:pt idx="32">
                  <c:v>-0.62678062678063695</c:v>
                </c:pt>
                <c:pt idx="33">
                  <c:v>-0.89743589743590935</c:v>
                </c:pt>
                <c:pt idx="34">
                  <c:v>1.5811965811965811</c:v>
                </c:pt>
                <c:pt idx="35">
                  <c:v>1.6951566951566828</c:v>
                </c:pt>
                <c:pt idx="36">
                  <c:v>1.0541310541310487</c:v>
                </c:pt>
                <c:pt idx="37">
                  <c:v>-0.18518518518519642</c:v>
                </c:pt>
                <c:pt idx="38">
                  <c:v>-0.94017094017094738</c:v>
                </c:pt>
                <c:pt idx="39">
                  <c:v>-0.45584045584046889</c:v>
                </c:pt>
                <c:pt idx="40">
                  <c:v>-0.81196581196581741</c:v>
                </c:pt>
                <c:pt idx="41">
                  <c:v>-7.1225071225079192E-2</c:v>
                </c:pt>
                <c:pt idx="42">
                  <c:v>0.82621082621081432</c:v>
                </c:pt>
                <c:pt idx="43">
                  <c:v>0.9971509971509982</c:v>
                </c:pt>
                <c:pt idx="44">
                  <c:v>1.0398860398860361</c:v>
                </c:pt>
                <c:pt idx="45">
                  <c:v>-0.12820512820512991</c:v>
                </c:pt>
                <c:pt idx="46">
                  <c:v>0.12820512820512991</c:v>
                </c:pt>
                <c:pt idx="47">
                  <c:v>-0.59829059829061149</c:v>
                </c:pt>
                <c:pt idx="48">
                  <c:v>-0.86894586894586823</c:v>
                </c:pt>
                <c:pt idx="49">
                  <c:v>-1.3390313390313497</c:v>
                </c:pt>
                <c:pt idx="50">
                  <c:v>-0.84045584045584276</c:v>
                </c:pt>
                <c:pt idx="51">
                  <c:v>-5.6980056980066529E-2</c:v>
                </c:pt>
                <c:pt idx="52">
                  <c:v>0.21367521367520598</c:v>
                </c:pt>
                <c:pt idx="53">
                  <c:v>-0.28490028490028518</c:v>
                </c:pt>
                <c:pt idx="54">
                  <c:v>-0.62678062678063695</c:v>
                </c:pt>
                <c:pt idx="55">
                  <c:v>-0.28490028490028518</c:v>
                </c:pt>
                <c:pt idx="56">
                  <c:v>0.22792022792021865</c:v>
                </c:pt>
                <c:pt idx="57">
                  <c:v>1.0683760683760615</c:v>
                </c:pt>
                <c:pt idx="58">
                  <c:v>0.59829059829059572</c:v>
                </c:pt>
                <c:pt idx="59">
                  <c:v>0.54131054131052914</c:v>
                </c:pt>
                <c:pt idx="60">
                  <c:v>1.1253561253561122</c:v>
                </c:pt>
                <c:pt idx="61">
                  <c:v>1.6381766381766318</c:v>
                </c:pt>
                <c:pt idx="62">
                  <c:v>2.3076923076923066</c:v>
                </c:pt>
                <c:pt idx="63">
                  <c:v>2.0512820512820467</c:v>
                </c:pt>
                <c:pt idx="64">
                  <c:v>2.4786324786324747</c:v>
                </c:pt>
                <c:pt idx="65">
                  <c:v>2.5071225071225003</c:v>
                </c:pt>
                <c:pt idx="66">
                  <c:v>2.9487179487179405</c:v>
                </c:pt>
                <c:pt idx="67">
                  <c:v>2.1794871794871771</c:v>
                </c:pt>
                <c:pt idx="68">
                  <c:v>1.6951566951566828</c:v>
                </c:pt>
                <c:pt idx="69">
                  <c:v>1.6951566951566828</c:v>
                </c:pt>
                <c:pt idx="70">
                  <c:v>1.4957264957264893</c:v>
                </c:pt>
                <c:pt idx="71">
                  <c:v>1.0683760683760615</c:v>
                </c:pt>
                <c:pt idx="72">
                  <c:v>1.2962962962962958</c:v>
                </c:pt>
                <c:pt idx="73">
                  <c:v>1.5384615384615272</c:v>
                </c:pt>
                <c:pt idx="74">
                  <c:v>1.5242165242165147</c:v>
                </c:pt>
                <c:pt idx="75">
                  <c:v>0.840455840455827</c:v>
                </c:pt>
                <c:pt idx="76">
                  <c:v>1.1253561253561122</c:v>
                </c:pt>
                <c:pt idx="77">
                  <c:v>1.5669515669515683</c:v>
                </c:pt>
                <c:pt idx="78">
                  <c:v>2.4928774928774873</c:v>
                </c:pt>
                <c:pt idx="79">
                  <c:v>2.564102564102551</c:v>
                </c:pt>
                <c:pt idx="80">
                  <c:v>1.8518518518518534</c:v>
                </c:pt>
                <c:pt idx="81">
                  <c:v>1.6239316239316193</c:v>
                </c:pt>
                <c:pt idx="82">
                  <c:v>2.6068376068376047</c:v>
                </c:pt>
                <c:pt idx="83">
                  <c:v>3.0056980056980072</c:v>
                </c:pt>
                <c:pt idx="84">
                  <c:v>2.7777777777777724</c:v>
                </c:pt>
                <c:pt idx="85">
                  <c:v>2.6638176638176554</c:v>
                </c:pt>
                <c:pt idx="86">
                  <c:v>2.6638176638176554</c:v>
                </c:pt>
                <c:pt idx="87">
                  <c:v>1.8660968660968662</c:v>
                </c:pt>
                <c:pt idx="88">
                  <c:v>1.2250712250712166</c:v>
                </c:pt>
                <c:pt idx="89">
                  <c:v>1.3247863247863212</c:v>
                </c:pt>
                <c:pt idx="90">
                  <c:v>1.8803418803418788</c:v>
                </c:pt>
                <c:pt idx="91">
                  <c:v>1.4814814814814765</c:v>
                </c:pt>
                <c:pt idx="92">
                  <c:v>2.0797720797720722</c:v>
                </c:pt>
                <c:pt idx="93">
                  <c:v>1.9943019943019964</c:v>
                </c:pt>
                <c:pt idx="94">
                  <c:v>1.5099715099715019</c:v>
                </c:pt>
                <c:pt idx="95">
                  <c:v>0.64102564102563375</c:v>
                </c:pt>
                <c:pt idx="96">
                  <c:v>-0.11396011396011722</c:v>
                </c:pt>
                <c:pt idx="97">
                  <c:v>-0.66951566951567487</c:v>
                </c:pt>
                <c:pt idx="98">
                  <c:v>-0.54131054131054501</c:v>
                </c:pt>
                <c:pt idx="99">
                  <c:v>-0.45584045584046889</c:v>
                </c:pt>
                <c:pt idx="100">
                  <c:v>0.48433048433047848</c:v>
                </c:pt>
                <c:pt idx="101">
                  <c:v>2.9772079772079656</c:v>
                </c:pt>
                <c:pt idx="102">
                  <c:v>2.8490028490028361</c:v>
                </c:pt>
                <c:pt idx="103">
                  <c:v>3.1196581196581081</c:v>
                </c:pt>
                <c:pt idx="104">
                  <c:v>3.8034188034187961</c:v>
                </c:pt>
                <c:pt idx="105">
                  <c:v>-3.504273504273514</c:v>
                </c:pt>
                <c:pt idx="106">
                  <c:v>-7.7777777777777919</c:v>
                </c:pt>
                <c:pt idx="107">
                  <c:v>-6.8803418803418825</c:v>
                </c:pt>
                <c:pt idx="108">
                  <c:v>-5.7407407407407414</c:v>
                </c:pt>
                <c:pt idx="109">
                  <c:v>-7.3931623931624015</c:v>
                </c:pt>
                <c:pt idx="110">
                  <c:v>-7.236467236467246</c:v>
                </c:pt>
                <c:pt idx="111">
                  <c:v>-7.1509971509971546</c:v>
                </c:pt>
                <c:pt idx="112">
                  <c:v>-9.0883190883190998</c:v>
                </c:pt>
                <c:pt idx="113">
                  <c:v>-10.028490028490031</c:v>
                </c:pt>
                <c:pt idx="114">
                  <c:v>-10.398860398860409</c:v>
                </c:pt>
                <c:pt idx="115">
                  <c:v>-9.9002849002849018</c:v>
                </c:pt>
                <c:pt idx="116">
                  <c:v>-9.8290598290598385</c:v>
                </c:pt>
                <c:pt idx="117">
                  <c:v>-7.2934472934472971</c:v>
                </c:pt>
                <c:pt idx="118">
                  <c:v>-7.9772079772079856</c:v>
                </c:pt>
                <c:pt idx="119">
                  <c:v>-6.9658119658119748</c:v>
                </c:pt>
                <c:pt idx="120">
                  <c:v>-8.0911680911681021</c:v>
                </c:pt>
                <c:pt idx="121">
                  <c:v>-7.4358974358974397</c:v>
                </c:pt>
                <c:pt idx="122">
                  <c:v>-8.57549857549858</c:v>
                </c:pt>
                <c:pt idx="123">
                  <c:v>-8.0199430199430228</c:v>
                </c:pt>
                <c:pt idx="124">
                  <c:v>-7.82051282051283</c:v>
                </c:pt>
                <c:pt idx="125">
                  <c:v>-8.6752136752136852</c:v>
                </c:pt>
                <c:pt idx="126">
                  <c:v>-8.4330484330484374</c:v>
                </c:pt>
                <c:pt idx="127">
                  <c:v>-8.4045584045584132</c:v>
                </c:pt>
                <c:pt idx="128">
                  <c:v>-8.4615384615384635</c:v>
                </c:pt>
                <c:pt idx="129">
                  <c:v>-8.3903133903134002</c:v>
                </c:pt>
                <c:pt idx="130">
                  <c:v>-7.6923076923076996</c:v>
                </c:pt>
                <c:pt idx="131">
                  <c:v>-7.8774928774928794</c:v>
                </c:pt>
                <c:pt idx="132">
                  <c:v>-6.8233618233618314</c:v>
                </c:pt>
                <c:pt idx="133">
                  <c:v>-6.8660968660968695</c:v>
                </c:pt>
                <c:pt idx="134">
                  <c:v>-8.5470085470085557</c:v>
                </c:pt>
                <c:pt idx="135">
                  <c:v>-8.9173789173789171</c:v>
                </c:pt>
                <c:pt idx="136">
                  <c:v>-9.2450142450142554</c:v>
                </c:pt>
                <c:pt idx="137">
                  <c:v>-9.5156695156695275</c:v>
                </c:pt>
                <c:pt idx="138">
                  <c:v>-9.5299145299145405</c:v>
                </c:pt>
                <c:pt idx="139">
                  <c:v>-9.8148148148148255</c:v>
                </c:pt>
                <c:pt idx="140">
                  <c:v>-10.242165242165253</c:v>
                </c:pt>
                <c:pt idx="141">
                  <c:v>-10.641025641025641</c:v>
                </c:pt>
                <c:pt idx="142">
                  <c:v>-9.2735042735042814</c:v>
                </c:pt>
                <c:pt idx="143">
                  <c:v>-9.4586894586894612</c:v>
                </c:pt>
                <c:pt idx="144">
                  <c:v>-8.4188034188034244</c:v>
                </c:pt>
                <c:pt idx="145">
                  <c:v>-9.0598290598290596</c:v>
                </c:pt>
                <c:pt idx="146">
                  <c:v>-8.4757834757834765</c:v>
                </c:pt>
                <c:pt idx="147">
                  <c:v>-8.0199430199430228</c:v>
                </c:pt>
                <c:pt idx="148">
                  <c:v>-7.6210826210826195</c:v>
                </c:pt>
                <c:pt idx="149">
                  <c:v>-8.0199430199430228</c:v>
                </c:pt>
                <c:pt idx="150">
                  <c:v>-8.3048433048433079</c:v>
                </c:pt>
                <c:pt idx="151">
                  <c:v>-8.9031339031339041</c:v>
                </c:pt>
                <c:pt idx="152">
                  <c:v>-8.8603988603988668</c:v>
                </c:pt>
                <c:pt idx="153">
                  <c:v>-8.4045584045584132</c:v>
                </c:pt>
                <c:pt idx="154">
                  <c:v>-7.3076923076923093</c:v>
                </c:pt>
                <c:pt idx="155">
                  <c:v>-7.0512820512820502</c:v>
                </c:pt>
                <c:pt idx="156">
                  <c:v>-6.9943019943019991</c:v>
                </c:pt>
                <c:pt idx="157">
                  <c:v>-6.1253561253561308</c:v>
                </c:pt>
                <c:pt idx="158">
                  <c:v>-6.9373219373219479</c:v>
                </c:pt>
                <c:pt idx="159">
                  <c:v>-7.1509971509971546</c:v>
                </c:pt>
                <c:pt idx="160">
                  <c:v>-7.3931623931624015</c:v>
                </c:pt>
                <c:pt idx="161">
                  <c:v>-6.9373219373219479</c:v>
                </c:pt>
                <c:pt idx="162">
                  <c:v>-7.9344729344729465</c:v>
                </c:pt>
                <c:pt idx="163">
                  <c:v>-7.9629629629629717</c:v>
                </c:pt>
                <c:pt idx="164">
                  <c:v>-7.7777777777777919</c:v>
                </c:pt>
                <c:pt idx="165">
                  <c:v>-8.9458689458689573</c:v>
                </c:pt>
                <c:pt idx="166">
                  <c:v>-9.1737891737891761</c:v>
                </c:pt>
                <c:pt idx="167">
                  <c:v>-9.7435897435897463</c:v>
                </c:pt>
                <c:pt idx="168">
                  <c:v>-9.7578347578347593</c:v>
                </c:pt>
                <c:pt idx="169">
                  <c:v>-8.874643874643878</c:v>
                </c:pt>
                <c:pt idx="170">
                  <c:v>-9.8148148148148255</c:v>
                </c:pt>
                <c:pt idx="171">
                  <c:v>-9.7578347578347593</c:v>
                </c:pt>
                <c:pt idx="172">
                  <c:v>-9.4017094017094092</c:v>
                </c:pt>
                <c:pt idx="173">
                  <c:v>-9.5014245014245162</c:v>
                </c:pt>
                <c:pt idx="174">
                  <c:v>-9.7720797720797723</c:v>
                </c:pt>
                <c:pt idx="175">
                  <c:v>-9.8433048433048516</c:v>
                </c:pt>
                <c:pt idx="176">
                  <c:v>-10.811965811965823</c:v>
                </c:pt>
                <c:pt idx="177">
                  <c:v>-11.837606837606847</c:v>
                </c:pt>
                <c:pt idx="178">
                  <c:v>-11.695156695156705</c:v>
                </c:pt>
                <c:pt idx="179">
                  <c:v>-12.649572649572649</c:v>
                </c:pt>
                <c:pt idx="180">
                  <c:v>-14.301994301994309</c:v>
                </c:pt>
                <c:pt idx="181">
                  <c:v>-15.014245014245024</c:v>
                </c:pt>
                <c:pt idx="182">
                  <c:v>-17.179487179487186</c:v>
                </c:pt>
                <c:pt idx="183">
                  <c:v>-16.566951566951577</c:v>
                </c:pt>
                <c:pt idx="184">
                  <c:v>-16.296296296296305</c:v>
                </c:pt>
                <c:pt idx="185">
                  <c:v>-16.666666666666664</c:v>
                </c:pt>
                <c:pt idx="186">
                  <c:v>-16.794871794871796</c:v>
                </c:pt>
                <c:pt idx="187">
                  <c:v>-15.897435897435901</c:v>
                </c:pt>
                <c:pt idx="188">
                  <c:v>-16.039886039886046</c:v>
                </c:pt>
                <c:pt idx="189">
                  <c:v>-16.096866096866098</c:v>
                </c:pt>
                <c:pt idx="190">
                  <c:v>-16.410256410256423</c:v>
                </c:pt>
                <c:pt idx="191">
                  <c:v>-16.652421652421655</c:v>
                </c:pt>
                <c:pt idx="192">
                  <c:v>-16.780626780626783</c:v>
                </c:pt>
                <c:pt idx="193">
                  <c:v>-16.509971509971511</c:v>
                </c:pt>
                <c:pt idx="194">
                  <c:v>-17.065527065527071</c:v>
                </c:pt>
                <c:pt idx="195">
                  <c:v>-17.136752136752147</c:v>
                </c:pt>
                <c:pt idx="196">
                  <c:v>-16.495726495726498</c:v>
                </c:pt>
                <c:pt idx="197">
                  <c:v>-16.410256410256423</c:v>
                </c:pt>
                <c:pt idx="198">
                  <c:v>-15.840455840455853</c:v>
                </c:pt>
                <c:pt idx="199">
                  <c:v>-14.444444444444452</c:v>
                </c:pt>
                <c:pt idx="200">
                  <c:v>-13.974358974358985</c:v>
                </c:pt>
                <c:pt idx="201">
                  <c:v>-14.843304843304855</c:v>
                </c:pt>
                <c:pt idx="202">
                  <c:v>-14.957264957264972</c:v>
                </c:pt>
                <c:pt idx="203">
                  <c:v>-14.729344729344737</c:v>
                </c:pt>
                <c:pt idx="204">
                  <c:v>-13.632478632478634</c:v>
                </c:pt>
                <c:pt idx="205">
                  <c:v>-13.034188034188038</c:v>
                </c:pt>
                <c:pt idx="206">
                  <c:v>-13.988603988603998</c:v>
                </c:pt>
                <c:pt idx="207">
                  <c:v>-14.515669515669515</c:v>
                </c:pt>
                <c:pt idx="208">
                  <c:v>-14.444444444444452</c:v>
                </c:pt>
                <c:pt idx="209">
                  <c:v>-14.572649572649581</c:v>
                </c:pt>
                <c:pt idx="210">
                  <c:v>-15.44159544159545</c:v>
                </c:pt>
                <c:pt idx="211">
                  <c:v>-14.188034188034193</c:v>
                </c:pt>
                <c:pt idx="212">
                  <c:v>-14.715099715099726</c:v>
                </c:pt>
                <c:pt idx="213">
                  <c:v>-14.287749287749296</c:v>
                </c:pt>
                <c:pt idx="214">
                  <c:v>-14.31623931623932</c:v>
                </c:pt>
                <c:pt idx="215">
                  <c:v>-14.358974358974361</c:v>
                </c:pt>
                <c:pt idx="216">
                  <c:v>-14.757834757834761</c:v>
                </c:pt>
                <c:pt idx="217">
                  <c:v>-14.017094017094022</c:v>
                </c:pt>
                <c:pt idx="218">
                  <c:v>-13.988603988603998</c:v>
                </c:pt>
                <c:pt idx="219">
                  <c:v>-13.247863247863259</c:v>
                </c:pt>
                <c:pt idx="220">
                  <c:v>-12.293447293447301</c:v>
                </c:pt>
                <c:pt idx="221">
                  <c:v>-12.008547008547016</c:v>
                </c:pt>
                <c:pt idx="222">
                  <c:v>-12.435897435897443</c:v>
                </c:pt>
                <c:pt idx="223">
                  <c:v>-13.034188034188038</c:v>
                </c:pt>
                <c:pt idx="224">
                  <c:v>-13.333333333333336</c:v>
                </c:pt>
                <c:pt idx="225">
                  <c:v>-13.262108262108274</c:v>
                </c:pt>
                <c:pt idx="226">
                  <c:v>-12.207977207977208</c:v>
                </c:pt>
                <c:pt idx="227">
                  <c:v>-12.336182336182338</c:v>
                </c:pt>
                <c:pt idx="228">
                  <c:v>-12.179487179487184</c:v>
                </c:pt>
                <c:pt idx="229">
                  <c:v>-14.501424501424504</c:v>
                </c:pt>
                <c:pt idx="230">
                  <c:v>-13.988603988603998</c:v>
                </c:pt>
                <c:pt idx="231">
                  <c:v>-14.6866096866097</c:v>
                </c:pt>
                <c:pt idx="232">
                  <c:v>-15.25641025641027</c:v>
                </c:pt>
                <c:pt idx="233">
                  <c:v>-15.341880341880346</c:v>
                </c:pt>
                <c:pt idx="234">
                  <c:v>-15.7977207977208</c:v>
                </c:pt>
                <c:pt idx="235">
                  <c:v>-16.068376068376072</c:v>
                </c:pt>
                <c:pt idx="236">
                  <c:v>-15.968660968660982</c:v>
                </c:pt>
                <c:pt idx="237">
                  <c:v>-16.125356125356138</c:v>
                </c:pt>
                <c:pt idx="238">
                  <c:v>-16.495726495726498</c:v>
                </c:pt>
                <c:pt idx="239">
                  <c:v>-16.509971509971511</c:v>
                </c:pt>
                <c:pt idx="240">
                  <c:v>-15.470085470085476</c:v>
                </c:pt>
                <c:pt idx="241">
                  <c:v>-15.954415954415953</c:v>
                </c:pt>
                <c:pt idx="242">
                  <c:v>-16.182336182336186</c:v>
                </c:pt>
                <c:pt idx="243">
                  <c:v>-15.669515669515684</c:v>
                </c:pt>
                <c:pt idx="244">
                  <c:v>-14.715099715099726</c:v>
                </c:pt>
                <c:pt idx="245">
                  <c:v>-15.811965811965811</c:v>
                </c:pt>
                <c:pt idx="246">
                  <c:v>-17.037037037037045</c:v>
                </c:pt>
                <c:pt idx="247">
                  <c:v>-17.165242165242173</c:v>
                </c:pt>
                <c:pt idx="248">
                  <c:v>-17.15099715099716</c:v>
                </c:pt>
                <c:pt idx="249">
                  <c:v>-16.894586894586901</c:v>
                </c:pt>
                <c:pt idx="250">
                  <c:v>-16.723646723646734</c:v>
                </c:pt>
                <c:pt idx="251">
                  <c:v>-18.019943019943028</c:v>
                </c:pt>
                <c:pt idx="252">
                  <c:v>-15.056980056980059</c:v>
                </c:pt>
                <c:pt idx="253">
                  <c:v>-15.712250712250722</c:v>
                </c:pt>
                <c:pt idx="254">
                  <c:v>-15.783475783475787</c:v>
                </c:pt>
                <c:pt idx="255">
                  <c:v>-15.470085470085476</c:v>
                </c:pt>
                <c:pt idx="256">
                  <c:v>-14.188034188034193</c:v>
                </c:pt>
                <c:pt idx="257">
                  <c:v>-13.717948717948728</c:v>
                </c:pt>
                <c:pt idx="258">
                  <c:v>-12.977207977207989</c:v>
                </c:pt>
                <c:pt idx="259">
                  <c:v>-13.148148148148156</c:v>
                </c:pt>
                <c:pt idx="260">
                  <c:v>-13.60398860398861</c:v>
                </c:pt>
                <c:pt idx="261">
                  <c:v>-14.145299145299154</c:v>
                </c:pt>
                <c:pt idx="262">
                  <c:v>-13.347578347578349</c:v>
                </c:pt>
                <c:pt idx="263">
                  <c:v>-12.73504273504274</c:v>
                </c:pt>
                <c:pt idx="264">
                  <c:v>-13.433048433048441</c:v>
                </c:pt>
                <c:pt idx="265">
                  <c:v>-13.846153846153856</c:v>
                </c:pt>
                <c:pt idx="266">
                  <c:v>-14.216524216524217</c:v>
                </c:pt>
                <c:pt idx="267">
                  <c:v>-14.002849002849011</c:v>
                </c:pt>
                <c:pt idx="268">
                  <c:v>-13.632478632478634</c:v>
                </c:pt>
                <c:pt idx="269">
                  <c:v>-13.846153846153856</c:v>
                </c:pt>
                <c:pt idx="270">
                  <c:v>-14.04558404558405</c:v>
                </c:pt>
                <c:pt idx="271">
                  <c:v>-13.931623931623932</c:v>
                </c:pt>
                <c:pt idx="272">
                  <c:v>-14.23076923076923</c:v>
                </c:pt>
                <c:pt idx="273">
                  <c:v>-14.415954415954428</c:v>
                </c:pt>
                <c:pt idx="274">
                  <c:v>-14.216524216524217</c:v>
                </c:pt>
                <c:pt idx="275">
                  <c:v>-14.458689458689463</c:v>
                </c:pt>
                <c:pt idx="276">
                  <c:v>-14.358974358974361</c:v>
                </c:pt>
                <c:pt idx="277">
                  <c:v>-14.330484330484333</c:v>
                </c:pt>
                <c:pt idx="278">
                  <c:v>-14.55840455840457</c:v>
                </c:pt>
                <c:pt idx="279">
                  <c:v>-13.547008547008557</c:v>
                </c:pt>
                <c:pt idx="280">
                  <c:v>-14.273504273504283</c:v>
                </c:pt>
                <c:pt idx="281">
                  <c:v>-14.330484330484333</c:v>
                </c:pt>
                <c:pt idx="282">
                  <c:v>-14.729344729344737</c:v>
                </c:pt>
                <c:pt idx="283">
                  <c:v>-15.626780626780631</c:v>
                </c:pt>
                <c:pt idx="284">
                  <c:v>-16.139601139601151</c:v>
                </c:pt>
                <c:pt idx="285">
                  <c:v>-16.210826210826212</c:v>
                </c:pt>
                <c:pt idx="286">
                  <c:v>-16.467236467236475</c:v>
                </c:pt>
                <c:pt idx="287">
                  <c:v>-16.709401709401721</c:v>
                </c:pt>
                <c:pt idx="288">
                  <c:v>-17.207977207977212</c:v>
                </c:pt>
                <c:pt idx="289">
                  <c:v>-17.051282051282058</c:v>
                </c:pt>
                <c:pt idx="290">
                  <c:v>-17.051282051282058</c:v>
                </c:pt>
                <c:pt idx="291">
                  <c:v>-16.424501424501436</c:v>
                </c:pt>
                <c:pt idx="292">
                  <c:v>-17.108262108262124</c:v>
                </c:pt>
                <c:pt idx="293">
                  <c:v>-16.723646723646734</c:v>
                </c:pt>
                <c:pt idx="294">
                  <c:v>-15.327635327635333</c:v>
                </c:pt>
                <c:pt idx="295">
                  <c:v>-14.943019943019941</c:v>
                </c:pt>
                <c:pt idx="296">
                  <c:v>-15.413105413105423</c:v>
                </c:pt>
                <c:pt idx="297">
                  <c:v>-14.159544159544165</c:v>
                </c:pt>
                <c:pt idx="298">
                  <c:v>-14.145299145299154</c:v>
                </c:pt>
                <c:pt idx="299">
                  <c:v>-13.817663817663831</c:v>
                </c:pt>
                <c:pt idx="300">
                  <c:v>-14.002849002849011</c:v>
                </c:pt>
                <c:pt idx="301">
                  <c:v>-13.390313390313402</c:v>
                </c:pt>
                <c:pt idx="302">
                  <c:v>-14.145299145299154</c:v>
                </c:pt>
                <c:pt idx="303">
                  <c:v>-14.786324786324787</c:v>
                </c:pt>
                <c:pt idx="304">
                  <c:v>-14.188034188034193</c:v>
                </c:pt>
                <c:pt idx="305">
                  <c:v>-13.60398860398861</c:v>
                </c:pt>
                <c:pt idx="306">
                  <c:v>-14.188034188034193</c:v>
                </c:pt>
                <c:pt idx="307">
                  <c:v>-14.586894586894594</c:v>
                </c:pt>
                <c:pt idx="308">
                  <c:v>-14.259259259259272</c:v>
                </c:pt>
                <c:pt idx="309">
                  <c:v>-14.173789173789178</c:v>
                </c:pt>
                <c:pt idx="310">
                  <c:v>-15.014245014245024</c:v>
                </c:pt>
                <c:pt idx="311">
                  <c:v>-14.700854700854713</c:v>
                </c:pt>
                <c:pt idx="312">
                  <c:v>-14.131054131054141</c:v>
                </c:pt>
                <c:pt idx="313">
                  <c:v>-14.04558404558405</c:v>
                </c:pt>
                <c:pt idx="314">
                  <c:v>-13.803418803418818</c:v>
                </c:pt>
                <c:pt idx="315">
                  <c:v>-13.717948717948728</c:v>
                </c:pt>
                <c:pt idx="316">
                  <c:v>-13.17663817663818</c:v>
                </c:pt>
                <c:pt idx="317">
                  <c:v>-11.581196581196588</c:v>
                </c:pt>
                <c:pt idx="318">
                  <c:v>-11.424501424501432</c:v>
                </c:pt>
                <c:pt idx="319">
                  <c:v>-11.111111111111121</c:v>
                </c:pt>
                <c:pt idx="320">
                  <c:v>-11.324786324786327</c:v>
                </c:pt>
                <c:pt idx="321">
                  <c:v>-11.452991452991458</c:v>
                </c:pt>
                <c:pt idx="322">
                  <c:v>-10.940170940170955</c:v>
                </c:pt>
                <c:pt idx="323">
                  <c:v>-11.025641025641029</c:v>
                </c:pt>
                <c:pt idx="324">
                  <c:v>-10.413105413105422</c:v>
                </c:pt>
                <c:pt idx="325">
                  <c:v>-10.000000000000005</c:v>
                </c:pt>
                <c:pt idx="326">
                  <c:v>-10.299145299145303</c:v>
                </c:pt>
                <c:pt idx="327">
                  <c:v>-10.256410256410266</c:v>
                </c:pt>
                <c:pt idx="328">
                  <c:v>-10.299145299145303</c:v>
                </c:pt>
                <c:pt idx="329">
                  <c:v>-10.242165242165253</c:v>
                </c:pt>
                <c:pt idx="330">
                  <c:v>-9.9287749287749438</c:v>
                </c:pt>
                <c:pt idx="331">
                  <c:v>-10.099715099715111</c:v>
                </c:pt>
                <c:pt idx="332">
                  <c:v>-10.028490028490031</c:v>
                </c:pt>
                <c:pt idx="333">
                  <c:v>-10.085470085470098</c:v>
                </c:pt>
                <c:pt idx="334">
                  <c:v>-10.641025641025641</c:v>
                </c:pt>
                <c:pt idx="335">
                  <c:v>-10.669515669515681</c:v>
                </c:pt>
                <c:pt idx="336">
                  <c:v>-10.370370370370384</c:v>
                </c:pt>
                <c:pt idx="337">
                  <c:v>-10.284900284900292</c:v>
                </c:pt>
                <c:pt idx="338">
                  <c:v>-10.099715099715111</c:v>
                </c:pt>
                <c:pt idx="339">
                  <c:v>-9.6296296296296298</c:v>
                </c:pt>
                <c:pt idx="340">
                  <c:v>-9.3874643874643979</c:v>
                </c:pt>
                <c:pt idx="341">
                  <c:v>-9.4729344729344742</c:v>
                </c:pt>
                <c:pt idx="342">
                  <c:v>-9.7578347578347593</c:v>
                </c:pt>
                <c:pt idx="343">
                  <c:v>-10.156695156695161</c:v>
                </c:pt>
                <c:pt idx="344">
                  <c:v>-9.9287749287749438</c:v>
                </c:pt>
                <c:pt idx="345">
                  <c:v>-11.324786324786327</c:v>
                </c:pt>
                <c:pt idx="346">
                  <c:v>-10.982905982905992</c:v>
                </c:pt>
                <c:pt idx="347">
                  <c:v>-10.911680911680913</c:v>
                </c:pt>
                <c:pt idx="348" formatCode="0.00">
                  <c:v>-10.512820512820525</c:v>
                </c:pt>
                <c:pt idx="349">
                  <c:v>-11.111111111111121</c:v>
                </c:pt>
                <c:pt idx="350">
                  <c:v>-11.111111111111121</c:v>
                </c:pt>
                <c:pt idx="351">
                  <c:v>-9.686609686609696</c:v>
                </c:pt>
                <c:pt idx="352">
                  <c:v>-11.111111111111121</c:v>
                </c:pt>
                <c:pt idx="353">
                  <c:v>-9.686609686609696</c:v>
                </c:pt>
                <c:pt idx="354">
                  <c:v>-9.686609686609696</c:v>
                </c:pt>
                <c:pt idx="355">
                  <c:v>-12.535612535612547</c:v>
                </c:pt>
                <c:pt idx="356">
                  <c:v>-12.535612535612547</c:v>
                </c:pt>
                <c:pt idx="357">
                  <c:v>-11.111111111111121</c:v>
                </c:pt>
                <c:pt idx="358">
                  <c:v>-11.111111111111121</c:v>
                </c:pt>
                <c:pt idx="359">
                  <c:v>-11.111111111111121</c:v>
                </c:pt>
                <c:pt idx="360">
                  <c:v>-11.111111111111121</c:v>
                </c:pt>
                <c:pt idx="361">
                  <c:v>-11.111111111111121</c:v>
                </c:pt>
                <c:pt idx="362">
                  <c:v>-12.535612535612547</c:v>
                </c:pt>
                <c:pt idx="363">
                  <c:v>-12.535612535612547</c:v>
                </c:pt>
                <c:pt idx="364">
                  <c:v>-12.535612535612547</c:v>
                </c:pt>
                <c:pt idx="365">
                  <c:v>-12.535612535612547</c:v>
                </c:pt>
                <c:pt idx="366">
                  <c:v>-12.535612535612547</c:v>
                </c:pt>
                <c:pt idx="367">
                  <c:v>-11.111111111111121</c:v>
                </c:pt>
                <c:pt idx="368">
                  <c:v>-9.686609686609696</c:v>
                </c:pt>
                <c:pt idx="369">
                  <c:v>-9.686609686609696</c:v>
                </c:pt>
                <c:pt idx="370" formatCode="0.00">
                  <c:v>-9.686609686609696</c:v>
                </c:pt>
                <c:pt idx="371">
                  <c:v>-9.9572649572649681</c:v>
                </c:pt>
                <c:pt idx="372">
                  <c:v>-10.170940170940174</c:v>
                </c:pt>
                <c:pt idx="373">
                  <c:v>-10.242165242165253</c:v>
                </c:pt>
                <c:pt idx="374">
                  <c:v>-9.8433048433048516</c:v>
                </c:pt>
                <c:pt idx="375">
                  <c:v>-10.541310541310551</c:v>
                </c:pt>
                <c:pt idx="376">
                  <c:v>-10.626780626780628</c:v>
                </c:pt>
                <c:pt idx="377">
                  <c:v>-10.883190883190887</c:v>
                </c:pt>
                <c:pt idx="378">
                  <c:v>-10.455840455840459</c:v>
                </c:pt>
                <c:pt idx="379">
                  <c:v>-10.227920227920242</c:v>
                </c:pt>
                <c:pt idx="380">
                  <c:v>-8.9031339031339041</c:v>
                </c:pt>
                <c:pt idx="381">
                  <c:v>-9.0740740740740868</c:v>
                </c:pt>
                <c:pt idx="382">
                  <c:v>-9.1880341880341891</c:v>
                </c:pt>
                <c:pt idx="383">
                  <c:v>-9.2877492877492926</c:v>
                </c:pt>
                <c:pt idx="384">
                  <c:v>-9.7720797720797723</c:v>
                </c:pt>
                <c:pt idx="385">
                  <c:v>-9.7720797720797723</c:v>
                </c:pt>
                <c:pt idx="386">
                  <c:v>-9.3589743589743737</c:v>
                </c:pt>
                <c:pt idx="387">
                  <c:v>-9.2592592592592684</c:v>
                </c:pt>
                <c:pt idx="388">
                  <c:v>-9.1737891737891761</c:v>
                </c:pt>
                <c:pt idx="389">
                  <c:v>-9.0028490028490094</c:v>
                </c:pt>
                <c:pt idx="390">
                  <c:v>-8.5612535612535687</c:v>
                </c:pt>
                <c:pt idx="391" formatCode="0.00">
                  <c:v>-7.9914529914529977</c:v>
                </c:pt>
                <c:pt idx="392">
                  <c:v>-7.8347578347578422</c:v>
                </c:pt>
                <c:pt idx="393">
                  <c:v>-7.6068376068376073</c:v>
                </c:pt>
                <c:pt idx="394">
                  <c:v>-8.4615384615384635</c:v>
                </c:pt>
                <c:pt idx="395">
                  <c:v>-9.2877492877492926</c:v>
                </c:pt>
                <c:pt idx="396">
                  <c:v>-9.3732193732193849</c:v>
                </c:pt>
                <c:pt idx="397">
                  <c:v>-9.7435897435897463</c:v>
                </c:pt>
                <c:pt idx="398">
                  <c:v>-9.643874643874657</c:v>
                </c:pt>
                <c:pt idx="399">
                  <c:v>-9.7720797720797723</c:v>
                </c:pt>
                <c:pt idx="400">
                  <c:v>-9.4444444444444482</c:v>
                </c:pt>
                <c:pt idx="401">
                  <c:v>-9.7293447293447333</c:v>
                </c:pt>
                <c:pt idx="402">
                  <c:v>-10.71225071225072</c:v>
                </c:pt>
                <c:pt idx="403">
                  <c:v>-10.883190883190887</c:v>
                </c:pt>
                <c:pt idx="404">
                  <c:v>-10.612535612535615</c:v>
                </c:pt>
                <c:pt idx="405">
                  <c:v>-10.740740740740746</c:v>
                </c:pt>
                <c:pt idx="406">
                  <c:v>-10.35612535612537</c:v>
                </c:pt>
                <c:pt idx="407">
                  <c:v>-10.940170940170955</c:v>
                </c:pt>
                <c:pt idx="408">
                  <c:v>-11.381766381766393</c:v>
                </c:pt>
                <c:pt idx="409">
                  <c:v>-11.33903133903134</c:v>
                </c:pt>
                <c:pt idx="410">
                  <c:v>-10.58404558404559</c:v>
                </c:pt>
                <c:pt idx="411">
                  <c:v>-10.156695156695161</c:v>
                </c:pt>
                <c:pt idx="412">
                  <c:v>-10.1994301994302</c:v>
                </c:pt>
                <c:pt idx="413">
                  <c:v>-10.14245014245015</c:v>
                </c:pt>
                <c:pt idx="414" formatCode="0.00">
                  <c:v>-10.484330484330485</c:v>
                </c:pt>
                <c:pt idx="415">
                  <c:v>-9.9572649572649681</c:v>
                </c:pt>
                <c:pt idx="416">
                  <c:v>-10.270655270655279</c:v>
                </c:pt>
                <c:pt idx="417">
                  <c:v>-9.4301994301994352</c:v>
                </c:pt>
                <c:pt idx="418">
                  <c:v>-9.1595441595441649</c:v>
                </c:pt>
                <c:pt idx="419">
                  <c:v>-8.9886039886039946</c:v>
                </c:pt>
                <c:pt idx="420">
                  <c:v>-8.0199430199430228</c:v>
                </c:pt>
                <c:pt idx="421">
                  <c:v>-8.0911680911681021</c:v>
                </c:pt>
                <c:pt idx="422">
                  <c:v>-7.3076923076923093</c:v>
                </c:pt>
                <c:pt idx="423">
                  <c:v>-7.8917378917378933</c:v>
                </c:pt>
                <c:pt idx="424">
                  <c:v>-6.4102564102564168</c:v>
                </c:pt>
                <c:pt idx="425">
                  <c:v>-4.9857549857549905</c:v>
                </c:pt>
                <c:pt idx="426">
                  <c:v>-5.6267806267806399</c:v>
                </c:pt>
                <c:pt idx="427">
                  <c:v>-5.6125356125356118</c:v>
                </c:pt>
                <c:pt idx="428">
                  <c:v>-4.8717948717948731</c:v>
                </c:pt>
                <c:pt idx="429">
                  <c:v>-4.9430199430199524</c:v>
                </c:pt>
                <c:pt idx="430">
                  <c:v>-5.2991452991453007</c:v>
                </c:pt>
                <c:pt idx="431">
                  <c:v>-5.8831908831908839</c:v>
                </c:pt>
                <c:pt idx="432">
                  <c:v>-6.0541310541310676</c:v>
                </c:pt>
                <c:pt idx="433">
                  <c:v>-6.2820512820512864</c:v>
                </c:pt>
                <c:pt idx="434">
                  <c:v>-6.0113960113960143</c:v>
                </c:pt>
                <c:pt idx="435" formatCode="0.00">
                  <c:v>-6.3532763532763656</c:v>
                </c:pt>
                <c:pt idx="436">
                  <c:v>-7.3219373219373232</c:v>
                </c:pt>
                <c:pt idx="437">
                  <c:v>-7.5213675213675319</c:v>
                </c:pt>
                <c:pt idx="438">
                  <c:v>-7.3219373219373232</c:v>
                </c:pt>
                <c:pt idx="439">
                  <c:v>-8.4615384615384635</c:v>
                </c:pt>
                <c:pt idx="440">
                  <c:v>-9.1168091168091259</c:v>
                </c:pt>
                <c:pt idx="441">
                  <c:v>-8.3760683760683872</c:v>
                </c:pt>
                <c:pt idx="442">
                  <c:v>-7.8347578347578422</c:v>
                </c:pt>
                <c:pt idx="443">
                  <c:v>-7.8347578347578422</c:v>
                </c:pt>
                <c:pt idx="444">
                  <c:v>-7.5356125356125441</c:v>
                </c:pt>
                <c:pt idx="445">
                  <c:v>-7.1082621082621174</c:v>
                </c:pt>
                <c:pt idx="446">
                  <c:v>-7.2222222222222339</c:v>
                </c:pt>
                <c:pt idx="447">
                  <c:v>-8.0911680911681021</c:v>
                </c:pt>
                <c:pt idx="448">
                  <c:v>-7.9914529914529977</c:v>
                </c:pt>
                <c:pt idx="449">
                  <c:v>-8.2336182336182446</c:v>
                </c:pt>
                <c:pt idx="450">
                  <c:v>-7.9772079772079856</c:v>
                </c:pt>
                <c:pt idx="451">
                  <c:v>-7.9059829059829054</c:v>
                </c:pt>
                <c:pt idx="452">
                  <c:v>-8.4615384615384635</c:v>
                </c:pt>
                <c:pt idx="453">
                  <c:v>-7.5356125356125441</c:v>
                </c:pt>
                <c:pt idx="454">
                  <c:v>-8.1196581196581263</c:v>
                </c:pt>
                <c:pt idx="455">
                  <c:v>-8.6467236467236592</c:v>
                </c:pt>
                <c:pt idx="456">
                  <c:v>-7.9629629629629717</c:v>
                </c:pt>
                <c:pt idx="457" formatCode="0.00">
                  <c:v>-7.3361823361823353</c:v>
                </c:pt>
                <c:pt idx="458">
                  <c:v>-7.4216524216524276</c:v>
                </c:pt>
                <c:pt idx="459">
                  <c:v>-9.0883190883190998</c:v>
                </c:pt>
                <c:pt idx="460">
                  <c:v>-9.0455840455840466</c:v>
                </c:pt>
                <c:pt idx="461">
                  <c:v>-8.3190883190883209</c:v>
                </c:pt>
                <c:pt idx="462">
                  <c:v>-8.3048433048433079</c:v>
                </c:pt>
                <c:pt idx="463">
                  <c:v>-8.6609686609686722</c:v>
                </c:pt>
                <c:pt idx="464">
                  <c:v>-8.3333333333333321</c:v>
                </c:pt>
                <c:pt idx="465">
                  <c:v>-7.9772079772079856</c:v>
                </c:pt>
                <c:pt idx="466">
                  <c:v>-8.6324786324786302</c:v>
                </c:pt>
                <c:pt idx="467">
                  <c:v>-8.0769230769230891</c:v>
                </c:pt>
                <c:pt idx="468">
                  <c:v>-8.1054131054131151</c:v>
                </c:pt>
                <c:pt idx="469">
                  <c:v>-7.9772079772079856</c:v>
                </c:pt>
                <c:pt idx="470">
                  <c:v>-7.8632478632478673</c:v>
                </c:pt>
                <c:pt idx="471">
                  <c:v>-7.6353276353276485</c:v>
                </c:pt>
                <c:pt idx="472">
                  <c:v>-7.6068376068376073</c:v>
                </c:pt>
                <c:pt idx="473">
                  <c:v>-7.1937321937321927</c:v>
                </c:pt>
                <c:pt idx="474">
                  <c:v>-7.0655270655270792</c:v>
                </c:pt>
                <c:pt idx="475">
                  <c:v>-6.8376068376068435</c:v>
                </c:pt>
                <c:pt idx="476">
                  <c:v>-6.8803418803418825</c:v>
                </c:pt>
                <c:pt idx="477">
                  <c:v>-6.8803418803418825</c:v>
                </c:pt>
                <c:pt idx="478">
                  <c:v>-6.0826210826210936</c:v>
                </c:pt>
                <c:pt idx="479" formatCode="0.00">
                  <c:v>-5.4558404558404563</c:v>
                </c:pt>
                <c:pt idx="480">
                  <c:v>-5.4558404558404563</c:v>
                </c:pt>
                <c:pt idx="481">
                  <c:v>-5.8547008547008588</c:v>
                </c:pt>
                <c:pt idx="482">
                  <c:v>-6.0256410256410264</c:v>
                </c:pt>
                <c:pt idx="483">
                  <c:v>-6.4957264957265091</c:v>
                </c:pt>
                <c:pt idx="484">
                  <c:v>-6.1111111111111187</c:v>
                </c:pt>
                <c:pt idx="485">
                  <c:v>-6.3247863247863245</c:v>
                </c:pt>
                <c:pt idx="486">
                  <c:v>-6.695156695156701</c:v>
                </c:pt>
                <c:pt idx="487">
                  <c:v>-6.9943019943019991</c:v>
                </c:pt>
                <c:pt idx="488">
                  <c:v>-6.6809116809116889</c:v>
                </c:pt>
                <c:pt idx="489">
                  <c:v>-6.0541310541310676</c:v>
                </c:pt>
                <c:pt idx="490">
                  <c:v>-6.9373219373219479</c:v>
                </c:pt>
                <c:pt idx="491">
                  <c:v>-6.3390313390313535</c:v>
                </c:pt>
                <c:pt idx="492">
                  <c:v>-6.5527065527065593</c:v>
                </c:pt>
                <c:pt idx="493">
                  <c:v>-6.3247863247863245</c:v>
                </c:pt>
                <c:pt idx="494">
                  <c:v>-6.5384615384615454</c:v>
                </c:pt>
                <c:pt idx="495">
                  <c:v>-6.4529914529914549</c:v>
                </c:pt>
                <c:pt idx="496">
                  <c:v>-6.4102564102564168</c:v>
                </c:pt>
                <c:pt idx="497">
                  <c:v>-6.4529914529914549</c:v>
                </c:pt>
                <c:pt idx="498">
                  <c:v>-6.3105413105413124</c:v>
                </c:pt>
                <c:pt idx="499">
                  <c:v>-5.925925925925938</c:v>
                </c:pt>
                <c:pt idx="500" formatCode="0.00">
                  <c:v>-5.3418803418803549</c:v>
                </c:pt>
                <c:pt idx="501">
                  <c:v>-5.5128205128205234</c:v>
                </c:pt>
                <c:pt idx="502">
                  <c:v>-4.8860398860398861</c:v>
                </c:pt>
                <c:pt idx="503">
                  <c:v>-5.3276353276353268</c:v>
                </c:pt>
                <c:pt idx="504">
                  <c:v>-5.1424501424501461</c:v>
                </c:pt>
                <c:pt idx="505">
                  <c:v>-5.0142450142450157</c:v>
                </c:pt>
                <c:pt idx="506">
                  <c:v>-5.0569800569800698</c:v>
                </c:pt>
                <c:pt idx="507">
                  <c:v>-5.3133903133903138</c:v>
                </c:pt>
                <c:pt idx="508">
                  <c:v>-5.3846153846153921</c:v>
                </c:pt>
                <c:pt idx="509">
                  <c:v>-5.1709401709401712</c:v>
                </c:pt>
                <c:pt idx="510">
                  <c:v>-4.045584045584059</c:v>
                </c:pt>
                <c:pt idx="511">
                  <c:v>-3.1623931623931623</c:v>
                </c:pt>
                <c:pt idx="512">
                  <c:v>-3.4330484330484348</c:v>
                </c:pt>
                <c:pt idx="513">
                  <c:v>-2.8490028490028516</c:v>
                </c:pt>
                <c:pt idx="514">
                  <c:v>-2.6495726495726584</c:v>
                </c:pt>
                <c:pt idx="515">
                  <c:v>-2.7777777777777883</c:v>
                </c:pt>
                <c:pt idx="516">
                  <c:v>-2.0512820512820626</c:v>
                </c:pt>
                <c:pt idx="517">
                  <c:v>-1.8945868945869075</c:v>
                </c:pt>
                <c:pt idx="518">
                  <c:v>-0.37037037037037707</c:v>
                </c:pt>
                <c:pt idx="519">
                  <c:v>7.1225071225063386E-2</c:v>
                </c:pt>
                <c:pt idx="520">
                  <c:v>-0.37037037037037707</c:v>
                </c:pt>
                <c:pt idx="521">
                  <c:v>-1.2535612535612579</c:v>
                </c:pt>
                <c:pt idx="522">
                  <c:v>-0.72649572649572558</c:v>
                </c:pt>
                <c:pt idx="523" formatCode="0.00">
                  <c:v>-0.42735042735042772</c:v>
                </c:pt>
                <c:pt idx="524">
                  <c:v>-0.11396011396011722</c:v>
                </c:pt>
                <c:pt idx="525">
                  <c:v>-0.62678062678063695</c:v>
                </c:pt>
                <c:pt idx="526">
                  <c:v>-1.5099715099715176</c:v>
                </c:pt>
                <c:pt idx="527">
                  <c:v>-2.0655270655270752</c:v>
                </c:pt>
                <c:pt idx="528">
                  <c:v>-2.6780626780626839</c:v>
                </c:pt>
                <c:pt idx="529">
                  <c:v>-2.4643874643874781</c:v>
                </c:pt>
                <c:pt idx="530">
                  <c:v>-3.3190883190883174</c:v>
                </c:pt>
                <c:pt idx="531">
                  <c:v>-3.1054131054131116</c:v>
                </c:pt>
                <c:pt idx="532">
                  <c:v>-2.7492877492877632</c:v>
                </c:pt>
                <c:pt idx="533">
                  <c:v>-1.9088319088319201</c:v>
                </c:pt>
                <c:pt idx="534">
                  <c:v>-1.4102564102564132</c:v>
                </c:pt>
                <c:pt idx="535">
                  <c:v>-1.4245014245014258</c:v>
                </c:pt>
                <c:pt idx="536">
                  <c:v>-1.6239316239316348</c:v>
                </c:pt>
                <c:pt idx="537">
                  <c:v>-1.7236467236467237</c:v>
                </c:pt>
                <c:pt idx="538">
                  <c:v>-1.9800569800569836</c:v>
                </c:pt>
                <c:pt idx="539">
                  <c:v>-2.0370370370370501</c:v>
                </c:pt>
                <c:pt idx="540">
                  <c:v>-1.8660968660968662</c:v>
                </c:pt>
                <c:pt idx="541">
                  <c:v>-1.9943019943019964</c:v>
                </c:pt>
                <c:pt idx="542">
                  <c:v>-2.3076923076923066</c:v>
                </c:pt>
                <c:pt idx="543" formatCode="0.00">
                  <c:v>-3.3190883190883174</c:v>
                </c:pt>
              </c:numCache>
            </c:numRef>
          </c:val>
          <c:smooth val="0"/>
        </c:ser>
        <c:ser>
          <c:idx val="3"/>
          <c:order val="3"/>
          <c:tx>
            <c:strRef>
              <c:f>'Currency Raw'!$N$1</c:f>
              <c:strCache>
                <c:ptCount val="1"/>
                <c:pt idx="0">
                  <c:v>Euro</c:v>
                </c:pt>
              </c:strCache>
            </c:strRef>
          </c:tx>
          <c:marker>
            <c:symbol val="none"/>
          </c:marker>
          <c:cat>
            <c:numRef>
              <c:f>'Currency Raw'!$J$2:$J$545</c:f>
              <c:numCache>
                <c:formatCode>m/d/yyyy</c:formatCode>
                <c:ptCount val="544"/>
                <c:pt idx="1">
                  <c:v>42401</c:v>
                </c:pt>
                <c:pt idx="2">
                  <c:v>42402</c:v>
                </c:pt>
                <c:pt idx="3">
                  <c:v>42403</c:v>
                </c:pt>
                <c:pt idx="4">
                  <c:v>42404</c:v>
                </c:pt>
                <c:pt idx="5">
                  <c:v>42405</c:v>
                </c:pt>
                <c:pt idx="6">
                  <c:v>42408</c:v>
                </c:pt>
                <c:pt idx="7">
                  <c:v>42409</c:v>
                </c:pt>
                <c:pt idx="8">
                  <c:v>42410</c:v>
                </c:pt>
                <c:pt idx="9">
                  <c:v>42411</c:v>
                </c:pt>
                <c:pt idx="10">
                  <c:v>42412</c:v>
                </c:pt>
                <c:pt idx="11">
                  <c:v>42415</c:v>
                </c:pt>
                <c:pt idx="12">
                  <c:v>42416</c:v>
                </c:pt>
                <c:pt idx="13">
                  <c:v>42417</c:v>
                </c:pt>
                <c:pt idx="14">
                  <c:v>42418</c:v>
                </c:pt>
                <c:pt idx="15">
                  <c:v>42419</c:v>
                </c:pt>
                <c:pt idx="16">
                  <c:v>42422</c:v>
                </c:pt>
                <c:pt idx="17">
                  <c:v>42423</c:v>
                </c:pt>
                <c:pt idx="18">
                  <c:v>42424</c:v>
                </c:pt>
                <c:pt idx="19">
                  <c:v>42425</c:v>
                </c:pt>
                <c:pt idx="20">
                  <c:v>42426</c:v>
                </c:pt>
                <c:pt idx="21">
                  <c:v>42429</c:v>
                </c:pt>
                <c:pt idx="22">
                  <c:v>42430</c:v>
                </c:pt>
                <c:pt idx="23">
                  <c:v>42431</c:v>
                </c:pt>
                <c:pt idx="24">
                  <c:v>42432</c:v>
                </c:pt>
                <c:pt idx="25">
                  <c:v>42433</c:v>
                </c:pt>
                <c:pt idx="26">
                  <c:v>42436</c:v>
                </c:pt>
                <c:pt idx="27">
                  <c:v>42437</c:v>
                </c:pt>
                <c:pt idx="28">
                  <c:v>42438</c:v>
                </c:pt>
                <c:pt idx="29">
                  <c:v>42439</c:v>
                </c:pt>
                <c:pt idx="30">
                  <c:v>42440</c:v>
                </c:pt>
                <c:pt idx="31">
                  <c:v>42443</c:v>
                </c:pt>
                <c:pt idx="32">
                  <c:v>42444</c:v>
                </c:pt>
                <c:pt idx="33">
                  <c:v>42445</c:v>
                </c:pt>
                <c:pt idx="34">
                  <c:v>42446</c:v>
                </c:pt>
                <c:pt idx="35">
                  <c:v>42447</c:v>
                </c:pt>
                <c:pt idx="36">
                  <c:v>42450</c:v>
                </c:pt>
                <c:pt idx="37">
                  <c:v>42451</c:v>
                </c:pt>
                <c:pt idx="38">
                  <c:v>42452</c:v>
                </c:pt>
                <c:pt idx="39">
                  <c:v>42453</c:v>
                </c:pt>
                <c:pt idx="40">
                  <c:v>42454</c:v>
                </c:pt>
                <c:pt idx="41">
                  <c:v>42457</c:v>
                </c:pt>
                <c:pt idx="42">
                  <c:v>42458</c:v>
                </c:pt>
                <c:pt idx="43">
                  <c:v>42459</c:v>
                </c:pt>
                <c:pt idx="44">
                  <c:v>42460</c:v>
                </c:pt>
                <c:pt idx="45">
                  <c:v>42461</c:v>
                </c:pt>
                <c:pt idx="46">
                  <c:v>42464</c:v>
                </c:pt>
                <c:pt idx="47">
                  <c:v>42465</c:v>
                </c:pt>
                <c:pt idx="48">
                  <c:v>42466</c:v>
                </c:pt>
                <c:pt idx="49">
                  <c:v>42467</c:v>
                </c:pt>
                <c:pt idx="50">
                  <c:v>42468</c:v>
                </c:pt>
                <c:pt idx="51">
                  <c:v>42471</c:v>
                </c:pt>
                <c:pt idx="52">
                  <c:v>42472</c:v>
                </c:pt>
                <c:pt idx="53">
                  <c:v>42473</c:v>
                </c:pt>
                <c:pt idx="54">
                  <c:v>42474</c:v>
                </c:pt>
                <c:pt idx="55">
                  <c:v>42475</c:v>
                </c:pt>
                <c:pt idx="56">
                  <c:v>42478</c:v>
                </c:pt>
                <c:pt idx="57">
                  <c:v>42479</c:v>
                </c:pt>
                <c:pt idx="58">
                  <c:v>42480</c:v>
                </c:pt>
                <c:pt idx="59">
                  <c:v>42481</c:v>
                </c:pt>
                <c:pt idx="60">
                  <c:v>42482</c:v>
                </c:pt>
                <c:pt idx="61">
                  <c:v>42485</c:v>
                </c:pt>
                <c:pt idx="62">
                  <c:v>42486</c:v>
                </c:pt>
                <c:pt idx="63">
                  <c:v>42487</c:v>
                </c:pt>
                <c:pt idx="64">
                  <c:v>42488</c:v>
                </c:pt>
                <c:pt idx="65">
                  <c:v>42489</c:v>
                </c:pt>
                <c:pt idx="66">
                  <c:v>42492</c:v>
                </c:pt>
                <c:pt idx="67">
                  <c:v>42493</c:v>
                </c:pt>
                <c:pt idx="68">
                  <c:v>42494</c:v>
                </c:pt>
                <c:pt idx="69">
                  <c:v>42495</c:v>
                </c:pt>
                <c:pt idx="70">
                  <c:v>42496</c:v>
                </c:pt>
                <c:pt idx="71">
                  <c:v>42499</c:v>
                </c:pt>
                <c:pt idx="72">
                  <c:v>42500</c:v>
                </c:pt>
                <c:pt idx="73">
                  <c:v>42501</c:v>
                </c:pt>
                <c:pt idx="74">
                  <c:v>42502</c:v>
                </c:pt>
                <c:pt idx="75">
                  <c:v>42503</c:v>
                </c:pt>
                <c:pt idx="76">
                  <c:v>42506</c:v>
                </c:pt>
                <c:pt idx="77">
                  <c:v>42507</c:v>
                </c:pt>
                <c:pt idx="78">
                  <c:v>42508</c:v>
                </c:pt>
                <c:pt idx="79">
                  <c:v>42509</c:v>
                </c:pt>
                <c:pt idx="80">
                  <c:v>42510</c:v>
                </c:pt>
                <c:pt idx="81">
                  <c:v>42513</c:v>
                </c:pt>
                <c:pt idx="82">
                  <c:v>42514</c:v>
                </c:pt>
                <c:pt idx="83">
                  <c:v>42515</c:v>
                </c:pt>
                <c:pt idx="84">
                  <c:v>42516</c:v>
                </c:pt>
                <c:pt idx="85">
                  <c:v>42517</c:v>
                </c:pt>
                <c:pt idx="86">
                  <c:v>42520</c:v>
                </c:pt>
                <c:pt idx="87">
                  <c:v>42521</c:v>
                </c:pt>
                <c:pt idx="88">
                  <c:v>42522</c:v>
                </c:pt>
                <c:pt idx="89">
                  <c:v>42523</c:v>
                </c:pt>
                <c:pt idx="90">
                  <c:v>42524</c:v>
                </c:pt>
                <c:pt idx="91">
                  <c:v>42527</c:v>
                </c:pt>
                <c:pt idx="92">
                  <c:v>42528</c:v>
                </c:pt>
                <c:pt idx="93">
                  <c:v>42529</c:v>
                </c:pt>
                <c:pt idx="94">
                  <c:v>42530</c:v>
                </c:pt>
                <c:pt idx="95">
                  <c:v>42531</c:v>
                </c:pt>
                <c:pt idx="96">
                  <c:v>42534</c:v>
                </c:pt>
                <c:pt idx="97">
                  <c:v>42535</c:v>
                </c:pt>
                <c:pt idx="98">
                  <c:v>42536</c:v>
                </c:pt>
                <c:pt idx="99">
                  <c:v>42537</c:v>
                </c:pt>
                <c:pt idx="100">
                  <c:v>42538</c:v>
                </c:pt>
                <c:pt idx="101">
                  <c:v>42541</c:v>
                </c:pt>
                <c:pt idx="102">
                  <c:v>42542</c:v>
                </c:pt>
                <c:pt idx="103">
                  <c:v>42543</c:v>
                </c:pt>
                <c:pt idx="104">
                  <c:v>42544</c:v>
                </c:pt>
                <c:pt idx="105">
                  <c:v>42545</c:v>
                </c:pt>
                <c:pt idx="106">
                  <c:v>42548</c:v>
                </c:pt>
                <c:pt idx="107">
                  <c:v>42549</c:v>
                </c:pt>
                <c:pt idx="108">
                  <c:v>42550</c:v>
                </c:pt>
                <c:pt idx="109">
                  <c:v>42551</c:v>
                </c:pt>
                <c:pt idx="110">
                  <c:v>42552</c:v>
                </c:pt>
                <c:pt idx="111">
                  <c:v>42555</c:v>
                </c:pt>
                <c:pt idx="112">
                  <c:v>42556</c:v>
                </c:pt>
                <c:pt idx="113">
                  <c:v>42557</c:v>
                </c:pt>
                <c:pt idx="114">
                  <c:v>42558</c:v>
                </c:pt>
                <c:pt idx="115">
                  <c:v>42559</c:v>
                </c:pt>
                <c:pt idx="116">
                  <c:v>42562</c:v>
                </c:pt>
                <c:pt idx="117">
                  <c:v>42563</c:v>
                </c:pt>
                <c:pt idx="118">
                  <c:v>42564</c:v>
                </c:pt>
                <c:pt idx="119">
                  <c:v>42565</c:v>
                </c:pt>
                <c:pt idx="120">
                  <c:v>42566</c:v>
                </c:pt>
                <c:pt idx="121">
                  <c:v>42569</c:v>
                </c:pt>
                <c:pt idx="122">
                  <c:v>42570</c:v>
                </c:pt>
                <c:pt idx="123">
                  <c:v>42571</c:v>
                </c:pt>
                <c:pt idx="124">
                  <c:v>42572</c:v>
                </c:pt>
                <c:pt idx="125">
                  <c:v>42573</c:v>
                </c:pt>
                <c:pt idx="126">
                  <c:v>42576</c:v>
                </c:pt>
                <c:pt idx="127">
                  <c:v>42577</c:v>
                </c:pt>
                <c:pt idx="128">
                  <c:v>42578</c:v>
                </c:pt>
                <c:pt idx="129">
                  <c:v>42579</c:v>
                </c:pt>
                <c:pt idx="130">
                  <c:v>42580</c:v>
                </c:pt>
                <c:pt idx="131">
                  <c:v>42583</c:v>
                </c:pt>
                <c:pt idx="132">
                  <c:v>42584</c:v>
                </c:pt>
                <c:pt idx="133">
                  <c:v>42585</c:v>
                </c:pt>
                <c:pt idx="134">
                  <c:v>42586</c:v>
                </c:pt>
                <c:pt idx="135">
                  <c:v>42587</c:v>
                </c:pt>
                <c:pt idx="136">
                  <c:v>42590</c:v>
                </c:pt>
                <c:pt idx="137">
                  <c:v>42591</c:v>
                </c:pt>
                <c:pt idx="138">
                  <c:v>42592</c:v>
                </c:pt>
                <c:pt idx="139">
                  <c:v>42593</c:v>
                </c:pt>
                <c:pt idx="140">
                  <c:v>42594</c:v>
                </c:pt>
                <c:pt idx="141">
                  <c:v>42597</c:v>
                </c:pt>
                <c:pt idx="142">
                  <c:v>42598</c:v>
                </c:pt>
                <c:pt idx="143">
                  <c:v>42599</c:v>
                </c:pt>
                <c:pt idx="144">
                  <c:v>42600</c:v>
                </c:pt>
                <c:pt idx="145">
                  <c:v>42601</c:v>
                </c:pt>
                <c:pt idx="146">
                  <c:v>42604</c:v>
                </c:pt>
                <c:pt idx="147">
                  <c:v>42605</c:v>
                </c:pt>
                <c:pt idx="148">
                  <c:v>42606</c:v>
                </c:pt>
                <c:pt idx="149">
                  <c:v>42607</c:v>
                </c:pt>
                <c:pt idx="150">
                  <c:v>42608</c:v>
                </c:pt>
                <c:pt idx="151">
                  <c:v>42611</c:v>
                </c:pt>
                <c:pt idx="152">
                  <c:v>42612</c:v>
                </c:pt>
                <c:pt idx="153">
                  <c:v>42613</c:v>
                </c:pt>
                <c:pt idx="154">
                  <c:v>42614</c:v>
                </c:pt>
                <c:pt idx="155">
                  <c:v>42615</c:v>
                </c:pt>
                <c:pt idx="156">
                  <c:v>42618</c:v>
                </c:pt>
                <c:pt idx="157">
                  <c:v>42619</c:v>
                </c:pt>
                <c:pt idx="158">
                  <c:v>42620</c:v>
                </c:pt>
                <c:pt idx="159">
                  <c:v>42621</c:v>
                </c:pt>
                <c:pt idx="160">
                  <c:v>42622</c:v>
                </c:pt>
                <c:pt idx="161">
                  <c:v>42625</c:v>
                </c:pt>
                <c:pt idx="162">
                  <c:v>42626</c:v>
                </c:pt>
                <c:pt idx="163">
                  <c:v>42627</c:v>
                </c:pt>
                <c:pt idx="164">
                  <c:v>42628</c:v>
                </c:pt>
                <c:pt idx="165">
                  <c:v>42629</c:v>
                </c:pt>
                <c:pt idx="166">
                  <c:v>42632</c:v>
                </c:pt>
                <c:pt idx="167">
                  <c:v>42633</c:v>
                </c:pt>
                <c:pt idx="168">
                  <c:v>42634</c:v>
                </c:pt>
                <c:pt idx="169">
                  <c:v>42635</c:v>
                </c:pt>
                <c:pt idx="170">
                  <c:v>42636</c:v>
                </c:pt>
                <c:pt idx="171">
                  <c:v>42639</c:v>
                </c:pt>
                <c:pt idx="172">
                  <c:v>42640</c:v>
                </c:pt>
                <c:pt idx="173">
                  <c:v>42641</c:v>
                </c:pt>
                <c:pt idx="174">
                  <c:v>42642</c:v>
                </c:pt>
                <c:pt idx="175">
                  <c:v>42643</c:v>
                </c:pt>
                <c:pt idx="176">
                  <c:v>42646</c:v>
                </c:pt>
                <c:pt idx="177">
                  <c:v>42647</c:v>
                </c:pt>
                <c:pt idx="178">
                  <c:v>42648</c:v>
                </c:pt>
                <c:pt idx="179">
                  <c:v>42649</c:v>
                </c:pt>
                <c:pt idx="180">
                  <c:v>42650</c:v>
                </c:pt>
                <c:pt idx="181">
                  <c:v>42653</c:v>
                </c:pt>
                <c:pt idx="182">
                  <c:v>42654</c:v>
                </c:pt>
                <c:pt idx="183">
                  <c:v>42655</c:v>
                </c:pt>
                <c:pt idx="184">
                  <c:v>42656</c:v>
                </c:pt>
                <c:pt idx="185">
                  <c:v>42657</c:v>
                </c:pt>
                <c:pt idx="186">
                  <c:v>42660</c:v>
                </c:pt>
                <c:pt idx="187">
                  <c:v>42661</c:v>
                </c:pt>
                <c:pt idx="188">
                  <c:v>42662</c:v>
                </c:pt>
                <c:pt idx="189">
                  <c:v>42663</c:v>
                </c:pt>
                <c:pt idx="190">
                  <c:v>42664</c:v>
                </c:pt>
                <c:pt idx="191">
                  <c:v>42667</c:v>
                </c:pt>
                <c:pt idx="192">
                  <c:v>42668</c:v>
                </c:pt>
                <c:pt idx="193">
                  <c:v>42669</c:v>
                </c:pt>
                <c:pt idx="194">
                  <c:v>42670</c:v>
                </c:pt>
                <c:pt idx="195">
                  <c:v>42671</c:v>
                </c:pt>
                <c:pt idx="196">
                  <c:v>42674</c:v>
                </c:pt>
                <c:pt idx="197">
                  <c:v>42675</c:v>
                </c:pt>
                <c:pt idx="198">
                  <c:v>42676</c:v>
                </c:pt>
                <c:pt idx="199">
                  <c:v>42677</c:v>
                </c:pt>
                <c:pt idx="200">
                  <c:v>42678</c:v>
                </c:pt>
                <c:pt idx="201">
                  <c:v>42681</c:v>
                </c:pt>
                <c:pt idx="202">
                  <c:v>42682</c:v>
                </c:pt>
                <c:pt idx="203">
                  <c:v>42683</c:v>
                </c:pt>
                <c:pt idx="204">
                  <c:v>42684</c:v>
                </c:pt>
                <c:pt idx="205">
                  <c:v>42685</c:v>
                </c:pt>
                <c:pt idx="206">
                  <c:v>42688</c:v>
                </c:pt>
                <c:pt idx="207">
                  <c:v>42689</c:v>
                </c:pt>
                <c:pt idx="208">
                  <c:v>42690</c:v>
                </c:pt>
                <c:pt idx="209">
                  <c:v>42691</c:v>
                </c:pt>
                <c:pt idx="210">
                  <c:v>42692</c:v>
                </c:pt>
                <c:pt idx="211">
                  <c:v>42695</c:v>
                </c:pt>
                <c:pt idx="212">
                  <c:v>42696</c:v>
                </c:pt>
                <c:pt idx="213">
                  <c:v>42697</c:v>
                </c:pt>
                <c:pt idx="214">
                  <c:v>42698</c:v>
                </c:pt>
                <c:pt idx="215">
                  <c:v>42699</c:v>
                </c:pt>
                <c:pt idx="216">
                  <c:v>42702</c:v>
                </c:pt>
                <c:pt idx="217">
                  <c:v>42703</c:v>
                </c:pt>
                <c:pt idx="218">
                  <c:v>42704</c:v>
                </c:pt>
                <c:pt idx="219">
                  <c:v>42705</c:v>
                </c:pt>
                <c:pt idx="220">
                  <c:v>42706</c:v>
                </c:pt>
                <c:pt idx="221">
                  <c:v>42709</c:v>
                </c:pt>
                <c:pt idx="222">
                  <c:v>42710</c:v>
                </c:pt>
                <c:pt idx="223">
                  <c:v>42711</c:v>
                </c:pt>
                <c:pt idx="224">
                  <c:v>42712</c:v>
                </c:pt>
                <c:pt idx="225">
                  <c:v>42713</c:v>
                </c:pt>
                <c:pt idx="226">
                  <c:v>42716</c:v>
                </c:pt>
                <c:pt idx="227">
                  <c:v>42717</c:v>
                </c:pt>
                <c:pt idx="228">
                  <c:v>42718</c:v>
                </c:pt>
                <c:pt idx="229">
                  <c:v>42719</c:v>
                </c:pt>
                <c:pt idx="230">
                  <c:v>42720</c:v>
                </c:pt>
                <c:pt idx="231">
                  <c:v>42723</c:v>
                </c:pt>
                <c:pt idx="232">
                  <c:v>42724</c:v>
                </c:pt>
                <c:pt idx="233">
                  <c:v>42725</c:v>
                </c:pt>
                <c:pt idx="234">
                  <c:v>42726</c:v>
                </c:pt>
                <c:pt idx="235">
                  <c:v>42727</c:v>
                </c:pt>
                <c:pt idx="236">
                  <c:v>42730</c:v>
                </c:pt>
                <c:pt idx="237">
                  <c:v>42731</c:v>
                </c:pt>
                <c:pt idx="238">
                  <c:v>42732</c:v>
                </c:pt>
                <c:pt idx="239">
                  <c:v>42733</c:v>
                </c:pt>
                <c:pt idx="240">
                  <c:v>42734</c:v>
                </c:pt>
                <c:pt idx="241">
                  <c:v>42737</c:v>
                </c:pt>
                <c:pt idx="242">
                  <c:v>42738</c:v>
                </c:pt>
                <c:pt idx="243">
                  <c:v>42739</c:v>
                </c:pt>
                <c:pt idx="244">
                  <c:v>42740</c:v>
                </c:pt>
                <c:pt idx="245">
                  <c:v>42741</c:v>
                </c:pt>
                <c:pt idx="246">
                  <c:v>42744</c:v>
                </c:pt>
                <c:pt idx="247">
                  <c:v>42745</c:v>
                </c:pt>
                <c:pt idx="248">
                  <c:v>42746</c:v>
                </c:pt>
                <c:pt idx="249">
                  <c:v>42747</c:v>
                </c:pt>
                <c:pt idx="250">
                  <c:v>42748</c:v>
                </c:pt>
                <c:pt idx="251">
                  <c:v>42751</c:v>
                </c:pt>
                <c:pt idx="252">
                  <c:v>42752</c:v>
                </c:pt>
                <c:pt idx="253">
                  <c:v>42753</c:v>
                </c:pt>
                <c:pt idx="254">
                  <c:v>42754</c:v>
                </c:pt>
                <c:pt idx="255">
                  <c:v>42755</c:v>
                </c:pt>
                <c:pt idx="256">
                  <c:v>42758</c:v>
                </c:pt>
                <c:pt idx="257">
                  <c:v>42759</c:v>
                </c:pt>
                <c:pt idx="258">
                  <c:v>42760</c:v>
                </c:pt>
                <c:pt idx="259">
                  <c:v>42761</c:v>
                </c:pt>
                <c:pt idx="260">
                  <c:v>42762</c:v>
                </c:pt>
                <c:pt idx="261">
                  <c:v>42765</c:v>
                </c:pt>
                <c:pt idx="262">
                  <c:v>42766</c:v>
                </c:pt>
                <c:pt idx="263">
                  <c:v>42767</c:v>
                </c:pt>
                <c:pt idx="264">
                  <c:v>42768</c:v>
                </c:pt>
                <c:pt idx="265">
                  <c:v>42769</c:v>
                </c:pt>
                <c:pt idx="266">
                  <c:v>42772</c:v>
                </c:pt>
                <c:pt idx="267">
                  <c:v>42773</c:v>
                </c:pt>
                <c:pt idx="268">
                  <c:v>42774</c:v>
                </c:pt>
                <c:pt idx="269">
                  <c:v>42775</c:v>
                </c:pt>
                <c:pt idx="270">
                  <c:v>42776</c:v>
                </c:pt>
                <c:pt idx="271">
                  <c:v>42779</c:v>
                </c:pt>
                <c:pt idx="272">
                  <c:v>42780</c:v>
                </c:pt>
                <c:pt idx="273">
                  <c:v>42781</c:v>
                </c:pt>
                <c:pt idx="274">
                  <c:v>42782</c:v>
                </c:pt>
                <c:pt idx="275">
                  <c:v>42783</c:v>
                </c:pt>
                <c:pt idx="276">
                  <c:v>42786</c:v>
                </c:pt>
                <c:pt idx="277">
                  <c:v>42787</c:v>
                </c:pt>
                <c:pt idx="278">
                  <c:v>42788</c:v>
                </c:pt>
                <c:pt idx="279">
                  <c:v>42789</c:v>
                </c:pt>
                <c:pt idx="280">
                  <c:v>42790</c:v>
                </c:pt>
                <c:pt idx="281">
                  <c:v>42793</c:v>
                </c:pt>
                <c:pt idx="282">
                  <c:v>42794</c:v>
                </c:pt>
                <c:pt idx="283">
                  <c:v>42795</c:v>
                </c:pt>
                <c:pt idx="284">
                  <c:v>42796</c:v>
                </c:pt>
                <c:pt idx="285">
                  <c:v>42797</c:v>
                </c:pt>
                <c:pt idx="286">
                  <c:v>42800</c:v>
                </c:pt>
                <c:pt idx="287">
                  <c:v>42801</c:v>
                </c:pt>
                <c:pt idx="288">
                  <c:v>42802</c:v>
                </c:pt>
                <c:pt idx="289">
                  <c:v>42803</c:v>
                </c:pt>
                <c:pt idx="290">
                  <c:v>42804</c:v>
                </c:pt>
                <c:pt idx="291">
                  <c:v>42807</c:v>
                </c:pt>
                <c:pt idx="292">
                  <c:v>42808</c:v>
                </c:pt>
                <c:pt idx="293">
                  <c:v>42809</c:v>
                </c:pt>
                <c:pt idx="294">
                  <c:v>42810</c:v>
                </c:pt>
                <c:pt idx="295">
                  <c:v>42811</c:v>
                </c:pt>
                <c:pt idx="296">
                  <c:v>42814</c:v>
                </c:pt>
                <c:pt idx="297">
                  <c:v>42815</c:v>
                </c:pt>
                <c:pt idx="298">
                  <c:v>42816</c:v>
                </c:pt>
                <c:pt idx="299">
                  <c:v>42817</c:v>
                </c:pt>
                <c:pt idx="300">
                  <c:v>42818</c:v>
                </c:pt>
                <c:pt idx="301">
                  <c:v>42821</c:v>
                </c:pt>
                <c:pt idx="302">
                  <c:v>42822</c:v>
                </c:pt>
                <c:pt idx="303">
                  <c:v>42823</c:v>
                </c:pt>
                <c:pt idx="304">
                  <c:v>42824</c:v>
                </c:pt>
                <c:pt idx="305">
                  <c:v>42825</c:v>
                </c:pt>
                <c:pt idx="306">
                  <c:v>42828</c:v>
                </c:pt>
                <c:pt idx="307">
                  <c:v>42829</c:v>
                </c:pt>
                <c:pt idx="308">
                  <c:v>42830</c:v>
                </c:pt>
                <c:pt idx="309">
                  <c:v>42831</c:v>
                </c:pt>
                <c:pt idx="310">
                  <c:v>42832</c:v>
                </c:pt>
                <c:pt idx="311">
                  <c:v>42835</c:v>
                </c:pt>
                <c:pt idx="312">
                  <c:v>42836</c:v>
                </c:pt>
                <c:pt idx="313">
                  <c:v>42837</c:v>
                </c:pt>
                <c:pt idx="314">
                  <c:v>42838</c:v>
                </c:pt>
                <c:pt idx="315">
                  <c:v>42839</c:v>
                </c:pt>
                <c:pt idx="316">
                  <c:v>42842</c:v>
                </c:pt>
                <c:pt idx="317">
                  <c:v>42843</c:v>
                </c:pt>
                <c:pt idx="318">
                  <c:v>42844</c:v>
                </c:pt>
                <c:pt idx="319">
                  <c:v>42845</c:v>
                </c:pt>
                <c:pt idx="320">
                  <c:v>42846</c:v>
                </c:pt>
                <c:pt idx="321">
                  <c:v>42849</c:v>
                </c:pt>
                <c:pt idx="322">
                  <c:v>42850</c:v>
                </c:pt>
                <c:pt idx="323">
                  <c:v>42851</c:v>
                </c:pt>
                <c:pt idx="324">
                  <c:v>42852</c:v>
                </c:pt>
                <c:pt idx="325">
                  <c:v>42853</c:v>
                </c:pt>
                <c:pt idx="326">
                  <c:v>42856</c:v>
                </c:pt>
                <c:pt idx="327">
                  <c:v>42857</c:v>
                </c:pt>
                <c:pt idx="328">
                  <c:v>42858</c:v>
                </c:pt>
                <c:pt idx="329">
                  <c:v>42859</c:v>
                </c:pt>
                <c:pt idx="330">
                  <c:v>42860</c:v>
                </c:pt>
                <c:pt idx="331">
                  <c:v>42863</c:v>
                </c:pt>
                <c:pt idx="332">
                  <c:v>42864</c:v>
                </c:pt>
                <c:pt idx="333">
                  <c:v>42865</c:v>
                </c:pt>
                <c:pt idx="334">
                  <c:v>42866</c:v>
                </c:pt>
                <c:pt idx="335">
                  <c:v>42867</c:v>
                </c:pt>
                <c:pt idx="336">
                  <c:v>42870</c:v>
                </c:pt>
                <c:pt idx="337">
                  <c:v>42871</c:v>
                </c:pt>
                <c:pt idx="338">
                  <c:v>42872</c:v>
                </c:pt>
                <c:pt idx="339">
                  <c:v>42873</c:v>
                </c:pt>
                <c:pt idx="340">
                  <c:v>42874</c:v>
                </c:pt>
                <c:pt idx="341">
                  <c:v>42877</c:v>
                </c:pt>
                <c:pt idx="342">
                  <c:v>42878</c:v>
                </c:pt>
                <c:pt idx="343">
                  <c:v>42879</c:v>
                </c:pt>
                <c:pt idx="344">
                  <c:v>42880</c:v>
                </c:pt>
                <c:pt idx="345">
                  <c:v>42881</c:v>
                </c:pt>
                <c:pt idx="346">
                  <c:v>42884</c:v>
                </c:pt>
                <c:pt idx="347">
                  <c:v>42885</c:v>
                </c:pt>
                <c:pt idx="348">
                  <c:v>42886</c:v>
                </c:pt>
                <c:pt idx="349">
                  <c:v>42887</c:v>
                </c:pt>
                <c:pt idx="350">
                  <c:v>42888</c:v>
                </c:pt>
                <c:pt idx="351">
                  <c:v>42891</c:v>
                </c:pt>
                <c:pt idx="352">
                  <c:v>42892</c:v>
                </c:pt>
                <c:pt idx="353">
                  <c:v>42893</c:v>
                </c:pt>
                <c:pt idx="354">
                  <c:v>42894</c:v>
                </c:pt>
                <c:pt idx="355">
                  <c:v>42895</c:v>
                </c:pt>
                <c:pt idx="356">
                  <c:v>42898</c:v>
                </c:pt>
                <c:pt idx="357">
                  <c:v>42899</c:v>
                </c:pt>
                <c:pt idx="358">
                  <c:v>42900</c:v>
                </c:pt>
                <c:pt idx="359">
                  <c:v>42901</c:v>
                </c:pt>
                <c:pt idx="360">
                  <c:v>42902</c:v>
                </c:pt>
                <c:pt idx="361">
                  <c:v>42905</c:v>
                </c:pt>
                <c:pt idx="362">
                  <c:v>42906</c:v>
                </c:pt>
                <c:pt idx="363">
                  <c:v>42907</c:v>
                </c:pt>
                <c:pt idx="364">
                  <c:v>42908</c:v>
                </c:pt>
                <c:pt idx="365">
                  <c:v>42909</c:v>
                </c:pt>
                <c:pt idx="366">
                  <c:v>42912</c:v>
                </c:pt>
                <c:pt idx="367">
                  <c:v>42913</c:v>
                </c:pt>
                <c:pt idx="368">
                  <c:v>42914</c:v>
                </c:pt>
                <c:pt idx="369">
                  <c:v>42915</c:v>
                </c:pt>
                <c:pt idx="370">
                  <c:v>42916</c:v>
                </c:pt>
                <c:pt idx="371">
                  <c:v>42919</c:v>
                </c:pt>
                <c:pt idx="372">
                  <c:v>42920</c:v>
                </c:pt>
                <c:pt idx="373">
                  <c:v>42921</c:v>
                </c:pt>
                <c:pt idx="374">
                  <c:v>42922</c:v>
                </c:pt>
                <c:pt idx="375">
                  <c:v>42923</c:v>
                </c:pt>
                <c:pt idx="376">
                  <c:v>42926</c:v>
                </c:pt>
                <c:pt idx="377">
                  <c:v>42927</c:v>
                </c:pt>
                <c:pt idx="378">
                  <c:v>42928</c:v>
                </c:pt>
                <c:pt idx="379">
                  <c:v>42929</c:v>
                </c:pt>
                <c:pt idx="380">
                  <c:v>42930</c:v>
                </c:pt>
                <c:pt idx="381">
                  <c:v>42933</c:v>
                </c:pt>
                <c:pt idx="382">
                  <c:v>42934</c:v>
                </c:pt>
                <c:pt idx="383">
                  <c:v>42935</c:v>
                </c:pt>
                <c:pt idx="384">
                  <c:v>42936</c:v>
                </c:pt>
                <c:pt idx="385">
                  <c:v>42937</c:v>
                </c:pt>
                <c:pt idx="386">
                  <c:v>42940</c:v>
                </c:pt>
                <c:pt idx="387">
                  <c:v>42941</c:v>
                </c:pt>
                <c:pt idx="388">
                  <c:v>42942</c:v>
                </c:pt>
                <c:pt idx="389">
                  <c:v>42943</c:v>
                </c:pt>
                <c:pt idx="390">
                  <c:v>42944</c:v>
                </c:pt>
                <c:pt idx="391">
                  <c:v>42947</c:v>
                </c:pt>
                <c:pt idx="392">
                  <c:v>42948</c:v>
                </c:pt>
                <c:pt idx="393">
                  <c:v>42949</c:v>
                </c:pt>
                <c:pt idx="394">
                  <c:v>42950</c:v>
                </c:pt>
                <c:pt idx="395">
                  <c:v>42951</c:v>
                </c:pt>
                <c:pt idx="396">
                  <c:v>42954</c:v>
                </c:pt>
                <c:pt idx="397">
                  <c:v>42955</c:v>
                </c:pt>
                <c:pt idx="398">
                  <c:v>42956</c:v>
                </c:pt>
                <c:pt idx="399">
                  <c:v>42957</c:v>
                </c:pt>
                <c:pt idx="400">
                  <c:v>42958</c:v>
                </c:pt>
                <c:pt idx="401">
                  <c:v>42961</c:v>
                </c:pt>
                <c:pt idx="402">
                  <c:v>42962</c:v>
                </c:pt>
                <c:pt idx="403">
                  <c:v>42963</c:v>
                </c:pt>
                <c:pt idx="404">
                  <c:v>42964</c:v>
                </c:pt>
                <c:pt idx="405">
                  <c:v>42965</c:v>
                </c:pt>
                <c:pt idx="406">
                  <c:v>42968</c:v>
                </c:pt>
                <c:pt idx="407">
                  <c:v>42969</c:v>
                </c:pt>
                <c:pt idx="408">
                  <c:v>42970</c:v>
                </c:pt>
                <c:pt idx="409">
                  <c:v>42971</c:v>
                </c:pt>
                <c:pt idx="410">
                  <c:v>42972</c:v>
                </c:pt>
                <c:pt idx="411">
                  <c:v>42975</c:v>
                </c:pt>
                <c:pt idx="412">
                  <c:v>42976</c:v>
                </c:pt>
                <c:pt idx="413">
                  <c:v>42977</c:v>
                </c:pt>
                <c:pt idx="414">
                  <c:v>42978</c:v>
                </c:pt>
                <c:pt idx="415">
                  <c:v>42979</c:v>
                </c:pt>
                <c:pt idx="416">
                  <c:v>42982</c:v>
                </c:pt>
                <c:pt idx="417">
                  <c:v>42983</c:v>
                </c:pt>
                <c:pt idx="418">
                  <c:v>42984</c:v>
                </c:pt>
                <c:pt idx="419">
                  <c:v>42985</c:v>
                </c:pt>
                <c:pt idx="420">
                  <c:v>42986</c:v>
                </c:pt>
                <c:pt idx="421">
                  <c:v>42989</c:v>
                </c:pt>
                <c:pt idx="422">
                  <c:v>42990</c:v>
                </c:pt>
                <c:pt idx="423">
                  <c:v>42991</c:v>
                </c:pt>
                <c:pt idx="424">
                  <c:v>42992</c:v>
                </c:pt>
                <c:pt idx="425">
                  <c:v>42993</c:v>
                </c:pt>
                <c:pt idx="426">
                  <c:v>42996</c:v>
                </c:pt>
                <c:pt idx="427">
                  <c:v>42997</c:v>
                </c:pt>
                <c:pt idx="428">
                  <c:v>42998</c:v>
                </c:pt>
                <c:pt idx="429">
                  <c:v>42999</c:v>
                </c:pt>
                <c:pt idx="430">
                  <c:v>43000</c:v>
                </c:pt>
                <c:pt idx="431">
                  <c:v>43003</c:v>
                </c:pt>
                <c:pt idx="432">
                  <c:v>43004</c:v>
                </c:pt>
                <c:pt idx="433">
                  <c:v>43005</c:v>
                </c:pt>
                <c:pt idx="434">
                  <c:v>43006</c:v>
                </c:pt>
                <c:pt idx="435">
                  <c:v>43007</c:v>
                </c:pt>
                <c:pt idx="436">
                  <c:v>43010</c:v>
                </c:pt>
                <c:pt idx="437">
                  <c:v>43011</c:v>
                </c:pt>
                <c:pt idx="438">
                  <c:v>43012</c:v>
                </c:pt>
                <c:pt idx="439">
                  <c:v>43013</c:v>
                </c:pt>
                <c:pt idx="440">
                  <c:v>43014</c:v>
                </c:pt>
                <c:pt idx="441">
                  <c:v>43017</c:v>
                </c:pt>
                <c:pt idx="442">
                  <c:v>43018</c:v>
                </c:pt>
                <c:pt idx="443">
                  <c:v>43019</c:v>
                </c:pt>
                <c:pt idx="444">
                  <c:v>43020</c:v>
                </c:pt>
                <c:pt idx="445">
                  <c:v>43021</c:v>
                </c:pt>
                <c:pt idx="446">
                  <c:v>43024</c:v>
                </c:pt>
                <c:pt idx="447">
                  <c:v>43025</c:v>
                </c:pt>
                <c:pt idx="448">
                  <c:v>43026</c:v>
                </c:pt>
                <c:pt idx="449">
                  <c:v>43027</c:v>
                </c:pt>
                <c:pt idx="450">
                  <c:v>43028</c:v>
                </c:pt>
                <c:pt idx="451">
                  <c:v>43031</c:v>
                </c:pt>
                <c:pt idx="452">
                  <c:v>43032</c:v>
                </c:pt>
                <c:pt idx="453">
                  <c:v>43033</c:v>
                </c:pt>
                <c:pt idx="454">
                  <c:v>43034</c:v>
                </c:pt>
                <c:pt idx="455">
                  <c:v>43035</c:v>
                </c:pt>
                <c:pt idx="456">
                  <c:v>43038</c:v>
                </c:pt>
                <c:pt idx="457">
                  <c:v>43039</c:v>
                </c:pt>
                <c:pt idx="458">
                  <c:v>43040</c:v>
                </c:pt>
                <c:pt idx="459">
                  <c:v>43041</c:v>
                </c:pt>
                <c:pt idx="460">
                  <c:v>43042</c:v>
                </c:pt>
                <c:pt idx="461">
                  <c:v>43045</c:v>
                </c:pt>
                <c:pt idx="462">
                  <c:v>43046</c:v>
                </c:pt>
                <c:pt idx="463">
                  <c:v>43047</c:v>
                </c:pt>
                <c:pt idx="464">
                  <c:v>43048</c:v>
                </c:pt>
                <c:pt idx="465">
                  <c:v>43049</c:v>
                </c:pt>
                <c:pt idx="466">
                  <c:v>43052</c:v>
                </c:pt>
                <c:pt idx="467">
                  <c:v>43053</c:v>
                </c:pt>
                <c:pt idx="468">
                  <c:v>43054</c:v>
                </c:pt>
                <c:pt idx="469">
                  <c:v>43055</c:v>
                </c:pt>
                <c:pt idx="470">
                  <c:v>43056</c:v>
                </c:pt>
                <c:pt idx="471">
                  <c:v>43059</c:v>
                </c:pt>
                <c:pt idx="472">
                  <c:v>43060</c:v>
                </c:pt>
                <c:pt idx="473">
                  <c:v>43061</c:v>
                </c:pt>
                <c:pt idx="474">
                  <c:v>43062</c:v>
                </c:pt>
                <c:pt idx="475">
                  <c:v>43063</c:v>
                </c:pt>
                <c:pt idx="476">
                  <c:v>43066</c:v>
                </c:pt>
                <c:pt idx="477">
                  <c:v>43067</c:v>
                </c:pt>
                <c:pt idx="478">
                  <c:v>43068</c:v>
                </c:pt>
                <c:pt idx="479">
                  <c:v>43069</c:v>
                </c:pt>
                <c:pt idx="480">
                  <c:v>43070</c:v>
                </c:pt>
                <c:pt idx="481">
                  <c:v>43073</c:v>
                </c:pt>
                <c:pt idx="482">
                  <c:v>43074</c:v>
                </c:pt>
                <c:pt idx="483">
                  <c:v>43075</c:v>
                </c:pt>
                <c:pt idx="484">
                  <c:v>43076</c:v>
                </c:pt>
                <c:pt idx="485">
                  <c:v>43077</c:v>
                </c:pt>
                <c:pt idx="486">
                  <c:v>43080</c:v>
                </c:pt>
                <c:pt idx="487">
                  <c:v>43081</c:v>
                </c:pt>
                <c:pt idx="488">
                  <c:v>43082</c:v>
                </c:pt>
                <c:pt idx="489">
                  <c:v>43083</c:v>
                </c:pt>
                <c:pt idx="490">
                  <c:v>43084</c:v>
                </c:pt>
                <c:pt idx="491">
                  <c:v>43087</c:v>
                </c:pt>
                <c:pt idx="492">
                  <c:v>43088</c:v>
                </c:pt>
                <c:pt idx="493">
                  <c:v>43089</c:v>
                </c:pt>
                <c:pt idx="494">
                  <c:v>43090</c:v>
                </c:pt>
                <c:pt idx="495">
                  <c:v>43091</c:v>
                </c:pt>
                <c:pt idx="496">
                  <c:v>43094</c:v>
                </c:pt>
                <c:pt idx="497">
                  <c:v>43095</c:v>
                </c:pt>
                <c:pt idx="498">
                  <c:v>43096</c:v>
                </c:pt>
                <c:pt idx="499">
                  <c:v>43097</c:v>
                </c:pt>
                <c:pt idx="500">
                  <c:v>43098</c:v>
                </c:pt>
                <c:pt idx="501">
                  <c:v>43101</c:v>
                </c:pt>
                <c:pt idx="502">
                  <c:v>43102</c:v>
                </c:pt>
                <c:pt idx="503">
                  <c:v>43103</c:v>
                </c:pt>
                <c:pt idx="504">
                  <c:v>43104</c:v>
                </c:pt>
                <c:pt idx="505">
                  <c:v>43105</c:v>
                </c:pt>
                <c:pt idx="506">
                  <c:v>43108</c:v>
                </c:pt>
                <c:pt idx="507">
                  <c:v>43109</c:v>
                </c:pt>
                <c:pt idx="508">
                  <c:v>43110</c:v>
                </c:pt>
                <c:pt idx="509">
                  <c:v>43111</c:v>
                </c:pt>
                <c:pt idx="510">
                  <c:v>43112</c:v>
                </c:pt>
                <c:pt idx="511">
                  <c:v>43115</c:v>
                </c:pt>
                <c:pt idx="512">
                  <c:v>43116</c:v>
                </c:pt>
                <c:pt idx="513">
                  <c:v>43117</c:v>
                </c:pt>
                <c:pt idx="514">
                  <c:v>43118</c:v>
                </c:pt>
                <c:pt idx="515">
                  <c:v>43119</c:v>
                </c:pt>
                <c:pt idx="516">
                  <c:v>43122</c:v>
                </c:pt>
                <c:pt idx="517">
                  <c:v>43123</c:v>
                </c:pt>
                <c:pt idx="518">
                  <c:v>43124</c:v>
                </c:pt>
                <c:pt idx="519">
                  <c:v>43125</c:v>
                </c:pt>
                <c:pt idx="520">
                  <c:v>43126</c:v>
                </c:pt>
                <c:pt idx="521">
                  <c:v>43129</c:v>
                </c:pt>
                <c:pt idx="522">
                  <c:v>43130</c:v>
                </c:pt>
                <c:pt idx="523">
                  <c:v>43131</c:v>
                </c:pt>
                <c:pt idx="524">
                  <c:v>43132</c:v>
                </c:pt>
                <c:pt idx="525">
                  <c:v>43133</c:v>
                </c:pt>
                <c:pt idx="526">
                  <c:v>43136</c:v>
                </c:pt>
                <c:pt idx="527">
                  <c:v>43137</c:v>
                </c:pt>
                <c:pt idx="528">
                  <c:v>43138</c:v>
                </c:pt>
                <c:pt idx="529">
                  <c:v>43139</c:v>
                </c:pt>
                <c:pt idx="530">
                  <c:v>43140</c:v>
                </c:pt>
                <c:pt idx="531">
                  <c:v>43143</c:v>
                </c:pt>
                <c:pt idx="532">
                  <c:v>43144</c:v>
                </c:pt>
                <c:pt idx="533">
                  <c:v>43145</c:v>
                </c:pt>
                <c:pt idx="534">
                  <c:v>43146</c:v>
                </c:pt>
                <c:pt idx="535">
                  <c:v>43147</c:v>
                </c:pt>
                <c:pt idx="536">
                  <c:v>43150</c:v>
                </c:pt>
                <c:pt idx="537">
                  <c:v>43151</c:v>
                </c:pt>
                <c:pt idx="538">
                  <c:v>43152</c:v>
                </c:pt>
                <c:pt idx="539">
                  <c:v>43153</c:v>
                </c:pt>
                <c:pt idx="540">
                  <c:v>43154</c:v>
                </c:pt>
                <c:pt idx="541">
                  <c:v>43157</c:v>
                </c:pt>
                <c:pt idx="542">
                  <c:v>43158</c:v>
                </c:pt>
                <c:pt idx="543">
                  <c:v>43159</c:v>
                </c:pt>
              </c:numCache>
            </c:numRef>
          </c:cat>
          <c:val>
            <c:numRef>
              <c:f>'Currency Raw'!$N$2:$N$545</c:f>
              <c:numCache>
                <c:formatCode>General</c:formatCode>
                <c:ptCount val="544"/>
                <c:pt idx="1">
                  <c:v>0.53070507960576363</c:v>
                </c:pt>
                <c:pt idx="2">
                  <c:v>0.81230369327413221</c:v>
                </c:pt>
                <c:pt idx="3">
                  <c:v>2.4585725116430255</c:v>
                </c:pt>
                <c:pt idx="4">
                  <c:v>3.3683526481100423</c:v>
                </c:pt>
                <c:pt idx="5">
                  <c:v>2.9351240116971744</c:v>
                </c:pt>
                <c:pt idx="6">
                  <c:v>3.2383840571861842</c:v>
                </c:pt>
                <c:pt idx="7">
                  <c:v>4.1048413300119186</c:v>
                </c:pt>
                <c:pt idx="8">
                  <c:v>4.0940106141015979</c:v>
                </c:pt>
                <c:pt idx="9">
                  <c:v>4.3431170800389935</c:v>
                </c:pt>
                <c:pt idx="10">
                  <c:v>3.7799198527022684</c:v>
                </c:pt>
                <c:pt idx="11">
                  <c:v>2.9134625798765335</c:v>
                </c:pt>
                <c:pt idx="12">
                  <c:v>2.815986136683637</c:v>
                </c:pt>
                <c:pt idx="13">
                  <c:v>2.6643561139391267</c:v>
                </c:pt>
                <c:pt idx="14">
                  <c:v>2.4910646593739867</c:v>
                </c:pt>
                <c:pt idx="15">
                  <c:v>2.6860175457597797</c:v>
                </c:pt>
                <c:pt idx="16">
                  <c:v>1.797898841113404</c:v>
                </c:pt>
                <c:pt idx="17">
                  <c:v>1.7112531138308282</c:v>
                </c:pt>
                <c:pt idx="18">
                  <c:v>1.6570995342792136</c:v>
                </c:pt>
                <c:pt idx="19">
                  <c:v>1.7004223979205078</c:v>
                </c:pt>
                <c:pt idx="20">
                  <c:v>0.92061085237734896</c:v>
                </c:pt>
                <c:pt idx="21">
                  <c:v>0.38990577277158533</c:v>
                </c:pt>
                <c:pt idx="22">
                  <c:v>0.24910646593739508</c:v>
                </c:pt>
                <c:pt idx="23">
                  <c:v>0.19495288638579267</c:v>
                </c:pt>
                <c:pt idx="24">
                  <c:v>1.0397487273908863</c:v>
                </c:pt>
                <c:pt idx="25">
                  <c:v>1.5163002274450355</c:v>
                </c:pt>
                <c:pt idx="26">
                  <c:v>1.7329145456514692</c:v>
                </c:pt>
                <c:pt idx="27">
                  <c:v>1.7004223979205078</c:v>
                </c:pt>
                <c:pt idx="28">
                  <c:v>1.7870681252030716</c:v>
                </c:pt>
                <c:pt idx="29">
                  <c:v>3.2492147730965044</c:v>
                </c:pt>
                <c:pt idx="30">
                  <c:v>2.9351240116971744</c:v>
                </c:pt>
                <c:pt idx="31">
                  <c:v>2.3069424888985148</c:v>
                </c:pt>
                <c:pt idx="32">
                  <c:v>2.5343875230152686</c:v>
                </c:pt>
                <c:pt idx="33">
                  <c:v>2.3069424888985148</c:v>
                </c:pt>
                <c:pt idx="34">
                  <c:v>4.2997942163976992</c:v>
                </c:pt>
                <c:pt idx="35">
                  <c:v>3.9423805913570873</c:v>
                </c:pt>
                <c:pt idx="36">
                  <c:v>3.7149355572403335</c:v>
                </c:pt>
                <c:pt idx="37">
                  <c:v>3.4766598072132586</c:v>
                </c:pt>
                <c:pt idx="38">
                  <c:v>3.1517383299036084</c:v>
                </c:pt>
                <c:pt idx="39">
                  <c:v>3.1625690458139291</c:v>
                </c:pt>
                <c:pt idx="40">
                  <c:v>3.0217697389797507</c:v>
                </c:pt>
                <c:pt idx="41">
                  <c:v>3.2275533412758635</c:v>
                </c:pt>
                <c:pt idx="42">
                  <c:v>3.8449041481641908</c:v>
                </c:pt>
                <c:pt idx="43">
                  <c:v>4.3106249323080315</c:v>
                </c:pt>
                <c:pt idx="44">
                  <c:v>4.8304992960034623</c:v>
                </c:pt>
                <c:pt idx="45">
                  <c:v>4.9171450232860385</c:v>
                </c:pt>
                <c:pt idx="46">
                  <c:v>4.9063143073757187</c:v>
                </c:pt>
                <c:pt idx="47">
                  <c:v>4.8629914437344368</c:v>
                </c:pt>
                <c:pt idx="48">
                  <c:v>4.9821293187479734</c:v>
                </c:pt>
                <c:pt idx="49">
                  <c:v>4.8088378641828218</c:v>
                </c:pt>
                <c:pt idx="50">
                  <c:v>4.9712986028376527</c:v>
                </c:pt>
                <c:pt idx="51">
                  <c:v>5.0796057619408694</c:v>
                </c:pt>
                <c:pt idx="52">
                  <c:v>4.8738221596447566</c:v>
                </c:pt>
                <c:pt idx="53">
                  <c:v>3.9315498754467666</c:v>
                </c:pt>
                <c:pt idx="54">
                  <c:v>3.8773962958951644</c:v>
                </c:pt>
                <c:pt idx="55">
                  <c:v>4.0181956027293433</c:v>
                </c:pt>
                <c:pt idx="56">
                  <c:v>4.2673020686667371</c:v>
                </c:pt>
                <c:pt idx="57">
                  <c:v>4.6463771255280024</c:v>
                </c:pt>
                <c:pt idx="58">
                  <c:v>4.1265027618325592</c:v>
                </c:pt>
                <c:pt idx="59">
                  <c:v>4.0398570345499838</c:v>
                </c:pt>
                <c:pt idx="60">
                  <c:v>3.5091519549442203</c:v>
                </c:pt>
                <c:pt idx="61">
                  <c:v>3.8990577277158054</c:v>
                </c:pt>
                <c:pt idx="62">
                  <c:v>4.1265027618325592</c:v>
                </c:pt>
                <c:pt idx="63">
                  <c:v>4.3431170800389935</c:v>
                </c:pt>
                <c:pt idx="64">
                  <c:v>4.5922235459763883</c:v>
                </c:pt>
                <c:pt idx="65">
                  <c:v>5.4153579551608413</c:v>
                </c:pt>
                <c:pt idx="66">
                  <c:v>6.0110473302285268</c:v>
                </c:pt>
                <c:pt idx="67">
                  <c:v>6.0218780461388475</c:v>
                </c:pt>
                <c:pt idx="68">
                  <c:v>5.7944330120220942</c:v>
                </c:pt>
                <c:pt idx="69">
                  <c:v>5.0904364778511901</c:v>
                </c:pt>
                <c:pt idx="70">
                  <c:v>5.1987436369544078</c:v>
                </c:pt>
                <c:pt idx="71">
                  <c:v>4.9171450232860385</c:v>
                </c:pt>
                <c:pt idx="72">
                  <c:v>4.841330011913783</c:v>
                </c:pt>
                <c:pt idx="73">
                  <c:v>5.2637279324163302</c:v>
                </c:pt>
                <c:pt idx="74">
                  <c:v>4.8846528755550773</c:v>
                </c:pt>
                <c:pt idx="75">
                  <c:v>4.0940106141015979</c:v>
                </c:pt>
                <c:pt idx="76">
                  <c:v>4.3864399436802755</c:v>
                </c:pt>
                <c:pt idx="77">
                  <c:v>4.4189320914112482</c:v>
                </c:pt>
                <c:pt idx="78">
                  <c:v>3.9857034549983816</c:v>
                </c:pt>
                <c:pt idx="79">
                  <c:v>3.3683526481100423</c:v>
                </c:pt>
                <c:pt idx="80">
                  <c:v>3.4116755117513242</c:v>
                </c:pt>
                <c:pt idx="81">
                  <c:v>3.3575219321997212</c:v>
                </c:pt>
                <c:pt idx="82">
                  <c:v>2.8701397162352396</c:v>
                </c:pt>
                <c:pt idx="83">
                  <c:v>2.9459547276074951</c:v>
                </c:pt>
                <c:pt idx="84">
                  <c:v>3.0867540344416735</c:v>
                </c:pt>
                <c:pt idx="85">
                  <c:v>2.7510018412217025</c:v>
                </c:pt>
                <c:pt idx="86">
                  <c:v>2.7293404094010616</c:v>
                </c:pt>
                <c:pt idx="87">
                  <c:v>2.7726632730423435</c:v>
                </c:pt>
                <c:pt idx="88">
                  <c:v>3.0650926026210326</c:v>
                </c:pt>
                <c:pt idx="89">
                  <c:v>2.9134625798765335</c:v>
                </c:pt>
                <c:pt idx="90">
                  <c:v>4.3647785118596341</c:v>
                </c:pt>
                <c:pt idx="91">
                  <c:v>4.7871764323621804</c:v>
                </c:pt>
                <c:pt idx="92">
                  <c:v>4.5597313982454271</c:v>
                </c:pt>
                <c:pt idx="93">
                  <c:v>4.9929600346582941</c:v>
                </c:pt>
                <c:pt idx="94">
                  <c:v>4.3214556482183522</c:v>
                </c:pt>
                <c:pt idx="95">
                  <c:v>3.9748727390880485</c:v>
                </c:pt>
                <c:pt idx="96">
                  <c:v>4.0181956027293433</c:v>
                </c:pt>
                <c:pt idx="97">
                  <c:v>3.4225062276616445</c:v>
                </c:pt>
                <c:pt idx="98">
                  <c:v>3.6174591140474366</c:v>
                </c:pt>
                <c:pt idx="99">
                  <c:v>3.4008447958410035</c:v>
                </c:pt>
                <c:pt idx="100">
                  <c:v>3.8665655799848437</c:v>
                </c:pt>
                <c:pt idx="101">
                  <c:v>4.2781327845770578</c:v>
                </c:pt>
                <c:pt idx="102">
                  <c:v>3.8015812845229089</c:v>
                </c:pt>
                <c:pt idx="103">
                  <c:v>4.1806563413841618</c:v>
                </c:pt>
                <c:pt idx="104">
                  <c:v>4.5922235459763883</c:v>
                </c:pt>
                <c:pt idx="105">
                  <c:v>3.0217697389797507</c:v>
                </c:pt>
                <c:pt idx="106">
                  <c:v>1.9278674320372617</c:v>
                </c:pt>
                <c:pt idx="107">
                  <c:v>2.0036824434095051</c:v>
                </c:pt>
                <c:pt idx="108">
                  <c:v>2.4044189320914109</c:v>
                </c:pt>
                <c:pt idx="109">
                  <c:v>2.1878046138849774</c:v>
                </c:pt>
                <c:pt idx="110">
                  <c:v>2.7510018412217025</c:v>
                </c:pt>
                <c:pt idx="111">
                  <c:v>2.8376475685042779</c:v>
                </c:pt>
                <c:pt idx="112">
                  <c:v>2.3502653525398083</c:v>
                </c:pt>
                <c:pt idx="113">
                  <c:v>2.3286039207191558</c:v>
                </c:pt>
                <c:pt idx="114">
                  <c:v>2.1011588866024016</c:v>
                </c:pt>
                <c:pt idx="115">
                  <c:v>2.0145131593198378</c:v>
                </c:pt>
                <c:pt idx="116">
                  <c:v>2.0145131593198378</c:v>
                </c:pt>
                <c:pt idx="117">
                  <c:v>2.339434636629488</c:v>
                </c:pt>
                <c:pt idx="118">
                  <c:v>2.4910646593739867</c:v>
                </c:pt>
                <c:pt idx="119">
                  <c:v>2.5343875230152686</c:v>
                </c:pt>
                <c:pt idx="120">
                  <c:v>2.0903281706920809</c:v>
                </c:pt>
                <c:pt idx="121">
                  <c:v>2.1661431820643364</c:v>
                </c:pt>
                <c:pt idx="122">
                  <c:v>1.6570995342792136</c:v>
                </c:pt>
                <c:pt idx="123">
                  <c:v>1.6029459547276113</c:v>
                </c:pt>
                <c:pt idx="124">
                  <c:v>1.6137766706379317</c:v>
                </c:pt>
                <c:pt idx="125">
                  <c:v>1.2455323296869873</c:v>
                </c:pt>
                <c:pt idx="126">
                  <c:v>1.4296545001624594</c:v>
                </c:pt>
                <c:pt idx="127">
                  <c:v>1.4296545001624594</c:v>
                </c:pt>
                <c:pt idx="128">
                  <c:v>1.4729773638037535</c:v>
                </c:pt>
                <c:pt idx="129">
                  <c:v>2.1986353297952976</c:v>
                </c:pt>
                <c:pt idx="130">
                  <c:v>2.9026318639662132</c:v>
                </c:pt>
                <c:pt idx="131">
                  <c:v>3.0434311708003916</c:v>
                </c:pt>
                <c:pt idx="132">
                  <c:v>3.4874905231235793</c:v>
                </c:pt>
                <c:pt idx="133">
                  <c:v>3.0867540344416735</c:v>
                </c:pt>
                <c:pt idx="134">
                  <c:v>2.7510018412217025</c:v>
                </c:pt>
                <c:pt idx="135">
                  <c:v>2.3286039207191558</c:v>
                </c:pt>
                <c:pt idx="136">
                  <c:v>2.2311274775262713</c:v>
                </c:pt>
                <c:pt idx="137">
                  <c:v>2.4477417957327048</c:v>
                </c:pt>
                <c:pt idx="138">
                  <c:v>3.0217697389797507</c:v>
                </c:pt>
                <c:pt idx="139">
                  <c:v>2.9351240116971744</c:v>
                </c:pt>
                <c:pt idx="140">
                  <c:v>3.0217697389797507</c:v>
                </c:pt>
                <c:pt idx="141">
                  <c:v>3.1409076139932877</c:v>
                </c:pt>
                <c:pt idx="142">
                  <c:v>3.8882270118054847</c:v>
                </c:pt>
                <c:pt idx="143">
                  <c:v>3.9098884436261256</c:v>
                </c:pt>
                <c:pt idx="144">
                  <c:v>4.3972706595905953</c:v>
                </c:pt>
                <c:pt idx="145">
                  <c:v>4.3214556482183522</c:v>
                </c:pt>
                <c:pt idx="146">
                  <c:v>4.3214556482183522</c:v>
                </c:pt>
                <c:pt idx="147">
                  <c:v>4.3106249323080315</c:v>
                </c:pt>
                <c:pt idx="148">
                  <c:v>3.8882270118054847</c:v>
                </c:pt>
                <c:pt idx="149">
                  <c:v>3.9640420231777282</c:v>
                </c:pt>
                <c:pt idx="150">
                  <c:v>3.5957976822267956</c:v>
                </c:pt>
                <c:pt idx="151">
                  <c:v>3.0867540344416735</c:v>
                </c:pt>
                <c:pt idx="152">
                  <c:v>2.8701397162352396</c:v>
                </c:pt>
                <c:pt idx="153">
                  <c:v>2.9351240116971744</c:v>
                </c:pt>
                <c:pt idx="154">
                  <c:v>3.2817069208274661</c:v>
                </c:pt>
                <c:pt idx="155">
                  <c:v>2.9676161594281361</c:v>
                </c:pt>
                <c:pt idx="156">
                  <c:v>2.8809704321455598</c:v>
                </c:pt>
                <c:pt idx="157">
                  <c:v>3.6499512617784107</c:v>
                </c:pt>
                <c:pt idx="158">
                  <c:v>3.5849669663164754</c:v>
                </c:pt>
                <c:pt idx="159">
                  <c:v>3.6824434095093719</c:v>
                </c:pt>
                <c:pt idx="160">
                  <c:v>3.4225062276616445</c:v>
                </c:pt>
                <c:pt idx="161">
                  <c:v>3.6066283981371163</c:v>
                </c:pt>
                <c:pt idx="162">
                  <c:v>3.5957976822267956</c:v>
                </c:pt>
                <c:pt idx="163">
                  <c:v>3.7690891367919477</c:v>
                </c:pt>
                <c:pt idx="164">
                  <c:v>3.6716126935990516</c:v>
                </c:pt>
                <c:pt idx="165">
                  <c:v>2.9676161594281361</c:v>
                </c:pt>
                <c:pt idx="166">
                  <c:v>3.0867540344416735</c:v>
                </c:pt>
                <c:pt idx="167">
                  <c:v>2.989277591248777</c:v>
                </c:pt>
                <c:pt idx="168">
                  <c:v>2.9459547276074951</c:v>
                </c:pt>
                <c:pt idx="169">
                  <c:v>3.5308133867648612</c:v>
                </c:pt>
                <c:pt idx="170">
                  <c:v>3.5633055344958344</c:v>
                </c:pt>
                <c:pt idx="171">
                  <c:v>3.758258420881627</c:v>
                </c:pt>
                <c:pt idx="172">
                  <c:v>3.4658290913029384</c:v>
                </c:pt>
                <c:pt idx="173">
                  <c:v>3.3791833640203626</c:v>
                </c:pt>
                <c:pt idx="174">
                  <c:v>3.4874905231235793</c:v>
                </c:pt>
                <c:pt idx="175">
                  <c:v>3.5308133867648612</c:v>
                </c:pt>
                <c:pt idx="176">
                  <c:v>3.4549983753926177</c:v>
                </c:pt>
                <c:pt idx="177">
                  <c:v>3.2383840571861842</c:v>
                </c:pt>
                <c:pt idx="178">
                  <c:v>3.3466912162894005</c:v>
                </c:pt>
                <c:pt idx="179">
                  <c:v>2.9567854435178154</c:v>
                </c:pt>
                <c:pt idx="180">
                  <c:v>3.0217697389797507</c:v>
                </c:pt>
                <c:pt idx="181">
                  <c:v>2.815986136683637</c:v>
                </c:pt>
                <c:pt idx="182">
                  <c:v>2.1553124661540157</c:v>
                </c:pt>
                <c:pt idx="183">
                  <c:v>1.8087295570237245</c:v>
                </c:pt>
                <c:pt idx="184">
                  <c:v>1.9062060002166208</c:v>
                </c:pt>
                <c:pt idx="185">
                  <c:v>1.4946387956243945</c:v>
                </c:pt>
                <c:pt idx="186">
                  <c:v>1.5487923751759969</c:v>
                </c:pt>
                <c:pt idx="187">
                  <c:v>1.4513159319831004</c:v>
                </c:pt>
                <c:pt idx="188">
                  <c:v>1.25636304559732</c:v>
                </c:pt>
                <c:pt idx="189">
                  <c:v>1.0505794433012068</c:v>
                </c:pt>
                <c:pt idx="190">
                  <c:v>0.40073648868190587</c:v>
                </c:pt>
                <c:pt idx="191">
                  <c:v>0.4332286364128673</c:v>
                </c:pt>
                <c:pt idx="192">
                  <c:v>0.55236651142640458</c:v>
                </c:pt>
                <c:pt idx="193">
                  <c:v>0.7256579659915563</c:v>
                </c:pt>
                <c:pt idx="194">
                  <c:v>0.56319722733672506</c:v>
                </c:pt>
                <c:pt idx="195">
                  <c:v>0.9964258637495923</c:v>
                </c:pt>
                <c:pt idx="196">
                  <c:v>1.2238708978663464</c:v>
                </c:pt>
                <c:pt idx="197">
                  <c:v>2.0361745911404787</c:v>
                </c:pt>
                <c:pt idx="198">
                  <c:v>2.4152496480017311</c:v>
                </c:pt>
                <c:pt idx="199">
                  <c:v>2.5343875230152686</c:v>
                </c:pt>
                <c:pt idx="200">
                  <c:v>2.5560489548359095</c:v>
                </c:pt>
                <c:pt idx="201">
                  <c:v>1.9278674320372617</c:v>
                </c:pt>
                <c:pt idx="202">
                  <c:v>1.7437452615617897</c:v>
                </c:pt>
                <c:pt idx="203">
                  <c:v>0.98559514783927182</c:v>
                </c:pt>
                <c:pt idx="204">
                  <c:v>0.55236651142640458</c:v>
                </c:pt>
                <c:pt idx="205">
                  <c:v>0.28159861366836858</c:v>
                </c:pt>
                <c:pt idx="206">
                  <c:v>-0.75815011372251773</c:v>
                </c:pt>
                <c:pt idx="207">
                  <c:v>-0.94227228419798992</c:v>
                </c:pt>
                <c:pt idx="208">
                  <c:v>-1.2563630455973078</c:v>
                </c:pt>
                <c:pt idx="209">
                  <c:v>-1.8087295570237125</c:v>
                </c:pt>
                <c:pt idx="210">
                  <c:v>-2.2961117729881941</c:v>
                </c:pt>
                <c:pt idx="211">
                  <c:v>-2.1228203184230425</c:v>
                </c:pt>
                <c:pt idx="212">
                  <c:v>-1.9495288638579027</c:v>
                </c:pt>
                <c:pt idx="213">
                  <c:v>-2.5885411025668832</c:v>
                </c:pt>
                <c:pt idx="214">
                  <c:v>-2.6102025343875241</c:v>
                </c:pt>
                <c:pt idx="215">
                  <c:v>-2.2419581934365795</c:v>
                </c:pt>
                <c:pt idx="216">
                  <c:v>-2.3177732048088351</c:v>
                </c:pt>
                <c:pt idx="217">
                  <c:v>-1.9170367161269293</c:v>
                </c:pt>
                <c:pt idx="218">
                  <c:v>-2.1878046138849774</c:v>
                </c:pt>
                <c:pt idx="219">
                  <c:v>-1.9278674320372617</c:v>
                </c:pt>
                <c:pt idx="220">
                  <c:v>-1.4621466478934209</c:v>
                </c:pt>
                <c:pt idx="221">
                  <c:v>-0.61735080688833954</c:v>
                </c:pt>
                <c:pt idx="222">
                  <c:v>-1.1047330228528092</c:v>
                </c:pt>
                <c:pt idx="223">
                  <c:v>-0.82313440918444047</c:v>
                </c:pt>
                <c:pt idx="224">
                  <c:v>-2.1011588866024016</c:v>
                </c:pt>
                <c:pt idx="225">
                  <c:v>-2.7618325571320228</c:v>
                </c:pt>
                <c:pt idx="226">
                  <c:v>-1.797898841113392</c:v>
                </c:pt>
                <c:pt idx="227">
                  <c:v>-1.9386981479475822</c:v>
                </c:pt>
                <c:pt idx="228">
                  <c:v>-1.6462688183688932</c:v>
                </c:pt>
                <c:pt idx="229">
                  <c:v>-3.9857034549983692</c:v>
                </c:pt>
                <c:pt idx="230">
                  <c:v>-3.6391205458680775</c:v>
                </c:pt>
                <c:pt idx="231">
                  <c:v>-3.7041048413300128</c:v>
                </c:pt>
                <c:pt idx="232">
                  <c:v>-4.1589949095635212</c:v>
                </c:pt>
                <c:pt idx="233">
                  <c:v>-3.8882270118054847</c:v>
                </c:pt>
                <c:pt idx="234">
                  <c:v>-3.7365969890609745</c:v>
                </c:pt>
                <c:pt idx="235">
                  <c:v>-3.6716126935990516</c:v>
                </c:pt>
                <c:pt idx="236">
                  <c:v>-3.6282898299577573</c:v>
                </c:pt>
                <c:pt idx="237">
                  <c:v>-3.5849669663164754</c:v>
                </c:pt>
                <c:pt idx="238">
                  <c:v>-4.2997942163976992</c:v>
                </c:pt>
                <c:pt idx="239">
                  <c:v>-3.4225062276616445</c:v>
                </c:pt>
                <c:pt idx="240">
                  <c:v>-2.8376475685042779</c:v>
                </c:pt>
                <c:pt idx="241">
                  <c:v>-3.4766598072132586</c:v>
                </c:pt>
                <c:pt idx="242">
                  <c:v>-3.8665655799848322</c:v>
                </c:pt>
                <c:pt idx="243">
                  <c:v>-3.4441676594822854</c:v>
                </c:pt>
                <c:pt idx="244">
                  <c:v>-2.1986353297952976</c:v>
                </c:pt>
                <c:pt idx="245">
                  <c:v>-2.6643561139391267</c:v>
                </c:pt>
                <c:pt idx="246">
                  <c:v>-2.458572511643013</c:v>
                </c:pt>
                <c:pt idx="247">
                  <c:v>-2.5452182389255893</c:v>
                </c:pt>
                <c:pt idx="248">
                  <c:v>-2.5668796707462302</c:v>
                </c:pt>
                <c:pt idx="249">
                  <c:v>-1.7220838297411487</c:v>
                </c:pt>
                <c:pt idx="250">
                  <c:v>-1.819560272934045</c:v>
                </c:pt>
                <c:pt idx="251">
                  <c:v>-2.1336510343333628</c:v>
                </c:pt>
                <c:pt idx="252">
                  <c:v>-1.2347016137766669</c:v>
                </c:pt>
                <c:pt idx="253">
                  <c:v>-1.3863316365211775</c:v>
                </c:pt>
                <c:pt idx="254">
                  <c:v>-1.8628831365753269</c:v>
                </c:pt>
                <c:pt idx="255">
                  <c:v>-1.4621466478934209</c:v>
                </c:pt>
                <c:pt idx="256">
                  <c:v>-0.97476443192895135</c:v>
                </c:pt>
                <c:pt idx="257">
                  <c:v>-0.6823351023502624</c:v>
                </c:pt>
                <c:pt idx="258">
                  <c:v>-0.86645727282573459</c:v>
                </c:pt>
                <c:pt idx="259">
                  <c:v>-1.3430087728798838</c:v>
                </c:pt>
                <c:pt idx="260">
                  <c:v>-1.3863316365211775</c:v>
                </c:pt>
                <c:pt idx="261">
                  <c:v>-1.2888551933282815</c:v>
                </c:pt>
                <c:pt idx="262">
                  <c:v>-0.46572078414382873</c:v>
                </c:pt>
                <c:pt idx="263">
                  <c:v>-0.7256579659915563</c:v>
                </c:pt>
                <c:pt idx="264">
                  <c:v>-0.40073648868190587</c:v>
                </c:pt>
                <c:pt idx="265">
                  <c:v>-0.4332286364128673</c:v>
                </c:pt>
                <c:pt idx="266">
                  <c:v>-0.88811870464637555</c:v>
                </c:pt>
                <c:pt idx="267">
                  <c:v>-1.3105166251489224</c:v>
                </c:pt>
                <c:pt idx="268">
                  <c:v>-1.2563630455973078</c:v>
                </c:pt>
                <c:pt idx="269">
                  <c:v>-1.6246073865482522</c:v>
                </c:pt>
                <c:pt idx="270">
                  <c:v>-1.8520524206650064</c:v>
                </c:pt>
                <c:pt idx="271">
                  <c:v>-2.2094660457056183</c:v>
                </c:pt>
                <c:pt idx="272">
                  <c:v>-2.5127260911946276</c:v>
                </c:pt>
                <c:pt idx="273">
                  <c:v>-2.339434636629476</c:v>
                </c:pt>
                <c:pt idx="274">
                  <c:v>-1.6570995342792136</c:v>
                </c:pt>
                <c:pt idx="275">
                  <c:v>-2.0361745911404787</c:v>
                </c:pt>
                <c:pt idx="276">
                  <c:v>-2.0903281706920809</c:v>
                </c:pt>
                <c:pt idx="277">
                  <c:v>-2.7185096934907409</c:v>
                </c:pt>
                <c:pt idx="278">
                  <c:v>-2.7185096934907409</c:v>
                </c:pt>
                <c:pt idx="279">
                  <c:v>-2.5018953752843074</c:v>
                </c:pt>
                <c:pt idx="280">
                  <c:v>-2.4910646593739867</c:v>
                </c:pt>
                <c:pt idx="281">
                  <c:v>-2.1336510343333628</c:v>
                </c:pt>
                <c:pt idx="282">
                  <c:v>-2.1119896025127218</c:v>
                </c:pt>
                <c:pt idx="283">
                  <c:v>-2.5343875230152686</c:v>
                </c:pt>
                <c:pt idx="284">
                  <c:v>-3.0867540344416735</c:v>
                </c:pt>
                <c:pt idx="285">
                  <c:v>-2.5452182389255893</c:v>
                </c:pt>
                <c:pt idx="286">
                  <c:v>-2.3935882161810902</c:v>
                </c:pt>
                <c:pt idx="287">
                  <c:v>-2.4369110798223721</c:v>
                </c:pt>
                <c:pt idx="288">
                  <c:v>-2.794324704862996</c:v>
                </c:pt>
                <c:pt idx="289">
                  <c:v>-2.3719267843604492</c:v>
                </c:pt>
                <c:pt idx="290">
                  <c:v>-1.505469511534715</c:v>
                </c:pt>
                <c:pt idx="291">
                  <c:v>-1.6137766706379317</c:v>
                </c:pt>
                <c:pt idx="292">
                  <c:v>-1.9603595797682232</c:v>
                </c:pt>
                <c:pt idx="293">
                  <c:v>-1.8845445683959678</c:v>
                </c:pt>
                <c:pt idx="294">
                  <c:v>-1.0722408751218477</c:v>
                </c:pt>
                <c:pt idx="295">
                  <c:v>-0.79064226145347904</c:v>
                </c:pt>
                <c:pt idx="296">
                  <c:v>-0.96393371601863087</c:v>
                </c:pt>
                <c:pt idx="297">
                  <c:v>-0.20578360229611317</c:v>
                </c:pt>
                <c:pt idx="298">
                  <c:v>-0.18412217047547219</c:v>
                </c:pt>
                <c:pt idx="299">
                  <c:v>-0.46572078414382873</c:v>
                </c:pt>
                <c:pt idx="300">
                  <c:v>-0.24910646593739508</c:v>
                </c:pt>
                <c:pt idx="301">
                  <c:v>0.30326004548900953</c:v>
                </c:pt>
                <c:pt idx="302">
                  <c:v>2.166143182064096E-2</c:v>
                </c:pt>
                <c:pt idx="303">
                  <c:v>-0.73648868190187677</c:v>
                </c:pt>
                <c:pt idx="304">
                  <c:v>-1.1805480342250645</c:v>
                </c:pt>
                <c:pt idx="305">
                  <c:v>-1.2563630455973078</c:v>
                </c:pt>
                <c:pt idx="306">
                  <c:v>-1.5921152388172786</c:v>
                </c:pt>
                <c:pt idx="307">
                  <c:v>-1.6029459547276113</c:v>
                </c:pt>
                <c:pt idx="308">
                  <c:v>-1.7220838297411487</c:v>
                </c:pt>
                <c:pt idx="309">
                  <c:v>-1.7112531138308282</c:v>
                </c:pt>
                <c:pt idx="310">
                  <c:v>-2.1769738979746567</c:v>
                </c:pt>
                <c:pt idx="311">
                  <c:v>-2.1769738979746567</c:v>
                </c:pt>
                <c:pt idx="312">
                  <c:v>-2.0903281706920809</c:v>
                </c:pt>
                <c:pt idx="313">
                  <c:v>-2.1553124661540157</c:v>
                </c:pt>
                <c:pt idx="314">
                  <c:v>-1.9603595797682232</c:v>
                </c:pt>
                <c:pt idx="315">
                  <c:v>-2.0145131593198253</c:v>
                </c:pt>
                <c:pt idx="316">
                  <c:v>-1.6570995342792136</c:v>
                </c:pt>
                <c:pt idx="317">
                  <c:v>-1.1480558864940911</c:v>
                </c:pt>
                <c:pt idx="318">
                  <c:v>-1.1263944546734501</c:v>
                </c:pt>
                <c:pt idx="319">
                  <c:v>-0.79064226145347904</c:v>
                </c:pt>
                <c:pt idx="320">
                  <c:v>-1.2888551933282815</c:v>
                </c:pt>
                <c:pt idx="321">
                  <c:v>9.7476443192896334E-2</c:v>
                </c:pt>
                <c:pt idx="322">
                  <c:v>1.0830715910321682</c:v>
                </c:pt>
                <c:pt idx="323">
                  <c:v>0.42239792050254682</c:v>
                </c:pt>
                <c:pt idx="324">
                  <c:v>0.41156720459222634</c:v>
                </c:pt>
                <c:pt idx="325">
                  <c:v>0.6390122387089805</c:v>
                </c:pt>
                <c:pt idx="326">
                  <c:v>0.67150438643994192</c:v>
                </c:pt>
                <c:pt idx="327">
                  <c:v>0.6823351023502624</c:v>
                </c:pt>
                <c:pt idx="328">
                  <c:v>0.79064226145347904</c:v>
                </c:pt>
                <c:pt idx="329">
                  <c:v>1.2888551933282815</c:v>
                </c:pt>
                <c:pt idx="330">
                  <c:v>1.4404852160727799</c:v>
                </c:pt>
                <c:pt idx="331">
                  <c:v>0.94227228419798992</c:v>
                </c:pt>
                <c:pt idx="332">
                  <c:v>0.59568937506769859</c:v>
                </c:pt>
                <c:pt idx="333">
                  <c:v>0.33575219321997096</c:v>
                </c:pt>
                <c:pt idx="334">
                  <c:v>0.33575219321997096</c:v>
                </c:pt>
                <c:pt idx="335">
                  <c:v>0.80147297736379952</c:v>
                </c:pt>
                <c:pt idx="336">
                  <c:v>1.2996859092386019</c:v>
                </c:pt>
                <c:pt idx="337">
                  <c:v>2.2202967616159386</c:v>
                </c:pt>
                <c:pt idx="338">
                  <c:v>2.7618325571320228</c:v>
                </c:pt>
                <c:pt idx="339">
                  <c:v>2.653525398028806</c:v>
                </c:pt>
                <c:pt idx="340">
                  <c:v>3.2167226253655432</c:v>
                </c:pt>
                <c:pt idx="341">
                  <c:v>3.5849669663164754</c:v>
                </c:pt>
                <c:pt idx="342">
                  <c:v>3.2275533412758635</c:v>
                </c:pt>
                <c:pt idx="343">
                  <c:v>3.108415466262326</c:v>
                </c:pt>
                <c:pt idx="344">
                  <c:v>3.4549983753926177</c:v>
                </c:pt>
                <c:pt idx="345">
                  <c:v>3.108415466262326</c:v>
                </c:pt>
                <c:pt idx="346">
                  <c:v>3.0759233185313528</c:v>
                </c:pt>
                <c:pt idx="347">
                  <c:v>3.0759233185313528</c:v>
                </c:pt>
                <c:pt idx="348" formatCode="0.00">
                  <c:v>3.6174591140474366</c:v>
                </c:pt>
                <c:pt idx="349">
                  <c:v>3.6066283981371163</c:v>
                </c:pt>
                <c:pt idx="350">
                  <c:v>3.6066283981371163</c:v>
                </c:pt>
                <c:pt idx="351">
                  <c:v>3.6066283981371163</c:v>
                </c:pt>
                <c:pt idx="352">
                  <c:v>3.6066283981371163</c:v>
                </c:pt>
                <c:pt idx="353">
                  <c:v>3.6066283981371163</c:v>
                </c:pt>
                <c:pt idx="354">
                  <c:v>3.6066283981371163</c:v>
                </c:pt>
                <c:pt idx="355">
                  <c:v>3.6066283981371163</c:v>
                </c:pt>
                <c:pt idx="356">
                  <c:v>3.6066283981371163</c:v>
                </c:pt>
                <c:pt idx="357">
                  <c:v>3.6066283981371163</c:v>
                </c:pt>
                <c:pt idx="358">
                  <c:v>3.6066283981371163</c:v>
                </c:pt>
                <c:pt idx="359">
                  <c:v>2.5235568071049483</c:v>
                </c:pt>
                <c:pt idx="360">
                  <c:v>3.6066283981371163</c:v>
                </c:pt>
                <c:pt idx="361">
                  <c:v>2.5235568071049483</c:v>
                </c:pt>
                <c:pt idx="362">
                  <c:v>2.5235568071049483</c:v>
                </c:pt>
                <c:pt idx="363">
                  <c:v>2.5235568071049483</c:v>
                </c:pt>
                <c:pt idx="364">
                  <c:v>2.5235568071049483</c:v>
                </c:pt>
                <c:pt idx="365">
                  <c:v>3.6066283981371163</c:v>
                </c:pt>
                <c:pt idx="366">
                  <c:v>3.6066283981371163</c:v>
                </c:pt>
                <c:pt idx="367">
                  <c:v>4.6896999891692843</c:v>
                </c:pt>
                <c:pt idx="368">
                  <c:v>4.6896999891692843</c:v>
                </c:pt>
                <c:pt idx="369">
                  <c:v>5.7727715802014528</c:v>
                </c:pt>
                <c:pt idx="370" formatCode="0.00">
                  <c:v>4.6896999891692843</c:v>
                </c:pt>
                <c:pt idx="371">
                  <c:v>4.6247156937073504</c:v>
                </c:pt>
                <c:pt idx="372">
                  <c:v>4.5813928300660685</c:v>
                </c:pt>
                <c:pt idx="373">
                  <c:v>4.4730856709628508</c:v>
                </c:pt>
                <c:pt idx="374">
                  <c:v>5.1554207733131125</c:v>
                </c:pt>
                <c:pt idx="375">
                  <c:v>5.0579443301202165</c:v>
                </c:pt>
                <c:pt idx="376">
                  <c:v>4.9604678869273329</c:v>
                </c:pt>
                <c:pt idx="377">
                  <c:v>5.3178815119679443</c:v>
                </c:pt>
                <c:pt idx="378">
                  <c:v>5.1662514892234332</c:v>
                </c:pt>
                <c:pt idx="379">
                  <c:v>4.9171450232860385</c:v>
                </c:pt>
                <c:pt idx="380">
                  <c:v>5.4911729665330844</c:v>
                </c:pt>
                <c:pt idx="381">
                  <c:v>5.5886494097259805</c:v>
                </c:pt>
                <c:pt idx="382">
                  <c:v>6.3251380916278581</c:v>
                </c:pt>
                <c:pt idx="383">
                  <c:v>5.9893858984078863</c:v>
                </c:pt>
                <c:pt idx="384">
                  <c:v>6.8991660348749022</c:v>
                </c:pt>
                <c:pt idx="385">
                  <c:v>7.1699339326329508</c:v>
                </c:pt>
                <c:pt idx="386">
                  <c:v>6.9316581826058767</c:v>
                </c:pt>
                <c:pt idx="387">
                  <c:v>7.0616267735297349</c:v>
                </c:pt>
                <c:pt idx="388">
                  <c:v>6.8450124553233005</c:v>
                </c:pt>
                <c:pt idx="389">
                  <c:v>7.137441784901978</c:v>
                </c:pt>
                <c:pt idx="390">
                  <c:v>7.7547925917903173</c:v>
                </c:pt>
                <c:pt idx="391" formatCode="0.00">
                  <c:v>8.2854976713960795</c:v>
                </c:pt>
                <c:pt idx="392">
                  <c:v>8.2421748077547985</c:v>
                </c:pt>
                <c:pt idx="393">
                  <c:v>8.7403877396295897</c:v>
                </c:pt>
                <c:pt idx="394">
                  <c:v>8.7403877396295897</c:v>
                </c:pt>
                <c:pt idx="395">
                  <c:v>7.8630997508935332</c:v>
                </c:pt>
                <c:pt idx="396">
                  <c:v>8.1338676486515809</c:v>
                </c:pt>
                <c:pt idx="397">
                  <c:v>7.8414383190728927</c:v>
                </c:pt>
                <c:pt idx="398">
                  <c:v>7.7764540236109587</c:v>
                </c:pt>
                <c:pt idx="399">
                  <c:v>7.8630997508935332</c:v>
                </c:pt>
                <c:pt idx="400">
                  <c:v>8.3721433986786575</c:v>
                </c:pt>
                <c:pt idx="401">
                  <c:v>8.1555290804722222</c:v>
                </c:pt>
                <c:pt idx="402">
                  <c:v>7.7223004440593561</c:v>
                </c:pt>
                <c:pt idx="403">
                  <c:v>7.4407018303909878</c:v>
                </c:pt>
                <c:pt idx="404">
                  <c:v>7.7547925917903173</c:v>
                </c:pt>
                <c:pt idx="405">
                  <c:v>7.830607603162572</c:v>
                </c:pt>
                <c:pt idx="406">
                  <c:v>8.3938048304992972</c:v>
                </c:pt>
                <c:pt idx="407">
                  <c:v>7.9280840463554689</c:v>
                </c:pt>
                <c:pt idx="408">
                  <c:v>8.2205133759341447</c:v>
                </c:pt>
                <c:pt idx="409">
                  <c:v>8.2530055236651183</c:v>
                </c:pt>
                <c:pt idx="410">
                  <c:v>8.8811870464637686</c:v>
                </c:pt>
                <c:pt idx="411">
                  <c:v>9.5635221488140409</c:v>
                </c:pt>
                <c:pt idx="412">
                  <c:v>9.86678219430304</c:v>
                </c:pt>
                <c:pt idx="413">
                  <c:v>9.0219863532979581</c:v>
                </c:pt>
                <c:pt idx="414" formatCode="0.00">
                  <c:v>8.8378641828224858</c:v>
                </c:pt>
                <c:pt idx="415">
                  <c:v>8.6537420123470135</c:v>
                </c:pt>
                <c:pt idx="416">
                  <c:v>8.9245099101050602</c:v>
                </c:pt>
                <c:pt idx="417">
                  <c:v>9.0111556373876365</c:v>
                </c:pt>
                <c:pt idx="418">
                  <c:v>9.1952778078630981</c:v>
                </c:pt>
                <c:pt idx="419">
                  <c:v>9.6718293079172586</c:v>
                </c:pt>
                <c:pt idx="420">
                  <c:v>9.9425972056752929</c:v>
                </c:pt>
                <c:pt idx="421">
                  <c:v>9.5093685692624277</c:v>
                </c:pt>
                <c:pt idx="422">
                  <c:v>9.4768764215314665</c:v>
                </c:pt>
                <c:pt idx="423">
                  <c:v>8.8378641828224858</c:v>
                </c:pt>
                <c:pt idx="424">
                  <c:v>8.8595256146431272</c:v>
                </c:pt>
                <c:pt idx="425">
                  <c:v>9.3252463987869536</c:v>
                </c:pt>
                <c:pt idx="426">
                  <c:v>9.2386006715043898</c:v>
                </c:pt>
                <c:pt idx="427">
                  <c:v>9.5418607169933889</c:v>
                </c:pt>
                <c:pt idx="428">
                  <c:v>9.7693057511101546</c:v>
                </c:pt>
                <c:pt idx="429">
                  <c:v>9.2386006715043898</c:v>
                </c:pt>
                <c:pt idx="430">
                  <c:v>9.3252463987869536</c:v>
                </c:pt>
                <c:pt idx="431">
                  <c:v>8.5670962850644496</c:v>
                </c:pt>
                <c:pt idx="432">
                  <c:v>8.0797140690999676</c:v>
                </c:pt>
                <c:pt idx="433">
                  <c:v>7.8414383190728927</c:v>
                </c:pt>
                <c:pt idx="434">
                  <c:v>8.0797140690999676</c:v>
                </c:pt>
                <c:pt idx="435" formatCode="0.00">
                  <c:v>8.2205133759341447</c:v>
                </c:pt>
                <c:pt idx="436">
                  <c:v>7.7764540236109587</c:v>
                </c:pt>
                <c:pt idx="437">
                  <c:v>7.8630997508935332</c:v>
                </c:pt>
                <c:pt idx="438">
                  <c:v>7.9172533304451482</c:v>
                </c:pt>
                <c:pt idx="439">
                  <c:v>7.5056861258529217</c:v>
                </c:pt>
                <c:pt idx="440">
                  <c:v>7.6248240008664592</c:v>
                </c:pt>
                <c:pt idx="441">
                  <c:v>7.7981154554316108</c:v>
                </c:pt>
                <c:pt idx="442">
                  <c:v>8.2421748077547985</c:v>
                </c:pt>
                <c:pt idx="443">
                  <c:v>8.5670962850644496</c:v>
                </c:pt>
                <c:pt idx="444">
                  <c:v>8.4912812736921932</c:v>
                </c:pt>
                <c:pt idx="445">
                  <c:v>8.458789125961232</c:v>
                </c:pt>
                <c:pt idx="446">
                  <c:v>8.2963283873064011</c:v>
                </c:pt>
                <c:pt idx="447">
                  <c:v>7.7872847395212785</c:v>
                </c:pt>
                <c:pt idx="448">
                  <c:v>8.1122062168309288</c:v>
                </c:pt>
                <c:pt idx="449">
                  <c:v>8.4696198418715518</c:v>
                </c:pt>
                <c:pt idx="450">
                  <c:v>8.0905447850102874</c:v>
                </c:pt>
                <c:pt idx="451">
                  <c:v>7.7872847395212785</c:v>
                </c:pt>
                <c:pt idx="452">
                  <c:v>7.9389147622657887</c:v>
                </c:pt>
                <c:pt idx="453">
                  <c:v>8.3071591032167209</c:v>
                </c:pt>
                <c:pt idx="454">
                  <c:v>7.2890718076464882</c:v>
                </c:pt>
                <c:pt idx="455">
                  <c:v>6.5525831257446114</c:v>
                </c:pt>
                <c:pt idx="456">
                  <c:v>6.8775046030542617</c:v>
                </c:pt>
                <c:pt idx="457" formatCode="0.00">
                  <c:v>6.9966424780677992</c:v>
                </c:pt>
                <c:pt idx="458">
                  <c:v>6.8233510235026591</c:v>
                </c:pt>
                <c:pt idx="459">
                  <c:v>7.0832882053503754</c:v>
                </c:pt>
                <c:pt idx="460">
                  <c:v>6.6608902848478282</c:v>
                </c:pt>
                <c:pt idx="461">
                  <c:v>6.7258745803097622</c:v>
                </c:pt>
                <c:pt idx="462">
                  <c:v>6.4875988302826881</c:v>
                </c:pt>
                <c:pt idx="463">
                  <c:v>6.5850752734755726</c:v>
                </c:pt>
                <c:pt idx="464">
                  <c:v>6.9641503303368379</c:v>
                </c:pt>
                <c:pt idx="465">
                  <c:v>7.1049496371710168</c:v>
                </c:pt>
                <c:pt idx="466">
                  <c:v>7.1266110689916573</c:v>
                </c:pt>
                <c:pt idx="467">
                  <c:v>8.0797140690999676</c:v>
                </c:pt>
                <c:pt idx="468">
                  <c:v>8.1988519441135033</c:v>
                </c:pt>
                <c:pt idx="469">
                  <c:v>8.0038990577277112</c:v>
                </c:pt>
                <c:pt idx="470">
                  <c:v>8.2205133759341447</c:v>
                </c:pt>
                <c:pt idx="471">
                  <c:v>7.7981154554316108</c:v>
                </c:pt>
                <c:pt idx="472">
                  <c:v>7.765623307700638</c:v>
                </c:pt>
                <c:pt idx="473">
                  <c:v>8.1771905122928636</c:v>
                </c:pt>
                <c:pt idx="474">
                  <c:v>8.5995884327954109</c:v>
                </c:pt>
                <c:pt idx="475">
                  <c:v>9.1952778078630981</c:v>
                </c:pt>
                <c:pt idx="476">
                  <c:v>9.0003249214773167</c:v>
                </c:pt>
                <c:pt idx="477">
                  <c:v>8.7512184555399095</c:v>
                </c:pt>
                <c:pt idx="478">
                  <c:v>8.6212498646160505</c:v>
                </c:pt>
                <c:pt idx="479" formatCode="0.00">
                  <c:v>8.9245099101050602</c:v>
                </c:pt>
                <c:pt idx="480">
                  <c:v>9.0328170692082779</c:v>
                </c:pt>
                <c:pt idx="481">
                  <c:v>8.5670962850644496</c:v>
                </c:pt>
                <c:pt idx="482">
                  <c:v>8.2638362395754399</c:v>
                </c:pt>
                <c:pt idx="483">
                  <c:v>8.1555290804722222</c:v>
                </c:pt>
                <c:pt idx="484">
                  <c:v>8.1880212282031835</c:v>
                </c:pt>
                <c:pt idx="485">
                  <c:v>7.8739304668038539</c:v>
                </c:pt>
                <c:pt idx="486">
                  <c:v>8.1446983645619024</c:v>
                </c:pt>
                <c:pt idx="487">
                  <c:v>7.6248240008664592</c:v>
                </c:pt>
                <c:pt idx="488">
                  <c:v>7.9389147622657887</c:v>
                </c:pt>
                <c:pt idx="489">
                  <c:v>8.1122062168309288</c:v>
                </c:pt>
                <c:pt idx="490">
                  <c:v>7.9389147622657887</c:v>
                </c:pt>
                <c:pt idx="491">
                  <c:v>8.1446983645619024</c:v>
                </c:pt>
                <c:pt idx="492">
                  <c:v>8.4371276941405799</c:v>
                </c:pt>
                <c:pt idx="493">
                  <c:v>8.8053720350915246</c:v>
                </c:pt>
                <c:pt idx="494">
                  <c:v>8.7403877396295897</c:v>
                </c:pt>
                <c:pt idx="495">
                  <c:v>8.6212498646160505</c:v>
                </c:pt>
                <c:pt idx="496">
                  <c:v>8.7187263078089483</c:v>
                </c:pt>
                <c:pt idx="497">
                  <c:v>8.7620491714502293</c:v>
                </c:pt>
                <c:pt idx="498">
                  <c:v>8.9786634896566628</c:v>
                </c:pt>
                <c:pt idx="499">
                  <c:v>9.3902306942488902</c:v>
                </c:pt>
                <c:pt idx="500" formatCode="0.00">
                  <c:v>9.8992743420340119</c:v>
                </c:pt>
                <c:pt idx="501">
                  <c:v>9.7584750351998224</c:v>
                </c:pt>
                <c:pt idx="502">
                  <c:v>10.072565796599152</c:v>
                </c:pt>
                <c:pt idx="503">
                  <c:v>9.9534279215856145</c:v>
                </c:pt>
                <c:pt idx="504">
                  <c:v>10.300010830715905</c:v>
                </c:pt>
                <c:pt idx="505">
                  <c:v>10.105057944330126</c:v>
                </c:pt>
                <c:pt idx="506">
                  <c:v>9.5635221488140409</c:v>
                </c:pt>
                <c:pt idx="507">
                  <c:v>9.1519549442218153</c:v>
                </c:pt>
                <c:pt idx="508">
                  <c:v>9.4552149897108251</c:v>
                </c:pt>
                <c:pt idx="509">
                  <c:v>10.029242932957869</c:v>
                </c:pt>
                <c:pt idx="510">
                  <c:v>10.744070183039094</c:v>
                </c:pt>
                <c:pt idx="511">
                  <c:v>11.740496046788698</c:v>
                </c:pt>
                <c:pt idx="512">
                  <c:v>11.545543160402906</c:v>
                </c:pt>
                <c:pt idx="513">
                  <c:v>11.578035308133867</c:v>
                </c:pt>
                <c:pt idx="514">
                  <c:v>11.426405285389368</c:v>
                </c:pt>
                <c:pt idx="515">
                  <c:v>11.458897433120329</c:v>
                </c:pt>
                <c:pt idx="516">
                  <c:v>11.534712444492586</c:v>
                </c:pt>
                <c:pt idx="517">
                  <c:v>11.805480342250622</c:v>
                </c:pt>
                <c:pt idx="518">
                  <c:v>12.585291887793778</c:v>
                </c:pt>
                <c:pt idx="519">
                  <c:v>13.289288421964695</c:v>
                </c:pt>
                <c:pt idx="520">
                  <c:v>12.921044081013749</c:v>
                </c:pt>
                <c:pt idx="521">
                  <c:v>12.466154012780242</c:v>
                </c:pt>
                <c:pt idx="522">
                  <c:v>12.693599046896997</c:v>
                </c:pt>
                <c:pt idx="523" formatCode="0.00">
                  <c:v>12.758583342358932</c:v>
                </c:pt>
                <c:pt idx="524">
                  <c:v>13.202642694682117</c:v>
                </c:pt>
                <c:pt idx="525">
                  <c:v>13.137658399220184</c:v>
                </c:pt>
                <c:pt idx="526">
                  <c:v>12.856059785551826</c:v>
                </c:pt>
                <c:pt idx="527">
                  <c:v>12.585291887793778</c:v>
                </c:pt>
                <c:pt idx="528">
                  <c:v>11.718834614968046</c:v>
                </c:pt>
                <c:pt idx="529">
                  <c:v>11.567204592223547</c:v>
                </c:pt>
                <c:pt idx="530">
                  <c:v>11.339759558106792</c:v>
                </c:pt>
                <c:pt idx="531">
                  <c:v>11.772988194519659</c:v>
                </c:pt>
                <c:pt idx="532">
                  <c:v>12.314523990035743</c:v>
                </c:pt>
                <c:pt idx="533">
                  <c:v>12.780244774179572</c:v>
                </c:pt>
                <c:pt idx="534">
                  <c:v>13.159319831040836</c:v>
                </c:pt>
                <c:pt idx="535">
                  <c:v>12.942705512834404</c:v>
                </c:pt>
                <c:pt idx="536">
                  <c:v>12.769414058269252</c:v>
                </c:pt>
                <c:pt idx="537">
                  <c:v>12.26037041048413</c:v>
                </c:pt>
                <c:pt idx="538">
                  <c:v>12.130401819560271</c:v>
                </c:pt>
                <c:pt idx="539">
                  <c:v>12.217047546842847</c:v>
                </c:pt>
                <c:pt idx="540">
                  <c:v>11.989602512726092</c:v>
                </c:pt>
                <c:pt idx="541">
                  <c:v>12.000433228636414</c:v>
                </c:pt>
                <c:pt idx="542">
                  <c:v>11.578035308133867</c:v>
                </c:pt>
                <c:pt idx="543" formatCode="0.00">
                  <c:v>11.296436694465511</c:v>
                </c:pt>
              </c:numCache>
            </c:numRef>
          </c:val>
          <c:smooth val="0"/>
        </c:ser>
        <c:ser>
          <c:idx val="4"/>
          <c:order val="4"/>
          <c:tx>
            <c:strRef>
              <c:f>'Currency Raw'!$O$1</c:f>
              <c:strCache>
                <c:ptCount val="1"/>
                <c:pt idx="0">
                  <c:v>Real</c:v>
                </c:pt>
              </c:strCache>
            </c:strRef>
          </c:tx>
          <c:marker>
            <c:symbol val="none"/>
          </c:marker>
          <c:cat>
            <c:numRef>
              <c:f>'Currency Raw'!$J$2:$J$545</c:f>
              <c:numCache>
                <c:formatCode>m/d/yyyy</c:formatCode>
                <c:ptCount val="544"/>
                <c:pt idx="1">
                  <c:v>42401</c:v>
                </c:pt>
                <c:pt idx="2">
                  <c:v>42402</c:v>
                </c:pt>
                <c:pt idx="3">
                  <c:v>42403</c:v>
                </c:pt>
                <c:pt idx="4">
                  <c:v>42404</c:v>
                </c:pt>
                <c:pt idx="5">
                  <c:v>42405</c:v>
                </c:pt>
                <c:pt idx="6">
                  <c:v>42408</c:v>
                </c:pt>
                <c:pt idx="7">
                  <c:v>42409</c:v>
                </c:pt>
                <c:pt idx="8">
                  <c:v>42410</c:v>
                </c:pt>
                <c:pt idx="9">
                  <c:v>42411</c:v>
                </c:pt>
                <c:pt idx="10">
                  <c:v>42412</c:v>
                </c:pt>
                <c:pt idx="11">
                  <c:v>42415</c:v>
                </c:pt>
                <c:pt idx="12">
                  <c:v>42416</c:v>
                </c:pt>
                <c:pt idx="13">
                  <c:v>42417</c:v>
                </c:pt>
                <c:pt idx="14">
                  <c:v>42418</c:v>
                </c:pt>
                <c:pt idx="15">
                  <c:v>42419</c:v>
                </c:pt>
                <c:pt idx="16">
                  <c:v>42422</c:v>
                </c:pt>
                <c:pt idx="17">
                  <c:v>42423</c:v>
                </c:pt>
                <c:pt idx="18">
                  <c:v>42424</c:v>
                </c:pt>
                <c:pt idx="19">
                  <c:v>42425</c:v>
                </c:pt>
                <c:pt idx="20">
                  <c:v>42426</c:v>
                </c:pt>
                <c:pt idx="21">
                  <c:v>42429</c:v>
                </c:pt>
                <c:pt idx="22">
                  <c:v>42430</c:v>
                </c:pt>
                <c:pt idx="23">
                  <c:v>42431</c:v>
                </c:pt>
                <c:pt idx="24">
                  <c:v>42432</c:v>
                </c:pt>
                <c:pt idx="25">
                  <c:v>42433</c:v>
                </c:pt>
                <c:pt idx="26">
                  <c:v>42436</c:v>
                </c:pt>
                <c:pt idx="27">
                  <c:v>42437</c:v>
                </c:pt>
                <c:pt idx="28">
                  <c:v>42438</c:v>
                </c:pt>
                <c:pt idx="29">
                  <c:v>42439</c:v>
                </c:pt>
                <c:pt idx="30">
                  <c:v>42440</c:v>
                </c:pt>
                <c:pt idx="31">
                  <c:v>42443</c:v>
                </c:pt>
                <c:pt idx="32">
                  <c:v>42444</c:v>
                </c:pt>
                <c:pt idx="33">
                  <c:v>42445</c:v>
                </c:pt>
                <c:pt idx="34">
                  <c:v>42446</c:v>
                </c:pt>
                <c:pt idx="35">
                  <c:v>42447</c:v>
                </c:pt>
                <c:pt idx="36">
                  <c:v>42450</c:v>
                </c:pt>
                <c:pt idx="37">
                  <c:v>42451</c:v>
                </c:pt>
                <c:pt idx="38">
                  <c:v>42452</c:v>
                </c:pt>
                <c:pt idx="39">
                  <c:v>42453</c:v>
                </c:pt>
                <c:pt idx="40">
                  <c:v>42454</c:v>
                </c:pt>
                <c:pt idx="41">
                  <c:v>42457</c:v>
                </c:pt>
                <c:pt idx="42">
                  <c:v>42458</c:v>
                </c:pt>
                <c:pt idx="43">
                  <c:v>42459</c:v>
                </c:pt>
                <c:pt idx="44">
                  <c:v>42460</c:v>
                </c:pt>
                <c:pt idx="45">
                  <c:v>42461</c:v>
                </c:pt>
                <c:pt idx="46">
                  <c:v>42464</c:v>
                </c:pt>
                <c:pt idx="47">
                  <c:v>42465</c:v>
                </c:pt>
                <c:pt idx="48">
                  <c:v>42466</c:v>
                </c:pt>
                <c:pt idx="49">
                  <c:v>42467</c:v>
                </c:pt>
                <c:pt idx="50">
                  <c:v>42468</c:v>
                </c:pt>
                <c:pt idx="51">
                  <c:v>42471</c:v>
                </c:pt>
                <c:pt idx="52">
                  <c:v>42472</c:v>
                </c:pt>
                <c:pt idx="53">
                  <c:v>42473</c:v>
                </c:pt>
                <c:pt idx="54">
                  <c:v>42474</c:v>
                </c:pt>
                <c:pt idx="55">
                  <c:v>42475</c:v>
                </c:pt>
                <c:pt idx="56">
                  <c:v>42478</c:v>
                </c:pt>
                <c:pt idx="57">
                  <c:v>42479</c:v>
                </c:pt>
                <c:pt idx="58">
                  <c:v>42480</c:v>
                </c:pt>
                <c:pt idx="59">
                  <c:v>42481</c:v>
                </c:pt>
                <c:pt idx="60">
                  <c:v>42482</c:v>
                </c:pt>
                <c:pt idx="61">
                  <c:v>42485</c:v>
                </c:pt>
                <c:pt idx="62">
                  <c:v>42486</c:v>
                </c:pt>
                <c:pt idx="63">
                  <c:v>42487</c:v>
                </c:pt>
                <c:pt idx="64">
                  <c:v>42488</c:v>
                </c:pt>
                <c:pt idx="65">
                  <c:v>42489</c:v>
                </c:pt>
                <c:pt idx="66">
                  <c:v>42492</c:v>
                </c:pt>
                <c:pt idx="67">
                  <c:v>42493</c:v>
                </c:pt>
                <c:pt idx="68">
                  <c:v>42494</c:v>
                </c:pt>
                <c:pt idx="69">
                  <c:v>42495</c:v>
                </c:pt>
                <c:pt idx="70">
                  <c:v>42496</c:v>
                </c:pt>
                <c:pt idx="71">
                  <c:v>42499</c:v>
                </c:pt>
                <c:pt idx="72">
                  <c:v>42500</c:v>
                </c:pt>
                <c:pt idx="73">
                  <c:v>42501</c:v>
                </c:pt>
                <c:pt idx="74">
                  <c:v>42502</c:v>
                </c:pt>
                <c:pt idx="75">
                  <c:v>42503</c:v>
                </c:pt>
                <c:pt idx="76">
                  <c:v>42506</c:v>
                </c:pt>
                <c:pt idx="77">
                  <c:v>42507</c:v>
                </c:pt>
                <c:pt idx="78">
                  <c:v>42508</c:v>
                </c:pt>
                <c:pt idx="79">
                  <c:v>42509</c:v>
                </c:pt>
                <c:pt idx="80">
                  <c:v>42510</c:v>
                </c:pt>
                <c:pt idx="81">
                  <c:v>42513</c:v>
                </c:pt>
                <c:pt idx="82">
                  <c:v>42514</c:v>
                </c:pt>
                <c:pt idx="83">
                  <c:v>42515</c:v>
                </c:pt>
                <c:pt idx="84">
                  <c:v>42516</c:v>
                </c:pt>
                <c:pt idx="85">
                  <c:v>42517</c:v>
                </c:pt>
                <c:pt idx="86">
                  <c:v>42520</c:v>
                </c:pt>
                <c:pt idx="87">
                  <c:v>42521</c:v>
                </c:pt>
                <c:pt idx="88">
                  <c:v>42522</c:v>
                </c:pt>
                <c:pt idx="89">
                  <c:v>42523</c:v>
                </c:pt>
                <c:pt idx="90">
                  <c:v>42524</c:v>
                </c:pt>
                <c:pt idx="91">
                  <c:v>42527</c:v>
                </c:pt>
                <c:pt idx="92">
                  <c:v>42528</c:v>
                </c:pt>
                <c:pt idx="93">
                  <c:v>42529</c:v>
                </c:pt>
                <c:pt idx="94">
                  <c:v>42530</c:v>
                </c:pt>
                <c:pt idx="95">
                  <c:v>42531</c:v>
                </c:pt>
                <c:pt idx="96">
                  <c:v>42534</c:v>
                </c:pt>
                <c:pt idx="97">
                  <c:v>42535</c:v>
                </c:pt>
                <c:pt idx="98">
                  <c:v>42536</c:v>
                </c:pt>
                <c:pt idx="99">
                  <c:v>42537</c:v>
                </c:pt>
                <c:pt idx="100">
                  <c:v>42538</c:v>
                </c:pt>
                <c:pt idx="101">
                  <c:v>42541</c:v>
                </c:pt>
                <c:pt idx="102">
                  <c:v>42542</c:v>
                </c:pt>
                <c:pt idx="103">
                  <c:v>42543</c:v>
                </c:pt>
                <c:pt idx="104">
                  <c:v>42544</c:v>
                </c:pt>
                <c:pt idx="105">
                  <c:v>42545</c:v>
                </c:pt>
                <c:pt idx="106">
                  <c:v>42548</c:v>
                </c:pt>
                <c:pt idx="107">
                  <c:v>42549</c:v>
                </c:pt>
                <c:pt idx="108">
                  <c:v>42550</c:v>
                </c:pt>
                <c:pt idx="109">
                  <c:v>42551</c:v>
                </c:pt>
                <c:pt idx="110">
                  <c:v>42552</c:v>
                </c:pt>
                <c:pt idx="111">
                  <c:v>42555</c:v>
                </c:pt>
                <c:pt idx="112">
                  <c:v>42556</c:v>
                </c:pt>
                <c:pt idx="113">
                  <c:v>42557</c:v>
                </c:pt>
                <c:pt idx="114">
                  <c:v>42558</c:v>
                </c:pt>
                <c:pt idx="115">
                  <c:v>42559</c:v>
                </c:pt>
                <c:pt idx="116">
                  <c:v>42562</c:v>
                </c:pt>
                <c:pt idx="117">
                  <c:v>42563</c:v>
                </c:pt>
                <c:pt idx="118">
                  <c:v>42564</c:v>
                </c:pt>
                <c:pt idx="119">
                  <c:v>42565</c:v>
                </c:pt>
                <c:pt idx="120">
                  <c:v>42566</c:v>
                </c:pt>
                <c:pt idx="121">
                  <c:v>42569</c:v>
                </c:pt>
                <c:pt idx="122">
                  <c:v>42570</c:v>
                </c:pt>
                <c:pt idx="123">
                  <c:v>42571</c:v>
                </c:pt>
                <c:pt idx="124">
                  <c:v>42572</c:v>
                </c:pt>
                <c:pt idx="125">
                  <c:v>42573</c:v>
                </c:pt>
                <c:pt idx="126">
                  <c:v>42576</c:v>
                </c:pt>
                <c:pt idx="127">
                  <c:v>42577</c:v>
                </c:pt>
                <c:pt idx="128">
                  <c:v>42578</c:v>
                </c:pt>
                <c:pt idx="129">
                  <c:v>42579</c:v>
                </c:pt>
                <c:pt idx="130">
                  <c:v>42580</c:v>
                </c:pt>
                <c:pt idx="131">
                  <c:v>42583</c:v>
                </c:pt>
                <c:pt idx="132">
                  <c:v>42584</c:v>
                </c:pt>
                <c:pt idx="133">
                  <c:v>42585</c:v>
                </c:pt>
                <c:pt idx="134">
                  <c:v>42586</c:v>
                </c:pt>
                <c:pt idx="135">
                  <c:v>42587</c:v>
                </c:pt>
                <c:pt idx="136">
                  <c:v>42590</c:v>
                </c:pt>
                <c:pt idx="137">
                  <c:v>42591</c:v>
                </c:pt>
                <c:pt idx="138">
                  <c:v>42592</c:v>
                </c:pt>
                <c:pt idx="139">
                  <c:v>42593</c:v>
                </c:pt>
                <c:pt idx="140">
                  <c:v>42594</c:v>
                </c:pt>
                <c:pt idx="141">
                  <c:v>42597</c:v>
                </c:pt>
                <c:pt idx="142">
                  <c:v>42598</c:v>
                </c:pt>
                <c:pt idx="143">
                  <c:v>42599</c:v>
                </c:pt>
                <c:pt idx="144">
                  <c:v>42600</c:v>
                </c:pt>
                <c:pt idx="145">
                  <c:v>42601</c:v>
                </c:pt>
                <c:pt idx="146">
                  <c:v>42604</c:v>
                </c:pt>
                <c:pt idx="147">
                  <c:v>42605</c:v>
                </c:pt>
                <c:pt idx="148">
                  <c:v>42606</c:v>
                </c:pt>
                <c:pt idx="149">
                  <c:v>42607</c:v>
                </c:pt>
                <c:pt idx="150">
                  <c:v>42608</c:v>
                </c:pt>
                <c:pt idx="151">
                  <c:v>42611</c:v>
                </c:pt>
                <c:pt idx="152">
                  <c:v>42612</c:v>
                </c:pt>
                <c:pt idx="153">
                  <c:v>42613</c:v>
                </c:pt>
                <c:pt idx="154">
                  <c:v>42614</c:v>
                </c:pt>
                <c:pt idx="155">
                  <c:v>42615</c:v>
                </c:pt>
                <c:pt idx="156">
                  <c:v>42618</c:v>
                </c:pt>
                <c:pt idx="157">
                  <c:v>42619</c:v>
                </c:pt>
                <c:pt idx="158">
                  <c:v>42620</c:v>
                </c:pt>
                <c:pt idx="159">
                  <c:v>42621</c:v>
                </c:pt>
                <c:pt idx="160">
                  <c:v>42622</c:v>
                </c:pt>
                <c:pt idx="161">
                  <c:v>42625</c:v>
                </c:pt>
                <c:pt idx="162">
                  <c:v>42626</c:v>
                </c:pt>
                <c:pt idx="163">
                  <c:v>42627</c:v>
                </c:pt>
                <c:pt idx="164">
                  <c:v>42628</c:v>
                </c:pt>
                <c:pt idx="165">
                  <c:v>42629</c:v>
                </c:pt>
                <c:pt idx="166">
                  <c:v>42632</c:v>
                </c:pt>
                <c:pt idx="167">
                  <c:v>42633</c:v>
                </c:pt>
                <c:pt idx="168">
                  <c:v>42634</c:v>
                </c:pt>
                <c:pt idx="169">
                  <c:v>42635</c:v>
                </c:pt>
                <c:pt idx="170">
                  <c:v>42636</c:v>
                </c:pt>
                <c:pt idx="171">
                  <c:v>42639</c:v>
                </c:pt>
                <c:pt idx="172">
                  <c:v>42640</c:v>
                </c:pt>
                <c:pt idx="173">
                  <c:v>42641</c:v>
                </c:pt>
                <c:pt idx="174">
                  <c:v>42642</c:v>
                </c:pt>
                <c:pt idx="175">
                  <c:v>42643</c:v>
                </c:pt>
                <c:pt idx="176">
                  <c:v>42646</c:v>
                </c:pt>
                <c:pt idx="177">
                  <c:v>42647</c:v>
                </c:pt>
                <c:pt idx="178">
                  <c:v>42648</c:v>
                </c:pt>
                <c:pt idx="179">
                  <c:v>42649</c:v>
                </c:pt>
                <c:pt idx="180">
                  <c:v>42650</c:v>
                </c:pt>
                <c:pt idx="181">
                  <c:v>42653</c:v>
                </c:pt>
                <c:pt idx="182">
                  <c:v>42654</c:v>
                </c:pt>
                <c:pt idx="183">
                  <c:v>42655</c:v>
                </c:pt>
                <c:pt idx="184">
                  <c:v>42656</c:v>
                </c:pt>
                <c:pt idx="185">
                  <c:v>42657</c:v>
                </c:pt>
                <c:pt idx="186">
                  <c:v>42660</c:v>
                </c:pt>
                <c:pt idx="187">
                  <c:v>42661</c:v>
                </c:pt>
                <c:pt idx="188">
                  <c:v>42662</c:v>
                </c:pt>
                <c:pt idx="189">
                  <c:v>42663</c:v>
                </c:pt>
                <c:pt idx="190">
                  <c:v>42664</c:v>
                </c:pt>
                <c:pt idx="191">
                  <c:v>42667</c:v>
                </c:pt>
                <c:pt idx="192">
                  <c:v>42668</c:v>
                </c:pt>
                <c:pt idx="193">
                  <c:v>42669</c:v>
                </c:pt>
                <c:pt idx="194">
                  <c:v>42670</c:v>
                </c:pt>
                <c:pt idx="195">
                  <c:v>42671</c:v>
                </c:pt>
                <c:pt idx="196">
                  <c:v>42674</c:v>
                </c:pt>
                <c:pt idx="197">
                  <c:v>42675</c:v>
                </c:pt>
                <c:pt idx="198">
                  <c:v>42676</c:v>
                </c:pt>
                <c:pt idx="199">
                  <c:v>42677</c:v>
                </c:pt>
                <c:pt idx="200">
                  <c:v>42678</c:v>
                </c:pt>
                <c:pt idx="201">
                  <c:v>42681</c:v>
                </c:pt>
                <c:pt idx="202">
                  <c:v>42682</c:v>
                </c:pt>
                <c:pt idx="203">
                  <c:v>42683</c:v>
                </c:pt>
                <c:pt idx="204">
                  <c:v>42684</c:v>
                </c:pt>
                <c:pt idx="205">
                  <c:v>42685</c:v>
                </c:pt>
                <c:pt idx="206">
                  <c:v>42688</c:v>
                </c:pt>
                <c:pt idx="207">
                  <c:v>42689</c:v>
                </c:pt>
                <c:pt idx="208">
                  <c:v>42690</c:v>
                </c:pt>
                <c:pt idx="209">
                  <c:v>42691</c:v>
                </c:pt>
                <c:pt idx="210">
                  <c:v>42692</c:v>
                </c:pt>
                <c:pt idx="211">
                  <c:v>42695</c:v>
                </c:pt>
                <c:pt idx="212">
                  <c:v>42696</c:v>
                </c:pt>
                <c:pt idx="213">
                  <c:v>42697</c:v>
                </c:pt>
                <c:pt idx="214">
                  <c:v>42698</c:v>
                </c:pt>
                <c:pt idx="215">
                  <c:v>42699</c:v>
                </c:pt>
                <c:pt idx="216">
                  <c:v>42702</c:v>
                </c:pt>
                <c:pt idx="217">
                  <c:v>42703</c:v>
                </c:pt>
                <c:pt idx="218">
                  <c:v>42704</c:v>
                </c:pt>
                <c:pt idx="219">
                  <c:v>42705</c:v>
                </c:pt>
                <c:pt idx="220">
                  <c:v>42706</c:v>
                </c:pt>
                <c:pt idx="221">
                  <c:v>42709</c:v>
                </c:pt>
                <c:pt idx="222">
                  <c:v>42710</c:v>
                </c:pt>
                <c:pt idx="223">
                  <c:v>42711</c:v>
                </c:pt>
                <c:pt idx="224">
                  <c:v>42712</c:v>
                </c:pt>
                <c:pt idx="225">
                  <c:v>42713</c:v>
                </c:pt>
                <c:pt idx="226">
                  <c:v>42716</c:v>
                </c:pt>
                <c:pt idx="227">
                  <c:v>42717</c:v>
                </c:pt>
                <c:pt idx="228">
                  <c:v>42718</c:v>
                </c:pt>
                <c:pt idx="229">
                  <c:v>42719</c:v>
                </c:pt>
                <c:pt idx="230">
                  <c:v>42720</c:v>
                </c:pt>
                <c:pt idx="231">
                  <c:v>42723</c:v>
                </c:pt>
                <c:pt idx="232">
                  <c:v>42724</c:v>
                </c:pt>
                <c:pt idx="233">
                  <c:v>42725</c:v>
                </c:pt>
                <c:pt idx="234">
                  <c:v>42726</c:v>
                </c:pt>
                <c:pt idx="235">
                  <c:v>42727</c:v>
                </c:pt>
                <c:pt idx="236">
                  <c:v>42730</c:v>
                </c:pt>
                <c:pt idx="237">
                  <c:v>42731</c:v>
                </c:pt>
                <c:pt idx="238">
                  <c:v>42732</c:v>
                </c:pt>
                <c:pt idx="239">
                  <c:v>42733</c:v>
                </c:pt>
                <c:pt idx="240">
                  <c:v>42734</c:v>
                </c:pt>
                <c:pt idx="241">
                  <c:v>42737</c:v>
                </c:pt>
                <c:pt idx="242">
                  <c:v>42738</c:v>
                </c:pt>
                <c:pt idx="243">
                  <c:v>42739</c:v>
                </c:pt>
                <c:pt idx="244">
                  <c:v>42740</c:v>
                </c:pt>
                <c:pt idx="245">
                  <c:v>42741</c:v>
                </c:pt>
                <c:pt idx="246">
                  <c:v>42744</c:v>
                </c:pt>
                <c:pt idx="247">
                  <c:v>42745</c:v>
                </c:pt>
                <c:pt idx="248">
                  <c:v>42746</c:v>
                </c:pt>
                <c:pt idx="249">
                  <c:v>42747</c:v>
                </c:pt>
                <c:pt idx="250">
                  <c:v>42748</c:v>
                </c:pt>
                <c:pt idx="251">
                  <c:v>42751</c:v>
                </c:pt>
                <c:pt idx="252">
                  <c:v>42752</c:v>
                </c:pt>
                <c:pt idx="253">
                  <c:v>42753</c:v>
                </c:pt>
                <c:pt idx="254">
                  <c:v>42754</c:v>
                </c:pt>
                <c:pt idx="255">
                  <c:v>42755</c:v>
                </c:pt>
                <c:pt idx="256">
                  <c:v>42758</c:v>
                </c:pt>
                <c:pt idx="257">
                  <c:v>42759</c:v>
                </c:pt>
                <c:pt idx="258">
                  <c:v>42760</c:v>
                </c:pt>
                <c:pt idx="259">
                  <c:v>42761</c:v>
                </c:pt>
                <c:pt idx="260">
                  <c:v>42762</c:v>
                </c:pt>
                <c:pt idx="261">
                  <c:v>42765</c:v>
                </c:pt>
                <c:pt idx="262">
                  <c:v>42766</c:v>
                </c:pt>
                <c:pt idx="263">
                  <c:v>42767</c:v>
                </c:pt>
                <c:pt idx="264">
                  <c:v>42768</c:v>
                </c:pt>
                <c:pt idx="265">
                  <c:v>42769</c:v>
                </c:pt>
                <c:pt idx="266">
                  <c:v>42772</c:v>
                </c:pt>
                <c:pt idx="267">
                  <c:v>42773</c:v>
                </c:pt>
                <c:pt idx="268">
                  <c:v>42774</c:v>
                </c:pt>
                <c:pt idx="269">
                  <c:v>42775</c:v>
                </c:pt>
                <c:pt idx="270">
                  <c:v>42776</c:v>
                </c:pt>
                <c:pt idx="271">
                  <c:v>42779</c:v>
                </c:pt>
                <c:pt idx="272">
                  <c:v>42780</c:v>
                </c:pt>
                <c:pt idx="273">
                  <c:v>42781</c:v>
                </c:pt>
                <c:pt idx="274">
                  <c:v>42782</c:v>
                </c:pt>
                <c:pt idx="275">
                  <c:v>42783</c:v>
                </c:pt>
                <c:pt idx="276">
                  <c:v>42786</c:v>
                </c:pt>
                <c:pt idx="277">
                  <c:v>42787</c:v>
                </c:pt>
                <c:pt idx="278">
                  <c:v>42788</c:v>
                </c:pt>
                <c:pt idx="279">
                  <c:v>42789</c:v>
                </c:pt>
                <c:pt idx="280">
                  <c:v>42790</c:v>
                </c:pt>
                <c:pt idx="281">
                  <c:v>42793</c:v>
                </c:pt>
                <c:pt idx="282">
                  <c:v>42794</c:v>
                </c:pt>
                <c:pt idx="283">
                  <c:v>42795</c:v>
                </c:pt>
                <c:pt idx="284">
                  <c:v>42796</c:v>
                </c:pt>
                <c:pt idx="285">
                  <c:v>42797</c:v>
                </c:pt>
                <c:pt idx="286">
                  <c:v>42800</c:v>
                </c:pt>
                <c:pt idx="287">
                  <c:v>42801</c:v>
                </c:pt>
                <c:pt idx="288">
                  <c:v>42802</c:v>
                </c:pt>
                <c:pt idx="289">
                  <c:v>42803</c:v>
                </c:pt>
                <c:pt idx="290">
                  <c:v>42804</c:v>
                </c:pt>
                <c:pt idx="291">
                  <c:v>42807</c:v>
                </c:pt>
                <c:pt idx="292">
                  <c:v>42808</c:v>
                </c:pt>
                <c:pt idx="293">
                  <c:v>42809</c:v>
                </c:pt>
                <c:pt idx="294">
                  <c:v>42810</c:v>
                </c:pt>
                <c:pt idx="295">
                  <c:v>42811</c:v>
                </c:pt>
                <c:pt idx="296">
                  <c:v>42814</c:v>
                </c:pt>
                <c:pt idx="297">
                  <c:v>42815</c:v>
                </c:pt>
                <c:pt idx="298">
                  <c:v>42816</c:v>
                </c:pt>
                <c:pt idx="299">
                  <c:v>42817</c:v>
                </c:pt>
                <c:pt idx="300">
                  <c:v>42818</c:v>
                </c:pt>
                <c:pt idx="301">
                  <c:v>42821</c:v>
                </c:pt>
                <c:pt idx="302">
                  <c:v>42822</c:v>
                </c:pt>
                <c:pt idx="303">
                  <c:v>42823</c:v>
                </c:pt>
                <c:pt idx="304">
                  <c:v>42824</c:v>
                </c:pt>
                <c:pt idx="305">
                  <c:v>42825</c:v>
                </c:pt>
                <c:pt idx="306">
                  <c:v>42828</c:v>
                </c:pt>
                <c:pt idx="307">
                  <c:v>42829</c:v>
                </c:pt>
                <c:pt idx="308">
                  <c:v>42830</c:v>
                </c:pt>
                <c:pt idx="309">
                  <c:v>42831</c:v>
                </c:pt>
                <c:pt idx="310">
                  <c:v>42832</c:v>
                </c:pt>
                <c:pt idx="311">
                  <c:v>42835</c:v>
                </c:pt>
                <c:pt idx="312">
                  <c:v>42836</c:v>
                </c:pt>
                <c:pt idx="313">
                  <c:v>42837</c:v>
                </c:pt>
                <c:pt idx="314">
                  <c:v>42838</c:v>
                </c:pt>
                <c:pt idx="315">
                  <c:v>42839</c:v>
                </c:pt>
                <c:pt idx="316">
                  <c:v>42842</c:v>
                </c:pt>
                <c:pt idx="317">
                  <c:v>42843</c:v>
                </c:pt>
                <c:pt idx="318">
                  <c:v>42844</c:v>
                </c:pt>
                <c:pt idx="319">
                  <c:v>42845</c:v>
                </c:pt>
                <c:pt idx="320">
                  <c:v>42846</c:v>
                </c:pt>
                <c:pt idx="321">
                  <c:v>42849</c:v>
                </c:pt>
                <c:pt idx="322">
                  <c:v>42850</c:v>
                </c:pt>
                <c:pt idx="323">
                  <c:v>42851</c:v>
                </c:pt>
                <c:pt idx="324">
                  <c:v>42852</c:v>
                </c:pt>
                <c:pt idx="325">
                  <c:v>42853</c:v>
                </c:pt>
                <c:pt idx="326">
                  <c:v>42856</c:v>
                </c:pt>
                <c:pt idx="327">
                  <c:v>42857</c:v>
                </c:pt>
                <c:pt idx="328">
                  <c:v>42858</c:v>
                </c:pt>
                <c:pt idx="329">
                  <c:v>42859</c:v>
                </c:pt>
                <c:pt idx="330">
                  <c:v>42860</c:v>
                </c:pt>
                <c:pt idx="331">
                  <c:v>42863</c:v>
                </c:pt>
                <c:pt idx="332">
                  <c:v>42864</c:v>
                </c:pt>
                <c:pt idx="333">
                  <c:v>42865</c:v>
                </c:pt>
                <c:pt idx="334">
                  <c:v>42866</c:v>
                </c:pt>
                <c:pt idx="335">
                  <c:v>42867</c:v>
                </c:pt>
                <c:pt idx="336">
                  <c:v>42870</c:v>
                </c:pt>
                <c:pt idx="337">
                  <c:v>42871</c:v>
                </c:pt>
                <c:pt idx="338">
                  <c:v>42872</c:v>
                </c:pt>
                <c:pt idx="339">
                  <c:v>42873</c:v>
                </c:pt>
                <c:pt idx="340">
                  <c:v>42874</c:v>
                </c:pt>
                <c:pt idx="341">
                  <c:v>42877</c:v>
                </c:pt>
                <c:pt idx="342">
                  <c:v>42878</c:v>
                </c:pt>
                <c:pt idx="343">
                  <c:v>42879</c:v>
                </c:pt>
                <c:pt idx="344">
                  <c:v>42880</c:v>
                </c:pt>
                <c:pt idx="345">
                  <c:v>42881</c:v>
                </c:pt>
                <c:pt idx="346">
                  <c:v>42884</c:v>
                </c:pt>
                <c:pt idx="347">
                  <c:v>42885</c:v>
                </c:pt>
                <c:pt idx="348">
                  <c:v>42886</c:v>
                </c:pt>
                <c:pt idx="349">
                  <c:v>42887</c:v>
                </c:pt>
                <c:pt idx="350">
                  <c:v>42888</c:v>
                </c:pt>
                <c:pt idx="351">
                  <c:v>42891</c:v>
                </c:pt>
                <c:pt idx="352">
                  <c:v>42892</c:v>
                </c:pt>
                <c:pt idx="353">
                  <c:v>42893</c:v>
                </c:pt>
                <c:pt idx="354">
                  <c:v>42894</c:v>
                </c:pt>
                <c:pt idx="355">
                  <c:v>42895</c:v>
                </c:pt>
                <c:pt idx="356">
                  <c:v>42898</c:v>
                </c:pt>
                <c:pt idx="357">
                  <c:v>42899</c:v>
                </c:pt>
                <c:pt idx="358">
                  <c:v>42900</c:v>
                </c:pt>
                <c:pt idx="359">
                  <c:v>42901</c:v>
                </c:pt>
                <c:pt idx="360">
                  <c:v>42902</c:v>
                </c:pt>
                <c:pt idx="361">
                  <c:v>42905</c:v>
                </c:pt>
                <c:pt idx="362">
                  <c:v>42906</c:v>
                </c:pt>
                <c:pt idx="363">
                  <c:v>42907</c:v>
                </c:pt>
                <c:pt idx="364">
                  <c:v>42908</c:v>
                </c:pt>
                <c:pt idx="365">
                  <c:v>42909</c:v>
                </c:pt>
                <c:pt idx="366">
                  <c:v>42912</c:v>
                </c:pt>
                <c:pt idx="367">
                  <c:v>42913</c:v>
                </c:pt>
                <c:pt idx="368">
                  <c:v>42914</c:v>
                </c:pt>
                <c:pt idx="369">
                  <c:v>42915</c:v>
                </c:pt>
                <c:pt idx="370">
                  <c:v>42916</c:v>
                </c:pt>
                <c:pt idx="371">
                  <c:v>42919</c:v>
                </c:pt>
                <c:pt idx="372">
                  <c:v>42920</c:v>
                </c:pt>
                <c:pt idx="373">
                  <c:v>42921</c:v>
                </c:pt>
                <c:pt idx="374">
                  <c:v>42922</c:v>
                </c:pt>
                <c:pt idx="375">
                  <c:v>42923</c:v>
                </c:pt>
                <c:pt idx="376">
                  <c:v>42926</c:v>
                </c:pt>
                <c:pt idx="377">
                  <c:v>42927</c:v>
                </c:pt>
                <c:pt idx="378">
                  <c:v>42928</c:v>
                </c:pt>
                <c:pt idx="379">
                  <c:v>42929</c:v>
                </c:pt>
                <c:pt idx="380">
                  <c:v>42930</c:v>
                </c:pt>
                <c:pt idx="381">
                  <c:v>42933</c:v>
                </c:pt>
                <c:pt idx="382">
                  <c:v>42934</c:v>
                </c:pt>
                <c:pt idx="383">
                  <c:v>42935</c:v>
                </c:pt>
                <c:pt idx="384">
                  <c:v>42936</c:v>
                </c:pt>
                <c:pt idx="385">
                  <c:v>42937</c:v>
                </c:pt>
                <c:pt idx="386">
                  <c:v>42940</c:v>
                </c:pt>
                <c:pt idx="387">
                  <c:v>42941</c:v>
                </c:pt>
                <c:pt idx="388">
                  <c:v>42942</c:v>
                </c:pt>
                <c:pt idx="389">
                  <c:v>42943</c:v>
                </c:pt>
                <c:pt idx="390">
                  <c:v>42944</c:v>
                </c:pt>
                <c:pt idx="391">
                  <c:v>42947</c:v>
                </c:pt>
                <c:pt idx="392">
                  <c:v>42948</c:v>
                </c:pt>
                <c:pt idx="393">
                  <c:v>42949</c:v>
                </c:pt>
                <c:pt idx="394">
                  <c:v>42950</c:v>
                </c:pt>
                <c:pt idx="395">
                  <c:v>42951</c:v>
                </c:pt>
                <c:pt idx="396">
                  <c:v>42954</c:v>
                </c:pt>
                <c:pt idx="397">
                  <c:v>42955</c:v>
                </c:pt>
                <c:pt idx="398">
                  <c:v>42956</c:v>
                </c:pt>
                <c:pt idx="399">
                  <c:v>42957</c:v>
                </c:pt>
                <c:pt idx="400">
                  <c:v>42958</c:v>
                </c:pt>
                <c:pt idx="401">
                  <c:v>42961</c:v>
                </c:pt>
                <c:pt idx="402">
                  <c:v>42962</c:v>
                </c:pt>
                <c:pt idx="403">
                  <c:v>42963</c:v>
                </c:pt>
                <c:pt idx="404">
                  <c:v>42964</c:v>
                </c:pt>
                <c:pt idx="405">
                  <c:v>42965</c:v>
                </c:pt>
                <c:pt idx="406">
                  <c:v>42968</c:v>
                </c:pt>
                <c:pt idx="407">
                  <c:v>42969</c:v>
                </c:pt>
                <c:pt idx="408">
                  <c:v>42970</c:v>
                </c:pt>
                <c:pt idx="409">
                  <c:v>42971</c:v>
                </c:pt>
                <c:pt idx="410">
                  <c:v>42972</c:v>
                </c:pt>
                <c:pt idx="411">
                  <c:v>42975</c:v>
                </c:pt>
                <c:pt idx="412">
                  <c:v>42976</c:v>
                </c:pt>
                <c:pt idx="413">
                  <c:v>42977</c:v>
                </c:pt>
                <c:pt idx="414">
                  <c:v>42978</c:v>
                </c:pt>
                <c:pt idx="415">
                  <c:v>42979</c:v>
                </c:pt>
                <c:pt idx="416">
                  <c:v>42982</c:v>
                </c:pt>
                <c:pt idx="417">
                  <c:v>42983</c:v>
                </c:pt>
                <c:pt idx="418">
                  <c:v>42984</c:v>
                </c:pt>
                <c:pt idx="419">
                  <c:v>42985</c:v>
                </c:pt>
                <c:pt idx="420">
                  <c:v>42986</c:v>
                </c:pt>
                <c:pt idx="421">
                  <c:v>42989</c:v>
                </c:pt>
                <c:pt idx="422">
                  <c:v>42990</c:v>
                </c:pt>
                <c:pt idx="423">
                  <c:v>42991</c:v>
                </c:pt>
                <c:pt idx="424">
                  <c:v>42992</c:v>
                </c:pt>
                <c:pt idx="425">
                  <c:v>42993</c:v>
                </c:pt>
                <c:pt idx="426">
                  <c:v>42996</c:v>
                </c:pt>
                <c:pt idx="427">
                  <c:v>42997</c:v>
                </c:pt>
                <c:pt idx="428">
                  <c:v>42998</c:v>
                </c:pt>
                <c:pt idx="429">
                  <c:v>42999</c:v>
                </c:pt>
                <c:pt idx="430">
                  <c:v>43000</c:v>
                </c:pt>
                <c:pt idx="431">
                  <c:v>43003</c:v>
                </c:pt>
                <c:pt idx="432">
                  <c:v>43004</c:v>
                </c:pt>
                <c:pt idx="433">
                  <c:v>43005</c:v>
                </c:pt>
                <c:pt idx="434">
                  <c:v>43006</c:v>
                </c:pt>
                <c:pt idx="435">
                  <c:v>43007</c:v>
                </c:pt>
                <c:pt idx="436">
                  <c:v>43010</c:v>
                </c:pt>
                <c:pt idx="437">
                  <c:v>43011</c:v>
                </c:pt>
                <c:pt idx="438">
                  <c:v>43012</c:v>
                </c:pt>
                <c:pt idx="439">
                  <c:v>43013</c:v>
                </c:pt>
                <c:pt idx="440">
                  <c:v>43014</c:v>
                </c:pt>
                <c:pt idx="441">
                  <c:v>43017</c:v>
                </c:pt>
                <c:pt idx="442">
                  <c:v>43018</c:v>
                </c:pt>
                <c:pt idx="443">
                  <c:v>43019</c:v>
                </c:pt>
                <c:pt idx="444">
                  <c:v>43020</c:v>
                </c:pt>
                <c:pt idx="445">
                  <c:v>43021</c:v>
                </c:pt>
                <c:pt idx="446">
                  <c:v>43024</c:v>
                </c:pt>
                <c:pt idx="447">
                  <c:v>43025</c:v>
                </c:pt>
                <c:pt idx="448">
                  <c:v>43026</c:v>
                </c:pt>
                <c:pt idx="449">
                  <c:v>43027</c:v>
                </c:pt>
                <c:pt idx="450">
                  <c:v>43028</c:v>
                </c:pt>
                <c:pt idx="451">
                  <c:v>43031</c:v>
                </c:pt>
                <c:pt idx="452">
                  <c:v>43032</c:v>
                </c:pt>
                <c:pt idx="453">
                  <c:v>43033</c:v>
                </c:pt>
                <c:pt idx="454">
                  <c:v>43034</c:v>
                </c:pt>
                <c:pt idx="455">
                  <c:v>43035</c:v>
                </c:pt>
                <c:pt idx="456">
                  <c:v>43038</c:v>
                </c:pt>
                <c:pt idx="457">
                  <c:v>43039</c:v>
                </c:pt>
                <c:pt idx="458">
                  <c:v>43040</c:v>
                </c:pt>
                <c:pt idx="459">
                  <c:v>43041</c:v>
                </c:pt>
                <c:pt idx="460">
                  <c:v>43042</c:v>
                </c:pt>
                <c:pt idx="461">
                  <c:v>43045</c:v>
                </c:pt>
                <c:pt idx="462">
                  <c:v>43046</c:v>
                </c:pt>
                <c:pt idx="463">
                  <c:v>43047</c:v>
                </c:pt>
                <c:pt idx="464">
                  <c:v>43048</c:v>
                </c:pt>
                <c:pt idx="465">
                  <c:v>43049</c:v>
                </c:pt>
                <c:pt idx="466">
                  <c:v>43052</c:v>
                </c:pt>
                <c:pt idx="467">
                  <c:v>43053</c:v>
                </c:pt>
                <c:pt idx="468">
                  <c:v>43054</c:v>
                </c:pt>
                <c:pt idx="469">
                  <c:v>43055</c:v>
                </c:pt>
                <c:pt idx="470">
                  <c:v>43056</c:v>
                </c:pt>
                <c:pt idx="471">
                  <c:v>43059</c:v>
                </c:pt>
                <c:pt idx="472">
                  <c:v>43060</c:v>
                </c:pt>
                <c:pt idx="473">
                  <c:v>43061</c:v>
                </c:pt>
                <c:pt idx="474">
                  <c:v>43062</c:v>
                </c:pt>
                <c:pt idx="475">
                  <c:v>43063</c:v>
                </c:pt>
                <c:pt idx="476">
                  <c:v>43066</c:v>
                </c:pt>
                <c:pt idx="477">
                  <c:v>43067</c:v>
                </c:pt>
                <c:pt idx="478">
                  <c:v>43068</c:v>
                </c:pt>
                <c:pt idx="479">
                  <c:v>43069</c:v>
                </c:pt>
                <c:pt idx="480">
                  <c:v>43070</c:v>
                </c:pt>
                <c:pt idx="481">
                  <c:v>43073</c:v>
                </c:pt>
                <c:pt idx="482">
                  <c:v>43074</c:v>
                </c:pt>
                <c:pt idx="483">
                  <c:v>43075</c:v>
                </c:pt>
                <c:pt idx="484">
                  <c:v>43076</c:v>
                </c:pt>
                <c:pt idx="485">
                  <c:v>43077</c:v>
                </c:pt>
                <c:pt idx="486">
                  <c:v>43080</c:v>
                </c:pt>
                <c:pt idx="487">
                  <c:v>43081</c:v>
                </c:pt>
                <c:pt idx="488">
                  <c:v>43082</c:v>
                </c:pt>
                <c:pt idx="489">
                  <c:v>43083</c:v>
                </c:pt>
                <c:pt idx="490">
                  <c:v>43084</c:v>
                </c:pt>
                <c:pt idx="491">
                  <c:v>43087</c:v>
                </c:pt>
                <c:pt idx="492">
                  <c:v>43088</c:v>
                </c:pt>
                <c:pt idx="493">
                  <c:v>43089</c:v>
                </c:pt>
                <c:pt idx="494">
                  <c:v>43090</c:v>
                </c:pt>
                <c:pt idx="495">
                  <c:v>43091</c:v>
                </c:pt>
                <c:pt idx="496">
                  <c:v>43094</c:v>
                </c:pt>
                <c:pt idx="497">
                  <c:v>43095</c:v>
                </c:pt>
                <c:pt idx="498">
                  <c:v>43096</c:v>
                </c:pt>
                <c:pt idx="499">
                  <c:v>43097</c:v>
                </c:pt>
                <c:pt idx="500">
                  <c:v>43098</c:v>
                </c:pt>
                <c:pt idx="501">
                  <c:v>43101</c:v>
                </c:pt>
                <c:pt idx="502">
                  <c:v>43102</c:v>
                </c:pt>
                <c:pt idx="503">
                  <c:v>43103</c:v>
                </c:pt>
                <c:pt idx="504">
                  <c:v>43104</c:v>
                </c:pt>
                <c:pt idx="505">
                  <c:v>43105</c:v>
                </c:pt>
                <c:pt idx="506">
                  <c:v>43108</c:v>
                </c:pt>
                <c:pt idx="507">
                  <c:v>43109</c:v>
                </c:pt>
                <c:pt idx="508">
                  <c:v>43110</c:v>
                </c:pt>
                <c:pt idx="509">
                  <c:v>43111</c:v>
                </c:pt>
                <c:pt idx="510">
                  <c:v>43112</c:v>
                </c:pt>
                <c:pt idx="511">
                  <c:v>43115</c:v>
                </c:pt>
                <c:pt idx="512">
                  <c:v>43116</c:v>
                </c:pt>
                <c:pt idx="513">
                  <c:v>43117</c:v>
                </c:pt>
                <c:pt idx="514">
                  <c:v>43118</c:v>
                </c:pt>
                <c:pt idx="515">
                  <c:v>43119</c:v>
                </c:pt>
                <c:pt idx="516">
                  <c:v>43122</c:v>
                </c:pt>
                <c:pt idx="517">
                  <c:v>43123</c:v>
                </c:pt>
                <c:pt idx="518">
                  <c:v>43124</c:v>
                </c:pt>
                <c:pt idx="519">
                  <c:v>43125</c:v>
                </c:pt>
                <c:pt idx="520">
                  <c:v>43126</c:v>
                </c:pt>
                <c:pt idx="521">
                  <c:v>43129</c:v>
                </c:pt>
                <c:pt idx="522">
                  <c:v>43130</c:v>
                </c:pt>
                <c:pt idx="523">
                  <c:v>43131</c:v>
                </c:pt>
                <c:pt idx="524">
                  <c:v>43132</c:v>
                </c:pt>
                <c:pt idx="525">
                  <c:v>43133</c:v>
                </c:pt>
                <c:pt idx="526">
                  <c:v>43136</c:v>
                </c:pt>
                <c:pt idx="527">
                  <c:v>43137</c:v>
                </c:pt>
                <c:pt idx="528">
                  <c:v>43138</c:v>
                </c:pt>
                <c:pt idx="529">
                  <c:v>43139</c:v>
                </c:pt>
                <c:pt idx="530">
                  <c:v>43140</c:v>
                </c:pt>
                <c:pt idx="531">
                  <c:v>43143</c:v>
                </c:pt>
                <c:pt idx="532">
                  <c:v>43144</c:v>
                </c:pt>
                <c:pt idx="533">
                  <c:v>43145</c:v>
                </c:pt>
                <c:pt idx="534">
                  <c:v>43146</c:v>
                </c:pt>
                <c:pt idx="535">
                  <c:v>43147</c:v>
                </c:pt>
                <c:pt idx="536">
                  <c:v>43150</c:v>
                </c:pt>
                <c:pt idx="537">
                  <c:v>43151</c:v>
                </c:pt>
                <c:pt idx="538">
                  <c:v>43152</c:v>
                </c:pt>
                <c:pt idx="539">
                  <c:v>43153</c:v>
                </c:pt>
                <c:pt idx="540">
                  <c:v>43154</c:v>
                </c:pt>
                <c:pt idx="541">
                  <c:v>43157</c:v>
                </c:pt>
                <c:pt idx="542">
                  <c:v>43158</c:v>
                </c:pt>
                <c:pt idx="543">
                  <c:v>43159</c:v>
                </c:pt>
              </c:numCache>
            </c:numRef>
          </c:cat>
          <c:val>
            <c:numRef>
              <c:f>'Currency Raw'!$O$2:$O$545</c:f>
              <c:numCache>
                <c:formatCode>General</c:formatCode>
                <c:ptCount val="544"/>
                <c:pt idx="1">
                  <c:v>0.89017803560712327</c:v>
                </c:pt>
                <c:pt idx="2">
                  <c:v>0.22504500900180888</c:v>
                </c:pt>
                <c:pt idx="3">
                  <c:v>2.5805161032206487</c:v>
                </c:pt>
                <c:pt idx="4">
                  <c:v>2.7255451090218039</c:v>
                </c:pt>
                <c:pt idx="5">
                  <c:v>2.3829765953190623</c:v>
                </c:pt>
                <c:pt idx="6">
                  <c:v>2.3829765953190623</c:v>
                </c:pt>
                <c:pt idx="7">
                  <c:v>2.3829765953190623</c:v>
                </c:pt>
                <c:pt idx="8">
                  <c:v>1.7478495699139847</c:v>
                </c:pt>
                <c:pt idx="9">
                  <c:v>0.16753350670133846</c:v>
                </c:pt>
                <c:pt idx="10">
                  <c:v>-9.5019003800760782E-2</c:v>
                </c:pt>
                <c:pt idx="11">
                  <c:v>3.2506501300262024E-2</c:v>
                </c:pt>
                <c:pt idx="12">
                  <c:v>-1.7103420684136721</c:v>
                </c:pt>
                <c:pt idx="13">
                  <c:v>0.22504500900180888</c:v>
                </c:pt>
                <c:pt idx="14">
                  <c:v>-0.75765153030604993</c:v>
                </c:pt>
                <c:pt idx="15">
                  <c:v>-0.57011402280456469</c:v>
                </c:pt>
                <c:pt idx="16">
                  <c:v>1.3302660532106512</c:v>
                </c:pt>
                <c:pt idx="17">
                  <c:v>1.0102020404080814</c:v>
                </c:pt>
                <c:pt idx="18">
                  <c:v>1.0377075415083039</c:v>
                </c:pt>
                <c:pt idx="19">
                  <c:v>1.0677135427085407</c:v>
                </c:pt>
                <c:pt idx="20">
                  <c:v>-2.000400080015783E-2</c:v>
                </c:pt>
                <c:pt idx="21">
                  <c:v>-0.41758351670334465</c:v>
                </c:pt>
                <c:pt idx="22">
                  <c:v>1.070214042808566</c:v>
                </c:pt>
                <c:pt idx="23">
                  <c:v>2.7755551110222094</c:v>
                </c:pt>
                <c:pt idx="24">
                  <c:v>4.8234646929385843</c:v>
                </c:pt>
                <c:pt idx="25">
                  <c:v>6.7963592718543655</c:v>
                </c:pt>
                <c:pt idx="26">
                  <c:v>5.3260652130426109</c:v>
                </c:pt>
                <c:pt idx="27">
                  <c:v>5.8161632326465327</c:v>
                </c:pt>
                <c:pt idx="28">
                  <c:v>7.1889377875575127</c:v>
                </c:pt>
                <c:pt idx="29">
                  <c:v>8.7067413482696612</c:v>
                </c:pt>
                <c:pt idx="30">
                  <c:v>9.5819163832766545</c:v>
                </c:pt>
                <c:pt idx="31">
                  <c:v>9.6069213842768519</c:v>
                </c:pt>
                <c:pt idx="32">
                  <c:v>6.2112422484496941</c:v>
                </c:pt>
                <c:pt idx="33">
                  <c:v>4.7834566913382686</c:v>
                </c:pt>
                <c:pt idx="34">
                  <c:v>8.7342468493698728</c:v>
                </c:pt>
                <c:pt idx="35">
                  <c:v>9.9769953990798168</c:v>
                </c:pt>
                <c:pt idx="36">
                  <c:v>9.851970394078819</c:v>
                </c:pt>
                <c:pt idx="37">
                  <c:v>10.382076415283056</c:v>
                </c:pt>
                <c:pt idx="38">
                  <c:v>8.2841568313662766</c:v>
                </c:pt>
                <c:pt idx="39">
                  <c:v>7.8015603120624197</c:v>
                </c:pt>
                <c:pt idx="40">
                  <c:v>7.9965993198639689</c:v>
                </c:pt>
                <c:pt idx="41">
                  <c:v>9.0768153630726136</c:v>
                </c:pt>
                <c:pt idx="42">
                  <c:v>8.5342068413682721</c:v>
                </c:pt>
                <c:pt idx="43">
                  <c:v>9.3668733746749364</c:v>
                </c:pt>
                <c:pt idx="44">
                  <c:v>10.887177435487096</c:v>
                </c:pt>
                <c:pt idx="45">
                  <c:v>11.137227445489103</c:v>
                </c:pt>
                <c:pt idx="46">
                  <c:v>9.3868773754750929</c:v>
                </c:pt>
                <c:pt idx="47">
                  <c:v>7.9915983196639413</c:v>
                </c:pt>
                <c:pt idx="48">
                  <c:v>8.9367873574714984</c:v>
                </c:pt>
                <c:pt idx="49">
                  <c:v>7.7615523104620925</c:v>
                </c:pt>
                <c:pt idx="50">
                  <c:v>10.222044408881784</c:v>
                </c:pt>
                <c:pt idx="51">
                  <c:v>12.670034006801359</c:v>
                </c:pt>
                <c:pt idx="52">
                  <c:v>12.760052010402079</c:v>
                </c:pt>
                <c:pt idx="53">
                  <c:v>12.525005001000203</c:v>
                </c:pt>
                <c:pt idx="54">
                  <c:v>12.910082016403285</c:v>
                </c:pt>
                <c:pt idx="55">
                  <c:v>11.679835967193446</c:v>
                </c:pt>
                <c:pt idx="56">
                  <c:v>9.5869173834766936</c:v>
                </c:pt>
                <c:pt idx="57">
                  <c:v>11.677335467093421</c:v>
                </c:pt>
                <c:pt idx="58">
                  <c:v>11.742348469693944</c:v>
                </c:pt>
                <c:pt idx="59">
                  <c:v>11.742348469693944</c:v>
                </c:pt>
                <c:pt idx="60">
                  <c:v>10.824664932986598</c:v>
                </c:pt>
                <c:pt idx="61">
                  <c:v>11.027205441088213</c:v>
                </c:pt>
                <c:pt idx="62">
                  <c:v>11.744848969793958</c:v>
                </c:pt>
                <c:pt idx="63">
                  <c:v>11.804860972194444</c:v>
                </c:pt>
                <c:pt idx="64">
                  <c:v>12.757551510302065</c:v>
                </c:pt>
                <c:pt idx="65">
                  <c:v>14.087817563512706</c:v>
                </c:pt>
                <c:pt idx="66">
                  <c:v>12.717543508701739</c:v>
                </c:pt>
                <c:pt idx="67">
                  <c:v>10.857171434286862</c:v>
                </c:pt>
                <c:pt idx="68">
                  <c:v>11.697339467893578</c:v>
                </c:pt>
                <c:pt idx="69">
                  <c:v>11.717343468693747</c:v>
                </c:pt>
                <c:pt idx="70">
                  <c:v>12.264952990598117</c:v>
                </c:pt>
                <c:pt idx="71">
                  <c:v>11.007201440288055</c:v>
                </c:pt>
                <c:pt idx="72">
                  <c:v>12.835067013402682</c:v>
                </c:pt>
                <c:pt idx="73">
                  <c:v>13.425185037007406</c:v>
                </c:pt>
                <c:pt idx="74">
                  <c:v>13.192638527705542</c:v>
                </c:pt>
                <c:pt idx="75">
                  <c:v>12.219943988797763</c:v>
                </c:pt>
                <c:pt idx="76">
                  <c:v>12.452490498099625</c:v>
                </c:pt>
                <c:pt idx="77">
                  <c:v>12.332466493298657</c:v>
                </c:pt>
                <c:pt idx="78">
                  <c:v>11.692338467693538</c:v>
                </c:pt>
                <c:pt idx="79">
                  <c:v>9.9419883976795393</c:v>
                </c:pt>
                <c:pt idx="80">
                  <c:v>11.537307461492304</c:v>
                </c:pt>
                <c:pt idx="81">
                  <c:v>10.5996199239848</c:v>
                </c:pt>
                <c:pt idx="82">
                  <c:v>10.992198439687938</c:v>
                </c:pt>
                <c:pt idx="83">
                  <c:v>10.082016403280655</c:v>
                </c:pt>
                <c:pt idx="84">
                  <c:v>10.387077415483096</c:v>
                </c:pt>
                <c:pt idx="85">
                  <c:v>9.8119623924785024</c:v>
                </c:pt>
                <c:pt idx="86">
                  <c:v>10.104520904180839</c:v>
                </c:pt>
                <c:pt idx="87">
                  <c:v>10.054510902180432</c:v>
                </c:pt>
                <c:pt idx="88">
                  <c:v>9.7094418883776772</c:v>
                </c:pt>
                <c:pt idx="89">
                  <c:v>10.167033406681337</c:v>
                </c:pt>
                <c:pt idx="90">
                  <c:v>11.657331466293263</c:v>
                </c:pt>
                <c:pt idx="91">
                  <c:v>12.43998799759952</c:v>
                </c:pt>
                <c:pt idx="92">
                  <c:v>13.772754550910186</c:v>
                </c:pt>
                <c:pt idx="93">
                  <c:v>15.400580116023201</c:v>
                </c:pt>
                <c:pt idx="94">
                  <c:v>15.378075615123029</c:v>
                </c:pt>
                <c:pt idx="95">
                  <c:v>14.330366073214645</c:v>
                </c:pt>
                <c:pt idx="96">
                  <c:v>13.455191038207643</c:v>
                </c:pt>
                <c:pt idx="97">
                  <c:v>12.697539507901581</c:v>
                </c:pt>
                <c:pt idx="98">
                  <c:v>13.572714542908585</c:v>
                </c:pt>
                <c:pt idx="99">
                  <c:v>13.190138027605517</c:v>
                </c:pt>
                <c:pt idx="100">
                  <c:v>14.292858571714346</c:v>
                </c:pt>
                <c:pt idx="101">
                  <c:v>15.038007601520304</c:v>
                </c:pt>
                <c:pt idx="102">
                  <c:v>14.927985597119422</c:v>
                </c:pt>
                <c:pt idx="103">
                  <c:v>15.643128625725142</c:v>
                </c:pt>
                <c:pt idx="104">
                  <c:v>16.100720144028806</c:v>
                </c:pt>
                <c:pt idx="105">
                  <c:v>15.260552110422084</c:v>
                </c:pt>
                <c:pt idx="106">
                  <c:v>14.685437087417483</c:v>
                </c:pt>
                <c:pt idx="107">
                  <c:v>17.220944188837763</c:v>
                </c:pt>
                <c:pt idx="108">
                  <c:v>18.706241248249651</c:v>
                </c:pt>
                <c:pt idx="109">
                  <c:v>20.361572314462897</c:v>
                </c:pt>
                <c:pt idx="110">
                  <c:v>19.348869773954792</c:v>
                </c:pt>
                <c:pt idx="111">
                  <c:v>18.776255251050213</c:v>
                </c:pt>
                <c:pt idx="112">
                  <c:v>17.448489697939586</c:v>
                </c:pt>
                <c:pt idx="113">
                  <c:v>16.983396679335875</c:v>
                </c:pt>
                <c:pt idx="114">
                  <c:v>16.203240648129629</c:v>
                </c:pt>
                <c:pt idx="115">
                  <c:v>17.786057211442287</c:v>
                </c:pt>
                <c:pt idx="116">
                  <c:v>17.273454690938195</c:v>
                </c:pt>
                <c:pt idx="117">
                  <c:v>18.11862372474495</c:v>
                </c:pt>
                <c:pt idx="118">
                  <c:v>17.858571714342865</c:v>
                </c:pt>
                <c:pt idx="119">
                  <c:v>19.198839767953597</c:v>
                </c:pt>
                <c:pt idx="120">
                  <c:v>18.203640728145633</c:v>
                </c:pt>
                <c:pt idx="121">
                  <c:v>18.708741748349674</c:v>
                </c:pt>
                <c:pt idx="122">
                  <c:v>18.191138227645528</c:v>
                </c:pt>
                <c:pt idx="123">
                  <c:v>18.598719743948795</c:v>
                </c:pt>
                <c:pt idx="124">
                  <c:v>17.988597719543915</c:v>
                </c:pt>
                <c:pt idx="125">
                  <c:v>17.693538707741556</c:v>
                </c:pt>
                <c:pt idx="126">
                  <c:v>17.798559711942392</c:v>
                </c:pt>
                <c:pt idx="127">
                  <c:v>18.21864372874575</c:v>
                </c:pt>
                <c:pt idx="128">
                  <c:v>17.781056211242248</c:v>
                </c:pt>
                <c:pt idx="129">
                  <c:v>18.003600720144032</c:v>
                </c:pt>
                <c:pt idx="130">
                  <c:v>18.918783756751353</c:v>
                </c:pt>
                <c:pt idx="131">
                  <c:v>18.311162232446488</c:v>
                </c:pt>
                <c:pt idx="132">
                  <c:v>18.421184236847367</c:v>
                </c:pt>
                <c:pt idx="133">
                  <c:v>18.793758751750357</c:v>
                </c:pt>
                <c:pt idx="134">
                  <c:v>19.738947789557916</c:v>
                </c:pt>
                <c:pt idx="135">
                  <c:v>20.334066813362675</c:v>
                </c:pt>
                <c:pt idx="136">
                  <c:v>20.501600320064014</c:v>
                </c:pt>
                <c:pt idx="137">
                  <c:v>21.46679335867174</c:v>
                </c:pt>
                <c:pt idx="138">
                  <c:v>21.556811362272452</c:v>
                </c:pt>
                <c:pt idx="139">
                  <c:v>21.509301860372069</c:v>
                </c:pt>
                <c:pt idx="140">
                  <c:v>20.656631326265259</c:v>
                </c:pt>
                <c:pt idx="141">
                  <c:v>20.619123824764959</c:v>
                </c:pt>
                <c:pt idx="142">
                  <c:v>20.511602320464092</c:v>
                </c:pt>
                <c:pt idx="143">
                  <c:v>19.346369273854776</c:v>
                </c:pt>
                <c:pt idx="144">
                  <c:v>18.99629925985197</c:v>
                </c:pt>
                <c:pt idx="145">
                  <c:v>19.263852770554109</c:v>
                </c:pt>
                <c:pt idx="146">
                  <c:v>19.476395279055815</c:v>
                </c:pt>
                <c:pt idx="147">
                  <c:v>19.438887777555514</c:v>
                </c:pt>
                <c:pt idx="148">
                  <c:v>19.311362272454492</c:v>
                </c:pt>
                <c:pt idx="149">
                  <c:v>19.311362272454492</c:v>
                </c:pt>
                <c:pt idx="150">
                  <c:v>18.988797759551918</c:v>
                </c:pt>
                <c:pt idx="151">
                  <c:v>18.69123824764953</c:v>
                </c:pt>
                <c:pt idx="152">
                  <c:v>18.58621724344869</c:v>
                </c:pt>
                <c:pt idx="153">
                  <c:v>19.121324264852969</c:v>
                </c:pt>
                <c:pt idx="154">
                  <c:v>18.988797759551918</c:v>
                </c:pt>
                <c:pt idx="155">
                  <c:v>18.746249249849974</c:v>
                </c:pt>
                <c:pt idx="156">
                  <c:v>18.193638727745554</c:v>
                </c:pt>
                <c:pt idx="157">
                  <c:v>19.471394278855776</c:v>
                </c:pt>
                <c:pt idx="158">
                  <c:v>19.983996799359868</c:v>
                </c:pt>
                <c:pt idx="159">
                  <c:v>20.014002800560117</c:v>
                </c:pt>
                <c:pt idx="160">
                  <c:v>18.261152230446093</c:v>
                </c:pt>
                <c:pt idx="161">
                  <c:v>18.083616723344676</c:v>
                </c:pt>
                <c:pt idx="162">
                  <c:v>16.925885177035411</c:v>
                </c:pt>
                <c:pt idx="163">
                  <c:v>16.735847169433892</c:v>
                </c:pt>
                <c:pt idx="164">
                  <c:v>16.775855171034205</c:v>
                </c:pt>
                <c:pt idx="165">
                  <c:v>17.846069213842775</c:v>
                </c:pt>
                <c:pt idx="166">
                  <c:v>18.406181236247249</c:v>
                </c:pt>
                <c:pt idx="167">
                  <c:v>18.383676735347066</c:v>
                </c:pt>
                <c:pt idx="168">
                  <c:v>18.991298259651931</c:v>
                </c:pt>
                <c:pt idx="169">
                  <c:v>19.736447289457889</c:v>
                </c:pt>
                <c:pt idx="170">
                  <c:v>19.231346269253848</c:v>
                </c:pt>
                <c:pt idx="171">
                  <c:v>19.253850770154031</c:v>
                </c:pt>
                <c:pt idx="172">
                  <c:v>19.131326265253048</c:v>
                </c:pt>
                <c:pt idx="173">
                  <c:v>18.838767753550712</c:v>
                </c:pt>
                <c:pt idx="174">
                  <c:v>19.231346269253848</c:v>
                </c:pt>
                <c:pt idx="175">
                  <c:v>18.866273254650935</c:v>
                </c:pt>
                <c:pt idx="176">
                  <c:v>19.341368273654737</c:v>
                </c:pt>
                <c:pt idx="177">
                  <c:v>18.776255251050213</c:v>
                </c:pt>
                <c:pt idx="178">
                  <c:v>19.203840768153636</c:v>
                </c:pt>
                <c:pt idx="179">
                  <c:v>19.25885177035407</c:v>
                </c:pt>
                <c:pt idx="180">
                  <c:v>19.376375275055015</c:v>
                </c:pt>
                <c:pt idx="181">
                  <c:v>19.653930786157233</c:v>
                </c:pt>
                <c:pt idx="182">
                  <c:v>19.78895779155831</c:v>
                </c:pt>
                <c:pt idx="183">
                  <c:v>20.104020804160839</c:v>
                </c:pt>
                <c:pt idx="184">
                  <c:v>20.069013802760551</c:v>
                </c:pt>
                <c:pt idx="185">
                  <c:v>20.139027805561117</c:v>
                </c:pt>
                <c:pt idx="186">
                  <c:v>20.036507301460286</c:v>
                </c:pt>
                <c:pt idx="187">
                  <c:v>20.561612322464498</c:v>
                </c:pt>
                <c:pt idx="188">
                  <c:v>20.691638327665533</c:v>
                </c:pt>
                <c:pt idx="189">
                  <c:v>21.114222844568921</c:v>
                </c:pt>
                <c:pt idx="190">
                  <c:v>20.966693338667739</c:v>
                </c:pt>
                <c:pt idx="191">
                  <c:v>21.966893378675742</c:v>
                </c:pt>
                <c:pt idx="192">
                  <c:v>22.254450890178038</c:v>
                </c:pt>
                <c:pt idx="193">
                  <c:v>21.624324864972998</c:v>
                </c:pt>
                <c:pt idx="194">
                  <c:v>21.119223844768957</c:v>
                </c:pt>
                <c:pt idx="195">
                  <c:v>20.534106821364276</c:v>
                </c:pt>
                <c:pt idx="196">
                  <c:v>20.401580316063214</c:v>
                </c:pt>
                <c:pt idx="197">
                  <c:v>18.756251250250056</c:v>
                </c:pt>
                <c:pt idx="198">
                  <c:v>19.063812762552509</c:v>
                </c:pt>
                <c:pt idx="199">
                  <c:v>19.118823764752953</c:v>
                </c:pt>
                <c:pt idx="200">
                  <c:v>19.538907781556315</c:v>
                </c:pt>
                <c:pt idx="201">
                  <c:v>19.956491298259657</c:v>
                </c:pt>
                <c:pt idx="202">
                  <c:v>20.694138827765549</c:v>
                </c:pt>
                <c:pt idx="203">
                  <c:v>19.918983796759356</c:v>
                </c:pt>
                <c:pt idx="204">
                  <c:v>15.905681136227242</c:v>
                </c:pt>
                <c:pt idx="205">
                  <c:v>15.083016603320667</c:v>
                </c:pt>
                <c:pt idx="206">
                  <c:v>13.8377675535107</c:v>
                </c:pt>
                <c:pt idx="207">
                  <c:v>14.120324064812968</c:v>
                </c:pt>
                <c:pt idx="208">
                  <c:v>14.442888577715552</c:v>
                </c:pt>
                <c:pt idx="209">
                  <c:v>14.330366073214645</c:v>
                </c:pt>
                <c:pt idx="210">
                  <c:v>15.298059611922387</c:v>
                </c:pt>
                <c:pt idx="211">
                  <c:v>16.275755151030207</c:v>
                </c:pt>
                <c:pt idx="212">
                  <c:v>15.998199639927989</c:v>
                </c:pt>
                <c:pt idx="213">
                  <c:v>15.150530106021206</c:v>
                </c:pt>
                <c:pt idx="214">
                  <c:v>15.075515103020603</c:v>
                </c:pt>
                <c:pt idx="215">
                  <c:v>14.532906581316263</c:v>
                </c:pt>
                <c:pt idx="216">
                  <c:v>15.215543108621732</c:v>
                </c:pt>
                <c:pt idx="217">
                  <c:v>15.070514102820564</c:v>
                </c:pt>
                <c:pt idx="218">
                  <c:v>15.15803160632127</c:v>
                </c:pt>
                <c:pt idx="219">
                  <c:v>13.07011402280456</c:v>
                </c:pt>
                <c:pt idx="220">
                  <c:v>13.315163032606526</c:v>
                </c:pt>
                <c:pt idx="221">
                  <c:v>14.32786557311462</c:v>
                </c:pt>
                <c:pt idx="222">
                  <c:v>14.772954590918189</c:v>
                </c:pt>
                <c:pt idx="223">
                  <c:v>14.690438087617522</c:v>
                </c:pt>
                <c:pt idx="224">
                  <c:v>15.385577115423082</c:v>
                </c:pt>
                <c:pt idx="225">
                  <c:v>15.7631526305261</c:v>
                </c:pt>
                <c:pt idx="226">
                  <c:v>16.250750150030012</c:v>
                </c:pt>
                <c:pt idx="227">
                  <c:v>16.783356671334275</c:v>
                </c:pt>
                <c:pt idx="228">
                  <c:v>16.633326665333069</c:v>
                </c:pt>
                <c:pt idx="229">
                  <c:v>15.710642128425691</c:v>
                </c:pt>
                <c:pt idx="230">
                  <c:v>15.160532106421284</c:v>
                </c:pt>
                <c:pt idx="231">
                  <c:v>15.593118623724747</c:v>
                </c:pt>
                <c:pt idx="232">
                  <c:v>16.173234646929391</c:v>
                </c:pt>
                <c:pt idx="233">
                  <c:v>16.663332666533314</c:v>
                </c:pt>
                <c:pt idx="234">
                  <c:v>17.435987197439491</c:v>
                </c:pt>
                <c:pt idx="235">
                  <c:v>18.256151230246054</c:v>
                </c:pt>
                <c:pt idx="236">
                  <c:v>17.961092218443692</c:v>
                </c:pt>
                <c:pt idx="237">
                  <c:v>18.081116223244649</c:v>
                </c:pt>
                <c:pt idx="238">
                  <c:v>17.896079215843169</c:v>
                </c:pt>
                <c:pt idx="239">
                  <c:v>18.731246249249857</c:v>
                </c:pt>
                <c:pt idx="240">
                  <c:v>18.618723744748952</c:v>
                </c:pt>
                <c:pt idx="241">
                  <c:v>17.921084216843379</c:v>
                </c:pt>
                <c:pt idx="242">
                  <c:v>18.636227245449096</c:v>
                </c:pt>
                <c:pt idx="243">
                  <c:v>19.40138027605521</c:v>
                </c:pt>
                <c:pt idx="244">
                  <c:v>19.963992798559712</c:v>
                </c:pt>
                <c:pt idx="245">
                  <c:v>19.453890778155632</c:v>
                </c:pt>
                <c:pt idx="246">
                  <c:v>20.031506301260251</c:v>
                </c:pt>
                <c:pt idx="247">
                  <c:v>20.036507301460286</c:v>
                </c:pt>
                <c:pt idx="248">
                  <c:v>20.151530306061218</c:v>
                </c:pt>
                <c:pt idx="249">
                  <c:v>20.606621324264854</c:v>
                </c:pt>
                <c:pt idx="250">
                  <c:v>19.69393878775756</c:v>
                </c:pt>
                <c:pt idx="251">
                  <c:v>19.206341268253652</c:v>
                </c:pt>
                <c:pt idx="252">
                  <c:v>19.663932786557311</c:v>
                </c:pt>
                <c:pt idx="253">
                  <c:v>19.423884776955394</c:v>
                </c:pt>
                <c:pt idx="254">
                  <c:v>20.109021804360879</c:v>
                </c:pt>
                <c:pt idx="255">
                  <c:v>20.606621324264854</c:v>
                </c:pt>
                <c:pt idx="256">
                  <c:v>20.651630326065209</c:v>
                </c:pt>
                <c:pt idx="257">
                  <c:v>20.824164832966598</c:v>
                </c:pt>
                <c:pt idx="258">
                  <c:v>20.729145829165837</c:v>
                </c:pt>
                <c:pt idx="259">
                  <c:v>20.414082816563315</c:v>
                </c:pt>
                <c:pt idx="260">
                  <c:v>21.151730346069222</c:v>
                </c:pt>
                <c:pt idx="261">
                  <c:v>22.076915383076621</c:v>
                </c:pt>
                <c:pt idx="262">
                  <c:v>21.214242848569718</c:v>
                </c:pt>
                <c:pt idx="263">
                  <c:v>21.211742348469695</c:v>
                </c:pt>
                <c:pt idx="264">
                  <c:v>22.024404880976199</c:v>
                </c:pt>
                <c:pt idx="265">
                  <c:v>22.174434886977394</c:v>
                </c:pt>
                <c:pt idx="266">
                  <c:v>21.934386877375481</c:v>
                </c:pt>
                <c:pt idx="267">
                  <c:v>21.874374874974993</c:v>
                </c:pt>
                <c:pt idx="268">
                  <c:v>22.101920384076816</c:v>
                </c:pt>
                <c:pt idx="269">
                  <c:v>21.829365873174638</c:v>
                </c:pt>
                <c:pt idx="270">
                  <c:v>22.196939387877578</c:v>
                </c:pt>
                <c:pt idx="271">
                  <c:v>22.13942788557712</c:v>
                </c:pt>
                <c:pt idx="272">
                  <c:v>22.557011402280452</c:v>
                </c:pt>
                <c:pt idx="273">
                  <c:v>23.462192438487694</c:v>
                </c:pt>
                <c:pt idx="274">
                  <c:v>22.922084416883379</c:v>
                </c:pt>
                <c:pt idx="275">
                  <c:v>22.62952590518104</c:v>
                </c:pt>
                <c:pt idx="276">
                  <c:v>22.724544908981802</c:v>
                </c:pt>
                <c:pt idx="277">
                  <c:v>22.694538907781556</c:v>
                </c:pt>
                <c:pt idx="278">
                  <c:v>22.962092418483692</c:v>
                </c:pt>
                <c:pt idx="279">
                  <c:v>23.372174434886986</c:v>
                </c:pt>
                <c:pt idx="280">
                  <c:v>22.399479895979194</c:v>
                </c:pt>
                <c:pt idx="281">
                  <c:v>22.597019403880779</c:v>
                </c:pt>
                <c:pt idx="282">
                  <c:v>22.597019403880779</c:v>
                </c:pt>
                <c:pt idx="283">
                  <c:v>22.552010402080413</c:v>
                </c:pt>
                <c:pt idx="284">
                  <c:v>21.449289857971596</c:v>
                </c:pt>
                <c:pt idx="285">
                  <c:v>21.566813362672541</c:v>
                </c:pt>
                <c:pt idx="286">
                  <c:v>21.839367873574719</c:v>
                </c:pt>
                <c:pt idx="287">
                  <c:v>22.106921384276855</c:v>
                </c:pt>
                <c:pt idx="288">
                  <c:v>20.846669333866771</c:v>
                </c:pt>
                <c:pt idx="289">
                  <c:v>20.54660932186437</c:v>
                </c:pt>
                <c:pt idx="290">
                  <c:v>21.24174834966993</c:v>
                </c:pt>
                <c:pt idx="291">
                  <c:v>21.096719343868774</c:v>
                </c:pt>
                <c:pt idx="292">
                  <c:v>20.881676335267059</c:v>
                </c:pt>
                <c:pt idx="293">
                  <c:v>20.941688337667529</c:v>
                </c:pt>
                <c:pt idx="294">
                  <c:v>22.339467893578721</c:v>
                </c:pt>
                <c:pt idx="295">
                  <c:v>22.567013402680544</c:v>
                </c:pt>
                <c:pt idx="296">
                  <c:v>23.034606921384281</c:v>
                </c:pt>
                <c:pt idx="297">
                  <c:v>22.722044408881779</c:v>
                </c:pt>
                <c:pt idx="298">
                  <c:v>22.787057411482301</c:v>
                </c:pt>
                <c:pt idx="299">
                  <c:v>21.666833366673341</c:v>
                </c:pt>
                <c:pt idx="300">
                  <c:v>22.141928385677133</c:v>
                </c:pt>
                <c:pt idx="301">
                  <c:v>21.711842368473697</c:v>
                </c:pt>
                <c:pt idx="302">
                  <c:v>21.584316863372674</c:v>
                </c:pt>
                <c:pt idx="303">
                  <c:v>22.009401880376085</c:v>
                </c:pt>
                <c:pt idx="304">
                  <c:v>21.63432686537308</c:v>
                </c:pt>
                <c:pt idx="305">
                  <c:v>21.759351870374076</c:v>
                </c:pt>
                <c:pt idx="306">
                  <c:v>22.096919383876777</c:v>
                </c:pt>
                <c:pt idx="307">
                  <c:v>22.071914382876582</c:v>
                </c:pt>
                <c:pt idx="308">
                  <c:v>22.674534906981396</c:v>
                </c:pt>
                <c:pt idx="309">
                  <c:v>22.114422884576925</c:v>
                </c:pt>
                <c:pt idx="310">
                  <c:v>21.706841368273658</c:v>
                </c:pt>
                <c:pt idx="311">
                  <c:v>21.42928585717144</c:v>
                </c:pt>
                <c:pt idx="312">
                  <c:v>21.584316863372674</c:v>
                </c:pt>
                <c:pt idx="313">
                  <c:v>21.171734346869378</c:v>
                </c:pt>
                <c:pt idx="314">
                  <c:v>21.396779355871175</c:v>
                </c:pt>
                <c:pt idx="315">
                  <c:v>21.391778355671136</c:v>
                </c:pt>
                <c:pt idx="316">
                  <c:v>22.389477895579116</c:v>
                </c:pt>
                <c:pt idx="317">
                  <c:v>22.379475895179034</c:v>
                </c:pt>
                <c:pt idx="318">
                  <c:v>21.566813362672541</c:v>
                </c:pt>
                <c:pt idx="319">
                  <c:v>20.986697339467895</c:v>
                </c:pt>
                <c:pt idx="320">
                  <c:v>21.284256851370273</c:v>
                </c:pt>
                <c:pt idx="321">
                  <c:v>21.764352870574115</c:v>
                </c:pt>
                <c:pt idx="322">
                  <c:v>21.171734346869378</c:v>
                </c:pt>
                <c:pt idx="323">
                  <c:v>19.916483296659333</c:v>
                </c:pt>
                <c:pt idx="324">
                  <c:v>20.614122824564916</c:v>
                </c:pt>
                <c:pt idx="325">
                  <c:v>20.354070814162835</c:v>
                </c:pt>
                <c:pt idx="326">
                  <c:v>20.544108821764357</c:v>
                </c:pt>
                <c:pt idx="327">
                  <c:v>20.746649329865971</c:v>
                </c:pt>
                <c:pt idx="328">
                  <c:v>21.234246849369878</c:v>
                </c:pt>
                <c:pt idx="329">
                  <c:v>20.271554310862179</c:v>
                </c:pt>
                <c:pt idx="330">
                  <c:v>20.441588317663527</c:v>
                </c:pt>
                <c:pt idx="331">
                  <c:v>19.8989797959592</c:v>
                </c:pt>
                <c:pt idx="332">
                  <c:v>20.356571314262858</c:v>
                </c:pt>
                <c:pt idx="333">
                  <c:v>21.031706341268254</c:v>
                </c:pt>
                <c:pt idx="334">
                  <c:v>21.314262852570522</c:v>
                </c:pt>
                <c:pt idx="335">
                  <c:v>21.999399879975993</c:v>
                </c:pt>
                <c:pt idx="336">
                  <c:v>22.364472894578917</c:v>
                </c:pt>
                <c:pt idx="337">
                  <c:v>22.709541908381674</c:v>
                </c:pt>
                <c:pt idx="338">
                  <c:v>22.391978395679139</c:v>
                </c:pt>
                <c:pt idx="339">
                  <c:v>15.658131626325261</c:v>
                </c:pt>
                <c:pt idx="340">
                  <c:v>17.796059211842369</c:v>
                </c:pt>
                <c:pt idx="341">
                  <c:v>17.661032206441291</c:v>
                </c:pt>
                <c:pt idx="342">
                  <c:v>18.003600720144032</c:v>
                </c:pt>
                <c:pt idx="343">
                  <c:v>17.99609921984397</c:v>
                </c:pt>
                <c:pt idx="344">
                  <c:v>17.631026205241053</c:v>
                </c:pt>
                <c:pt idx="345">
                  <c:v>18.311162232446488</c:v>
                </c:pt>
                <c:pt idx="346">
                  <c:v>18.288657731546316</c:v>
                </c:pt>
                <c:pt idx="347">
                  <c:v>18.276155231046211</c:v>
                </c:pt>
                <c:pt idx="348" formatCode="0.00">
                  <c:v>18.716243248649729</c:v>
                </c:pt>
                <c:pt idx="349">
                  <c:v>18.983796759351868</c:v>
                </c:pt>
                <c:pt idx="350">
                  <c:v>18.983796759351868</c:v>
                </c:pt>
                <c:pt idx="351">
                  <c:v>17.733546709341869</c:v>
                </c:pt>
                <c:pt idx="352">
                  <c:v>17.983596719343875</c:v>
                </c:pt>
                <c:pt idx="353">
                  <c:v>17.983596719343875</c:v>
                </c:pt>
                <c:pt idx="354">
                  <c:v>17.983596719343875</c:v>
                </c:pt>
                <c:pt idx="355">
                  <c:v>17.983596719343875</c:v>
                </c:pt>
                <c:pt idx="356">
                  <c:v>16.983396679335875</c:v>
                </c:pt>
                <c:pt idx="357">
                  <c:v>17.483496699339874</c:v>
                </c:pt>
                <c:pt idx="358">
                  <c:v>17.983596719343875</c:v>
                </c:pt>
                <c:pt idx="359">
                  <c:v>18.233646729345871</c:v>
                </c:pt>
                <c:pt idx="360">
                  <c:v>17.733546709341869</c:v>
                </c:pt>
                <c:pt idx="361">
                  <c:v>17.483496699339874</c:v>
                </c:pt>
                <c:pt idx="362">
                  <c:v>16.733346669333869</c:v>
                </c:pt>
                <c:pt idx="363">
                  <c:v>16.733346669333869</c:v>
                </c:pt>
                <c:pt idx="364">
                  <c:v>16.733346669333869</c:v>
                </c:pt>
                <c:pt idx="365">
                  <c:v>16.733346669333869</c:v>
                </c:pt>
                <c:pt idx="366">
                  <c:v>17.233446689337867</c:v>
                </c:pt>
                <c:pt idx="367">
                  <c:v>16.733346669333869</c:v>
                </c:pt>
                <c:pt idx="368">
                  <c:v>17.483496699339874</c:v>
                </c:pt>
                <c:pt idx="369">
                  <c:v>17.233446689337867</c:v>
                </c:pt>
                <c:pt idx="370" formatCode="0.00">
                  <c:v>17.233446689337867</c:v>
                </c:pt>
                <c:pt idx="371">
                  <c:v>17.495999199839968</c:v>
                </c:pt>
                <c:pt idx="372">
                  <c:v>17.408481696339269</c:v>
                </c:pt>
                <c:pt idx="373">
                  <c:v>17.283456691338273</c:v>
                </c:pt>
                <c:pt idx="374">
                  <c:v>17.278455691138234</c:v>
                </c:pt>
                <c:pt idx="375">
                  <c:v>17.916083216643326</c:v>
                </c:pt>
                <c:pt idx="376">
                  <c:v>18.408681736347273</c:v>
                </c:pt>
                <c:pt idx="377">
                  <c:v>18.71124224844969</c:v>
                </c:pt>
                <c:pt idx="378">
                  <c:v>19.586417283456694</c:v>
                </c:pt>
                <c:pt idx="379">
                  <c:v>19.786457291458294</c:v>
                </c:pt>
                <c:pt idx="380">
                  <c:v>20.379075815163031</c:v>
                </c:pt>
                <c:pt idx="381">
                  <c:v>20.504100820164041</c:v>
                </c:pt>
                <c:pt idx="382">
                  <c:v>21.059211842368477</c:v>
                </c:pt>
                <c:pt idx="383">
                  <c:v>21.171734346869378</c:v>
                </c:pt>
                <c:pt idx="384">
                  <c:v>21.669333866773353</c:v>
                </c:pt>
                <c:pt idx="385">
                  <c:v>21.766853370674141</c:v>
                </c:pt>
                <c:pt idx="386">
                  <c:v>21.231746349269855</c:v>
                </c:pt>
                <c:pt idx="387">
                  <c:v>20.739147829565916</c:v>
                </c:pt>
                <c:pt idx="388">
                  <c:v>20.964192838567712</c:v>
                </c:pt>
                <c:pt idx="389">
                  <c:v>21.176735347069421</c:v>
                </c:pt>
                <c:pt idx="390">
                  <c:v>21.381776355271061</c:v>
                </c:pt>
                <c:pt idx="391" formatCode="0.00">
                  <c:v>21.774354870974193</c:v>
                </c:pt>
                <c:pt idx="392">
                  <c:v>22.129425885177039</c:v>
                </c:pt>
                <c:pt idx="393">
                  <c:v>22.029405881176238</c:v>
                </c:pt>
                <c:pt idx="394">
                  <c:v>22.054410882176438</c:v>
                </c:pt>
                <c:pt idx="395">
                  <c:v>21.989397879575915</c:v>
                </c:pt>
                <c:pt idx="396">
                  <c:v>21.811862372474497</c:v>
                </c:pt>
                <c:pt idx="397">
                  <c:v>21.819363872774559</c:v>
                </c:pt>
                <c:pt idx="398">
                  <c:v>21.294258851770351</c:v>
                </c:pt>
                <c:pt idx="399">
                  <c:v>21.124224844969</c:v>
                </c:pt>
                <c:pt idx="400">
                  <c:v>20.996699339867973</c:v>
                </c:pt>
                <c:pt idx="401">
                  <c:v>20.401580316063214</c:v>
                </c:pt>
                <c:pt idx="402">
                  <c:v>20.261552310462097</c:v>
                </c:pt>
                <c:pt idx="403">
                  <c:v>20.85167033406681</c:v>
                </c:pt>
                <c:pt idx="404">
                  <c:v>20.764152830566111</c:v>
                </c:pt>
                <c:pt idx="405">
                  <c:v>21.209241848369683</c:v>
                </c:pt>
                <c:pt idx="406">
                  <c:v>21.244248849769956</c:v>
                </c:pt>
                <c:pt idx="407">
                  <c:v>21.089217843568711</c:v>
                </c:pt>
                <c:pt idx="408">
                  <c:v>21.169233846769352</c:v>
                </c:pt>
                <c:pt idx="409">
                  <c:v>21.609321864372884</c:v>
                </c:pt>
                <c:pt idx="410">
                  <c:v>21.421784356871374</c:v>
                </c:pt>
                <c:pt idx="411">
                  <c:v>21.084216843368672</c:v>
                </c:pt>
                <c:pt idx="412">
                  <c:v>20.764152830566111</c:v>
                </c:pt>
                <c:pt idx="413">
                  <c:v>21.011702340468094</c:v>
                </c:pt>
                <c:pt idx="414" formatCode="0.00">
                  <c:v>21.386777355471096</c:v>
                </c:pt>
                <c:pt idx="415">
                  <c:v>21.641828365673131</c:v>
                </c:pt>
                <c:pt idx="416">
                  <c:v>21.516803360672135</c:v>
                </c:pt>
                <c:pt idx="417">
                  <c:v>21.901880376075216</c:v>
                </c:pt>
                <c:pt idx="418">
                  <c:v>22.369473894778956</c:v>
                </c:pt>
                <c:pt idx="419">
                  <c:v>22.4869973994799</c:v>
                </c:pt>
                <c:pt idx="420">
                  <c:v>22.789557911582314</c:v>
                </c:pt>
                <c:pt idx="421">
                  <c:v>22.762052410482092</c:v>
                </c:pt>
                <c:pt idx="422">
                  <c:v>22.101920384076816</c:v>
                </c:pt>
                <c:pt idx="423">
                  <c:v>21.494298859771952</c:v>
                </c:pt>
                <c:pt idx="424">
                  <c:v>21.659331866373279</c:v>
                </c:pt>
                <c:pt idx="425">
                  <c:v>21.771854370874181</c:v>
                </c:pt>
                <c:pt idx="426">
                  <c:v>21.774354870974193</c:v>
                </c:pt>
                <c:pt idx="427">
                  <c:v>21.619323864772959</c:v>
                </c:pt>
                <c:pt idx="428">
                  <c:v>22.024404880976199</c:v>
                </c:pt>
                <c:pt idx="429">
                  <c:v>21.616823364672936</c:v>
                </c:pt>
                <c:pt idx="430">
                  <c:v>21.809361872374485</c:v>
                </c:pt>
                <c:pt idx="431">
                  <c:v>21.104220844168843</c:v>
                </c:pt>
                <c:pt idx="432">
                  <c:v>20.75165033006602</c:v>
                </c:pt>
                <c:pt idx="433">
                  <c:v>20.381576315263057</c:v>
                </c:pt>
                <c:pt idx="434">
                  <c:v>20.434086817363475</c:v>
                </c:pt>
                <c:pt idx="435" formatCode="0.00">
                  <c:v>20.89417883576715</c:v>
                </c:pt>
                <c:pt idx="436">
                  <c:v>21.014202840568117</c:v>
                </c:pt>
                <c:pt idx="437">
                  <c:v>21.399279855971191</c:v>
                </c:pt>
                <c:pt idx="438">
                  <c:v>21.871874374874981</c:v>
                </c:pt>
                <c:pt idx="439">
                  <c:v>21.544308861772357</c:v>
                </c:pt>
                <c:pt idx="440">
                  <c:v>20.974194838967794</c:v>
                </c:pt>
                <c:pt idx="441">
                  <c:v>20.321564312862574</c:v>
                </c:pt>
                <c:pt idx="442">
                  <c:v>20.559111822364471</c:v>
                </c:pt>
                <c:pt idx="443">
                  <c:v>20.809161832366481</c:v>
                </c:pt>
                <c:pt idx="444">
                  <c:v>20.691638327665533</c:v>
                </c:pt>
                <c:pt idx="445">
                  <c:v>21.044208841768356</c:v>
                </c:pt>
                <c:pt idx="446">
                  <c:v>20.791658331666333</c:v>
                </c:pt>
                <c:pt idx="447">
                  <c:v>20.616623324664932</c:v>
                </c:pt>
                <c:pt idx="448">
                  <c:v>20.691638327665533</c:v>
                </c:pt>
                <c:pt idx="449">
                  <c:v>20.60912182436488</c:v>
                </c:pt>
                <c:pt idx="450">
                  <c:v>20.336567313462687</c:v>
                </c:pt>
                <c:pt idx="451">
                  <c:v>19.60642128425685</c:v>
                </c:pt>
                <c:pt idx="452">
                  <c:v>18.636227245449096</c:v>
                </c:pt>
                <c:pt idx="453">
                  <c:v>18.833766753350673</c:v>
                </c:pt>
                <c:pt idx="454">
                  <c:v>17.926085217043404</c:v>
                </c:pt>
                <c:pt idx="455">
                  <c:v>18.333666733346671</c:v>
                </c:pt>
                <c:pt idx="456">
                  <c:v>18.148629725945188</c:v>
                </c:pt>
                <c:pt idx="457" formatCode="0.00">
                  <c:v>18.008601720344071</c:v>
                </c:pt>
                <c:pt idx="458">
                  <c:v>18.358671734346867</c:v>
                </c:pt>
                <c:pt idx="459">
                  <c:v>18.31866373274655</c:v>
                </c:pt>
                <c:pt idx="460">
                  <c:v>17.350970194038812</c:v>
                </c:pt>
                <c:pt idx="461">
                  <c:v>18.336167233446684</c:v>
                </c:pt>
                <c:pt idx="462">
                  <c:v>18.041108221644333</c:v>
                </c:pt>
                <c:pt idx="463">
                  <c:v>18.683736747349478</c:v>
                </c:pt>
                <c:pt idx="464">
                  <c:v>18.511202240448089</c:v>
                </c:pt>
                <c:pt idx="465">
                  <c:v>18.051110222044414</c:v>
                </c:pt>
                <c:pt idx="466">
                  <c:v>17.566013202640534</c:v>
                </c:pt>
                <c:pt idx="467">
                  <c:v>17.438487697539511</c:v>
                </c:pt>
                <c:pt idx="468">
                  <c:v>17.083416683336676</c:v>
                </c:pt>
                <c:pt idx="469">
                  <c:v>18.001100220044009</c:v>
                </c:pt>
                <c:pt idx="470">
                  <c:v>18.531206241248256</c:v>
                </c:pt>
                <c:pt idx="471">
                  <c:v>18.526205241048206</c:v>
                </c:pt>
                <c:pt idx="472">
                  <c:v>18.828765753150634</c:v>
                </c:pt>
                <c:pt idx="473">
                  <c:v>19.071314262852574</c:v>
                </c:pt>
                <c:pt idx="474">
                  <c:v>19.42638527705541</c:v>
                </c:pt>
                <c:pt idx="475">
                  <c:v>19.393878775755159</c:v>
                </c:pt>
                <c:pt idx="476">
                  <c:v>19.453890778155632</c:v>
                </c:pt>
                <c:pt idx="477">
                  <c:v>19.773954790958189</c:v>
                </c:pt>
                <c:pt idx="478">
                  <c:v>18.921284256851369</c:v>
                </c:pt>
                <c:pt idx="479" formatCode="0.00">
                  <c:v>18.036107221444293</c:v>
                </c:pt>
                <c:pt idx="480">
                  <c:v>18.646229245849174</c:v>
                </c:pt>
                <c:pt idx="481">
                  <c:v>18.888777755551118</c:v>
                </c:pt>
                <c:pt idx="482">
                  <c:v>19.098819763952797</c:v>
                </c:pt>
                <c:pt idx="483">
                  <c:v>18.968793758751747</c:v>
                </c:pt>
                <c:pt idx="484">
                  <c:v>17.721044208841779</c:v>
                </c:pt>
                <c:pt idx="485">
                  <c:v>17.526005201040203</c:v>
                </c:pt>
                <c:pt idx="486">
                  <c:v>17.511002200440085</c:v>
                </c:pt>
                <c:pt idx="487">
                  <c:v>16.720844168833775</c:v>
                </c:pt>
                <c:pt idx="488">
                  <c:v>17.125925185037001</c:v>
                </c:pt>
                <c:pt idx="489">
                  <c:v>16.485797159431886</c:v>
                </c:pt>
                <c:pt idx="490">
                  <c:v>17.240948189637933</c:v>
                </c:pt>
                <c:pt idx="491">
                  <c:v>17.663532706541304</c:v>
                </c:pt>
                <c:pt idx="492">
                  <c:v>17.528505701140229</c:v>
                </c:pt>
                <c:pt idx="493">
                  <c:v>17.783556711342275</c:v>
                </c:pt>
                <c:pt idx="494">
                  <c:v>17.240948189637933</c:v>
                </c:pt>
                <c:pt idx="495">
                  <c:v>16.648329665933183</c:v>
                </c:pt>
                <c:pt idx="496">
                  <c:v>16.508301660332069</c:v>
                </c:pt>
                <c:pt idx="497">
                  <c:v>16.995899179835966</c:v>
                </c:pt>
                <c:pt idx="498">
                  <c:v>17.21844368873775</c:v>
                </c:pt>
                <c:pt idx="499">
                  <c:v>17.328465693138629</c:v>
                </c:pt>
                <c:pt idx="500" formatCode="0.00">
                  <c:v>17.178435687137434</c:v>
                </c:pt>
                <c:pt idx="501">
                  <c:v>17.195939187837567</c:v>
                </c:pt>
                <c:pt idx="502">
                  <c:v>18.513702740548112</c:v>
                </c:pt>
                <c:pt idx="503">
                  <c:v>18.961292258451696</c:v>
                </c:pt>
                <c:pt idx="504">
                  <c:v>19.296359271854371</c:v>
                </c:pt>
                <c:pt idx="505">
                  <c:v>19.218843768753754</c:v>
                </c:pt>
                <c:pt idx="506">
                  <c:v>19.141328265653136</c:v>
                </c:pt>
                <c:pt idx="507">
                  <c:v>18.753750750150029</c:v>
                </c:pt>
                <c:pt idx="508">
                  <c:v>19.181336267253453</c:v>
                </c:pt>
                <c:pt idx="509">
                  <c:v>19.38387677535507</c:v>
                </c:pt>
                <c:pt idx="510">
                  <c:v>19.733946789357873</c:v>
                </c:pt>
                <c:pt idx="511">
                  <c:v>19.91148229645929</c:v>
                </c:pt>
                <c:pt idx="512">
                  <c:v>19.291358271654332</c:v>
                </c:pt>
                <c:pt idx="513">
                  <c:v>19.543908781756354</c:v>
                </c:pt>
                <c:pt idx="514">
                  <c:v>19.713942788557716</c:v>
                </c:pt>
                <c:pt idx="515">
                  <c:v>19.936487297459486</c:v>
                </c:pt>
                <c:pt idx="516">
                  <c:v>19.906481296259251</c:v>
                </c:pt>
                <c:pt idx="517">
                  <c:v>18.988797759551918</c:v>
                </c:pt>
                <c:pt idx="518">
                  <c:v>20.479095819163831</c:v>
                </c:pt>
                <c:pt idx="519">
                  <c:v>21.264252850570113</c:v>
                </c:pt>
                <c:pt idx="520">
                  <c:v>21.29925985197039</c:v>
                </c:pt>
                <c:pt idx="521">
                  <c:v>20.764152830566111</c:v>
                </c:pt>
                <c:pt idx="522">
                  <c:v>20.469093818763753</c:v>
                </c:pt>
                <c:pt idx="523" formatCode="0.00">
                  <c:v>20.349069813962796</c:v>
                </c:pt>
                <c:pt idx="524">
                  <c:v>20.666633326665337</c:v>
                </c:pt>
                <c:pt idx="525">
                  <c:v>19.576415283056615</c:v>
                </c:pt>
                <c:pt idx="526">
                  <c:v>18.921284256851369</c:v>
                </c:pt>
                <c:pt idx="527">
                  <c:v>18.938787757551513</c:v>
                </c:pt>
                <c:pt idx="528">
                  <c:v>18.19613922784557</c:v>
                </c:pt>
                <c:pt idx="529">
                  <c:v>17.623524704940991</c:v>
                </c:pt>
                <c:pt idx="530">
                  <c:v>17.19843968793759</c:v>
                </c:pt>
                <c:pt idx="531">
                  <c:v>17.626025205041014</c:v>
                </c:pt>
                <c:pt idx="532">
                  <c:v>17.626025205041014</c:v>
                </c:pt>
                <c:pt idx="533">
                  <c:v>18.871274254850974</c:v>
                </c:pt>
                <c:pt idx="534">
                  <c:v>19.071314262852574</c:v>
                </c:pt>
                <c:pt idx="535">
                  <c:v>19.746449289857978</c:v>
                </c:pt>
                <c:pt idx="536">
                  <c:v>19.161332266453297</c:v>
                </c:pt>
                <c:pt idx="537">
                  <c:v>18.74874974994999</c:v>
                </c:pt>
                <c:pt idx="538">
                  <c:v>18.628725745149033</c:v>
                </c:pt>
                <c:pt idx="539">
                  <c:v>18.741248249649935</c:v>
                </c:pt>
                <c:pt idx="540">
                  <c:v>19.048809761952391</c:v>
                </c:pt>
                <c:pt idx="541">
                  <c:v>19.05881176235247</c:v>
                </c:pt>
                <c:pt idx="542">
                  <c:v>18.968793758751747</c:v>
                </c:pt>
                <c:pt idx="543" formatCode="0.00">
                  <c:v>18.926285257051408</c:v>
                </c:pt>
              </c:numCache>
            </c:numRef>
          </c:val>
          <c:smooth val="0"/>
        </c:ser>
        <c:ser>
          <c:idx val="5"/>
          <c:order val="5"/>
          <c:tx>
            <c:strRef>
              <c:f>'Currency Raw'!$P$1</c:f>
              <c:strCache>
                <c:ptCount val="1"/>
                <c:pt idx="0">
                  <c:v>Yuan</c:v>
                </c:pt>
              </c:strCache>
            </c:strRef>
          </c:tx>
          <c:marker>
            <c:symbol val="none"/>
          </c:marker>
          <c:cat>
            <c:numRef>
              <c:f>'Currency Raw'!$J$2:$J$545</c:f>
              <c:numCache>
                <c:formatCode>m/d/yyyy</c:formatCode>
                <c:ptCount val="544"/>
                <c:pt idx="1">
                  <c:v>42401</c:v>
                </c:pt>
                <c:pt idx="2">
                  <c:v>42402</c:v>
                </c:pt>
                <c:pt idx="3">
                  <c:v>42403</c:v>
                </c:pt>
                <c:pt idx="4">
                  <c:v>42404</c:v>
                </c:pt>
                <c:pt idx="5">
                  <c:v>42405</c:v>
                </c:pt>
                <c:pt idx="6">
                  <c:v>42408</c:v>
                </c:pt>
                <c:pt idx="7">
                  <c:v>42409</c:v>
                </c:pt>
                <c:pt idx="8">
                  <c:v>42410</c:v>
                </c:pt>
                <c:pt idx="9">
                  <c:v>42411</c:v>
                </c:pt>
                <c:pt idx="10">
                  <c:v>42412</c:v>
                </c:pt>
                <c:pt idx="11">
                  <c:v>42415</c:v>
                </c:pt>
                <c:pt idx="12">
                  <c:v>42416</c:v>
                </c:pt>
                <c:pt idx="13">
                  <c:v>42417</c:v>
                </c:pt>
                <c:pt idx="14">
                  <c:v>42418</c:v>
                </c:pt>
                <c:pt idx="15">
                  <c:v>42419</c:v>
                </c:pt>
                <c:pt idx="16">
                  <c:v>42422</c:v>
                </c:pt>
                <c:pt idx="17">
                  <c:v>42423</c:v>
                </c:pt>
                <c:pt idx="18">
                  <c:v>42424</c:v>
                </c:pt>
                <c:pt idx="19">
                  <c:v>42425</c:v>
                </c:pt>
                <c:pt idx="20">
                  <c:v>42426</c:v>
                </c:pt>
                <c:pt idx="21">
                  <c:v>42429</c:v>
                </c:pt>
                <c:pt idx="22">
                  <c:v>42430</c:v>
                </c:pt>
                <c:pt idx="23">
                  <c:v>42431</c:v>
                </c:pt>
                <c:pt idx="24">
                  <c:v>42432</c:v>
                </c:pt>
                <c:pt idx="25">
                  <c:v>42433</c:v>
                </c:pt>
                <c:pt idx="26">
                  <c:v>42436</c:v>
                </c:pt>
                <c:pt idx="27">
                  <c:v>42437</c:v>
                </c:pt>
                <c:pt idx="28">
                  <c:v>42438</c:v>
                </c:pt>
                <c:pt idx="29">
                  <c:v>42439</c:v>
                </c:pt>
                <c:pt idx="30">
                  <c:v>42440</c:v>
                </c:pt>
                <c:pt idx="31">
                  <c:v>42443</c:v>
                </c:pt>
                <c:pt idx="32">
                  <c:v>42444</c:v>
                </c:pt>
                <c:pt idx="33">
                  <c:v>42445</c:v>
                </c:pt>
                <c:pt idx="34">
                  <c:v>42446</c:v>
                </c:pt>
                <c:pt idx="35">
                  <c:v>42447</c:v>
                </c:pt>
                <c:pt idx="36">
                  <c:v>42450</c:v>
                </c:pt>
                <c:pt idx="37">
                  <c:v>42451</c:v>
                </c:pt>
                <c:pt idx="38">
                  <c:v>42452</c:v>
                </c:pt>
                <c:pt idx="39">
                  <c:v>42453</c:v>
                </c:pt>
                <c:pt idx="40">
                  <c:v>42454</c:v>
                </c:pt>
                <c:pt idx="41">
                  <c:v>42457</c:v>
                </c:pt>
                <c:pt idx="42">
                  <c:v>42458</c:v>
                </c:pt>
                <c:pt idx="43">
                  <c:v>42459</c:v>
                </c:pt>
                <c:pt idx="44">
                  <c:v>42460</c:v>
                </c:pt>
                <c:pt idx="45">
                  <c:v>42461</c:v>
                </c:pt>
                <c:pt idx="46">
                  <c:v>42464</c:v>
                </c:pt>
                <c:pt idx="47">
                  <c:v>42465</c:v>
                </c:pt>
                <c:pt idx="48">
                  <c:v>42466</c:v>
                </c:pt>
                <c:pt idx="49">
                  <c:v>42467</c:v>
                </c:pt>
                <c:pt idx="50">
                  <c:v>42468</c:v>
                </c:pt>
                <c:pt idx="51">
                  <c:v>42471</c:v>
                </c:pt>
                <c:pt idx="52">
                  <c:v>42472</c:v>
                </c:pt>
                <c:pt idx="53">
                  <c:v>42473</c:v>
                </c:pt>
                <c:pt idx="54">
                  <c:v>42474</c:v>
                </c:pt>
                <c:pt idx="55">
                  <c:v>42475</c:v>
                </c:pt>
                <c:pt idx="56">
                  <c:v>42478</c:v>
                </c:pt>
                <c:pt idx="57">
                  <c:v>42479</c:v>
                </c:pt>
                <c:pt idx="58">
                  <c:v>42480</c:v>
                </c:pt>
                <c:pt idx="59">
                  <c:v>42481</c:v>
                </c:pt>
                <c:pt idx="60">
                  <c:v>42482</c:v>
                </c:pt>
                <c:pt idx="61">
                  <c:v>42485</c:v>
                </c:pt>
                <c:pt idx="62">
                  <c:v>42486</c:v>
                </c:pt>
                <c:pt idx="63">
                  <c:v>42487</c:v>
                </c:pt>
                <c:pt idx="64">
                  <c:v>42488</c:v>
                </c:pt>
                <c:pt idx="65">
                  <c:v>42489</c:v>
                </c:pt>
                <c:pt idx="66">
                  <c:v>42492</c:v>
                </c:pt>
                <c:pt idx="67">
                  <c:v>42493</c:v>
                </c:pt>
                <c:pt idx="68">
                  <c:v>42494</c:v>
                </c:pt>
                <c:pt idx="69">
                  <c:v>42495</c:v>
                </c:pt>
                <c:pt idx="70">
                  <c:v>42496</c:v>
                </c:pt>
                <c:pt idx="71">
                  <c:v>42499</c:v>
                </c:pt>
                <c:pt idx="72">
                  <c:v>42500</c:v>
                </c:pt>
                <c:pt idx="73">
                  <c:v>42501</c:v>
                </c:pt>
                <c:pt idx="74">
                  <c:v>42502</c:v>
                </c:pt>
                <c:pt idx="75">
                  <c:v>42503</c:v>
                </c:pt>
                <c:pt idx="76">
                  <c:v>42506</c:v>
                </c:pt>
                <c:pt idx="77">
                  <c:v>42507</c:v>
                </c:pt>
                <c:pt idx="78">
                  <c:v>42508</c:v>
                </c:pt>
                <c:pt idx="79">
                  <c:v>42509</c:v>
                </c:pt>
                <c:pt idx="80">
                  <c:v>42510</c:v>
                </c:pt>
                <c:pt idx="81">
                  <c:v>42513</c:v>
                </c:pt>
                <c:pt idx="82">
                  <c:v>42514</c:v>
                </c:pt>
                <c:pt idx="83">
                  <c:v>42515</c:v>
                </c:pt>
                <c:pt idx="84">
                  <c:v>42516</c:v>
                </c:pt>
                <c:pt idx="85">
                  <c:v>42517</c:v>
                </c:pt>
                <c:pt idx="86">
                  <c:v>42520</c:v>
                </c:pt>
                <c:pt idx="87">
                  <c:v>42521</c:v>
                </c:pt>
                <c:pt idx="88">
                  <c:v>42522</c:v>
                </c:pt>
                <c:pt idx="89">
                  <c:v>42523</c:v>
                </c:pt>
                <c:pt idx="90">
                  <c:v>42524</c:v>
                </c:pt>
                <c:pt idx="91">
                  <c:v>42527</c:v>
                </c:pt>
                <c:pt idx="92">
                  <c:v>42528</c:v>
                </c:pt>
                <c:pt idx="93">
                  <c:v>42529</c:v>
                </c:pt>
                <c:pt idx="94">
                  <c:v>42530</c:v>
                </c:pt>
                <c:pt idx="95">
                  <c:v>42531</c:v>
                </c:pt>
                <c:pt idx="96">
                  <c:v>42534</c:v>
                </c:pt>
                <c:pt idx="97">
                  <c:v>42535</c:v>
                </c:pt>
                <c:pt idx="98">
                  <c:v>42536</c:v>
                </c:pt>
                <c:pt idx="99">
                  <c:v>42537</c:v>
                </c:pt>
                <c:pt idx="100">
                  <c:v>42538</c:v>
                </c:pt>
                <c:pt idx="101">
                  <c:v>42541</c:v>
                </c:pt>
                <c:pt idx="102">
                  <c:v>42542</c:v>
                </c:pt>
                <c:pt idx="103">
                  <c:v>42543</c:v>
                </c:pt>
                <c:pt idx="104">
                  <c:v>42544</c:v>
                </c:pt>
                <c:pt idx="105">
                  <c:v>42545</c:v>
                </c:pt>
                <c:pt idx="106">
                  <c:v>42548</c:v>
                </c:pt>
                <c:pt idx="107">
                  <c:v>42549</c:v>
                </c:pt>
                <c:pt idx="108">
                  <c:v>42550</c:v>
                </c:pt>
                <c:pt idx="109">
                  <c:v>42551</c:v>
                </c:pt>
                <c:pt idx="110">
                  <c:v>42552</c:v>
                </c:pt>
                <c:pt idx="111">
                  <c:v>42555</c:v>
                </c:pt>
                <c:pt idx="112">
                  <c:v>42556</c:v>
                </c:pt>
                <c:pt idx="113">
                  <c:v>42557</c:v>
                </c:pt>
                <c:pt idx="114">
                  <c:v>42558</c:v>
                </c:pt>
                <c:pt idx="115">
                  <c:v>42559</c:v>
                </c:pt>
                <c:pt idx="116">
                  <c:v>42562</c:v>
                </c:pt>
                <c:pt idx="117">
                  <c:v>42563</c:v>
                </c:pt>
                <c:pt idx="118">
                  <c:v>42564</c:v>
                </c:pt>
                <c:pt idx="119">
                  <c:v>42565</c:v>
                </c:pt>
                <c:pt idx="120">
                  <c:v>42566</c:v>
                </c:pt>
                <c:pt idx="121">
                  <c:v>42569</c:v>
                </c:pt>
                <c:pt idx="122">
                  <c:v>42570</c:v>
                </c:pt>
                <c:pt idx="123">
                  <c:v>42571</c:v>
                </c:pt>
                <c:pt idx="124">
                  <c:v>42572</c:v>
                </c:pt>
                <c:pt idx="125">
                  <c:v>42573</c:v>
                </c:pt>
                <c:pt idx="126">
                  <c:v>42576</c:v>
                </c:pt>
                <c:pt idx="127">
                  <c:v>42577</c:v>
                </c:pt>
                <c:pt idx="128">
                  <c:v>42578</c:v>
                </c:pt>
                <c:pt idx="129">
                  <c:v>42579</c:v>
                </c:pt>
                <c:pt idx="130">
                  <c:v>42580</c:v>
                </c:pt>
                <c:pt idx="131">
                  <c:v>42583</c:v>
                </c:pt>
                <c:pt idx="132">
                  <c:v>42584</c:v>
                </c:pt>
                <c:pt idx="133">
                  <c:v>42585</c:v>
                </c:pt>
                <c:pt idx="134">
                  <c:v>42586</c:v>
                </c:pt>
                <c:pt idx="135">
                  <c:v>42587</c:v>
                </c:pt>
                <c:pt idx="136">
                  <c:v>42590</c:v>
                </c:pt>
                <c:pt idx="137">
                  <c:v>42591</c:v>
                </c:pt>
                <c:pt idx="138">
                  <c:v>42592</c:v>
                </c:pt>
                <c:pt idx="139">
                  <c:v>42593</c:v>
                </c:pt>
                <c:pt idx="140">
                  <c:v>42594</c:v>
                </c:pt>
                <c:pt idx="141">
                  <c:v>42597</c:v>
                </c:pt>
                <c:pt idx="142">
                  <c:v>42598</c:v>
                </c:pt>
                <c:pt idx="143">
                  <c:v>42599</c:v>
                </c:pt>
                <c:pt idx="144">
                  <c:v>42600</c:v>
                </c:pt>
                <c:pt idx="145">
                  <c:v>42601</c:v>
                </c:pt>
                <c:pt idx="146">
                  <c:v>42604</c:v>
                </c:pt>
                <c:pt idx="147">
                  <c:v>42605</c:v>
                </c:pt>
                <c:pt idx="148">
                  <c:v>42606</c:v>
                </c:pt>
                <c:pt idx="149">
                  <c:v>42607</c:v>
                </c:pt>
                <c:pt idx="150">
                  <c:v>42608</c:v>
                </c:pt>
                <c:pt idx="151">
                  <c:v>42611</c:v>
                </c:pt>
                <c:pt idx="152">
                  <c:v>42612</c:v>
                </c:pt>
                <c:pt idx="153">
                  <c:v>42613</c:v>
                </c:pt>
                <c:pt idx="154">
                  <c:v>42614</c:v>
                </c:pt>
                <c:pt idx="155">
                  <c:v>42615</c:v>
                </c:pt>
                <c:pt idx="156">
                  <c:v>42618</c:v>
                </c:pt>
                <c:pt idx="157">
                  <c:v>42619</c:v>
                </c:pt>
                <c:pt idx="158">
                  <c:v>42620</c:v>
                </c:pt>
                <c:pt idx="159">
                  <c:v>42621</c:v>
                </c:pt>
                <c:pt idx="160">
                  <c:v>42622</c:v>
                </c:pt>
                <c:pt idx="161">
                  <c:v>42625</c:v>
                </c:pt>
                <c:pt idx="162">
                  <c:v>42626</c:v>
                </c:pt>
                <c:pt idx="163">
                  <c:v>42627</c:v>
                </c:pt>
                <c:pt idx="164">
                  <c:v>42628</c:v>
                </c:pt>
                <c:pt idx="165">
                  <c:v>42629</c:v>
                </c:pt>
                <c:pt idx="166">
                  <c:v>42632</c:v>
                </c:pt>
                <c:pt idx="167">
                  <c:v>42633</c:v>
                </c:pt>
                <c:pt idx="168">
                  <c:v>42634</c:v>
                </c:pt>
                <c:pt idx="169">
                  <c:v>42635</c:v>
                </c:pt>
                <c:pt idx="170">
                  <c:v>42636</c:v>
                </c:pt>
                <c:pt idx="171">
                  <c:v>42639</c:v>
                </c:pt>
                <c:pt idx="172">
                  <c:v>42640</c:v>
                </c:pt>
                <c:pt idx="173">
                  <c:v>42641</c:v>
                </c:pt>
                <c:pt idx="174">
                  <c:v>42642</c:v>
                </c:pt>
                <c:pt idx="175">
                  <c:v>42643</c:v>
                </c:pt>
                <c:pt idx="176">
                  <c:v>42646</c:v>
                </c:pt>
                <c:pt idx="177">
                  <c:v>42647</c:v>
                </c:pt>
                <c:pt idx="178">
                  <c:v>42648</c:v>
                </c:pt>
                <c:pt idx="179">
                  <c:v>42649</c:v>
                </c:pt>
                <c:pt idx="180">
                  <c:v>42650</c:v>
                </c:pt>
                <c:pt idx="181">
                  <c:v>42653</c:v>
                </c:pt>
                <c:pt idx="182">
                  <c:v>42654</c:v>
                </c:pt>
                <c:pt idx="183">
                  <c:v>42655</c:v>
                </c:pt>
                <c:pt idx="184">
                  <c:v>42656</c:v>
                </c:pt>
                <c:pt idx="185">
                  <c:v>42657</c:v>
                </c:pt>
                <c:pt idx="186">
                  <c:v>42660</c:v>
                </c:pt>
                <c:pt idx="187">
                  <c:v>42661</c:v>
                </c:pt>
                <c:pt idx="188">
                  <c:v>42662</c:v>
                </c:pt>
                <c:pt idx="189">
                  <c:v>42663</c:v>
                </c:pt>
                <c:pt idx="190">
                  <c:v>42664</c:v>
                </c:pt>
                <c:pt idx="191">
                  <c:v>42667</c:v>
                </c:pt>
                <c:pt idx="192">
                  <c:v>42668</c:v>
                </c:pt>
                <c:pt idx="193">
                  <c:v>42669</c:v>
                </c:pt>
                <c:pt idx="194">
                  <c:v>42670</c:v>
                </c:pt>
                <c:pt idx="195">
                  <c:v>42671</c:v>
                </c:pt>
                <c:pt idx="196">
                  <c:v>42674</c:v>
                </c:pt>
                <c:pt idx="197">
                  <c:v>42675</c:v>
                </c:pt>
                <c:pt idx="198">
                  <c:v>42676</c:v>
                </c:pt>
                <c:pt idx="199">
                  <c:v>42677</c:v>
                </c:pt>
                <c:pt idx="200">
                  <c:v>42678</c:v>
                </c:pt>
                <c:pt idx="201">
                  <c:v>42681</c:v>
                </c:pt>
                <c:pt idx="202">
                  <c:v>42682</c:v>
                </c:pt>
                <c:pt idx="203">
                  <c:v>42683</c:v>
                </c:pt>
                <c:pt idx="204">
                  <c:v>42684</c:v>
                </c:pt>
                <c:pt idx="205">
                  <c:v>42685</c:v>
                </c:pt>
                <c:pt idx="206">
                  <c:v>42688</c:v>
                </c:pt>
                <c:pt idx="207">
                  <c:v>42689</c:v>
                </c:pt>
                <c:pt idx="208">
                  <c:v>42690</c:v>
                </c:pt>
                <c:pt idx="209">
                  <c:v>42691</c:v>
                </c:pt>
                <c:pt idx="210">
                  <c:v>42692</c:v>
                </c:pt>
                <c:pt idx="211">
                  <c:v>42695</c:v>
                </c:pt>
                <c:pt idx="212">
                  <c:v>42696</c:v>
                </c:pt>
                <c:pt idx="213">
                  <c:v>42697</c:v>
                </c:pt>
                <c:pt idx="214">
                  <c:v>42698</c:v>
                </c:pt>
                <c:pt idx="215">
                  <c:v>42699</c:v>
                </c:pt>
                <c:pt idx="216">
                  <c:v>42702</c:v>
                </c:pt>
                <c:pt idx="217">
                  <c:v>42703</c:v>
                </c:pt>
                <c:pt idx="218">
                  <c:v>42704</c:v>
                </c:pt>
                <c:pt idx="219">
                  <c:v>42705</c:v>
                </c:pt>
                <c:pt idx="220">
                  <c:v>42706</c:v>
                </c:pt>
                <c:pt idx="221">
                  <c:v>42709</c:v>
                </c:pt>
                <c:pt idx="222">
                  <c:v>42710</c:v>
                </c:pt>
                <c:pt idx="223">
                  <c:v>42711</c:v>
                </c:pt>
                <c:pt idx="224">
                  <c:v>42712</c:v>
                </c:pt>
                <c:pt idx="225">
                  <c:v>42713</c:v>
                </c:pt>
                <c:pt idx="226">
                  <c:v>42716</c:v>
                </c:pt>
                <c:pt idx="227">
                  <c:v>42717</c:v>
                </c:pt>
                <c:pt idx="228">
                  <c:v>42718</c:v>
                </c:pt>
                <c:pt idx="229">
                  <c:v>42719</c:v>
                </c:pt>
                <c:pt idx="230">
                  <c:v>42720</c:v>
                </c:pt>
                <c:pt idx="231">
                  <c:v>42723</c:v>
                </c:pt>
                <c:pt idx="232">
                  <c:v>42724</c:v>
                </c:pt>
                <c:pt idx="233">
                  <c:v>42725</c:v>
                </c:pt>
                <c:pt idx="234">
                  <c:v>42726</c:v>
                </c:pt>
                <c:pt idx="235">
                  <c:v>42727</c:v>
                </c:pt>
                <c:pt idx="236">
                  <c:v>42730</c:v>
                </c:pt>
                <c:pt idx="237">
                  <c:v>42731</c:v>
                </c:pt>
                <c:pt idx="238">
                  <c:v>42732</c:v>
                </c:pt>
                <c:pt idx="239">
                  <c:v>42733</c:v>
                </c:pt>
                <c:pt idx="240">
                  <c:v>42734</c:v>
                </c:pt>
                <c:pt idx="241">
                  <c:v>42737</c:v>
                </c:pt>
                <c:pt idx="242">
                  <c:v>42738</c:v>
                </c:pt>
                <c:pt idx="243">
                  <c:v>42739</c:v>
                </c:pt>
                <c:pt idx="244">
                  <c:v>42740</c:v>
                </c:pt>
                <c:pt idx="245">
                  <c:v>42741</c:v>
                </c:pt>
                <c:pt idx="246">
                  <c:v>42744</c:v>
                </c:pt>
                <c:pt idx="247">
                  <c:v>42745</c:v>
                </c:pt>
                <c:pt idx="248">
                  <c:v>42746</c:v>
                </c:pt>
                <c:pt idx="249">
                  <c:v>42747</c:v>
                </c:pt>
                <c:pt idx="250">
                  <c:v>42748</c:v>
                </c:pt>
                <c:pt idx="251">
                  <c:v>42751</c:v>
                </c:pt>
                <c:pt idx="252">
                  <c:v>42752</c:v>
                </c:pt>
                <c:pt idx="253">
                  <c:v>42753</c:v>
                </c:pt>
                <c:pt idx="254">
                  <c:v>42754</c:v>
                </c:pt>
                <c:pt idx="255">
                  <c:v>42755</c:v>
                </c:pt>
                <c:pt idx="256">
                  <c:v>42758</c:v>
                </c:pt>
                <c:pt idx="257">
                  <c:v>42759</c:v>
                </c:pt>
                <c:pt idx="258">
                  <c:v>42760</c:v>
                </c:pt>
                <c:pt idx="259">
                  <c:v>42761</c:v>
                </c:pt>
                <c:pt idx="260">
                  <c:v>42762</c:v>
                </c:pt>
                <c:pt idx="261">
                  <c:v>42765</c:v>
                </c:pt>
                <c:pt idx="262">
                  <c:v>42766</c:v>
                </c:pt>
                <c:pt idx="263">
                  <c:v>42767</c:v>
                </c:pt>
                <c:pt idx="264">
                  <c:v>42768</c:v>
                </c:pt>
                <c:pt idx="265">
                  <c:v>42769</c:v>
                </c:pt>
                <c:pt idx="266">
                  <c:v>42772</c:v>
                </c:pt>
                <c:pt idx="267">
                  <c:v>42773</c:v>
                </c:pt>
                <c:pt idx="268">
                  <c:v>42774</c:v>
                </c:pt>
                <c:pt idx="269">
                  <c:v>42775</c:v>
                </c:pt>
                <c:pt idx="270">
                  <c:v>42776</c:v>
                </c:pt>
                <c:pt idx="271">
                  <c:v>42779</c:v>
                </c:pt>
                <c:pt idx="272">
                  <c:v>42780</c:v>
                </c:pt>
                <c:pt idx="273">
                  <c:v>42781</c:v>
                </c:pt>
                <c:pt idx="274">
                  <c:v>42782</c:v>
                </c:pt>
                <c:pt idx="275">
                  <c:v>42783</c:v>
                </c:pt>
                <c:pt idx="276">
                  <c:v>42786</c:v>
                </c:pt>
                <c:pt idx="277">
                  <c:v>42787</c:v>
                </c:pt>
                <c:pt idx="278">
                  <c:v>42788</c:v>
                </c:pt>
                <c:pt idx="279">
                  <c:v>42789</c:v>
                </c:pt>
                <c:pt idx="280">
                  <c:v>42790</c:v>
                </c:pt>
                <c:pt idx="281">
                  <c:v>42793</c:v>
                </c:pt>
                <c:pt idx="282">
                  <c:v>42794</c:v>
                </c:pt>
                <c:pt idx="283">
                  <c:v>42795</c:v>
                </c:pt>
                <c:pt idx="284">
                  <c:v>42796</c:v>
                </c:pt>
                <c:pt idx="285">
                  <c:v>42797</c:v>
                </c:pt>
                <c:pt idx="286">
                  <c:v>42800</c:v>
                </c:pt>
                <c:pt idx="287">
                  <c:v>42801</c:v>
                </c:pt>
                <c:pt idx="288">
                  <c:v>42802</c:v>
                </c:pt>
                <c:pt idx="289">
                  <c:v>42803</c:v>
                </c:pt>
                <c:pt idx="290">
                  <c:v>42804</c:v>
                </c:pt>
                <c:pt idx="291">
                  <c:v>42807</c:v>
                </c:pt>
                <c:pt idx="292">
                  <c:v>42808</c:v>
                </c:pt>
                <c:pt idx="293">
                  <c:v>42809</c:v>
                </c:pt>
                <c:pt idx="294">
                  <c:v>42810</c:v>
                </c:pt>
                <c:pt idx="295">
                  <c:v>42811</c:v>
                </c:pt>
                <c:pt idx="296">
                  <c:v>42814</c:v>
                </c:pt>
                <c:pt idx="297">
                  <c:v>42815</c:v>
                </c:pt>
                <c:pt idx="298">
                  <c:v>42816</c:v>
                </c:pt>
                <c:pt idx="299">
                  <c:v>42817</c:v>
                </c:pt>
                <c:pt idx="300">
                  <c:v>42818</c:v>
                </c:pt>
                <c:pt idx="301">
                  <c:v>42821</c:v>
                </c:pt>
                <c:pt idx="302">
                  <c:v>42822</c:v>
                </c:pt>
                <c:pt idx="303">
                  <c:v>42823</c:v>
                </c:pt>
                <c:pt idx="304">
                  <c:v>42824</c:v>
                </c:pt>
                <c:pt idx="305">
                  <c:v>42825</c:v>
                </c:pt>
                <c:pt idx="306">
                  <c:v>42828</c:v>
                </c:pt>
                <c:pt idx="307">
                  <c:v>42829</c:v>
                </c:pt>
                <c:pt idx="308">
                  <c:v>42830</c:v>
                </c:pt>
                <c:pt idx="309">
                  <c:v>42831</c:v>
                </c:pt>
                <c:pt idx="310">
                  <c:v>42832</c:v>
                </c:pt>
                <c:pt idx="311">
                  <c:v>42835</c:v>
                </c:pt>
                <c:pt idx="312">
                  <c:v>42836</c:v>
                </c:pt>
                <c:pt idx="313">
                  <c:v>42837</c:v>
                </c:pt>
                <c:pt idx="314">
                  <c:v>42838</c:v>
                </c:pt>
                <c:pt idx="315">
                  <c:v>42839</c:v>
                </c:pt>
                <c:pt idx="316">
                  <c:v>42842</c:v>
                </c:pt>
                <c:pt idx="317">
                  <c:v>42843</c:v>
                </c:pt>
                <c:pt idx="318">
                  <c:v>42844</c:v>
                </c:pt>
                <c:pt idx="319">
                  <c:v>42845</c:v>
                </c:pt>
                <c:pt idx="320">
                  <c:v>42846</c:v>
                </c:pt>
                <c:pt idx="321">
                  <c:v>42849</c:v>
                </c:pt>
                <c:pt idx="322">
                  <c:v>42850</c:v>
                </c:pt>
                <c:pt idx="323">
                  <c:v>42851</c:v>
                </c:pt>
                <c:pt idx="324">
                  <c:v>42852</c:v>
                </c:pt>
                <c:pt idx="325">
                  <c:v>42853</c:v>
                </c:pt>
                <c:pt idx="326">
                  <c:v>42856</c:v>
                </c:pt>
                <c:pt idx="327">
                  <c:v>42857</c:v>
                </c:pt>
                <c:pt idx="328">
                  <c:v>42858</c:v>
                </c:pt>
                <c:pt idx="329">
                  <c:v>42859</c:v>
                </c:pt>
                <c:pt idx="330">
                  <c:v>42860</c:v>
                </c:pt>
                <c:pt idx="331">
                  <c:v>42863</c:v>
                </c:pt>
                <c:pt idx="332">
                  <c:v>42864</c:v>
                </c:pt>
                <c:pt idx="333">
                  <c:v>42865</c:v>
                </c:pt>
                <c:pt idx="334">
                  <c:v>42866</c:v>
                </c:pt>
                <c:pt idx="335">
                  <c:v>42867</c:v>
                </c:pt>
                <c:pt idx="336">
                  <c:v>42870</c:v>
                </c:pt>
                <c:pt idx="337">
                  <c:v>42871</c:v>
                </c:pt>
                <c:pt idx="338">
                  <c:v>42872</c:v>
                </c:pt>
                <c:pt idx="339">
                  <c:v>42873</c:v>
                </c:pt>
                <c:pt idx="340">
                  <c:v>42874</c:v>
                </c:pt>
                <c:pt idx="341">
                  <c:v>42877</c:v>
                </c:pt>
                <c:pt idx="342">
                  <c:v>42878</c:v>
                </c:pt>
                <c:pt idx="343">
                  <c:v>42879</c:v>
                </c:pt>
                <c:pt idx="344">
                  <c:v>42880</c:v>
                </c:pt>
                <c:pt idx="345">
                  <c:v>42881</c:v>
                </c:pt>
                <c:pt idx="346">
                  <c:v>42884</c:v>
                </c:pt>
                <c:pt idx="347">
                  <c:v>42885</c:v>
                </c:pt>
                <c:pt idx="348">
                  <c:v>42886</c:v>
                </c:pt>
                <c:pt idx="349">
                  <c:v>42887</c:v>
                </c:pt>
                <c:pt idx="350">
                  <c:v>42888</c:v>
                </c:pt>
                <c:pt idx="351">
                  <c:v>42891</c:v>
                </c:pt>
                <c:pt idx="352">
                  <c:v>42892</c:v>
                </c:pt>
                <c:pt idx="353">
                  <c:v>42893</c:v>
                </c:pt>
                <c:pt idx="354">
                  <c:v>42894</c:v>
                </c:pt>
                <c:pt idx="355">
                  <c:v>42895</c:v>
                </c:pt>
                <c:pt idx="356">
                  <c:v>42898</c:v>
                </c:pt>
                <c:pt idx="357">
                  <c:v>42899</c:v>
                </c:pt>
                <c:pt idx="358">
                  <c:v>42900</c:v>
                </c:pt>
                <c:pt idx="359">
                  <c:v>42901</c:v>
                </c:pt>
                <c:pt idx="360">
                  <c:v>42902</c:v>
                </c:pt>
                <c:pt idx="361">
                  <c:v>42905</c:v>
                </c:pt>
                <c:pt idx="362">
                  <c:v>42906</c:v>
                </c:pt>
                <c:pt idx="363">
                  <c:v>42907</c:v>
                </c:pt>
                <c:pt idx="364">
                  <c:v>42908</c:v>
                </c:pt>
                <c:pt idx="365">
                  <c:v>42909</c:v>
                </c:pt>
                <c:pt idx="366">
                  <c:v>42912</c:v>
                </c:pt>
                <c:pt idx="367">
                  <c:v>42913</c:v>
                </c:pt>
                <c:pt idx="368">
                  <c:v>42914</c:v>
                </c:pt>
                <c:pt idx="369">
                  <c:v>42915</c:v>
                </c:pt>
                <c:pt idx="370">
                  <c:v>42916</c:v>
                </c:pt>
                <c:pt idx="371">
                  <c:v>42919</c:v>
                </c:pt>
                <c:pt idx="372">
                  <c:v>42920</c:v>
                </c:pt>
                <c:pt idx="373">
                  <c:v>42921</c:v>
                </c:pt>
                <c:pt idx="374">
                  <c:v>42922</c:v>
                </c:pt>
                <c:pt idx="375">
                  <c:v>42923</c:v>
                </c:pt>
                <c:pt idx="376">
                  <c:v>42926</c:v>
                </c:pt>
                <c:pt idx="377">
                  <c:v>42927</c:v>
                </c:pt>
                <c:pt idx="378">
                  <c:v>42928</c:v>
                </c:pt>
                <c:pt idx="379">
                  <c:v>42929</c:v>
                </c:pt>
                <c:pt idx="380">
                  <c:v>42930</c:v>
                </c:pt>
                <c:pt idx="381">
                  <c:v>42933</c:v>
                </c:pt>
                <c:pt idx="382">
                  <c:v>42934</c:v>
                </c:pt>
                <c:pt idx="383">
                  <c:v>42935</c:v>
                </c:pt>
                <c:pt idx="384">
                  <c:v>42936</c:v>
                </c:pt>
                <c:pt idx="385">
                  <c:v>42937</c:v>
                </c:pt>
                <c:pt idx="386">
                  <c:v>42940</c:v>
                </c:pt>
                <c:pt idx="387">
                  <c:v>42941</c:v>
                </c:pt>
                <c:pt idx="388">
                  <c:v>42942</c:v>
                </c:pt>
                <c:pt idx="389">
                  <c:v>42943</c:v>
                </c:pt>
                <c:pt idx="390">
                  <c:v>42944</c:v>
                </c:pt>
                <c:pt idx="391">
                  <c:v>42947</c:v>
                </c:pt>
                <c:pt idx="392">
                  <c:v>42948</c:v>
                </c:pt>
                <c:pt idx="393">
                  <c:v>42949</c:v>
                </c:pt>
                <c:pt idx="394">
                  <c:v>42950</c:v>
                </c:pt>
                <c:pt idx="395">
                  <c:v>42951</c:v>
                </c:pt>
                <c:pt idx="396">
                  <c:v>42954</c:v>
                </c:pt>
                <c:pt idx="397">
                  <c:v>42955</c:v>
                </c:pt>
                <c:pt idx="398">
                  <c:v>42956</c:v>
                </c:pt>
                <c:pt idx="399">
                  <c:v>42957</c:v>
                </c:pt>
                <c:pt idx="400">
                  <c:v>42958</c:v>
                </c:pt>
                <c:pt idx="401">
                  <c:v>42961</c:v>
                </c:pt>
                <c:pt idx="402">
                  <c:v>42962</c:v>
                </c:pt>
                <c:pt idx="403">
                  <c:v>42963</c:v>
                </c:pt>
                <c:pt idx="404">
                  <c:v>42964</c:v>
                </c:pt>
                <c:pt idx="405">
                  <c:v>42965</c:v>
                </c:pt>
                <c:pt idx="406">
                  <c:v>42968</c:v>
                </c:pt>
                <c:pt idx="407">
                  <c:v>42969</c:v>
                </c:pt>
                <c:pt idx="408">
                  <c:v>42970</c:v>
                </c:pt>
                <c:pt idx="409">
                  <c:v>42971</c:v>
                </c:pt>
                <c:pt idx="410">
                  <c:v>42972</c:v>
                </c:pt>
                <c:pt idx="411">
                  <c:v>42975</c:v>
                </c:pt>
                <c:pt idx="412">
                  <c:v>42976</c:v>
                </c:pt>
                <c:pt idx="413">
                  <c:v>42977</c:v>
                </c:pt>
                <c:pt idx="414">
                  <c:v>42978</c:v>
                </c:pt>
                <c:pt idx="415">
                  <c:v>42979</c:v>
                </c:pt>
                <c:pt idx="416">
                  <c:v>42982</c:v>
                </c:pt>
                <c:pt idx="417">
                  <c:v>42983</c:v>
                </c:pt>
                <c:pt idx="418">
                  <c:v>42984</c:v>
                </c:pt>
                <c:pt idx="419">
                  <c:v>42985</c:v>
                </c:pt>
                <c:pt idx="420">
                  <c:v>42986</c:v>
                </c:pt>
                <c:pt idx="421">
                  <c:v>42989</c:v>
                </c:pt>
                <c:pt idx="422">
                  <c:v>42990</c:v>
                </c:pt>
                <c:pt idx="423">
                  <c:v>42991</c:v>
                </c:pt>
                <c:pt idx="424">
                  <c:v>42992</c:v>
                </c:pt>
                <c:pt idx="425">
                  <c:v>42993</c:v>
                </c:pt>
                <c:pt idx="426">
                  <c:v>42996</c:v>
                </c:pt>
                <c:pt idx="427">
                  <c:v>42997</c:v>
                </c:pt>
                <c:pt idx="428">
                  <c:v>42998</c:v>
                </c:pt>
                <c:pt idx="429">
                  <c:v>42999</c:v>
                </c:pt>
                <c:pt idx="430">
                  <c:v>43000</c:v>
                </c:pt>
                <c:pt idx="431">
                  <c:v>43003</c:v>
                </c:pt>
                <c:pt idx="432">
                  <c:v>43004</c:v>
                </c:pt>
                <c:pt idx="433">
                  <c:v>43005</c:v>
                </c:pt>
                <c:pt idx="434">
                  <c:v>43006</c:v>
                </c:pt>
                <c:pt idx="435">
                  <c:v>43007</c:v>
                </c:pt>
                <c:pt idx="436">
                  <c:v>43010</c:v>
                </c:pt>
                <c:pt idx="437">
                  <c:v>43011</c:v>
                </c:pt>
                <c:pt idx="438">
                  <c:v>43012</c:v>
                </c:pt>
                <c:pt idx="439">
                  <c:v>43013</c:v>
                </c:pt>
                <c:pt idx="440">
                  <c:v>43014</c:v>
                </c:pt>
                <c:pt idx="441">
                  <c:v>43017</c:v>
                </c:pt>
                <c:pt idx="442">
                  <c:v>43018</c:v>
                </c:pt>
                <c:pt idx="443">
                  <c:v>43019</c:v>
                </c:pt>
                <c:pt idx="444">
                  <c:v>43020</c:v>
                </c:pt>
                <c:pt idx="445">
                  <c:v>43021</c:v>
                </c:pt>
                <c:pt idx="446">
                  <c:v>43024</c:v>
                </c:pt>
                <c:pt idx="447">
                  <c:v>43025</c:v>
                </c:pt>
                <c:pt idx="448">
                  <c:v>43026</c:v>
                </c:pt>
                <c:pt idx="449">
                  <c:v>43027</c:v>
                </c:pt>
                <c:pt idx="450">
                  <c:v>43028</c:v>
                </c:pt>
                <c:pt idx="451">
                  <c:v>43031</c:v>
                </c:pt>
                <c:pt idx="452">
                  <c:v>43032</c:v>
                </c:pt>
                <c:pt idx="453">
                  <c:v>43033</c:v>
                </c:pt>
                <c:pt idx="454">
                  <c:v>43034</c:v>
                </c:pt>
                <c:pt idx="455">
                  <c:v>43035</c:v>
                </c:pt>
                <c:pt idx="456">
                  <c:v>43038</c:v>
                </c:pt>
                <c:pt idx="457">
                  <c:v>43039</c:v>
                </c:pt>
                <c:pt idx="458">
                  <c:v>43040</c:v>
                </c:pt>
                <c:pt idx="459">
                  <c:v>43041</c:v>
                </c:pt>
                <c:pt idx="460">
                  <c:v>43042</c:v>
                </c:pt>
                <c:pt idx="461">
                  <c:v>43045</c:v>
                </c:pt>
                <c:pt idx="462">
                  <c:v>43046</c:v>
                </c:pt>
                <c:pt idx="463">
                  <c:v>43047</c:v>
                </c:pt>
                <c:pt idx="464">
                  <c:v>43048</c:v>
                </c:pt>
                <c:pt idx="465">
                  <c:v>43049</c:v>
                </c:pt>
                <c:pt idx="466">
                  <c:v>43052</c:v>
                </c:pt>
                <c:pt idx="467">
                  <c:v>43053</c:v>
                </c:pt>
                <c:pt idx="468">
                  <c:v>43054</c:v>
                </c:pt>
                <c:pt idx="469">
                  <c:v>43055</c:v>
                </c:pt>
                <c:pt idx="470">
                  <c:v>43056</c:v>
                </c:pt>
                <c:pt idx="471">
                  <c:v>43059</c:v>
                </c:pt>
                <c:pt idx="472">
                  <c:v>43060</c:v>
                </c:pt>
                <c:pt idx="473">
                  <c:v>43061</c:v>
                </c:pt>
                <c:pt idx="474">
                  <c:v>43062</c:v>
                </c:pt>
                <c:pt idx="475">
                  <c:v>43063</c:v>
                </c:pt>
                <c:pt idx="476">
                  <c:v>43066</c:v>
                </c:pt>
                <c:pt idx="477">
                  <c:v>43067</c:v>
                </c:pt>
                <c:pt idx="478">
                  <c:v>43068</c:v>
                </c:pt>
                <c:pt idx="479">
                  <c:v>43069</c:v>
                </c:pt>
                <c:pt idx="480">
                  <c:v>43070</c:v>
                </c:pt>
                <c:pt idx="481">
                  <c:v>43073</c:v>
                </c:pt>
                <c:pt idx="482">
                  <c:v>43074</c:v>
                </c:pt>
                <c:pt idx="483">
                  <c:v>43075</c:v>
                </c:pt>
                <c:pt idx="484">
                  <c:v>43076</c:v>
                </c:pt>
                <c:pt idx="485">
                  <c:v>43077</c:v>
                </c:pt>
                <c:pt idx="486">
                  <c:v>43080</c:v>
                </c:pt>
                <c:pt idx="487">
                  <c:v>43081</c:v>
                </c:pt>
                <c:pt idx="488">
                  <c:v>43082</c:v>
                </c:pt>
                <c:pt idx="489">
                  <c:v>43083</c:v>
                </c:pt>
                <c:pt idx="490">
                  <c:v>43084</c:v>
                </c:pt>
                <c:pt idx="491">
                  <c:v>43087</c:v>
                </c:pt>
                <c:pt idx="492">
                  <c:v>43088</c:v>
                </c:pt>
                <c:pt idx="493">
                  <c:v>43089</c:v>
                </c:pt>
                <c:pt idx="494">
                  <c:v>43090</c:v>
                </c:pt>
                <c:pt idx="495">
                  <c:v>43091</c:v>
                </c:pt>
                <c:pt idx="496">
                  <c:v>43094</c:v>
                </c:pt>
                <c:pt idx="497">
                  <c:v>43095</c:v>
                </c:pt>
                <c:pt idx="498">
                  <c:v>43096</c:v>
                </c:pt>
                <c:pt idx="499">
                  <c:v>43097</c:v>
                </c:pt>
                <c:pt idx="500">
                  <c:v>43098</c:v>
                </c:pt>
                <c:pt idx="501">
                  <c:v>43101</c:v>
                </c:pt>
                <c:pt idx="502">
                  <c:v>43102</c:v>
                </c:pt>
                <c:pt idx="503">
                  <c:v>43103</c:v>
                </c:pt>
                <c:pt idx="504">
                  <c:v>43104</c:v>
                </c:pt>
                <c:pt idx="505">
                  <c:v>43105</c:v>
                </c:pt>
                <c:pt idx="506">
                  <c:v>43108</c:v>
                </c:pt>
                <c:pt idx="507">
                  <c:v>43109</c:v>
                </c:pt>
                <c:pt idx="508">
                  <c:v>43110</c:v>
                </c:pt>
                <c:pt idx="509">
                  <c:v>43111</c:v>
                </c:pt>
                <c:pt idx="510">
                  <c:v>43112</c:v>
                </c:pt>
                <c:pt idx="511">
                  <c:v>43115</c:v>
                </c:pt>
                <c:pt idx="512">
                  <c:v>43116</c:v>
                </c:pt>
                <c:pt idx="513">
                  <c:v>43117</c:v>
                </c:pt>
                <c:pt idx="514">
                  <c:v>43118</c:v>
                </c:pt>
                <c:pt idx="515">
                  <c:v>43119</c:v>
                </c:pt>
                <c:pt idx="516">
                  <c:v>43122</c:v>
                </c:pt>
                <c:pt idx="517">
                  <c:v>43123</c:v>
                </c:pt>
                <c:pt idx="518">
                  <c:v>43124</c:v>
                </c:pt>
                <c:pt idx="519">
                  <c:v>43125</c:v>
                </c:pt>
                <c:pt idx="520">
                  <c:v>43126</c:v>
                </c:pt>
                <c:pt idx="521">
                  <c:v>43129</c:v>
                </c:pt>
                <c:pt idx="522">
                  <c:v>43130</c:v>
                </c:pt>
                <c:pt idx="523">
                  <c:v>43131</c:v>
                </c:pt>
                <c:pt idx="524">
                  <c:v>43132</c:v>
                </c:pt>
                <c:pt idx="525">
                  <c:v>43133</c:v>
                </c:pt>
                <c:pt idx="526">
                  <c:v>43136</c:v>
                </c:pt>
                <c:pt idx="527">
                  <c:v>43137</c:v>
                </c:pt>
                <c:pt idx="528">
                  <c:v>43138</c:v>
                </c:pt>
                <c:pt idx="529">
                  <c:v>43139</c:v>
                </c:pt>
                <c:pt idx="530">
                  <c:v>43140</c:v>
                </c:pt>
                <c:pt idx="531">
                  <c:v>43143</c:v>
                </c:pt>
                <c:pt idx="532">
                  <c:v>43144</c:v>
                </c:pt>
                <c:pt idx="533">
                  <c:v>43145</c:v>
                </c:pt>
                <c:pt idx="534">
                  <c:v>43146</c:v>
                </c:pt>
                <c:pt idx="535">
                  <c:v>43147</c:v>
                </c:pt>
                <c:pt idx="536">
                  <c:v>43150</c:v>
                </c:pt>
                <c:pt idx="537">
                  <c:v>43151</c:v>
                </c:pt>
                <c:pt idx="538">
                  <c:v>43152</c:v>
                </c:pt>
                <c:pt idx="539">
                  <c:v>43153</c:v>
                </c:pt>
                <c:pt idx="540">
                  <c:v>43154</c:v>
                </c:pt>
                <c:pt idx="541">
                  <c:v>43157</c:v>
                </c:pt>
                <c:pt idx="542">
                  <c:v>43158</c:v>
                </c:pt>
                <c:pt idx="543">
                  <c:v>43159</c:v>
                </c:pt>
              </c:numCache>
            </c:numRef>
          </c:cat>
          <c:val>
            <c:numRef>
              <c:f>'Currency Raw'!$P$2:$P$545</c:f>
              <c:numCache>
                <c:formatCode>General</c:formatCode>
                <c:ptCount val="544"/>
                <c:pt idx="1">
                  <c:v>-3.6496350364972993E-2</c:v>
                </c:pt>
                <c:pt idx="2">
                  <c:v>-5.7785888077859275E-2</c:v>
                </c:pt>
                <c:pt idx="3">
                  <c:v>-1.5206812652073206E-2</c:v>
                </c:pt>
                <c:pt idx="4">
                  <c:v>9.8844282238442077E-2</c:v>
                </c:pt>
                <c:pt idx="5">
                  <c:v>2.5851581508509594E-2</c:v>
                </c:pt>
                <c:pt idx="6">
                  <c:v>2.5851581508509594E-2</c:v>
                </c:pt>
                <c:pt idx="7">
                  <c:v>2.5851581508509594E-2</c:v>
                </c:pt>
                <c:pt idx="8">
                  <c:v>2.5851581508509594E-2</c:v>
                </c:pt>
                <c:pt idx="9">
                  <c:v>2.5851581508509594E-2</c:v>
                </c:pt>
                <c:pt idx="10">
                  <c:v>2.5851581508509594E-2</c:v>
                </c:pt>
                <c:pt idx="11">
                  <c:v>1.2135036496350311</c:v>
                </c:pt>
                <c:pt idx="12">
                  <c:v>0.89872262773722533</c:v>
                </c:pt>
                <c:pt idx="13">
                  <c:v>0.72232360097322745</c:v>
                </c:pt>
                <c:pt idx="14">
                  <c:v>0.87895377128952878</c:v>
                </c:pt>
                <c:pt idx="15">
                  <c:v>0.81660583941605969</c:v>
                </c:pt>
                <c:pt idx="16">
                  <c:v>0.82420924574208954</c:v>
                </c:pt>
                <c:pt idx="17">
                  <c:v>0.74209245742092389</c:v>
                </c:pt>
                <c:pt idx="18">
                  <c:v>0.67366180048661473</c:v>
                </c:pt>
                <c:pt idx="19">
                  <c:v>0.64628953771288844</c:v>
                </c:pt>
                <c:pt idx="20">
                  <c:v>0.5413625304136197</c:v>
                </c:pt>
                <c:pt idx="21">
                  <c:v>0.36496350364963537</c:v>
                </c:pt>
                <c:pt idx="22">
                  <c:v>0.36344282238441861</c:v>
                </c:pt>
                <c:pt idx="23">
                  <c:v>0.38017031630169507</c:v>
                </c:pt>
                <c:pt idx="24">
                  <c:v>0.66909975669099142</c:v>
                </c:pt>
                <c:pt idx="25">
                  <c:v>1.0203771289537704</c:v>
                </c:pt>
                <c:pt idx="26">
                  <c:v>0.97779805352797078</c:v>
                </c:pt>
                <c:pt idx="27">
                  <c:v>1.1374695863746922</c:v>
                </c:pt>
                <c:pt idx="28">
                  <c:v>0.95802919708028789</c:v>
                </c:pt>
                <c:pt idx="29">
                  <c:v>1.0249391727493802</c:v>
                </c:pt>
                <c:pt idx="30">
                  <c:v>1.4917883211678777</c:v>
                </c:pt>
                <c:pt idx="31">
                  <c:v>1.1557177615571721</c:v>
                </c:pt>
                <c:pt idx="32">
                  <c:v>0.99908759124087054</c:v>
                </c:pt>
                <c:pt idx="33">
                  <c:v>0.82116788321166956</c:v>
                </c:pt>
                <c:pt idx="34">
                  <c:v>1.5358880778588804</c:v>
                </c:pt>
                <c:pt idx="35">
                  <c:v>1.5875912408758999</c:v>
                </c:pt>
                <c:pt idx="36">
                  <c:v>1.4370437956204385</c:v>
                </c:pt>
                <c:pt idx="37">
                  <c:v>1.3473236009732295</c:v>
                </c:pt>
                <c:pt idx="38">
                  <c:v>1.1085766423357626</c:v>
                </c:pt>
                <c:pt idx="39">
                  <c:v>0.90176399026763188</c:v>
                </c:pt>
                <c:pt idx="40">
                  <c:v>0.84549878345497576</c:v>
                </c:pt>
                <c:pt idx="41">
                  <c:v>1.2864963503649638</c:v>
                </c:pt>
                <c:pt idx="42">
                  <c:v>1.079683698296833</c:v>
                </c:pt>
                <c:pt idx="43">
                  <c:v>1.7122871046228652</c:v>
                </c:pt>
                <c:pt idx="44">
                  <c:v>1.8749999999999929</c:v>
                </c:pt>
                <c:pt idx="45">
                  <c:v>1.4324817518248152</c:v>
                </c:pt>
                <c:pt idx="46">
                  <c:v>1.4324817518248152</c:v>
                </c:pt>
                <c:pt idx="47">
                  <c:v>1.503953771289531</c:v>
                </c:pt>
                <c:pt idx="48">
                  <c:v>1.4461678832116716</c:v>
                </c:pt>
                <c:pt idx="49">
                  <c:v>1.7259732360097213</c:v>
                </c:pt>
                <c:pt idx="50">
                  <c:v>1.7092457420924585</c:v>
                </c:pt>
                <c:pt idx="51">
                  <c:v>1.7761557177615506</c:v>
                </c:pt>
                <c:pt idx="52">
                  <c:v>1.6955596107055886</c:v>
                </c:pt>
                <c:pt idx="53">
                  <c:v>1.4841849148418478</c:v>
                </c:pt>
                <c:pt idx="54">
                  <c:v>1.4203163017031621</c:v>
                </c:pt>
                <c:pt idx="55">
                  <c:v>1.5282846715328373</c:v>
                </c:pt>
                <c:pt idx="56">
                  <c:v>1.5328467153284606</c:v>
                </c:pt>
                <c:pt idx="57">
                  <c:v>1.7639902676398977</c:v>
                </c:pt>
                <c:pt idx="58">
                  <c:v>1.6362530413625258</c:v>
                </c:pt>
                <c:pt idx="59">
                  <c:v>1.4248783454987719</c:v>
                </c:pt>
                <c:pt idx="60">
                  <c:v>1.1633211678832018</c:v>
                </c:pt>
                <c:pt idx="61">
                  <c:v>1.2652068126520639</c:v>
                </c:pt>
                <c:pt idx="62">
                  <c:v>1.254562043795614</c:v>
                </c:pt>
                <c:pt idx="63">
                  <c:v>1.1861313868613048</c:v>
                </c:pt>
                <c:pt idx="64">
                  <c:v>1.5222019464720107</c:v>
                </c:pt>
                <c:pt idx="65">
                  <c:v>1.4902676399026744</c:v>
                </c:pt>
                <c:pt idx="66">
                  <c:v>1.549574209245737</c:v>
                </c:pt>
                <c:pt idx="67">
                  <c:v>1.2804136253041372</c:v>
                </c:pt>
                <c:pt idx="68">
                  <c:v>1.274330900243297</c:v>
                </c:pt>
                <c:pt idx="69">
                  <c:v>1.0933698296836893</c:v>
                </c:pt>
                <c:pt idx="70">
                  <c:v>1.1207420924574159</c:v>
                </c:pt>
                <c:pt idx="71">
                  <c:v>0.82572992700729286</c:v>
                </c:pt>
                <c:pt idx="72">
                  <c:v>0.86222627737225221</c:v>
                </c:pt>
                <c:pt idx="73">
                  <c:v>1.3077858880778499</c:v>
                </c:pt>
                <c:pt idx="74">
                  <c:v>0.90328467153283509</c:v>
                </c:pt>
                <c:pt idx="75">
                  <c:v>0.66149635036496157</c:v>
                </c:pt>
                <c:pt idx="76">
                  <c:v>0.83485401459853936</c:v>
                </c:pt>
                <c:pt idx="77">
                  <c:v>0.82725060827249608</c:v>
                </c:pt>
                <c:pt idx="78">
                  <c:v>0.53223844282237309</c:v>
                </c:pt>
                <c:pt idx="79">
                  <c:v>0.49726277372261696</c:v>
                </c:pt>
                <c:pt idx="80">
                  <c:v>0.32390510948903911</c:v>
                </c:pt>
                <c:pt idx="81">
                  <c:v>0.26916058394159986</c:v>
                </c:pt>
                <c:pt idx="82">
                  <c:v>0.34671532846714209</c:v>
                </c:pt>
                <c:pt idx="83">
                  <c:v>0.33302919708028567</c:v>
                </c:pt>
                <c:pt idx="84">
                  <c:v>0.39841849148417485</c:v>
                </c:pt>
                <c:pt idx="85">
                  <c:v>0.20833333333332055</c:v>
                </c:pt>
                <c:pt idx="86">
                  <c:v>-0.11861313868613858</c:v>
                </c:pt>
                <c:pt idx="87">
                  <c:v>-8.8199513382005684E-2</c:v>
                </c:pt>
                <c:pt idx="88">
                  <c:v>9.1240875912331175E-3</c:v>
                </c:pt>
                <c:pt idx="89">
                  <c:v>-3.8017031630176258E-2</c:v>
                </c:pt>
                <c:pt idx="90">
                  <c:v>0.3193430656934293</c:v>
                </c:pt>
                <c:pt idx="91">
                  <c:v>0.16727493917275124</c:v>
                </c:pt>
                <c:pt idx="92">
                  <c:v>0.12165450121654513</c:v>
                </c:pt>
                <c:pt idx="93">
                  <c:v>0.19616788321166739</c:v>
                </c:pt>
                <c:pt idx="94">
                  <c:v>0.29045012165449963</c:v>
                </c:pt>
                <c:pt idx="95">
                  <c:v>6.0827250608265805E-2</c:v>
                </c:pt>
                <c:pt idx="96">
                  <c:v>-0.1079683698296887</c:v>
                </c:pt>
                <c:pt idx="97">
                  <c:v>-0.27372262773723666</c:v>
                </c:pt>
                <c:pt idx="98">
                  <c:v>-9.4282238442832261E-2</c:v>
                </c:pt>
                <c:pt idx="99">
                  <c:v>-0.21441605839416061</c:v>
                </c:pt>
                <c:pt idx="100">
                  <c:v>-0.14446472019464818</c:v>
                </c:pt>
                <c:pt idx="101">
                  <c:v>-9.1240875912466241E-3</c:v>
                </c:pt>
                <c:pt idx="102">
                  <c:v>-0.15358880778589482</c:v>
                </c:pt>
                <c:pt idx="103">
                  <c:v>-2.8892944038929638E-2</c:v>
                </c:pt>
                <c:pt idx="104">
                  <c:v>0.1231751824817484</c:v>
                </c:pt>
                <c:pt idx="105">
                  <c:v>-0.79531630170317347</c:v>
                </c:pt>
                <c:pt idx="106">
                  <c:v>-1.0857664233576729</c:v>
                </c:pt>
                <c:pt idx="107">
                  <c:v>-1.1055352798053559</c:v>
                </c:pt>
                <c:pt idx="108">
                  <c:v>-0.79987834549879666</c:v>
                </c:pt>
                <c:pt idx="109">
                  <c:v>-1.1967761557177683</c:v>
                </c:pt>
                <c:pt idx="110">
                  <c:v>-1.2332725060827279</c:v>
                </c:pt>
                <c:pt idx="111">
                  <c:v>-1.347323600973243</c:v>
                </c:pt>
                <c:pt idx="112">
                  <c:v>-1.5936739659367398</c:v>
                </c:pt>
                <c:pt idx="113">
                  <c:v>-1.7639902676399108</c:v>
                </c:pt>
                <c:pt idx="114">
                  <c:v>-1.5784671532846801</c:v>
                </c:pt>
                <c:pt idx="115">
                  <c:v>-1.6833941605839489</c:v>
                </c:pt>
                <c:pt idx="116">
                  <c:v>-1.8248175182481767</c:v>
                </c:pt>
                <c:pt idx="117">
                  <c:v>-1.7183698296837049</c:v>
                </c:pt>
                <c:pt idx="118">
                  <c:v>-1.6697080291970923</c:v>
                </c:pt>
                <c:pt idx="119">
                  <c:v>-1.642335766423366</c:v>
                </c:pt>
                <c:pt idx="120">
                  <c:v>-1.7381386861313879</c:v>
                </c:pt>
                <c:pt idx="121">
                  <c:v>-1.8673965936739767</c:v>
                </c:pt>
                <c:pt idx="122">
                  <c:v>-1.8582725060827299</c:v>
                </c:pt>
                <c:pt idx="123">
                  <c:v>-1.5161192214111976</c:v>
                </c:pt>
                <c:pt idx="124">
                  <c:v>-1.5617396593674036</c:v>
                </c:pt>
                <c:pt idx="125">
                  <c:v>-1.5237226277372273</c:v>
                </c:pt>
                <c:pt idx="126">
                  <c:v>-1.5571776155717805</c:v>
                </c:pt>
                <c:pt idx="127">
                  <c:v>-1.467457420924585</c:v>
                </c:pt>
                <c:pt idx="128">
                  <c:v>-1.4537712895377148</c:v>
                </c:pt>
                <c:pt idx="129">
                  <c:v>-1.2104622871046247</c:v>
                </c:pt>
                <c:pt idx="130">
                  <c:v>-0.95498783454988134</c:v>
                </c:pt>
                <c:pt idx="131">
                  <c:v>-1.009732360097334</c:v>
                </c:pt>
                <c:pt idx="132">
                  <c:v>-0.75577858880779381</c:v>
                </c:pt>
                <c:pt idx="133">
                  <c:v>-0.81964720194647978</c:v>
                </c:pt>
                <c:pt idx="134">
                  <c:v>-0.96715328467153439</c:v>
                </c:pt>
                <c:pt idx="135">
                  <c:v>-1.1982968369829716</c:v>
                </c:pt>
                <c:pt idx="136">
                  <c:v>-1.2743309002433105</c:v>
                </c:pt>
                <c:pt idx="137">
                  <c:v>-1.207420924574218</c:v>
                </c:pt>
                <c:pt idx="138">
                  <c:v>-0.93521897810219823</c:v>
                </c:pt>
                <c:pt idx="139">
                  <c:v>-0.86830900243309239</c:v>
                </c:pt>
                <c:pt idx="140">
                  <c:v>-0.95498783454988134</c:v>
                </c:pt>
                <c:pt idx="141">
                  <c:v>-0.92153284671532831</c:v>
                </c:pt>
                <c:pt idx="142">
                  <c:v>-0.75881995133820035</c:v>
                </c:pt>
                <c:pt idx="143">
                  <c:v>-0.8546228710462358</c:v>
                </c:pt>
                <c:pt idx="144">
                  <c:v>-0.80900243309002984</c:v>
                </c:pt>
                <c:pt idx="145">
                  <c:v>-1.1602798053528087</c:v>
                </c:pt>
                <c:pt idx="146">
                  <c:v>-1.184610705596115</c:v>
                </c:pt>
                <c:pt idx="147">
                  <c:v>-1.0614355231143668</c:v>
                </c:pt>
                <c:pt idx="148">
                  <c:v>-1.1967761557177683</c:v>
                </c:pt>
                <c:pt idx="149">
                  <c:v>-1.218065693430668</c:v>
                </c:pt>
                <c:pt idx="150">
                  <c:v>-1.3959854014598558</c:v>
                </c:pt>
                <c:pt idx="151">
                  <c:v>-1.5191605839416176</c:v>
                </c:pt>
                <c:pt idx="152">
                  <c:v>-1.5723844282238535</c:v>
                </c:pt>
                <c:pt idx="153">
                  <c:v>-1.611922141119233</c:v>
                </c:pt>
                <c:pt idx="154">
                  <c:v>-1.4324817518248287</c:v>
                </c:pt>
                <c:pt idx="155">
                  <c:v>-1.5693430656934335</c:v>
                </c:pt>
                <c:pt idx="156">
                  <c:v>-1.5237226277372273</c:v>
                </c:pt>
                <c:pt idx="157">
                  <c:v>-1.6484184914841926</c:v>
                </c:pt>
                <c:pt idx="158">
                  <c:v>-1.3032238442822401</c:v>
                </c:pt>
                <c:pt idx="159">
                  <c:v>-1.4005474452554789</c:v>
                </c:pt>
                <c:pt idx="160">
                  <c:v>-1.8080900243309006</c:v>
                </c:pt>
                <c:pt idx="161">
                  <c:v>-1.6605839416058457</c:v>
                </c:pt>
                <c:pt idx="162">
                  <c:v>-1.6681873479318754</c:v>
                </c:pt>
                <c:pt idx="163">
                  <c:v>-1.4218369829683788</c:v>
                </c:pt>
                <c:pt idx="164">
                  <c:v>-1.4431265206812651</c:v>
                </c:pt>
                <c:pt idx="165">
                  <c:v>-1.4948296836982977</c:v>
                </c:pt>
                <c:pt idx="166">
                  <c:v>-1.3762165450121726</c:v>
                </c:pt>
                <c:pt idx="167">
                  <c:v>-1.4203163017031621</c:v>
                </c:pt>
                <c:pt idx="168">
                  <c:v>-1.3686131386861426</c:v>
                </c:pt>
                <c:pt idx="169">
                  <c:v>-1.2849756690997605</c:v>
                </c:pt>
                <c:pt idx="170">
                  <c:v>-1.4035888077858989</c:v>
                </c:pt>
                <c:pt idx="171">
                  <c:v>-1.3077858880778634</c:v>
                </c:pt>
                <c:pt idx="172">
                  <c:v>-1.3822992700729992</c:v>
                </c:pt>
                <c:pt idx="173">
                  <c:v>-1.5024330900243412</c:v>
                </c:pt>
                <c:pt idx="174">
                  <c:v>-1.3153892944038934</c:v>
                </c:pt>
                <c:pt idx="175">
                  <c:v>-1.3731751824817526</c:v>
                </c:pt>
                <c:pt idx="176">
                  <c:v>-1.4294403892944085</c:v>
                </c:pt>
                <c:pt idx="177">
                  <c:v>-1.6043187347931895</c:v>
                </c:pt>
                <c:pt idx="178">
                  <c:v>-1.7411800486618081</c:v>
                </c:pt>
                <c:pt idx="179">
                  <c:v>-1.9327858880778654</c:v>
                </c:pt>
                <c:pt idx="180">
                  <c:v>-1.8293795620438</c:v>
                </c:pt>
                <c:pt idx="181">
                  <c:v>-1.9829683698296949</c:v>
                </c:pt>
                <c:pt idx="182">
                  <c:v>-2.2490875912408885</c:v>
                </c:pt>
                <c:pt idx="183">
                  <c:v>-2.3053527980535309</c:v>
                </c:pt>
                <c:pt idx="184">
                  <c:v>-2.3053527980535309</c:v>
                </c:pt>
                <c:pt idx="185">
                  <c:v>-2.3175182481751837</c:v>
                </c:pt>
                <c:pt idx="186">
                  <c:v>-2.4482968369829758</c:v>
                </c:pt>
                <c:pt idx="187">
                  <c:v>-2.3433698296837071</c:v>
                </c:pt>
                <c:pt idx="188">
                  <c:v>-2.3403284671532871</c:v>
                </c:pt>
                <c:pt idx="189">
                  <c:v>-2.4817518248175285</c:v>
                </c:pt>
                <c:pt idx="190">
                  <c:v>-2.8406326034063376</c:v>
                </c:pt>
                <c:pt idx="191">
                  <c:v>-2.9577250608272596</c:v>
                </c:pt>
                <c:pt idx="192">
                  <c:v>-2.9151459854014594</c:v>
                </c:pt>
                <c:pt idx="193">
                  <c:v>-2.948600973236013</c:v>
                </c:pt>
                <c:pt idx="194">
                  <c:v>-3.1827858880778699</c:v>
                </c:pt>
                <c:pt idx="195">
                  <c:v>-3.0854622871046309</c:v>
                </c:pt>
                <c:pt idx="196">
                  <c:v>-2.9394768856447797</c:v>
                </c:pt>
                <c:pt idx="197">
                  <c:v>-2.799574209245741</c:v>
                </c:pt>
                <c:pt idx="198">
                  <c:v>-2.6110097323601038</c:v>
                </c:pt>
                <c:pt idx="199">
                  <c:v>-2.7265815085158223</c:v>
                </c:pt>
                <c:pt idx="200">
                  <c:v>-2.7752433090024349</c:v>
                </c:pt>
                <c:pt idx="201">
                  <c:v>-3.1949513381995231</c:v>
                </c:pt>
                <c:pt idx="202">
                  <c:v>-3.1462895377128972</c:v>
                </c:pt>
                <c:pt idx="203">
                  <c:v>-3.3911192214112038</c:v>
                </c:pt>
                <c:pt idx="204">
                  <c:v>-3.6435523114355273</c:v>
                </c:pt>
                <c:pt idx="205">
                  <c:v>-3.5006082725060956</c:v>
                </c:pt>
                <c:pt idx="206">
                  <c:v>-4.1301703163017072</c:v>
                </c:pt>
                <c:pt idx="207">
                  <c:v>-4.2837591240876032</c:v>
                </c:pt>
                <c:pt idx="208">
                  <c:v>-4.5529197080292025</c:v>
                </c:pt>
                <c:pt idx="209">
                  <c:v>-4.6091849148418591</c:v>
                </c:pt>
                <c:pt idx="210">
                  <c:v>-4.7521289537712894</c:v>
                </c:pt>
                <c:pt idx="211">
                  <c:v>-4.8114355231143655</c:v>
                </c:pt>
                <c:pt idx="212">
                  <c:v>-4.6973844282238506</c:v>
                </c:pt>
                <c:pt idx="213">
                  <c:v>-5.115571776155722</c:v>
                </c:pt>
                <c:pt idx="214">
                  <c:v>-5.2600364963503701</c:v>
                </c:pt>
                <c:pt idx="215">
                  <c:v>-5.1170924574209247</c:v>
                </c:pt>
                <c:pt idx="216">
                  <c:v>-5.0273722627737296</c:v>
                </c:pt>
                <c:pt idx="217">
                  <c:v>-4.7065085158150968</c:v>
                </c:pt>
                <c:pt idx="218">
                  <c:v>-4.8707420924574283</c:v>
                </c:pt>
                <c:pt idx="219">
                  <c:v>-4.6274330900243381</c:v>
                </c:pt>
                <c:pt idx="220">
                  <c:v>-4.5696472019464789</c:v>
                </c:pt>
                <c:pt idx="221">
                  <c:v>-4.3278588807785923</c:v>
                </c:pt>
                <c:pt idx="222">
                  <c:v>-4.551399026763999</c:v>
                </c:pt>
                <c:pt idx="223">
                  <c:v>-4.6654501216545015</c:v>
                </c:pt>
                <c:pt idx="224">
                  <c:v>-5.1322992700729984</c:v>
                </c:pt>
                <c:pt idx="225">
                  <c:v>-5.1307785888077957</c:v>
                </c:pt>
                <c:pt idx="226">
                  <c:v>-4.8631386861313981</c:v>
                </c:pt>
                <c:pt idx="227">
                  <c:v>-4.8479318734793253</c:v>
                </c:pt>
                <c:pt idx="228">
                  <c:v>-4.6289537712895417</c:v>
                </c:pt>
                <c:pt idx="229">
                  <c:v>-5.3832116788321187</c:v>
                </c:pt>
                <c:pt idx="230">
                  <c:v>-6.0203771289537737</c:v>
                </c:pt>
                <c:pt idx="231">
                  <c:v>-5.8470194647201961</c:v>
                </c:pt>
                <c:pt idx="232">
                  <c:v>-5.6052311435523219</c:v>
                </c:pt>
                <c:pt idx="233">
                  <c:v>-5.4759732360097342</c:v>
                </c:pt>
                <c:pt idx="234">
                  <c:v>-5.6417274939172817</c:v>
                </c:pt>
                <c:pt idx="235">
                  <c:v>-5.631082725060832</c:v>
                </c:pt>
                <c:pt idx="236">
                  <c:v>-5.6706204379562113</c:v>
                </c:pt>
                <c:pt idx="237">
                  <c:v>-5.7907542579075537</c:v>
                </c:pt>
                <c:pt idx="238">
                  <c:v>-6.1359489051094922</c:v>
                </c:pt>
                <c:pt idx="239">
                  <c:v>-5.7010340632603445</c:v>
                </c:pt>
                <c:pt idx="240">
                  <c:v>-5.5307177615571872</c:v>
                </c:pt>
                <c:pt idx="241">
                  <c:v>-5.7770681265206836</c:v>
                </c:pt>
                <c:pt idx="242">
                  <c:v>-5.7101581508515906</c:v>
                </c:pt>
                <c:pt idx="243">
                  <c:v>-5.0547445255474566</c:v>
                </c:pt>
                <c:pt idx="244">
                  <c:v>-4.5133819951338232</c:v>
                </c:pt>
                <c:pt idx="245">
                  <c:v>-5.3786496350365089</c:v>
                </c:pt>
                <c:pt idx="246">
                  <c:v>-5.4668491484185013</c:v>
                </c:pt>
                <c:pt idx="247">
                  <c:v>-5.3071776155717796</c:v>
                </c:pt>
                <c:pt idx="248">
                  <c:v>-5.2159367396593801</c:v>
                </c:pt>
                <c:pt idx="249">
                  <c:v>-4.6989051094890533</c:v>
                </c:pt>
                <c:pt idx="250">
                  <c:v>-4.8920316301703277</c:v>
                </c:pt>
                <c:pt idx="251">
                  <c:v>-4.8342457420924685</c:v>
                </c:pt>
                <c:pt idx="252">
                  <c:v>-4.121046228710461</c:v>
                </c:pt>
                <c:pt idx="253">
                  <c:v>-4.1134428223844308</c:v>
                </c:pt>
                <c:pt idx="254">
                  <c:v>-4.6730535279805441</c:v>
                </c:pt>
                <c:pt idx="255">
                  <c:v>-4.5620437956204487</c:v>
                </c:pt>
                <c:pt idx="256">
                  <c:v>-4.1256082725060841</c:v>
                </c:pt>
                <c:pt idx="257">
                  <c:v>-4.2837591240876032</c:v>
                </c:pt>
                <c:pt idx="258">
                  <c:v>-4.4145377128953802</c:v>
                </c:pt>
                <c:pt idx="259">
                  <c:v>-4.6091849148418591</c:v>
                </c:pt>
                <c:pt idx="260">
                  <c:v>-4.9893552311435538</c:v>
                </c:pt>
                <c:pt idx="261">
                  <c:v>-4.8950729927007348</c:v>
                </c:pt>
                <c:pt idx="262">
                  <c:v>-4.3978102189781048</c:v>
                </c:pt>
                <c:pt idx="263">
                  <c:v>-4.3293795620437958</c:v>
                </c:pt>
                <c:pt idx="264">
                  <c:v>-3.9552919708029268</c:v>
                </c:pt>
                <c:pt idx="265">
                  <c:v>-3.8838199513382112</c:v>
                </c:pt>
                <c:pt idx="266">
                  <c:v>-4.1970802919708134</c:v>
                </c:pt>
                <c:pt idx="267">
                  <c:v>-4.6745742092457476</c:v>
                </c:pt>
                <c:pt idx="268">
                  <c:v>-4.5240267639902729</c:v>
                </c:pt>
                <c:pt idx="269">
                  <c:v>-4.6031021897810316</c:v>
                </c:pt>
                <c:pt idx="270">
                  <c:v>-4.6502433090024411</c:v>
                </c:pt>
                <c:pt idx="271">
                  <c:v>-4.6563260340632677</c:v>
                </c:pt>
                <c:pt idx="272">
                  <c:v>-4.4814476885644865</c:v>
                </c:pt>
                <c:pt idx="273">
                  <c:v>-4.2731143552311526</c:v>
                </c:pt>
                <c:pt idx="274">
                  <c:v>-4.2913625304136325</c:v>
                </c:pt>
                <c:pt idx="275">
                  <c:v>-4.434306569343077</c:v>
                </c:pt>
                <c:pt idx="276">
                  <c:v>-4.4723236009732403</c:v>
                </c:pt>
                <c:pt idx="277">
                  <c:v>-4.6639294403892979</c:v>
                </c:pt>
                <c:pt idx="278">
                  <c:v>-4.5802919708029286</c:v>
                </c:pt>
                <c:pt idx="279">
                  <c:v>-4.4282238442822512</c:v>
                </c:pt>
                <c:pt idx="280">
                  <c:v>-4.4130170316301776</c:v>
                </c:pt>
                <c:pt idx="281">
                  <c:v>-4.4084549878345545</c:v>
                </c:pt>
                <c:pt idx="282">
                  <c:v>-4.3248175182481852</c:v>
                </c:pt>
                <c:pt idx="283">
                  <c:v>-4.549878345498783</c:v>
                </c:pt>
                <c:pt idx="284">
                  <c:v>-4.7506082725060867</c:v>
                </c:pt>
                <c:pt idx="285">
                  <c:v>-4.9802311435523201</c:v>
                </c:pt>
                <c:pt idx="286">
                  <c:v>-4.808394160583946</c:v>
                </c:pt>
                <c:pt idx="287">
                  <c:v>-4.8555352798053546</c:v>
                </c:pt>
                <c:pt idx="288">
                  <c:v>-5.0334549878345562</c:v>
                </c:pt>
                <c:pt idx="289">
                  <c:v>-5.0790754257907622</c:v>
                </c:pt>
                <c:pt idx="290">
                  <c:v>-4.9726277372262908</c:v>
                </c:pt>
                <c:pt idx="291">
                  <c:v>-4.952858880778594</c:v>
                </c:pt>
                <c:pt idx="292">
                  <c:v>-4.9604622871046233</c:v>
                </c:pt>
                <c:pt idx="293">
                  <c:v>-4.927007299270084</c:v>
                </c:pt>
                <c:pt idx="294">
                  <c:v>-4.8965936739659375</c:v>
                </c:pt>
                <c:pt idx="295">
                  <c:v>-4.8342457420924685</c:v>
                </c:pt>
                <c:pt idx="296">
                  <c:v>-4.8889902676399082</c:v>
                </c:pt>
                <c:pt idx="297">
                  <c:v>-4.8281630170316285</c:v>
                </c:pt>
                <c:pt idx="298">
                  <c:v>-4.5863746958637552</c:v>
                </c:pt>
                <c:pt idx="299">
                  <c:v>-4.71867396593675</c:v>
                </c:pt>
                <c:pt idx="300">
                  <c:v>-4.6639294403892979</c:v>
                </c:pt>
                <c:pt idx="301">
                  <c:v>-4.4069343065693509</c:v>
                </c:pt>
                <c:pt idx="302">
                  <c:v>-4.7019464720194737</c:v>
                </c:pt>
                <c:pt idx="303">
                  <c:v>-4.7795012165450155</c:v>
                </c:pt>
                <c:pt idx="304">
                  <c:v>-4.8509732360097324</c:v>
                </c:pt>
                <c:pt idx="305">
                  <c:v>-4.5863746958637552</c:v>
                </c:pt>
                <c:pt idx="306">
                  <c:v>-4.6335158150851647</c:v>
                </c:pt>
                <c:pt idx="307">
                  <c:v>-4.7947080291970892</c:v>
                </c:pt>
                <c:pt idx="308">
                  <c:v>-4.8251216545012223</c:v>
                </c:pt>
                <c:pt idx="309">
                  <c:v>-4.858576642335775</c:v>
                </c:pt>
                <c:pt idx="310">
                  <c:v>-4.9543795620437976</c:v>
                </c:pt>
                <c:pt idx="311">
                  <c:v>-5.0197688564476994</c:v>
                </c:pt>
                <c:pt idx="312">
                  <c:v>-4.8600973236009786</c:v>
                </c:pt>
                <c:pt idx="313">
                  <c:v>-4.8509732360097324</c:v>
                </c:pt>
                <c:pt idx="314">
                  <c:v>-4.6532846715328482</c:v>
                </c:pt>
                <c:pt idx="315">
                  <c:v>-4.6122262773722653</c:v>
                </c:pt>
                <c:pt idx="316">
                  <c:v>-4.5377128953771297</c:v>
                </c:pt>
                <c:pt idx="317">
                  <c:v>-4.5422749391727528</c:v>
                </c:pt>
                <c:pt idx="318">
                  <c:v>-4.6228710462287141</c:v>
                </c:pt>
                <c:pt idx="319">
                  <c:v>-4.5711678832116815</c:v>
                </c:pt>
                <c:pt idx="320">
                  <c:v>-4.8129562043795691</c:v>
                </c:pt>
                <c:pt idx="321">
                  <c:v>-4.574209245742102</c:v>
                </c:pt>
                <c:pt idx="322">
                  <c:v>-4.6289537712895417</c:v>
                </c:pt>
                <c:pt idx="323">
                  <c:v>-4.8798661800486753</c:v>
                </c:pt>
                <c:pt idx="324">
                  <c:v>-4.8099148418491495</c:v>
                </c:pt>
                <c:pt idx="325">
                  <c:v>-4.8266423357664259</c:v>
                </c:pt>
                <c:pt idx="326">
                  <c:v>-4.8007907542579158</c:v>
                </c:pt>
                <c:pt idx="327">
                  <c:v>-4.7354014598540131</c:v>
                </c:pt>
                <c:pt idx="328">
                  <c:v>-4.7566909975669134</c:v>
                </c:pt>
                <c:pt idx="329">
                  <c:v>-4.7977493917274963</c:v>
                </c:pt>
                <c:pt idx="330">
                  <c:v>-4.8418491484184987</c:v>
                </c:pt>
                <c:pt idx="331">
                  <c:v>-4.9330900243309115</c:v>
                </c:pt>
                <c:pt idx="332">
                  <c:v>-5.0030413625304231</c:v>
                </c:pt>
                <c:pt idx="333">
                  <c:v>-4.9650243309002473</c:v>
                </c:pt>
                <c:pt idx="334">
                  <c:v>-4.8889902676399082</c:v>
                </c:pt>
                <c:pt idx="335">
                  <c:v>-4.8099148418491495</c:v>
                </c:pt>
                <c:pt idx="336">
                  <c:v>-4.6624087591240944</c:v>
                </c:pt>
                <c:pt idx="337">
                  <c:v>-4.4966545012165469</c:v>
                </c:pt>
                <c:pt idx="338">
                  <c:v>-4.4799270072992696</c:v>
                </c:pt>
                <c:pt idx="339">
                  <c:v>-4.4996958637469664</c:v>
                </c:pt>
                <c:pt idx="340">
                  <c:v>-4.3932481751824941</c:v>
                </c:pt>
                <c:pt idx="341">
                  <c:v>-4.3597931873479414</c:v>
                </c:pt>
                <c:pt idx="342">
                  <c:v>-4.4251824817518308</c:v>
                </c:pt>
                <c:pt idx="343">
                  <c:v>-4.5118613138686197</c:v>
                </c:pt>
                <c:pt idx="344">
                  <c:v>-4.198600973236017</c:v>
                </c:pt>
                <c:pt idx="345">
                  <c:v>-4.2913625304136325</c:v>
                </c:pt>
                <c:pt idx="346">
                  <c:v>-4.2274939172749466</c:v>
                </c:pt>
                <c:pt idx="347">
                  <c:v>-4.1545012165450137</c:v>
                </c:pt>
                <c:pt idx="348" formatCode="0.00">
                  <c:v>-3.6785279805352835</c:v>
                </c:pt>
                <c:pt idx="349">
                  <c:v>-3.4063260340632637</c:v>
                </c:pt>
                <c:pt idx="350">
                  <c:v>-3.5583941605839415</c:v>
                </c:pt>
                <c:pt idx="351">
                  <c:v>-3.2542579075425855</c:v>
                </c:pt>
                <c:pt idx="352">
                  <c:v>-3.1021897810219077</c:v>
                </c:pt>
                <c:pt idx="353">
                  <c:v>-3.1021897810219077</c:v>
                </c:pt>
                <c:pt idx="354">
                  <c:v>-3.2542579075425855</c:v>
                </c:pt>
                <c:pt idx="355">
                  <c:v>-3.2542579075425855</c:v>
                </c:pt>
                <c:pt idx="356">
                  <c:v>-3.4063260340632637</c:v>
                </c:pt>
                <c:pt idx="357">
                  <c:v>-3.2542579075425855</c:v>
                </c:pt>
                <c:pt idx="358">
                  <c:v>-3.1021897810219077</c:v>
                </c:pt>
                <c:pt idx="359">
                  <c:v>-3.4063260340632637</c:v>
                </c:pt>
                <c:pt idx="360">
                  <c:v>-3.4063260340632637</c:v>
                </c:pt>
                <c:pt idx="361">
                  <c:v>-3.5583941605839415</c:v>
                </c:pt>
                <c:pt idx="362">
                  <c:v>-3.5583941605839415</c:v>
                </c:pt>
                <c:pt idx="363">
                  <c:v>-3.7104622871046331</c:v>
                </c:pt>
                <c:pt idx="364">
                  <c:v>-3.7104622871046331</c:v>
                </c:pt>
                <c:pt idx="365">
                  <c:v>-3.7104622871046331</c:v>
                </c:pt>
                <c:pt idx="366">
                  <c:v>-3.8625304136253114</c:v>
                </c:pt>
                <c:pt idx="367">
                  <c:v>-3.5583941605839415</c:v>
                </c:pt>
                <c:pt idx="368">
                  <c:v>-3.4063260340632637</c:v>
                </c:pt>
                <c:pt idx="369">
                  <c:v>-3.2542579075425855</c:v>
                </c:pt>
                <c:pt idx="370" formatCode="0.00">
                  <c:v>-2.9501216545012161</c:v>
                </c:pt>
                <c:pt idx="371">
                  <c:v>-3.1934306569343063</c:v>
                </c:pt>
                <c:pt idx="372">
                  <c:v>-3.418491484184917</c:v>
                </c:pt>
                <c:pt idx="373">
                  <c:v>-3.2405717761557291</c:v>
                </c:pt>
                <c:pt idx="374">
                  <c:v>-3.2770681265206889</c:v>
                </c:pt>
                <c:pt idx="375">
                  <c:v>-3.3120437956204443</c:v>
                </c:pt>
                <c:pt idx="376">
                  <c:v>-3.3242092457420975</c:v>
                </c:pt>
                <c:pt idx="377">
                  <c:v>-3.2831508515815151</c:v>
                </c:pt>
                <c:pt idx="378">
                  <c:v>-3.0793795620438043</c:v>
                </c:pt>
                <c:pt idx="379">
                  <c:v>-3.1326034063260408</c:v>
                </c:pt>
                <c:pt idx="380">
                  <c:v>-2.8375912408759176</c:v>
                </c:pt>
                <c:pt idx="381">
                  <c:v>-2.9501216545012161</c:v>
                </c:pt>
                <c:pt idx="382">
                  <c:v>-2.5562652068126508</c:v>
                </c:pt>
                <c:pt idx="383">
                  <c:v>-2.6003649635036536</c:v>
                </c:pt>
                <c:pt idx="384">
                  <c:v>-2.5425790754257944</c:v>
                </c:pt>
                <c:pt idx="385">
                  <c:v>-2.5805961070559706</c:v>
                </c:pt>
                <c:pt idx="386">
                  <c:v>-2.6414233576642365</c:v>
                </c:pt>
                <c:pt idx="387">
                  <c:v>-2.6429440389294534</c:v>
                </c:pt>
                <c:pt idx="388">
                  <c:v>-2.6277372262773802</c:v>
                </c:pt>
                <c:pt idx="389">
                  <c:v>-2.38442822384429</c:v>
                </c:pt>
                <c:pt idx="390">
                  <c:v>-2.3205596107056041</c:v>
                </c:pt>
                <c:pt idx="391" formatCode="0.00">
                  <c:v>-2.2566909975669178</c:v>
                </c:pt>
                <c:pt idx="392">
                  <c:v>-2.1928223844282324</c:v>
                </c:pt>
                <c:pt idx="393">
                  <c:v>-2.1456812652068229</c:v>
                </c:pt>
                <c:pt idx="394">
                  <c:v>-2.1867396593674058</c:v>
                </c:pt>
                <c:pt idx="395">
                  <c:v>-2.1836982968369858</c:v>
                </c:pt>
                <c:pt idx="396">
                  <c:v>-2.1593673965936793</c:v>
                </c:pt>
                <c:pt idx="397">
                  <c:v>-1.9479927007299387</c:v>
                </c:pt>
                <c:pt idx="398">
                  <c:v>-1.59671532846716</c:v>
                </c:pt>
                <c:pt idx="399">
                  <c:v>-1.1785279805352886</c:v>
                </c:pt>
                <c:pt idx="400">
                  <c:v>-1.281934306569354</c:v>
                </c:pt>
                <c:pt idx="401">
                  <c:v>-1.3640510948905196</c:v>
                </c:pt>
                <c:pt idx="402">
                  <c:v>-1.5404501216545039</c:v>
                </c:pt>
                <c:pt idx="403">
                  <c:v>-1.642335766423366</c:v>
                </c:pt>
                <c:pt idx="404">
                  <c:v>-1.4233576642335821</c:v>
                </c:pt>
                <c:pt idx="405">
                  <c:v>-1.3807785888077959</c:v>
                </c:pt>
                <c:pt idx="406">
                  <c:v>-1.2758515815085274</c:v>
                </c:pt>
                <c:pt idx="407">
                  <c:v>-1.2956204379562104</c:v>
                </c:pt>
                <c:pt idx="408">
                  <c:v>-1.2545620437956275</c:v>
                </c:pt>
                <c:pt idx="409">
                  <c:v>-1.2226277372262779</c:v>
                </c:pt>
                <c:pt idx="410">
                  <c:v>-1.0386253041362636</c:v>
                </c:pt>
                <c:pt idx="411">
                  <c:v>-0.71928223844283434</c:v>
                </c:pt>
                <c:pt idx="412">
                  <c:v>-0.44860097323601777</c:v>
                </c:pt>
                <c:pt idx="413">
                  <c:v>-0.3193430656934293</c:v>
                </c:pt>
                <c:pt idx="414" formatCode="0.00">
                  <c:v>-0.29805352798054302</c:v>
                </c:pt>
                <c:pt idx="415">
                  <c:v>0.24330900243307677</c:v>
                </c:pt>
                <c:pt idx="416">
                  <c:v>0.72688564476885076</c:v>
                </c:pt>
                <c:pt idx="417">
                  <c:v>0.60827250608272565</c:v>
                </c:pt>
                <c:pt idx="418">
                  <c:v>0.71928223844282091</c:v>
                </c:pt>
                <c:pt idx="419">
                  <c:v>1.3321167883211562</c:v>
                </c:pt>
                <c:pt idx="420">
                  <c:v>1.394464720194639</c:v>
                </c:pt>
                <c:pt idx="421">
                  <c:v>0.74057177615570713</c:v>
                </c:pt>
                <c:pt idx="422">
                  <c:v>0.71319951338199428</c:v>
                </c:pt>
                <c:pt idx="423">
                  <c:v>0.42122871046227789</c:v>
                </c:pt>
                <c:pt idx="424">
                  <c:v>0.37256690997566522</c:v>
                </c:pt>
                <c:pt idx="425">
                  <c:v>0.52919708029196655</c:v>
                </c:pt>
                <c:pt idx="426">
                  <c:v>0.11253041362529849</c:v>
                </c:pt>
                <c:pt idx="427">
                  <c:v>3.953771289536602E-2</c:v>
                </c:pt>
                <c:pt idx="428">
                  <c:v>0.10036496350364535</c:v>
                </c:pt>
                <c:pt idx="429">
                  <c:v>0.15510948905108457</c:v>
                </c:pt>
                <c:pt idx="430">
                  <c:v>-6.0827250608279315E-2</c:v>
                </c:pt>
                <c:pt idx="431">
                  <c:v>-0.59458637469586917</c:v>
                </c:pt>
                <c:pt idx="432">
                  <c:v>-0.78315085158150666</c:v>
                </c:pt>
                <c:pt idx="433">
                  <c:v>-0.86070559610706243</c:v>
                </c:pt>
                <c:pt idx="434">
                  <c:v>-1.1207420924574294</c:v>
                </c:pt>
                <c:pt idx="435" formatCode="0.00">
                  <c:v>-0.89568126520681879</c:v>
                </c:pt>
                <c:pt idx="436">
                  <c:v>-1.2606447688564542</c:v>
                </c:pt>
                <c:pt idx="437">
                  <c:v>-1.1116180048661826</c:v>
                </c:pt>
                <c:pt idx="438">
                  <c:v>-0.84093673965936599</c:v>
                </c:pt>
                <c:pt idx="439">
                  <c:v>-0.98540145985402772</c:v>
                </c:pt>
                <c:pt idx="440">
                  <c:v>-0.97779805352798432</c:v>
                </c:pt>
                <c:pt idx="441">
                  <c:v>-0.59154501216546262</c:v>
                </c:pt>
                <c:pt idx="442">
                  <c:v>-8.8199513382005684E-2</c:v>
                </c:pt>
                <c:pt idx="443">
                  <c:v>-5.3223844282249466E-2</c:v>
                </c:pt>
                <c:pt idx="444">
                  <c:v>0.11709245742092182</c:v>
                </c:pt>
                <c:pt idx="445">
                  <c:v>0.10948905109489197</c:v>
                </c:pt>
                <c:pt idx="446">
                  <c:v>-0.15663017031630136</c:v>
                </c:pt>
                <c:pt idx="447">
                  <c:v>-0.3360705596107057</c:v>
                </c:pt>
                <c:pt idx="448">
                  <c:v>-0.42274939172749465</c:v>
                </c:pt>
                <c:pt idx="449">
                  <c:v>-0.32694647201947263</c:v>
                </c:pt>
                <c:pt idx="450">
                  <c:v>-0.57937956204379593</c:v>
                </c:pt>
                <c:pt idx="451">
                  <c:v>-0.69647201946473125</c:v>
                </c:pt>
                <c:pt idx="452">
                  <c:v>-0.79379562043795671</c:v>
                </c:pt>
                <c:pt idx="453">
                  <c:v>-0.8819951338199622</c:v>
                </c:pt>
                <c:pt idx="454">
                  <c:v>-0.95954987834550465</c:v>
                </c:pt>
                <c:pt idx="455">
                  <c:v>-1.0903284671532965</c:v>
                </c:pt>
                <c:pt idx="456">
                  <c:v>-0.91088807785889192</c:v>
                </c:pt>
                <c:pt idx="457" formatCode="0.00">
                  <c:v>-0.80139902676399988</c:v>
                </c:pt>
                <c:pt idx="458">
                  <c:v>-0.46836982968370072</c:v>
                </c:pt>
                <c:pt idx="459">
                  <c:v>-0.54592457420925655</c:v>
                </c:pt>
                <c:pt idx="460">
                  <c:v>-0.80291970802920321</c:v>
                </c:pt>
                <c:pt idx="461">
                  <c:v>-0.59458637469586917</c:v>
                </c:pt>
                <c:pt idx="462">
                  <c:v>-0.80900243309002984</c:v>
                </c:pt>
                <c:pt idx="463">
                  <c:v>-0.72080291970803767</c:v>
                </c:pt>
                <c:pt idx="464">
                  <c:v>-0.95650851581508456</c:v>
                </c:pt>
                <c:pt idx="465">
                  <c:v>-1.0614355231143668</c:v>
                </c:pt>
                <c:pt idx="466">
                  <c:v>-1.0310218978102204</c:v>
                </c:pt>
                <c:pt idx="467">
                  <c:v>-0.81660583941605969</c:v>
                </c:pt>
                <c:pt idx="468">
                  <c:v>-0.68734793187348464</c:v>
                </c:pt>
                <c:pt idx="469">
                  <c:v>-0.68886861313868797</c:v>
                </c:pt>
                <c:pt idx="470">
                  <c:v>-0.63108272506082863</c:v>
                </c:pt>
                <c:pt idx="471">
                  <c:v>-0.97931873479318765</c:v>
                </c:pt>
                <c:pt idx="472">
                  <c:v>-0.77706812652069368</c:v>
                </c:pt>
                <c:pt idx="473">
                  <c:v>-0.40754257907543495</c:v>
                </c:pt>
                <c:pt idx="474">
                  <c:v>-0.11405109489051528</c:v>
                </c:pt>
                <c:pt idx="475">
                  <c:v>-0.15815085158151812</c:v>
                </c:pt>
                <c:pt idx="476">
                  <c:v>-0.18856447688565103</c:v>
                </c:pt>
                <c:pt idx="477">
                  <c:v>-0.34063260340632906</c:v>
                </c:pt>
                <c:pt idx="478">
                  <c:v>-0.52919708029198009</c:v>
                </c:pt>
                <c:pt idx="479" formatCode="0.00">
                  <c:v>-0.44251824817519114</c:v>
                </c:pt>
                <c:pt idx="480">
                  <c:v>-0.13686131386861833</c:v>
                </c:pt>
                <c:pt idx="481">
                  <c:v>-0.52919708029198009</c:v>
                </c:pt>
                <c:pt idx="482">
                  <c:v>-0.48357664233577397</c:v>
                </c:pt>
                <c:pt idx="483">
                  <c:v>-0.55504866180048962</c:v>
                </c:pt>
                <c:pt idx="484">
                  <c:v>-0.57025547445256286</c:v>
                </c:pt>
                <c:pt idx="485">
                  <c:v>-0.55200729927008307</c:v>
                </c:pt>
                <c:pt idx="486">
                  <c:v>-0.52615571776156</c:v>
                </c:pt>
                <c:pt idx="487">
                  <c:v>-0.68886861313868797</c:v>
                </c:pt>
                <c:pt idx="488">
                  <c:v>-0.5961070559610725</c:v>
                </c:pt>
                <c:pt idx="489">
                  <c:v>-0.42427007299271147</c:v>
                </c:pt>
                <c:pt idx="490">
                  <c:v>-0.35888077858880879</c:v>
                </c:pt>
                <c:pt idx="491">
                  <c:v>-0.44251824817519114</c:v>
                </c:pt>
                <c:pt idx="492">
                  <c:v>-0.38929440389295522</c:v>
                </c:pt>
                <c:pt idx="493">
                  <c:v>0.11405109489050176</c:v>
                </c:pt>
                <c:pt idx="494">
                  <c:v>4.2579075425786067E-2</c:v>
                </c:pt>
                <c:pt idx="495">
                  <c:v>0.16119221411191115</c:v>
                </c:pt>
                <c:pt idx="496">
                  <c:v>0.55048661800486631</c:v>
                </c:pt>
                <c:pt idx="497">
                  <c:v>0.46684914841848402</c:v>
                </c:pt>
                <c:pt idx="498">
                  <c:v>0.2919708029197029</c:v>
                </c:pt>
                <c:pt idx="499">
                  <c:v>0.64781021897809166</c:v>
                </c:pt>
                <c:pt idx="500" formatCode="0.00">
                  <c:v>1.0538321167883098</c:v>
                </c:pt>
                <c:pt idx="501">
                  <c:v>1.0538321167883098</c:v>
                </c:pt>
                <c:pt idx="502">
                  <c:v>1.2560827250608173</c:v>
                </c:pt>
                <c:pt idx="503">
                  <c:v>1.1344282238442722</c:v>
                </c:pt>
                <c:pt idx="504">
                  <c:v>1.2059002433090014</c:v>
                </c:pt>
                <c:pt idx="505">
                  <c:v>1.3001824817518202</c:v>
                </c:pt>
                <c:pt idx="506">
                  <c:v>1.1846107055961015</c:v>
                </c:pt>
                <c:pt idx="507">
                  <c:v>0.70559610705595088</c:v>
                </c:pt>
                <c:pt idx="508">
                  <c:v>1.0264598540145968</c:v>
                </c:pt>
                <c:pt idx="509">
                  <c:v>1.1861313868613048</c:v>
                </c:pt>
                <c:pt idx="510">
                  <c:v>1.727493917274938</c:v>
                </c:pt>
                <c:pt idx="511">
                  <c:v>2.0833333333333268</c:v>
                </c:pt>
                <c:pt idx="512">
                  <c:v>1.9966545012165378</c:v>
                </c:pt>
                <c:pt idx="513">
                  <c:v>2.1578467153284624</c:v>
                </c:pt>
                <c:pt idx="514">
                  <c:v>2.4087591240875827</c:v>
                </c:pt>
                <c:pt idx="515">
                  <c:v>2.6307785888077735</c:v>
                </c:pt>
                <c:pt idx="516">
                  <c:v>2.6201338199513371</c:v>
                </c:pt>
                <c:pt idx="517">
                  <c:v>2.6018856447688572</c:v>
                </c:pt>
                <c:pt idx="518">
                  <c:v>3.1326034063260266</c:v>
                </c:pt>
                <c:pt idx="519">
                  <c:v>3.8534063260340643</c:v>
                </c:pt>
                <c:pt idx="520">
                  <c:v>3.8305961070559613</c:v>
                </c:pt>
                <c:pt idx="521">
                  <c:v>3.6100973236009741</c:v>
                </c:pt>
                <c:pt idx="522">
                  <c:v>3.7864963503649589</c:v>
                </c:pt>
                <c:pt idx="523" formatCode="0.00">
                  <c:v>4.3902068126520613</c:v>
                </c:pt>
                <c:pt idx="524">
                  <c:v>4.192518248175177</c:v>
                </c:pt>
                <c:pt idx="525">
                  <c:v>4.1773114355231042</c:v>
                </c:pt>
                <c:pt idx="526">
                  <c:v>4.3278588807785781</c:v>
                </c:pt>
                <c:pt idx="527">
                  <c:v>4.4571167883211666</c:v>
                </c:pt>
                <c:pt idx="528">
                  <c:v>4.6502433090024278</c:v>
                </c:pt>
                <c:pt idx="529">
                  <c:v>3.7849756690997558</c:v>
                </c:pt>
                <c:pt idx="530">
                  <c:v>4.2259732360097297</c:v>
                </c:pt>
                <c:pt idx="531">
                  <c:v>3.7773722627737123</c:v>
                </c:pt>
                <c:pt idx="532">
                  <c:v>3.5888077858880743</c:v>
                </c:pt>
                <c:pt idx="533">
                  <c:v>3.4823600973236024</c:v>
                </c:pt>
                <c:pt idx="534">
                  <c:v>3.5249391727493888</c:v>
                </c:pt>
                <c:pt idx="535">
                  <c:v>3.4732360097323562</c:v>
                </c:pt>
                <c:pt idx="536">
                  <c:v>3.5416666666666652</c:v>
                </c:pt>
                <c:pt idx="537">
                  <c:v>3.5203771289537653</c:v>
                </c:pt>
                <c:pt idx="538">
                  <c:v>3.6177007299270043</c:v>
                </c:pt>
                <c:pt idx="539">
                  <c:v>3.4413017031630062</c:v>
                </c:pt>
                <c:pt idx="540">
                  <c:v>3.6435523114355135</c:v>
                </c:pt>
                <c:pt idx="541">
                  <c:v>3.9628953771289428</c:v>
                </c:pt>
                <c:pt idx="542">
                  <c:v>3.9111922141119235</c:v>
                </c:pt>
                <c:pt idx="543" formatCode="0.00">
                  <c:v>3.7256690997566797</c:v>
                </c:pt>
              </c:numCache>
            </c:numRef>
          </c:val>
          <c:smooth val="0"/>
        </c:ser>
        <c:ser>
          <c:idx val="6"/>
          <c:order val="6"/>
          <c:tx>
            <c:strRef>
              <c:f>'Currency Raw'!$Q$1</c:f>
              <c:strCache>
                <c:ptCount val="1"/>
                <c:pt idx="0">
                  <c:v>Ruble</c:v>
                </c:pt>
              </c:strCache>
            </c:strRef>
          </c:tx>
          <c:marker>
            <c:symbol val="none"/>
          </c:marker>
          <c:cat>
            <c:numRef>
              <c:f>'Currency Raw'!$J$2:$J$545</c:f>
              <c:numCache>
                <c:formatCode>m/d/yyyy</c:formatCode>
                <c:ptCount val="544"/>
                <c:pt idx="1">
                  <c:v>42401</c:v>
                </c:pt>
                <c:pt idx="2">
                  <c:v>42402</c:v>
                </c:pt>
                <c:pt idx="3">
                  <c:v>42403</c:v>
                </c:pt>
                <c:pt idx="4">
                  <c:v>42404</c:v>
                </c:pt>
                <c:pt idx="5">
                  <c:v>42405</c:v>
                </c:pt>
                <c:pt idx="6">
                  <c:v>42408</c:v>
                </c:pt>
                <c:pt idx="7">
                  <c:v>42409</c:v>
                </c:pt>
                <c:pt idx="8">
                  <c:v>42410</c:v>
                </c:pt>
                <c:pt idx="9">
                  <c:v>42411</c:v>
                </c:pt>
                <c:pt idx="10">
                  <c:v>42412</c:v>
                </c:pt>
                <c:pt idx="11">
                  <c:v>42415</c:v>
                </c:pt>
                <c:pt idx="12">
                  <c:v>42416</c:v>
                </c:pt>
                <c:pt idx="13">
                  <c:v>42417</c:v>
                </c:pt>
                <c:pt idx="14">
                  <c:v>42418</c:v>
                </c:pt>
                <c:pt idx="15">
                  <c:v>42419</c:v>
                </c:pt>
                <c:pt idx="16">
                  <c:v>42422</c:v>
                </c:pt>
                <c:pt idx="17">
                  <c:v>42423</c:v>
                </c:pt>
                <c:pt idx="18">
                  <c:v>42424</c:v>
                </c:pt>
                <c:pt idx="19">
                  <c:v>42425</c:v>
                </c:pt>
                <c:pt idx="20">
                  <c:v>42426</c:v>
                </c:pt>
                <c:pt idx="21">
                  <c:v>42429</c:v>
                </c:pt>
                <c:pt idx="22">
                  <c:v>42430</c:v>
                </c:pt>
                <c:pt idx="23">
                  <c:v>42431</c:v>
                </c:pt>
                <c:pt idx="24">
                  <c:v>42432</c:v>
                </c:pt>
                <c:pt idx="25">
                  <c:v>42433</c:v>
                </c:pt>
                <c:pt idx="26">
                  <c:v>42436</c:v>
                </c:pt>
                <c:pt idx="27">
                  <c:v>42437</c:v>
                </c:pt>
                <c:pt idx="28">
                  <c:v>42438</c:v>
                </c:pt>
                <c:pt idx="29">
                  <c:v>42439</c:v>
                </c:pt>
                <c:pt idx="30">
                  <c:v>42440</c:v>
                </c:pt>
                <c:pt idx="31">
                  <c:v>42443</c:v>
                </c:pt>
                <c:pt idx="32">
                  <c:v>42444</c:v>
                </c:pt>
                <c:pt idx="33">
                  <c:v>42445</c:v>
                </c:pt>
                <c:pt idx="34">
                  <c:v>42446</c:v>
                </c:pt>
                <c:pt idx="35">
                  <c:v>42447</c:v>
                </c:pt>
                <c:pt idx="36">
                  <c:v>42450</c:v>
                </c:pt>
                <c:pt idx="37">
                  <c:v>42451</c:v>
                </c:pt>
                <c:pt idx="38">
                  <c:v>42452</c:v>
                </c:pt>
                <c:pt idx="39">
                  <c:v>42453</c:v>
                </c:pt>
                <c:pt idx="40">
                  <c:v>42454</c:v>
                </c:pt>
                <c:pt idx="41">
                  <c:v>42457</c:v>
                </c:pt>
                <c:pt idx="42">
                  <c:v>42458</c:v>
                </c:pt>
                <c:pt idx="43">
                  <c:v>42459</c:v>
                </c:pt>
                <c:pt idx="44">
                  <c:v>42460</c:v>
                </c:pt>
                <c:pt idx="45">
                  <c:v>42461</c:v>
                </c:pt>
                <c:pt idx="46">
                  <c:v>42464</c:v>
                </c:pt>
                <c:pt idx="47">
                  <c:v>42465</c:v>
                </c:pt>
                <c:pt idx="48">
                  <c:v>42466</c:v>
                </c:pt>
                <c:pt idx="49">
                  <c:v>42467</c:v>
                </c:pt>
                <c:pt idx="50">
                  <c:v>42468</c:v>
                </c:pt>
                <c:pt idx="51">
                  <c:v>42471</c:v>
                </c:pt>
                <c:pt idx="52">
                  <c:v>42472</c:v>
                </c:pt>
                <c:pt idx="53">
                  <c:v>42473</c:v>
                </c:pt>
                <c:pt idx="54">
                  <c:v>42474</c:v>
                </c:pt>
                <c:pt idx="55">
                  <c:v>42475</c:v>
                </c:pt>
                <c:pt idx="56">
                  <c:v>42478</c:v>
                </c:pt>
                <c:pt idx="57">
                  <c:v>42479</c:v>
                </c:pt>
                <c:pt idx="58">
                  <c:v>42480</c:v>
                </c:pt>
                <c:pt idx="59">
                  <c:v>42481</c:v>
                </c:pt>
                <c:pt idx="60">
                  <c:v>42482</c:v>
                </c:pt>
                <c:pt idx="61">
                  <c:v>42485</c:v>
                </c:pt>
                <c:pt idx="62">
                  <c:v>42486</c:v>
                </c:pt>
                <c:pt idx="63">
                  <c:v>42487</c:v>
                </c:pt>
                <c:pt idx="64">
                  <c:v>42488</c:v>
                </c:pt>
                <c:pt idx="65">
                  <c:v>42489</c:v>
                </c:pt>
                <c:pt idx="66">
                  <c:v>42492</c:v>
                </c:pt>
                <c:pt idx="67">
                  <c:v>42493</c:v>
                </c:pt>
                <c:pt idx="68">
                  <c:v>42494</c:v>
                </c:pt>
                <c:pt idx="69">
                  <c:v>42495</c:v>
                </c:pt>
                <c:pt idx="70">
                  <c:v>42496</c:v>
                </c:pt>
                <c:pt idx="71">
                  <c:v>42499</c:v>
                </c:pt>
                <c:pt idx="72">
                  <c:v>42500</c:v>
                </c:pt>
                <c:pt idx="73">
                  <c:v>42501</c:v>
                </c:pt>
                <c:pt idx="74">
                  <c:v>42502</c:v>
                </c:pt>
                <c:pt idx="75">
                  <c:v>42503</c:v>
                </c:pt>
                <c:pt idx="76">
                  <c:v>42506</c:v>
                </c:pt>
                <c:pt idx="77">
                  <c:v>42507</c:v>
                </c:pt>
                <c:pt idx="78">
                  <c:v>42508</c:v>
                </c:pt>
                <c:pt idx="79">
                  <c:v>42509</c:v>
                </c:pt>
                <c:pt idx="80">
                  <c:v>42510</c:v>
                </c:pt>
                <c:pt idx="81">
                  <c:v>42513</c:v>
                </c:pt>
                <c:pt idx="82">
                  <c:v>42514</c:v>
                </c:pt>
                <c:pt idx="83">
                  <c:v>42515</c:v>
                </c:pt>
                <c:pt idx="84">
                  <c:v>42516</c:v>
                </c:pt>
                <c:pt idx="85">
                  <c:v>42517</c:v>
                </c:pt>
                <c:pt idx="86">
                  <c:v>42520</c:v>
                </c:pt>
                <c:pt idx="87">
                  <c:v>42521</c:v>
                </c:pt>
                <c:pt idx="88">
                  <c:v>42522</c:v>
                </c:pt>
                <c:pt idx="89">
                  <c:v>42523</c:v>
                </c:pt>
                <c:pt idx="90">
                  <c:v>42524</c:v>
                </c:pt>
                <c:pt idx="91">
                  <c:v>42527</c:v>
                </c:pt>
                <c:pt idx="92">
                  <c:v>42528</c:v>
                </c:pt>
                <c:pt idx="93">
                  <c:v>42529</c:v>
                </c:pt>
                <c:pt idx="94">
                  <c:v>42530</c:v>
                </c:pt>
                <c:pt idx="95">
                  <c:v>42531</c:v>
                </c:pt>
                <c:pt idx="96">
                  <c:v>42534</c:v>
                </c:pt>
                <c:pt idx="97">
                  <c:v>42535</c:v>
                </c:pt>
                <c:pt idx="98">
                  <c:v>42536</c:v>
                </c:pt>
                <c:pt idx="99">
                  <c:v>42537</c:v>
                </c:pt>
                <c:pt idx="100">
                  <c:v>42538</c:v>
                </c:pt>
                <c:pt idx="101">
                  <c:v>42541</c:v>
                </c:pt>
                <c:pt idx="102">
                  <c:v>42542</c:v>
                </c:pt>
                <c:pt idx="103">
                  <c:v>42543</c:v>
                </c:pt>
                <c:pt idx="104">
                  <c:v>42544</c:v>
                </c:pt>
                <c:pt idx="105">
                  <c:v>42545</c:v>
                </c:pt>
                <c:pt idx="106">
                  <c:v>42548</c:v>
                </c:pt>
                <c:pt idx="107">
                  <c:v>42549</c:v>
                </c:pt>
                <c:pt idx="108">
                  <c:v>42550</c:v>
                </c:pt>
                <c:pt idx="109">
                  <c:v>42551</c:v>
                </c:pt>
                <c:pt idx="110">
                  <c:v>42552</c:v>
                </c:pt>
                <c:pt idx="111">
                  <c:v>42555</c:v>
                </c:pt>
                <c:pt idx="112">
                  <c:v>42556</c:v>
                </c:pt>
                <c:pt idx="113">
                  <c:v>42557</c:v>
                </c:pt>
                <c:pt idx="114">
                  <c:v>42558</c:v>
                </c:pt>
                <c:pt idx="115">
                  <c:v>42559</c:v>
                </c:pt>
                <c:pt idx="116">
                  <c:v>42562</c:v>
                </c:pt>
                <c:pt idx="117">
                  <c:v>42563</c:v>
                </c:pt>
                <c:pt idx="118">
                  <c:v>42564</c:v>
                </c:pt>
                <c:pt idx="119">
                  <c:v>42565</c:v>
                </c:pt>
                <c:pt idx="120">
                  <c:v>42566</c:v>
                </c:pt>
                <c:pt idx="121">
                  <c:v>42569</c:v>
                </c:pt>
                <c:pt idx="122">
                  <c:v>42570</c:v>
                </c:pt>
                <c:pt idx="123">
                  <c:v>42571</c:v>
                </c:pt>
                <c:pt idx="124">
                  <c:v>42572</c:v>
                </c:pt>
                <c:pt idx="125">
                  <c:v>42573</c:v>
                </c:pt>
                <c:pt idx="126">
                  <c:v>42576</c:v>
                </c:pt>
                <c:pt idx="127">
                  <c:v>42577</c:v>
                </c:pt>
                <c:pt idx="128">
                  <c:v>42578</c:v>
                </c:pt>
                <c:pt idx="129">
                  <c:v>42579</c:v>
                </c:pt>
                <c:pt idx="130">
                  <c:v>42580</c:v>
                </c:pt>
                <c:pt idx="131">
                  <c:v>42583</c:v>
                </c:pt>
                <c:pt idx="132">
                  <c:v>42584</c:v>
                </c:pt>
                <c:pt idx="133">
                  <c:v>42585</c:v>
                </c:pt>
                <c:pt idx="134">
                  <c:v>42586</c:v>
                </c:pt>
                <c:pt idx="135">
                  <c:v>42587</c:v>
                </c:pt>
                <c:pt idx="136">
                  <c:v>42590</c:v>
                </c:pt>
                <c:pt idx="137">
                  <c:v>42591</c:v>
                </c:pt>
                <c:pt idx="138">
                  <c:v>42592</c:v>
                </c:pt>
                <c:pt idx="139">
                  <c:v>42593</c:v>
                </c:pt>
                <c:pt idx="140">
                  <c:v>42594</c:v>
                </c:pt>
                <c:pt idx="141">
                  <c:v>42597</c:v>
                </c:pt>
                <c:pt idx="142">
                  <c:v>42598</c:v>
                </c:pt>
                <c:pt idx="143">
                  <c:v>42599</c:v>
                </c:pt>
                <c:pt idx="144">
                  <c:v>42600</c:v>
                </c:pt>
                <c:pt idx="145">
                  <c:v>42601</c:v>
                </c:pt>
                <c:pt idx="146">
                  <c:v>42604</c:v>
                </c:pt>
                <c:pt idx="147">
                  <c:v>42605</c:v>
                </c:pt>
                <c:pt idx="148">
                  <c:v>42606</c:v>
                </c:pt>
                <c:pt idx="149">
                  <c:v>42607</c:v>
                </c:pt>
                <c:pt idx="150">
                  <c:v>42608</c:v>
                </c:pt>
                <c:pt idx="151">
                  <c:v>42611</c:v>
                </c:pt>
                <c:pt idx="152">
                  <c:v>42612</c:v>
                </c:pt>
                <c:pt idx="153">
                  <c:v>42613</c:v>
                </c:pt>
                <c:pt idx="154">
                  <c:v>42614</c:v>
                </c:pt>
                <c:pt idx="155">
                  <c:v>42615</c:v>
                </c:pt>
                <c:pt idx="156">
                  <c:v>42618</c:v>
                </c:pt>
                <c:pt idx="157">
                  <c:v>42619</c:v>
                </c:pt>
                <c:pt idx="158">
                  <c:v>42620</c:v>
                </c:pt>
                <c:pt idx="159">
                  <c:v>42621</c:v>
                </c:pt>
                <c:pt idx="160">
                  <c:v>42622</c:v>
                </c:pt>
                <c:pt idx="161">
                  <c:v>42625</c:v>
                </c:pt>
                <c:pt idx="162">
                  <c:v>42626</c:v>
                </c:pt>
                <c:pt idx="163">
                  <c:v>42627</c:v>
                </c:pt>
                <c:pt idx="164">
                  <c:v>42628</c:v>
                </c:pt>
                <c:pt idx="165">
                  <c:v>42629</c:v>
                </c:pt>
                <c:pt idx="166">
                  <c:v>42632</c:v>
                </c:pt>
                <c:pt idx="167">
                  <c:v>42633</c:v>
                </c:pt>
                <c:pt idx="168">
                  <c:v>42634</c:v>
                </c:pt>
                <c:pt idx="169">
                  <c:v>42635</c:v>
                </c:pt>
                <c:pt idx="170">
                  <c:v>42636</c:v>
                </c:pt>
                <c:pt idx="171">
                  <c:v>42639</c:v>
                </c:pt>
                <c:pt idx="172">
                  <c:v>42640</c:v>
                </c:pt>
                <c:pt idx="173">
                  <c:v>42641</c:v>
                </c:pt>
                <c:pt idx="174">
                  <c:v>42642</c:v>
                </c:pt>
                <c:pt idx="175">
                  <c:v>42643</c:v>
                </c:pt>
                <c:pt idx="176">
                  <c:v>42646</c:v>
                </c:pt>
                <c:pt idx="177">
                  <c:v>42647</c:v>
                </c:pt>
                <c:pt idx="178">
                  <c:v>42648</c:v>
                </c:pt>
                <c:pt idx="179">
                  <c:v>42649</c:v>
                </c:pt>
                <c:pt idx="180">
                  <c:v>42650</c:v>
                </c:pt>
                <c:pt idx="181">
                  <c:v>42653</c:v>
                </c:pt>
                <c:pt idx="182">
                  <c:v>42654</c:v>
                </c:pt>
                <c:pt idx="183">
                  <c:v>42655</c:v>
                </c:pt>
                <c:pt idx="184">
                  <c:v>42656</c:v>
                </c:pt>
                <c:pt idx="185">
                  <c:v>42657</c:v>
                </c:pt>
                <c:pt idx="186">
                  <c:v>42660</c:v>
                </c:pt>
                <c:pt idx="187">
                  <c:v>42661</c:v>
                </c:pt>
                <c:pt idx="188">
                  <c:v>42662</c:v>
                </c:pt>
                <c:pt idx="189">
                  <c:v>42663</c:v>
                </c:pt>
                <c:pt idx="190">
                  <c:v>42664</c:v>
                </c:pt>
                <c:pt idx="191">
                  <c:v>42667</c:v>
                </c:pt>
                <c:pt idx="192">
                  <c:v>42668</c:v>
                </c:pt>
                <c:pt idx="193">
                  <c:v>42669</c:v>
                </c:pt>
                <c:pt idx="194">
                  <c:v>42670</c:v>
                </c:pt>
                <c:pt idx="195">
                  <c:v>42671</c:v>
                </c:pt>
                <c:pt idx="196">
                  <c:v>42674</c:v>
                </c:pt>
                <c:pt idx="197">
                  <c:v>42675</c:v>
                </c:pt>
                <c:pt idx="198">
                  <c:v>42676</c:v>
                </c:pt>
                <c:pt idx="199">
                  <c:v>42677</c:v>
                </c:pt>
                <c:pt idx="200">
                  <c:v>42678</c:v>
                </c:pt>
                <c:pt idx="201">
                  <c:v>42681</c:v>
                </c:pt>
                <c:pt idx="202">
                  <c:v>42682</c:v>
                </c:pt>
                <c:pt idx="203">
                  <c:v>42683</c:v>
                </c:pt>
                <c:pt idx="204">
                  <c:v>42684</c:v>
                </c:pt>
                <c:pt idx="205">
                  <c:v>42685</c:v>
                </c:pt>
                <c:pt idx="206">
                  <c:v>42688</c:v>
                </c:pt>
                <c:pt idx="207">
                  <c:v>42689</c:v>
                </c:pt>
                <c:pt idx="208">
                  <c:v>42690</c:v>
                </c:pt>
                <c:pt idx="209">
                  <c:v>42691</c:v>
                </c:pt>
                <c:pt idx="210">
                  <c:v>42692</c:v>
                </c:pt>
                <c:pt idx="211">
                  <c:v>42695</c:v>
                </c:pt>
                <c:pt idx="212">
                  <c:v>42696</c:v>
                </c:pt>
                <c:pt idx="213">
                  <c:v>42697</c:v>
                </c:pt>
                <c:pt idx="214">
                  <c:v>42698</c:v>
                </c:pt>
                <c:pt idx="215">
                  <c:v>42699</c:v>
                </c:pt>
                <c:pt idx="216">
                  <c:v>42702</c:v>
                </c:pt>
                <c:pt idx="217">
                  <c:v>42703</c:v>
                </c:pt>
                <c:pt idx="218">
                  <c:v>42704</c:v>
                </c:pt>
                <c:pt idx="219">
                  <c:v>42705</c:v>
                </c:pt>
                <c:pt idx="220">
                  <c:v>42706</c:v>
                </c:pt>
                <c:pt idx="221">
                  <c:v>42709</c:v>
                </c:pt>
                <c:pt idx="222">
                  <c:v>42710</c:v>
                </c:pt>
                <c:pt idx="223">
                  <c:v>42711</c:v>
                </c:pt>
                <c:pt idx="224">
                  <c:v>42712</c:v>
                </c:pt>
                <c:pt idx="225">
                  <c:v>42713</c:v>
                </c:pt>
                <c:pt idx="226">
                  <c:v>42716</c:v>
                </c:pt>
                <c:pt idx="227">
                  <c:v>42717</c:v>
                </c:pt>
                <c:pt idx="228">
                  <c:v>42718</c:v>
                </c:pt>
                <c:pt idx="229">
                  <c:v>42719</c:v>
                </c:pt>
                <c:pt idx="230">
                  <c:v>42720</c:v>
                </c:pt>
                <c:pt idx="231">
                  <c:v>42723</c:v>
                </c:pt>
                <c:pt idx="232">
                  <c:v>42724</c:v>
                </c:pt>
                <c:pt idx="233">
                  <c:v>42725</c:v>
                </c:pt>
                <c:pt idx="234">
                  <c:v>42726</c:v>
                </c:pt>
                <c:pt idx="235">
                  <c:v>42727</c:v>
                </c:pt>
                <c:pt idx="236">
                  <c:v>42730</c:v>
                </c:pt>
                <c:pt idx="237">
                  <c:v>42731</c:v>
                </c:pt>
                <c:pt idx="238">
                  <c:v>42732</c:v>
                </c:pt>
                <c:pt idx="239">
                  <c:v>42733</c:v>
                </c:pt>
                <c:pt idx="240">
                  <c:v>42734</c:v>
                </c:pt>
                <c:pt idx="241">
                  <c:v>42737</c:v>
                </c:pt>
                <c:pt idx="242">
                  <c:v>42738</c:v>
                </c:pt>
                <c:pt idx="243">
                  <c:v>42739</c:v>
                </c:pt>
                <c:pt idx="244">
                  <c:v>42740</c:v>
                </c:pt>
                <c:pt idx="245">
                  <c:v>42741</c:v>
                </c:pt>
                <c:pt idx="246">
                  <c:v>42744</c:v>
                </c:pt>
                <c:pt idx="247">
                  <c:v>42745</c:v>
                </c:pt>
                <c:pt idx="248">
                  <c:v>42746</c:v>
                </c:pt>
                <c:pt idx="249">
                  <c:v>42747</c:v>
                </c:pt>
                <c:pt idx="250">
                  <c:v>42748</c:v>
                </c:pt>
                <c:pt idx="251">
                  <c:v>42751</c:v>
                </c:pt>
                <c:pt idx="252">
                  <c:v>42752</c:v>
                </c:pt>
                <c:pt idx="253">
                  <c:v>42753</c:v>
                </c:pt>
                <c:pt idx="254">
                  <c:v>42754</c:v>
                </c:pt>
                <c:pt idx="255">
                  <c:v>42755</c:v>
                </c:pt>
                <c:pt idx="256">
                  <c:v>42758</c:v>
                </c:pt>
                <c:pt idx="257">
                  <c:v>42759</c:v>
                </c:pt>
                <c:pt idx="258">
                  <c:v>42760</c:v>
                </c:pt>
                <c:pt idx="259">
                  <c:v>42761</c:v>
                </c:pt>
                <c:pt idx="260">
                  <c:v>42762</c:v>
                </c:pt>
                <c:pt idx="261">
                  <c:v>42765</c:v>
                </c:pt>
                <c:pt idx="262">
                  <c:v>42766</c:v>
                </c:pt>
                <c:pt idx="263">
                  <c:v>42767</c:v>
                </c:pt>
                <c:pt idx="264">
                  <c:v>42768</c:v>
                </c:pt>
                <c:pt idx="265">
                  <c:v>42769</c:v>
                </c:pt>
                <c:pt idx="266">
                  <c:v>42772</c:v>
                </c:pt>
                <c:pt idx="267">
                  <c:v>42773</c:v>
                </c:pt>
                <c:pt idx="268">
                  <c:v>42774</c:v>
                </c:pt>
                <c:pt idx="269">
                  <c:v>42775</c:v>
                </c:pt>
                <c:pt idx="270">
                  <c:v>42776</c:v>
                </c:pt>
                <c:pt idx="271">
                  <c:v>42779</c:v>
                </c:pt>
                <c:pt idx="272">
                  <c:v>42780</c:v>
                </c:pt>
                <c:pt idx="273">
                  <c:v>42781</c:v>
                </c:pt>
                <c:pt idx="274">
                  <c:v>42782</c:v>
                </c:pt>
                <c:pt idx="275">
                  <c:v>42783</c:v>
                </c:pt>
                <c:pt idx="276">
                  <c:v>42786</c:v>
                </c:pt>
                <c:pt idx="277">
                  <c:v>42787</c:v>
                </c:pt>
                <c:pt idx="278">
                  <c:v>42788</c:v>
                </c:pt>
                <c:pt idx="279">
                  <c:v>42789</c:v>
                </c:pt>
                <c:pt idx="280">
                  <c:v>42790</c:v>
                </c:pt>
                <c:pt idx="281">
                  <c:v>42793</c:v>
                </c:pt>
                <c:pt idx="282">
                  <c:v>42794</c:v>
                </c:pt>
                <c:pt idx="283">
                  <c:v>42795</c:v>
                </c:pt>
                <c:pt idx="284">
                  <c:v>42796</c:v>
                </c:pt>
                <c:pt idx="285">
                  <c:v>42797</c:v>
                </c:pt>
                <c:pt idx="286">
                  <c:v>42800</c:v>
                </c:pt>
                <c:pt idx="287">
                  <c:v>42801</c:v>
                </c:pt>
                <c:pt idx="288">
                  <c:v>42802</c:v>
                </c:pt>
                <c:pt idx="289">
                  <c:v>42803</c:v>
                </c:pt>
                <c:pt idx="290">
                  <c:v>42804</c:v>
                </c:pt>
                <c:pt idx="291">
                  <c:v>42807</c:v>
                </c:pt>
                <c:pt idx="292">
                  <c:v>42808</c:v>
                </c:pt>
                <c:pt idx="293">
                  <c:v>42809</c:v>
                </c:pt>
                <c:pt idx="294">
                  <c:v>42810</c:v>
                </c:pt>
                <c:pt idx="295">
                  <c:v>42811</c:v>
                </c:pt>
                <c:pt idx="296">
                  <c:v>42814</c:v>
                </c:pt>
                <c:pt idx="297">
                  <c:v>42815</c:v>
                </c:pt>
                <c:pt idx="298">
                  <c:v>42816</c:v>
                </c:pt>
                <c:pt idx="299">
                  <c:v>42817</c:v>
                </c:pt>
                <c:pt idx="300">
                  <c:v>42818</c:v>
                </c:pt>
                <c:pt idx="301">
                  <c:v>42821</c:v>
                </c:pt>
                <c:pt idx="302">
                  <c:v>42822</c:v>
                </c:pt>
                <c:pt idx="303">
                  <c:v>42823</c:v>
                </c:pt>
                <c:pt idx="304">
                  <c:v>42824</c:v>
                </c:pt>
                <c:pt idx="305">
                  <c:v>42825</c:v>
                </c:pt>
                <c:pt idx="306">
                  <c:v>42828</c:v>
                </c:pt>
                <c:pt idx="307">
                  <c:v>42829</c:v>
                </c:pt>
                <c:pt idx="308">
                  <c:v>42830</c:v>
                </c:pt>
                <c:pt idx="309">
                  <c:v>42831</c:v>
                </c:pt>
                <c:pt idx="310">
                  <c:v>42832</c:v>
                </c:pt>
                <c:pt idx="311">
                  <c:v>42835</c:v>
                </c:pt>
                <c:pt idx="312">
                  <c:v>42836</c:v>
                </c:pt>
                <c:pt idx="313">
                  <c:v>42837</c:v>
                </c:pt>
                <c:pt idx="314">
                  <c:v>42838</c:v>
                </c:pt>
                <c:pt idx="315">
                  <c:v>42839</c:v>
                </c:pt>
                <c:pt idx="316">
                  <c:v>42842</c:v>
                </c:pt>
                <c:pt idx="317">
                  <c:v>42843</c:v>
                </c:pt>
                <c:pt idx="318">
                  <c:v>42844</c:v>
                </c:pt>
                <c:pt idx="319">
                  <c:v>42845</c:v>
                </c:pt>
                <c:pt idx="320">
                  <c:v>42846</c:v>
                </c:pt>
                <c:pt idx="321">
                  <c:v>42849</c:v>
                </c:pt>
                <c:pt idx="322">
                  <c:v>42850</c:v>
                </c:pt>
                <c:pt idx="323">
                  <c:v>42851</c:v>
                </c:pt>
                <c:pt idx="324">
                  <c:v>42852</c:v>
                </c:pt>
                <c:pt idx="325">
                  <c:v>42853</c:v>
                </c:pt>
                <c:pt idx="326">
                  <c:v>42856</c:v>
                </c:pt>
                <c:pt idx="327">
                  <c:v>42857</c:v>
                </c:pt>
                <c:pt idx="328">
                  <c:v>42858</c:v>
                </c:pt>
                <c:pt idx="329">
                  <c:v>42859</c:v>
                </c:pt>
                <c:pt idx="330">
                  <c:v>42860</c:v>
                </c:pt>
                <c:pt idx="331">
                  <c:v>42863</c:v>
                </c:pt>
                <c:pt idx="332">
                  <c:v>42864</c:v>
                </c:pt>
                <c:pt idx="333">
                  <c:v>42865</c:v>
                </c:pt>
                <c:pt idx="334">
                  <c:v>42866</c:v>
                </c:pt>
                <c:pt idx="335">
                  <c:v>42867</c:v>
                </c:pt>
                <c:pt idx="336">
                  <c:v>42870</c:v>
                </c:pt>
                <c:pt idx="337">
                  <c:v>42871</c:v>
                </c:pt>
                <c:pt idx="338">
                  <c:v>42872</c:v>
                </c:pt>
                <c:pt idx="339">
                  <c:v>42873</c:v>
                </c:pt>
                <c:pt idx="340">
                  <c:v>42874</c:v>
                </c:pt>
                <c:pt idx="341">
                  <c:v>42877</c:v>
                </c:pt>
                <c:pt idx="342">
                  <c:v>42878</c:v>
                </c:pt>
                <c:pt idx="343">
                  <c:v>42879</c:v>
                </c:pt>
                <c:pt idx="344">
                  <c:v>42880</c:v>
                </c:pt>
                <c:pt idx="345">
                  <c:v>42881</c:v>
                </c:pt>
                <c:pt idx="346">
                  <c:v>42884</c:v>
                </c:pt>
                <c:pt idx="347">
                  <c:v>42885</c:v>
                </c:pt>
                <c:pt idx="348">
                  <c:v>42886</c:v>
                </c:pt>
                <c:pt idx="349">
                  <c:v>42887</c:v>
                </c:pt>
                <c:pt idx="350">
                  <c:v>42888</c:v>
                </c:pt>
                <c:pt idx="351">
                  <c:v>42891</c:v>
                </c:pt>
                <c:pt idx="352">
                  <c:v>42892</c:v>
                </c:pt>
                <c:pt idx="353">
                  <c:v>42893</c:v>
                </c:pt>
                <c:pt idx="354">
                  <c:v>42894</c:v>
                </c:pt>
                <c:pt idx="355">
                  <c:v>42895</c:v>
                </c:pt>
                <c:pt idx="356">
                  <c:v>42898</c:v>
                </c:pt>
                <c:pt idx="357">
                  <c:v>42899</c:v>
                </c:pt>
                <c:pt idx="358">
                  <c:v>42900</c:v>
                </c:pt>
                <c:pt idx="359">
                  <c:v>42901</c:v>
                </c:pt>
                <c:pt idx="360">
                  <c:v>42902</c:v>
                </c:pt>
                <c:pt idx="361">
                  <c:v>42905</c:v>
                </c:pt>
                <c:pt idx="362">
                  <c:v>42906</c:v>
                </c:pt>
                <c:pt idx="363">
                  <c:v>42907</c:v>
                </c:pt>
                <c:pt idx="364">
                  <c:v>42908</c:v>
                </c:pt>
                <c:pt idx="365">
                  <c:v>42909</c:v>
                </c:pt>
                <c:pt idx="366">
                  <c:v>42912</c:v>
                </c:pt>
                <c:pt idx="367">
                  <c:v>42913</c:v>
                </c:pt>
                <c:pt idx="368">
                  <c:v>42914</c:v>
                </c:pt>
                <c:pt idx="369">
                  <c:v>42915</c:v>
                </c:pt>
                <c:pt idx="370">
                  <c:v>42916</c:v>
                </c:pt>
                <c:pt idx="371">
                  <c:v>42919</c:v>
                </c:pt>
                <c:pt idx="372">
                  <c:v>42920</c:v>
                </c:pt>
                <c:pt idx="373">
                  <c:v>42921</c:v>
                </c:pt>
                <c:pt idx="374">
                  <c:v>42922</c:v>
                </c:pt>
                <c:pt idx="375">
                  <c:v>42923</c:v>
                </c:pt>
                <c:pt idx="376">
                  <c:v>42926</c:v>
                </c:pt>
                <c:pt idx="377">
                  <c:v>42927</c:v>
                </c:pt>
                <c:pt idx="378">
                  <c:v>42928</c:v>
                </c:pt>
                <c:pt idx="379">
                  <c:v>42929</c:v>
                </c:pt>
                <c:pt idx="380">
                  <c:v>42930</c:v>
                </c:pt>
                <c:pt idx="381">
                  <c:v>42933</c:v>
                </c:pt>
                <c:pt idx="382">
                  <c:v>42934</c:v>
                </c:pt>
                <c:pt idx="383">
                  <c:v>42935</c:v>
                </c:pt>
                <c:pt idx="384">
                  <c:v>42936</c:v>
                </c:pt>
                <c:pt idx="385">
                  <c:v>42937</c:v>
                </c:pt>
                <c:pt idx="386">
                  <c:v>42940</c:v>
                </c:pt>
                <c:pt idx="387">
                  <c:v>42941</c:v>
                </c:pt>
                <c:pt idx="388">
                  <c:v>42942</c:v>
                </c:pt>
                <c:pt idx="389">
                  <c:v>42943</c:v>
                </c:pt>
                <c:pt idx="390">
                  <c:v>42944</c:v>
                </c:pt>
                <c:pt idx="391">
                  <c:v>42947</c:v>
                </c:pt>
                <c:pt idx="392">
                  <c:v>42948</c:v>
                </c:pt>
                <c:pt idx="393">
                  <c:v>42949</c:v>
                </c:pt>
                <c:pt idx="394">
                  <c:v>42950</c:v>
                </c:pt>
                <c:pt idx="395">
                  <c:v>42951</c:v>
                </c:pt>
                <c:pt idx="396">
                  <c:v>42954</c:v>
                </c:pt>
                <c:pt idx="397">
                  <c:v>42955</c:v>
                </c:pt>
                <c:pt idx="398">
                  <c:v>42956</c:v>
                </c:pt>
                <c:pt idx="399">
                  <c:v>42957</c:v>
                </c:pt>
                <c:pt idx="400">
                  <c:v>42958</c:v>
                </c:pt>
                <c:pt idx="401">
                  <c:v>42961</c:v>
                </c:pt>
                <c:pt idx="402">
                  <c:v>42962</c:v>
                </c:pt>
                <c:pt idx="403">
                  <c:v>42963</c:v>
                </c:pt>
                <c:pt idx="404">
                  <c:v>42964</c:v>
                </c:pt>
                <c:pt idx="405">
                  <c:v>42965</c:v>
                </c:pt>
                <c:pt idx="406">
                  <c:v>42968</c:v>
                </c:pt>
                <c:pt idx="407">
                  <c:v>42969</c:v>
                </c:pt>
                <c:pt idx="408">
                  <c:v>42970</c:v>
                </c:pt>
                <c:pt idx="409">
                  <c:v>42971</c:v>
                </c:pt>
                <c:pt idx="410">
                  <c:v>42972</c:v>
                </c:pt>
                <c:pt idx="411">
                  <c:v>42975</c:v>
                </c:pt>
                <c:pt idx="412">
                  <c:v>42976</c:v>
                </c:pt>
                <c:pt idx="413">
                  <c:v>42977</c:v>
                </c:pt>
                <c:pt idx="414">
                  <c:v>42978</c:v>
                </c:pt>
                <c:pt idx="415">
                  <c:v>42979</c:v>
                </c:pt>
                <c:pt idx="416">
                  <c:v>42982</c:v>
                </c:pt>
                <c:pt idx="417">
                  <c:v>42983</c:v>
                </c:pt>
                <c:pt idx="418">
                  <c:v>42984</c:v>
                </c:pt>
                <c:pt idx="419">
                  <c:v>42985</c:v>
                </c:pt>
                <c:pt idx="420">
                  <c:v>42986</c:v>
                </c:pt>
                <c:pt idx="421">
                  <c:v>42989</c:v>
                </c:pt>
                <c:pt idx="422">
                  <c:v>42990</c:v>
                </c:pt>
                <c:pt idx="423">
                  <c:v>42991</c:v>
                </c:pt>
                <c:pt idx="424">
                  <c:v>42992</c:v>
                </c:pt>
                <c:pt idx="425">
                  <c:v>42993</c:v>
                </c:pt>
                <c:pt idx="426">
                  <c:v>42996</c:v>
                </c:pt>
                <c:pt idx="427">
                  <c:v>42997</c:v>
                </c:pt>
                <c:pt idx="428">
                  <c:v>42998</c:v>
                </c:pt>
                <c:pt idx="429">
                  <c:v>42999</c:v>
                </c:pt>
                <c:pt idx="430">
                  <c:v>43000</c:v>
                </c:pt>
                <c:pt idx="431">
                  <c:v>43003</c:v>
                </c:pt>
                <c:pt idx="432">
                  <c:v>43004</c:v>
                </c:pt>
                <c:pt idx="433">
                  <c:v>43005</c:v>
                </c:pt>
                <c:pt idx="434">
                  <c:v>43006</c:v>
                </c:pt>
                <c:pt idx="435">
                  <c:v>43007</c:v>
                </c:pt>
                <c:pt idx="436">
                  <c:v>43010</c:v>
                </c:pt>
                <c:pt idx="437">
                  <c:v>43011</c:v>
                </c:pt>
                <c:pt idx="438">
                  <c:v>43012</c:v>
                </c:pt>
                <c:pt idx="439">
                  <c:v>43013</c:v>
                </c:pt>
                <c:pt idx="440">
                  <c:v>43014</c:v>
                </c:pt>
                <c:pt idx="441">
                  <c:v>43017</c:v>
                </c:pt>
                <c:pt idx="442">
                  <c:v>43018</c:v>
                </c:pt>
                <c:pt idx="443">
                  <c:v>43019</c:v>
                </c:pt>
                <c:pt idx="444">
                  <c:v>43020</c:v>
                </c:pt>
                <c:pt idx="445">
                  <c:v>43021</c:v>
                </c:pt>
                <c:pt idx="446">
                  <c:v>43024</c:v>
                </c:pt>
                <c:pt idx="447">
                  <c:v>43025</c:v>
                </c:pt>
                <c:pt idx="448">
                  <c:v>43026</c:v>
                </c:pt>
                <c:pt idx="449">
                  <c:v>43027</c:v>
                </c:pt>
                <c:pt idx="450">
                  <c:v>43028</c:v>
                </c:pt>
                <c:pt idx="451">
                  <c:v>43031</c:v>
                </c:pt>
                <c:pt idx="452">
                  <c:v>43032</c:v>
                </c:pt>
                <c:pt idx="453">
                  <c:v>43033</c:v>
                </c:pt>
                <c:pt idx="454">
                  <c:v>43034</c:v>
                </c:pt>
                <c:pt idx="455">
                  <c:v>43035</c:v>
                </c:pt>
                <c:pt idx="456">
                  <c:v>43038</c:v>
                </c:pt>
                <c:pt idx="457">
                  <c:v>43039</c:v>
                </c:pt>
                <c:pt idx="458">
                  <c:v>43040</c:v>
                </c:pt>
                <c:pt idx="459">
                  <c:v>43041</c:v>
                </c:pt>
                <c:pt idx="460">
                  <c:v>43042</c:v>
                </c:pt>
                <c:pt idx="461">
                  <c:v>43045</c:v>
                </c:pt>
                <c:pt idx="462">
                  <c:v>43046</c:v>
                </c:pt>
                <c:pt idx="463">
                  <c:v>43047</c:v>
                </c:pt>
                <c:pt idx="464">
                  <c:v>43048</c:v>
                </c:pt>
                <c:pt idx="465">
                  <c:v>43049</c:v>
                </c:pt>
                <c:pt idx="466">
                  <c:v>43052</c:v>
                </c:pt>
                <c:pt idx="467">
                  <c:v>43053</c:v>
                </c:pt>
                <c:pt idx="468">
                  <c:v>43054</c:v>
                </c:pt>
                <c:pt idx="469">
                  <c:v>43055</c:v>
                </c:pt>
                <c:pt idx="470">
                  <c:v>43056</c:v>
                </c:pt>
                <c:pt idx="471">
                  <c:v>43059</c:v>
                </c:pt>
                <c:pt idx="472">
                  <c:v>43060</c:v>
                </c:pt>
                <c:pt idx="473">
                  <c:v>43061</c:v>
                </c:pt>
                <c:pt idx="474">
                  <c:v>43062</c:v>
                </c:pt>
                <c:pt idx="475">
                  <c:v>43063</c:v>
                </c:pt>
                <c:pt idx="476">
                  <c:v>43066</c:v>
                </c:pt>
                <c:pt idx="477">
                  <c:v>43067</c:v>
                </c:pt>
                <c:pt idx="478">
                  <c:v>43068</c:v>
                </c:pt>
                <c:pt idx="479">
                  <c:v>43069</c:v>
                </c:pt>
                <c:pt idx="480">
                  <c:v>43070</c:v>
                </c:pt>
                <c:pt idx="481">
                  <c:v>43073</c:v>
                </c:pt>
                <c:pt idx="482">
                  <c:v>43074</c:v>
                </c:pt>
                <c:pt idx="483">
                  <c:v>43075</c:v>
                </c:pt>
                <c:pt idx="484">
                  <c:v>43076</c:v>
                </c:pt>
                <c:pt idx="485">
                  <c:v>43077</c:v>
                </c:pt>
                <c:pt idx="486">
                  <c:v>43080</c:v>
                </c:pt>
                <c:pt idx="487">
                  <c:v>43081</c:v>
                </c:pt>
                <c:pt idx="488">
                  <c:v>43082</c:v>
                </c:pt>
                <c:pt idx="489">
                  <c:v>43083</c:v>
                </c:pt>
                <c:pt idx="490">
                  <c:v>43084</c:v>
                </c:pt>
                <c:pt idx="491">
                  <c:v>43087</c:v>
                </c:pt>
                <c:pt idx="492">
                  <c:v>43088</c:v>
                </c:pt>
                <c:pt idx="493">
                  <c:v>43089</c:v>
                </c:pt>
                <c:pt idx="494">
                  <c:v>43090</c:v>
                </c:pt>
                <c:pt idx="495">
                  <c:v>43091</c:v>
                </c:pt>
                <c:pt idx="496">
                  <c:v>43094</c:v>
                </c:pt>
                <c:pt idx="497">
                  <c:v>43095</c:v>
                </c:pt>
                <c:pt idx="498">
                  <c:v>43096</c:v>
                </c:pt>
                <c:pt idx="499">
                  <c:v>43097</c:v>
                </c:pt>
                <c:pt idx="500">
                  <c:v>43098</c:v>
                </c:pt>
                <c:pt idx="501">
                  <c:v>43101</c:v>
                </c:pt>
                <c:pt idx="502">
                  <c:v>43102</c:v>
                </c:pt>
                <c:pt idx="503">
                  <c:v>43103</c:v>
                </c:pt>
                <c:pt idx="504">
                  <c:v>43104</c:v>
                </c:pt>
                <c:pt idx="505">
                  <c:v>43105</c:v>
                </c:pt>
                <c:pt idx="506">
                  <c:v>43108</c:v>
                </c:pt>
                <c:pt idx="507">
                  <c:v>43109</c:v>
                </c:pt>
                <c:pt idx="508">
                  <c:v>43110</c:v>
                </c:pt>
                <c:pt idx="509">
                  <c:v>43111</c:v>
                </c:pt>
                <c:pt idx="510">
                  <c:v>43112</c:v>
                </c:pt>
                <c:pt idx="511">
                  <c:v>43115</c:v>
                </c:pt>
                <c:pt idx="512">
                  <c:v>43116</c:v>
                </c:pt>
                <c:pt idx="513">
                  <c:v>43117</c:v>
                </c:pt>
                <c:pt idx="514">
                  <c:v>43118</c:v>
                </c:pt>
                <c:pt idx="515">
                  <c:v>43119</c:v>
                </c:pt>
                <c:pt idx="516">
                  <c:v>43122</c:v>
                </c:pt>
                <c:pt idx="517">
                  <c:v>43123</c:v>
                </c:pt>
                <c:pt idx="518">
                  <c:v>43124</c:v>
                </c:pt>
                <c:pt idx="519">
                  <c:v>43125</c:v>
                </c:pt>
                <c:pt idx="520">
                  <c:v>43126</c:v>
                </c:pt>
                <c:pt idx="521">
                  <c:v>43129</c:v>
                </c:pt>
                <c:pt idx="522">
                  <c:v>43130</c:v>
                </c:pt>
                <c:pt idx="523">
                  <c:v>43131</c:v>
                </c:pt>
                <c:pt idx="524">
                  <c:v>43132</c:v>
                </c:pt>
                <c:pt idx="525">
                  <c:v>43133</c:v>
                </c:pt>
                <c:pt idx="526">
                  <c:v>43136</c:v>
                </c:pt>
                <c:pt idx="527">
                  <c:v>43137</c:v>
                </c:pt>
                <c:pt idx="528">
                  <c:v>43138</c:v>
                </c:pt>
                <c:pt idx="529">
                  <c:v>43139</c:v>
                </c:pt>
                <c:pt idx="530">
                  <c:v>43140</c:v>
                </c:pt>
                <c:pt idx="531">
                  <c:v>43143</c:v>
                </c:pt>
                <c:pt idx="532">
                  <c:v>43144</c:v>
                </c:pt>
                <c:pt idx="533">
                  <c:v>43145</c:v>
                </c:pt>
                <c:pt idx="534">
                  <c:v>43146</c:v>
                </c:pt>
                <c:pt idx="535">
                  <c:v>43147</c:v>
                </c:pt>
                <c:pt idx="536">
                  <c:v>43150</c:v>
                </c:pt>
                <c:pt idx="537">
                  <c:v>43151</c:v>
                </c:pt>
                <c:pt idx="538">
                  <c:v>43152</c:v>
                </c:pt>
                <c:pt idx="539">
                  <c:v>43153</c:v>
                </c:pt>
                <c:pt idx="540">
                  <c:v>43154</c:v>
                </c:pt>
                <c:pt idx="541">
                  <c:v>43157</c:v>
                </c:pt>
                <c:pt idx="542">
                  <c:v>43158</c:v>
                </c:pt>
                <c:pt idx="543">
                  <c:v>43159</c:v>
                </c:pt>
              </c:numCache>
            </c:numRef>
          </c:cat>
          <c:val>
            <c:numRef>
              <c:f>'Currency Raw'!$Q$2:$Q$545</c:f>
              <c:numCache>
                <c:formatCode>General</c:formatCode>
                <c:ptCount val="544"/>
                <c:pt idx="1">
                  <c:v>-2.3580147882234344</c:v>
                </c:pt>
                <c:pt idx="2">
                  <c:v>-5.6771582043401008</c:v>
                </c:pt>
                <c:pt idx="3">
                  <c:v>-1.6581818374354431</c:v>
                </c:pt>
                <c:pt idx="4">
                  <c:v>-1.7268811567959483</c:v>
                </c:pt>
                <c:pt idx="5">
                  <c:v>-2.6341357519729476</c:v>
                </c:pt>
                <c:pt idx="6">
                  <c:v>-3.2214553666213988</c:v>
                </c:pt>
                <c:pt idx="7">
                  <c:v>-5.4839000034415806</c:v>
                </c:pt>
                <c:pt idx="8">
                  <c:v>-4.9127293617449332</c:v>
                </c:pt>
                <c:pt idx="9">
                  <c:v>-5.9667807684263749</c:v>
                </c:pt>
                <c:pt idx="10">
                  <c:v>-4.1261949578141133</c:v>
                </c:pt>
                <c:pt idx="11">
                  <c:v>-1.8861206195910978</c:v>
                </c:pt>
                <c:pt idx="12">
                  <c:v>-3.2080861349154133</c:v>
                </c:pt>
                <c:pt idx="13">
                  <c:v>0.72352693569266913</c:v>
                </c:pt>
                <c:pt idx="14">
                  <c:v>-1.1330754792406392</c:v>
                </c:pt>
                <c:pt idx="15">
                  <c:v>-1.9238456793555265</c:v>
                </c:pt>
                <c:pt idx="16">
                  <c:v>0.49399972996798946</c:v>
                </c:pt>
                <c:pt idx="17">
                  <c:v>-0.97846891852180884</c:v>
                </c:pt>
                <c:pt idx="18">
                  <c:v>-0.29293177985508206</c:v>
                </c:pt>
                <c:pt idx="19">
                  <c:v>0.29332888574733362</c:v>
                </c:pt>
                <c:pt idx="20">
                  <c:v>-1.0204297744703237</c:v>
                </c:pt>
                <c:pt idx="21">
                  <c:v>0.4710999568478148</c:v>
                </c:pt>
                <c:pt idx="22">
                  <c:v>2.8754437658345879</c:v>
                </c:pt>
                <c:pt idx="23">
                  <c:v>2.9376570222882354</c:v>
                </c:pt>
                <c:pt idx="24">
                  <c:v>2.9998702787418643</c:v>
                </c:pt>
                <c:pt idx="25">
                  <c:v>4.8031281354819297</c:v>
                </c:pt>
                <c:pt idx="26">
                  <c:v>5.6171952146092625</c:v>
                </c:pt>
                <c:pt idx="27">
                  <c:v>3.6895108449619198</c:v>
                </c:pt>
                <c:pt idx="28">
                  <c:v>5.8078060428927207</c:v>
                </c:pt>
                <c:pt idx="29">
                  <c:v>5.0963246525985255</c:v>
                </c:pt>
                <c:pt idx="30">
                  <c:v>7.5360108859961983</c:v>
                </c:pt>
                <c:pt idx="31">
                  <c:v>6.9878723860504639</c:v>
                </c:pt>
                <c:pt idx="32">
                  <c:v>5.9331591362152567</c:v>
                </c:pt>
                <c:pt idx="33">
                  <c:v>6.5595274969356669</c:v>
                </c:pt>
                <c:pt idx="34">
                  <c:v>9.8962759409424041</c:v>
                </c:pt>
                <c:pt idx="35">
                  <c:v>9.4219991369565221</c:v>
                </c:pt>
                <c:pt idx="36">
                  <c:v>10.130303680112664</c:v>
                </c:pt>
                <c:pt idx="37">
                  <c:v>11.003539537186315</c:v>
                </c:pt>
                <c:pt idx="38">
                  <c:v>9.6586742487418427</c:v>
                </c:pt>
                <c:pt idx="39">
                  <c:v>8.8837882843172267</c:v>
                </c:pt>
                <c:pt idx="40">
                  <c:v>9.55450013633968</c:v>
                </c:pt>
                <c:pt idx="41">
                  <c:v>9.4012172619283998</c:v>
                </c:pt>
                <c:pt idx="42">
                  <c:v>9.7792620713572838</c:v>
                </c:pt>
                <c:pt idx="43">
                  <c:v>10.011171912435492</c:v>
                </c:pt>
                <c:pt idx="44">
                  <c:v>11.031336949644322</c:v>
                </c:pt>
                <c:pt idx="45">
                  <c:v>10.409601491000249</c:v>
                </c:pt>
                <c:pt idx="46">
                  <c:v>9.2282114615349933</c:v>
                </c:pt>
                <c:pt idx="47">
                  <c:v>9.3154423892008307</c:v>
                </c:pt>
                <c:pt idx="48">
                  <c:v>10.431442315074406</c:v>
                </c:pt>
                <c:pt idx="49">
                  <c:v>9.7669517886972965</c:v>
                </c:pt>
                <c:pt idx="50">
                  <c:v>11.156160568443848</c:v>
                </c:pt>
                <c:pt idx="51">
                  <c:v>11.724551468894697</c:v>
                </c:pt>
                <c:pt idx="52">
                  <c:v>13.132556594208078</c:v>
                </c:pt>
                <c:pt idx="53">
                  <c:v>12.271101545271389</c:v>
                </c:pt>
                <c:pt idx="54">
                  <c:v>12.499040327427045</c:v>
                </c:pt>
                <c:pt idx="55">
                  <c:v>11.991141891230042</c:v>
                </c:pt>
                <c:pt idx="56">
                  <c:v>12.344566135338988</c:v>
                </c:pt>
                <c:pt idx="57">
                  <c:v>12.795810797573942</c:v>
                </c:pt>
                <c:pt idx="58">
                  <c:v>13.73483386413154</c:v>
                </c:pt>
                <c:pt idx="59">
                  <c:v>11.641291600151433</c:v>
                </c:pt>
                <c:pt idx="60">
                  <c:v>11.93184074465297</c:v>
                </c:pt>
                <c:pt idx="61">
                  <c:v>11.892791998581009</c:v>
                </c:pt>
                <c:pt idx="62">
                  <c:v>13.386042522098949</c:v>
                </c:pt>
                <c:pt idx="63">
                  <c:v>13.794929222493135</c:v>
                </c:pt>
                <c:pt idx="64">
                  <c:v>14.2981947566138</c:v>
                </c:pt>
                <c:pt idx="65">
                  <c:v>14.268676551956011</c:v>
                </c:pt>
                <c:pt idx="66">
                  <c:v>13.714449094995668</c:v>
                </c:pt>
                <c:pt idx="67">
                  <c:v>11.80569343954593</c:v>
                </c:pt>
                <c:pt idx="68">
                  <c:v>11.781734717379736</c:v>
                </c:pt>
                <c:pt idx="69">
                  <c:v>13.035662756497313</c:v>
                </c:pt>
                <c:pt idx="70">
                  <c:v>12.819372413847882</c:v>
                </c:pt>
                <c:pt idx="71">
                  <c:v>11.937532595775323</c:v>
                </c:pt>
                <c:pt idx="72">
                  <c:v>12.284735514238889</c:v>
                </c:pt>
                <c:pt idx="73">
                  <c:v>13.752835997913863</c:v>
                </c:pt>
                <c:pt idx="74">
                  <c:v>13.890234636634874</c:v>
                </c:pt>
                <c:pt idx="75">
                  <c:v>13.680562725523055</c:v>
                </c:pt>
                <c:pt idx="76">
                  <c:v>14.253983633942493</c:v>
                </c:pt>
                <c:pt idx="77">
                  <c:v>14.140411348756917</c:v>
                </c:pt>
                <c:pt idx="78">
                  <c:v>13.686784051168418</c:v>
                </c:pt>
                <c:pt idx="79">
                  <c:v>11.305075278040306</c:v>
                </c:pt>
                <c:pt idx="80">
                  <c:v>11.550089613563024</c:v>
                </c:pt>
                <c:pt idx="81">
                  <c:v>11.513555871475351</c:v>
                </c:pt>
                <c:pt idx="82">
                  <c:v>11.890276994596704</c:v>
                </c:pt>
                <c:pt idx="83">
                  <c:v>13.062930694432312</c:v>
                </c:pt>
                <c:pt idx="84">
                  <c:v>13.214360408013073</c:v>
                </c:pt>
                <c:pt idx="85">
                  <c:v>12.587992047292662</c:v>
                </c:pt>
                <c:pt idx="86">
                  <c:v>13.066372278831876</c:v>
                </c:pt>
                <c:pt idx="87">
                  <c:v>12.614598142073897</c:v>
                </c:pt>
                <c:pt idx="88">
                  <c:v>11.146630027029678</c:v>
                </c:pt>
                <c:pt idx="89">
                  <c:v>11.390717782137118</c:v>
                </c:pt>
                <c:pt idx="90">
                  <c:v>12.96233053506047</c:v>
                </c:pt>
                <c:pt idx="91">
                  <c:v>13.25354152271577</c:v>
                </c:pt>
                <c:pt idx="92">
                  <c:v>14.265764442079455</c:v>
                </c:pt>
                <c:pt idx="93">
                  <c:v>15.687800642252595</c:v>
                </c:pt>
                <c:pt idx="94">
                  <c:v>15.005705087985422</c:v>
                </c:pt>
                <c:pt idx="95">
                  <c:v>13.841920086410239</c:v>
                </c:pt>
                <c:pt idx="96">
                  <c:v>12.962462903691227</c:v>
                </c:pt>
                <c:pt idx="97">
                  <c:v>12.720095940783571</c:v>
                </c:pt>
                <c:pt idx="98">
                  <c:v>13.355597737025882</c:v>
                </c:pt>
                <c:pt idx="99">
                  <c:v>13.451432625690627</c:v>
                </c:pt>
                <c:pt idx="100">
                  <c:v>14.154707160878182</c:v>
                </c:pt>
                <c:pt idx="101">
                  <c:v>15.095715756897057</c:v>
                </c:pt>
                <c:pt idx="102">
                  <c:v>15.159649805550487</c:v>
                </c:pt>
                <c:pt idx="103">
                  <c:v>14.828463491407948</c:v>
                </c:pt>
                <c:pt idx="104">
                  <c:v>15.259852859030056</c:v>
                </c:pt>
                <c:pt idx="105">
                  <c:v>13.969920552347817</c:v>
                </c:pt>
                <c:pt idx="106">
                  <c:v>13.36512827844005</c:v>
                </c:pt>
                <c:pt idx="107">
                  <c:v>14.575904143932355</c:v>
                </c:pt>
                <c:pt idx="108">
                  <c:v>15.562977023453076</c:v>
                </c:pt>
                <c:pt idx="109">
                  <c:v>15.359791175248125</c:v>
                </c:pt>
                <c:pt idx="110">
                  <c:v>15.38586779550635</c:v>
                </c:pt>
                <c:pt idx="111">
                  <c:v>15.492292174631284</c:v>
                </c:pt>
                <c:pt idx="112">
                  <c:v>14.604760505436381</c:v>
                </c:pt>
                <c:pt idx="113">
                  <c:v>14.943227094270298</c:v>
                </c:pt>
                <c:pt idx="114">
                  <c:v>14.731834390958698</c:v>
                </c:pt>
                <c:pt idx="115">
                  <c:v>15.543783571993968</c:v>
                </c:pt>
                <c:pt idx="116">
                  <c:v>15.206375932206079</c:v>
                </c:pt>
                <c:pt idx="117">
                  <c:v>15.606526302970616</c:v>
                </c:pt>
                <c:pt idx="118">
                  <c:v>15.380573050276247</c:v>
                </c:pt>
                <c:pt idx="119">
                  <c:v>16.797446873850042</c:v>
                </c:pt>
                <c:pt idx="120">
                  <c:v>16.071669671434581</c:v>
                </c:pt>
                <c:pt idx="121">
                  <c:v>16.845364318182416</c:v>
                </c:pt>
                <c:pt idx="122">
                  <c:v>15.981394265261443</c:v>
                </c:pt>
                <c:pt idx="123">
                  <c:v>15.489644802016233</c:v>
                </c:pt>
                <c:pt idx="124">
                  <c:v>14.902192818737042</c:v>
                </c:pt>
                <c:pt idx="125">
                  <c:v>14.153383474570653</c:v>
                </c:pt>
                <c:pt idx="126">
                  <c:v>13.308342135847282</c:v>
                </c:pt>
                <c:pt idx="127">
                  <c:v>12.640012919178357</c:v>
                </c:pt>
                <c:pt idx="128">
                  <c:v>12.173413495776122</c:v>
                </c:pt>
                <c:pt idx="129">
                  <c:v>11.640365019736155</c:v>
                </c:pt>
                <c:pt idx="130">
                  <c:v>12.551987779728016</c:v>
                </c:pt>
                <c:pt idx="131">
                  <c:v>11.727860684663504</c:v>
                </c:pt>
                <c:pt idx="132">
                  <c:v>11.654925569118934</c:v>
                </c:pt>
                <c:pt idx="133">
                  <c:v>12.366539328043885</c:v>
                </c:pt>
                <c:pt idx="134">
                  <c:v>13.114289723164241</c:v>
                </c:pt>
                <c:pt idx="135">
                  <c:v>13.128850272546998</c:v>
                </c:pt>
                <c:pt idx="136">
                  <c:v>14.546121202013055</c:v>
                </c:pt>
                <c:pt idx="137">
                  <c:v>14.27595682664739</c:v>
                </c:pt>
                <c:pt idx="138">
                  <c:v>14.340155612562313</c:v>
                </c:pt>
                <c:pt idx="139">
                  <c:v>14.946933415931356</c:v>
                </c:pt>
                <c:pt idx="140">
                  <c:v>14.152854000047643</c:v>
                </c:pt>
                <c:pt idx="141">
                  <c:v>15.226495964080453</c:v>
                </c:pt>
                <c:pt idx="142">
                  <c:v>15.621881064137897</c:v>
                </c:pt>
                <c:pt idx="143">
                  <c:v>15.061167544270679</c:v>
                </c:pt>
                <c:pt idx="144">
                  <c:v>15.710170940849752</c:v>
                </c:pt>
                <c:pt idx="145">
                  <c:v>15.500101923845683</c:v>
                </c:pt>
                <c:pt idx="146">
                  <c:v>14.384896209756629</c:v>
                </c:pt>
                <c:pt idx="147">
                  <c:v>14.703110398085412</c:v>
                </c:pt>
                <c:pt idx="148">
                  <c:v>13.782221833940895</c:v>
                </c:pt>
                <c:pt idx="149">
                  <c:v>14.339890875300801</c:v>
                </c:pt>
                <c:pt idx="150">
                  <c:v>14.46736186671537</c:v>
                </c:pt>
                <c:pt idx="151">
                  <c:v>13.880836463851439</c:v>
                </c:pt>
                <c:pt idx="152">
                  <c:v>13.596376276364513</c:v>
                </c:pt>
                <c:pt idx="153">
                  <c:v>13.581153883827987</c:v>
                </c:pt>
                <c:pt idx="154">
                  <c:v>12.718639885845285</c:v>
                </c:pt>
                <c:pt idx="155">
                  <c:v>13.79109053220132</c:v>
                </c:pt>
                <c:pt idx="156">
                  <c:v>13.875674087252113</c:v>
                </c:pt>
                <c:pt idx="157">
                  <c:v>14.529178017276747</c:v>
                </c:pt>
                <c:pt idx="158">
                  <c:v>14.817079789163239</c:v>
                </c:pt>
                <c:pt idx="159">
                  <c:v>15.414194682487365</c:v>
                </c:pt>
                <c:pt idx="160">
                  <c:v>14.332345863347925</c:v>
                </c:pt>
                <c:pt idx="161">
                  <c:v>14.514882205155482</c:v>
                </c:pt>
                <c:pt idx="162">
                  <c:v>13.48624557557852</c:v>
                </c:pt>
                <c:pt idx="163">
                  <c:v>13.790693426309048</c:v>
                </c:pt>
                <c:pt idx="164">
                  <c:v>14.223671217500183</c:v>
                </c:pt>
                <c:pt idx="165">
                  <c:v>13.961316591348908</c:v>
                </c:pt>
                <c:pt idx="166">
                  <c:v>14.376027511496204</c:v>
                </c:pt>
                <c:pt idx="167">
                  <c:v>14.196403279565184</c:v>
                </c:pt>
                <c:pt idx="168">
                  <c:v>14.999351393709301</c:v>
                </c:pt>
                <c:pt idx="169">
                  <c:v>15.736777035630983</c:v>
                </c:pt>
                <c:pt idx="170">
                  <c:v>15.211273571543909</c:v>
                </c:pt>
                <c:pt idx="171">
                  <c:v>15.532267501118513</c:v>
                </c:pt>
                <c:pt idx="172">
                  <c:v>15.367071449939504</c:v>
                </c:pt>
                <c:pt idx="173">
                  <c:v>15.623601856337679</c:v>
                </c:pt>
                <c:pt idx="174">
                  <c:v>16.442698943433591</c:v>
                </c:pt>
                <c:pt idx="175">
                  <c:v>16.767796300561503</c:v>
                </c:pt>
                <c:pt idx="176">
                  <c:v>17.670550362292943</c:v>
                </c:pt>
                <c:pt idx="177">
                  <c:v>17.106659995287675</c:v>
                </c:pt>
                <c:pt idx="178">
                  <c:v>17.445523690013843</c:v>
                </c:pt>
                <c:pt idx="179">
                  <c:v>17.743485477837513</c:v>
                </c:pt>
                <c:pt idx="180">
                  <c:v>17.637855310497091</c:v>
                </c:pt>
                <c:pt idx="181">
                  <c:v>17.910269952585555</c:v>
                </c:pt>
                <c:pt idx="182">
                  <c:v>17.072641257184305</c:v>
                </c:pt>
                <c:pt idx="183">
                  <c:v>16.736954409596194</c:v>
                </c:pt>
                <c:pt idx="184">
                  <c:v>16.723849915151703</c:v>
                </c:pt>
                <c:pt idx="185">
                  <c:v>16.624970547979654</c:v>
                </c:pt>
                <c:pt idx="186">
                  <c:v>16.504779831256464</c:v>
                </c:pt>
                <c:pt idx="187">
                  <c:v>16.677520894388365</c:v>
                </c:pt>
                <c:pt idx="188">
                  <c:v>17.652812965772114</c:v>
                </c:pt>
                <c:pt idx="189">
                  <c:v>17.413887587264021</c:v>
                </c:pt>
                <c:pt idx="190">
                  <c:v>17.232542563133219</c:v>
                </c:pt>
                <c:pt idx="191">
                  <c:v>17.637061098712582</c:v>
                </c:pt>
                <c:pt idx="192">
                  <c:v>17.80636057744492</c:v>
                </c:pt>
                <c:pt idx="193">
                  <c:v>16.686654329910283</c:v>
                </c:pt>
                <c:pt idx="194">
                  <c:v>16.877794632716757</c:v>
                </c:pt>
                <c:pt idx="195">
                  <c:v>16.724114652413206</c:v>
                </c:pt>
                <c:pt idx="196">
                  <c:v>16.106482621322463</c:v>
                </c:pt>
                <c:pt idx="197">
                  <c:v>16.177564576036506</c:v>
                </c:pt>
                <c:pt idx="198">
                  <c:v>15.568668874575431</c:v>
                </c:pt>
                <c:pt idx="199">
                  <c:v>15.638824248874203</c:v>
                </c:pt>
                <c:pt idx="200">
                  <c:v>14.858643539219504</c:v>
                </c:pt>
                <c:pt idx="201">
                  <c:v>15.579390733666374</c:v>
                </c:pt>
                <c:pt idx="202">
                  <c:v>15.744057310322363</c:v>
                </c:pt>
                <c:pt idx="203">
                  <c:v>15.534782505102807</c:v>
                </c:pt>
                <c:pt idx="204">
                  <c:v>13.74701177816077</c:v>
                </c:pt>
                <c:pt idx="205">
                  <c:v>12.945652087585676</c:v>
                </c:pt>
                <c:pt idx="206">
                  <c:v>12.252834674227554</c:v>
                </c:pt>
                <c:pt idx="207">
                  <c:v>14.587949689330811</c:v>
                </c:pt>
                <c:pt idx="208">
                  <c:v>14.595229964022211</c:v>
                </c:pt>
                <c:pt idx="209">
                  <c:v>14.437578924796085</c:v>
                </c:pt>
                <c:pt idx="210">
                  <c:v>14.428974963797176</c:v>
                </c:pt>
                <c:pt idx="211">
                  <c:v>15.350128265203198</c:v>
                </c:pt>
                <c:pt idx="212">
                  <c:v>15.385603058244845</c:v>
                </c:pt>
                <c:pt idx="213">
                  <c:v>14.75446942681736</c:v>
                </c:pt>
                <c:pt idx="214">
                  <c:v>14.717009104314426</c:v>
                </c:pt>
                <c:pt idx="215">
                  <c:v>14.184092996905214</c:v>
                </c:pt>
                <c:pt idx="216">
                  <c:v>14.190049585289083</c:v>
                </c:pt>
                <c:pt idx="217">
                  <c:v>13.505968501560625</c:v>
                </c:pt>
                <c:pt idx="218">
                  <c:v>15.159252699658216</c:v>
                </c:pt>
                <c:pt idx="219">
                  <c:v>15.472172142756918</c:v>
                </c:pt>
                <c:pt idx="220">
                  <c:v>15.51611852816672</c:v>
                </c:pt>
                <c:pt idx="221">
                  <c:v>15.7981960803001</c:v>
                </c:pt>
                <c:pt idx="222">
                  <c:v>15.511617994721139</c:v>
                </c:pt>
                <c:pt idx="223">
                  <c:v>15.66212112788663</c:v>
                </c:pt>
                <c:pt idx="224">
                  <c:v>16.212509894555147</c:v>
                </c:pt>
                <c:pt idx="225">
                  <c:v>17.167020090910771</c:v>
                </c:pt>
                <c:pt idx="226">
                  <c:v>19.499222996137476</c:v>
                </c:pt>
                <c:pt idx="227">
                  <c:v>19.826305882726686</c:v>
                </c:pt>
                <c:pt idx="228">
                  <c:v>18.624001609602551</c:v>
                </c:pt>
                <c:pt idx="229">
                  <c:v>18.226233874191561</c:v>
                </c:pt>
                <c:pt idx="230">
                  <c:v>17.355513021102205</c:v>
                </c:pt>
                <c:pt idx="231">
                  <c:v>18.083672858871214</c:v>
                </c:pt>
                <c:pt idx="232">
                  <c:v>18.690053556347998</c:v>
                </c:pt>
                <c:pt idx="233">
                  <c:v>19.10211710388025</c:v>
                </c:pt>
                <c:pt idx="234">
                  <c:v>19.267445523690014</c:v>
                </c:pt>
                <c:pt idx="235">
                  <c:v>18.99834009737036</c:v>
                </c:pt>
                <c:pt idx="236">
                  <c:v>19.317348497483668</c:v>
                </c:pt>
                <c:pt idx="237">
                  <c:v>19.649064286149212</c:v>
                </c:pt>
                <c:pt idx="238">
                  <c:v>20.311436914434271</c:v>
                </c:pt>
                <c:pt idx="239">
                  <c:v>20.003415110673412</c:v>
                </c:pt>
                <c:pt idx="240">
                  <c:v>18.960747406236678</c:v>
                </c:pt>
                <c:pt idx="241">
                  <c:v>19.069951526607419</c:v>
                </c:pt>
                <c:pt idx="242">
                  <c:v>19.275652378796664</c:v>
                </c:pt>
                <c:pt idx="243">
                  <c:v>20.033727527115712</c:v>
                </c:pt>
                <c:pt idx="244">
                  <c:v>21.094926839857777</c:v>
                </c:pt>
                <c:pt idx="245">
                  <c:v>21.229016262809971</c:v>
                </c:pt>
                <c:pt idx="246">
                  <c:v>20.732898634749937</c:v>
                </c:pt>
                <c:pt idx="247">
                  <c:v>20.391652304670231</c:v>
                </c:pt>
                <c:pt idx="248">
                  <c:v>20.736207850518745</c:v>
                </c:pt>
                <c:pt idx="249">
                  <c:v>21.362179105346897</c:v>
                </c:pt>
                <c:pt idx="250">
                  <c:v>21.057334148724095</c:v>
                </c:pt>
                <c:pt idx="251">
                  <c:v>20.864870159610089</c:v>
                </c:pt>
                <c:pt idx="252">
                  <c:v>21.410758392833035</c:v>
                </c:pt>
                <c:pt idx="253">
                  <c:v>21.341661967580279</c:v>
                </c:pt>
                <c:pt idx="254">
                  <c:v>20.768902902314597</c:v>
                </c:pt>
                <c:pt idx="255">
                  <c:v>20.773271067129429</c:v>
                </c:pt>
                <c:pt idx="256">
                  <c:v>21.214852819319464</c:v>
                </c:pt>
                <c:pt idx="257">
                  <c:v>21.630093213989767</c:v>
                </c:pt>
                <c:pt idx="258">
                  <c:v>21.36469410933119</c:v>
                </c:pt>
                <c:pt idx="259">
                  <c:v>19.946761336711379</c:v>
                </c:pt>
                <c:pt idx="260">
                  <c:v>20.670288272404051</c:v>
                </c:pt>
                <c:pt idx="261">
                  <c:v>20.763740525715249</c:v>
                </c:pt>
                <c:pt idx="262">
                  <c:v>20.431495262526703</c:v>
                </c:pt>
                <c:pt idx="263">
                  <c:v>20.286816349114321</c:v>
                </c:pt>
                <c:pt idx="264">
                  <c:v>21.622151096144634</c:v>
                </c:pt>
                <c:pt idx="265">
                  <c:v>21.975575340253563</c:v>
                </c:pt>
                <c:pt idx="266">
                  <c:v>21.9693540146082</c:v>
                </c:pt>
                <c:pt idx="267">
                  <c:v>21.447424503551446</c:v>
                </c:pt>
                <c:pt idx="268">
                  <c:v>21.650742720387154</c:v>
                </c:pt>
                <c:pt idx="269">
                  <c:v>22.03368516915387</c:v>
                </c:pt>
                <c:pt idx="270">
                  <c:v>22.745034190817318</c:v>
                </c:pt>
                <c:pt idx="271">
                  <c:v>23.065895751761165</c:v>
                </c:pt>
                <c:pt idx="272">
                  <c:v>24.136228500025148</c:v>
                </c:pt>
                <c:pt idx="273">
                  <c:v>24.132919284256342</c:v>
                </c:pt>
                <c:pt idx="274">
                  <c:v>23.821720633357423</c:v>
                </c:pt>
                <c:pt idx="275">
                  <c:v>22.553761519380085</c:v>
                </c:pt>
                <c:pt idx="276">
                  <c:v>23.218649151649448</c:v>
                </c:pt>
                <c:pt idx="277">
                  <c:v>23.66446670002356</c:v>
                </c:pt>
                <c:pt idx="278">
                  <c:v>23.233606806924467</c:v>
                </c:pt>
                <c:pt idx="279">
                  <c:v>23.515684359057847</c:v>
                </c:pt>
                <c:pt idx="280">
                  <c:v>22.717633884251573</c:v>
                </c:pt>
                <c:pt idx="281">
                  <c:v>23.209250978866024</c:v>
                </c:pt>
                <c:pt idx="282">
                  <c:v>22.624446368201877</c:v>
                </c:pt>
                <c:pt idx="283">
                  <c:v>22.828426428191339</c:v>
                </c:pt>
                <c:pt idx="284">
                  <c:v>22.215030193284672</c:v>
                </c:pt>
                <c:pt idx="285">
                  <c:v>22.660318267135775</c:v>
                </c:pt>
                <c:pt idx="286">
                  <c:v>22.824058263376507</c:v>
                </c:pt>
                <c:pt idx="287">
                  <c:v>23.08389788554349</c:v>
                </c:pt>
                <c:pt idx="288">
                  <c:v>22.379696769940676</c:v>
                </c:pt>
                <c:pt idx="289">
                  <c:v>21.46224979019572</c:v>
                </c:pt>
                <c:pt idx="290">
                  <c:v>21.811835344012831</c:v>
                </c:pt>
                <c:pt idx="291">
                  <c:v>22.125019524373037</c:v>
                </c:pt>
                <c:pt idx="292">
                  <c:v>21.472971649286663</c:v>
                </c:pt>
                <c:pt idx="293">
                  <c:v>21.779007923586235</c:v>
                </c:pt>
                <c:pt idx="294">
                  <c:v>23.529053590763844</c:v>
                </c:pt>
                <c:pt idx="295">
                  <c:v>24.232725231843652</c:v>
                </c:pt>
                <c:pt idx="296">
                  <c:v>24.034304654345796</c:v>
                </c:pt>
                <c:pt idx="297">
                  <c:v>23.649509044748537</c:v>
                </c:pt>
                <c:pt idx="298">
                  <c:v>23.466046122525693</c:v>
                </c:pt>
                <c:pt idx="299">
                  <c:v>23.928806855636118</c:v>
                </c:pt>
                <c:pt idx="300">
                  <c:v>24.565764706816719</c:v>
                </c:pt>
                <c:pt idx="301">
                  <c:v>24.601107131227611</c:v>
                </c:pt>
                <c:pt idx="302">
                  <c:v>24.551468894695454</c:v>
                </c:pt>
                <c:pt idx="303">
                  <c:v>24.971606928703611</c:v>
                </c:pt>
                <c:pt idx="304">
                  <c:v>25.698178342903581</c:v>
                </c:pt>
                <c:pt idx="305">
                  <c:v>25.492477490714339</c:v>
                </c:pt>
                <c:pt idx="306">
                  <c:v>25.526099122925444</c:v>
                </c:pt>
                <c:pt idx="307">
                  <c:v>25.624978490097501</c:v>
                </c:pt>
                <c:pt idx="308">
                  <c:v>25.502934612543775</c:v>
                </c:pt>
                <c:pt idx="309">
                  <c:v>25.572428143688796</c:v>
                </c:pt>
                <c:pt idx="310">
                  <c:v>24.282495837006561</c:v>
                </c:pt>
                <c:pt idx="311">
                  <c:v>24.225047851260019</c:v>
                </c:pt>
                <c:pt idx="312">
                  <c:v>24.459737433584035</c:v>
                </c:pt>
                <c:pt idx="313">
                  <c:v>24.589591060352152</c:v>
                </c:pt>
                <c:pt idx="314">
                  <c:v>25.61928663897514</c:v>
                </c:pt>
                <c:pt idx="315">
                  <c:v>25.472225090209221</c:v>
                </c:pt>
                <c:pt idx="316">
                  <c:v>25.949678741333159</c:v>
                </c:pt>
                <c:pt idx="317">
                  <c:v>25.668395400984288</c:v>
                </c:pt>
                <c:pt idx="318">
                  <c:v>25.209605726796436</c:v>
                </c:pt>
                <c:pt idx="319">
                  <c:v>25.645230890602623</c:v>
                </c:pt>
                <c:pt idx="320">
                  <c:v>25.19888386770549</c:v>
                </c:pt>
                <c:pt idx="321">
                  <c:v>26.021157801939466</c:v>
                </c:pt>
                <c:pt idx="322">
                  <c:v>25.626169807774268</c:v>
                </c:pt>
                <c:pt idx="323">
                  <c:v>24.393023643684828</c:v>
                </c:pt>
                <c:pt idx="324">
                  <c:v>24.373830192225721</c:v>
                </c:pt>
                <c:pt idx="325">
                  <c:v>24.70395755732223</c:v>
                </c:pt>
                <c:pt idx="326">
                  <c:v>24.681057784202068</c:v>
                </c:pt>
                <c:pt idx="327">
                  <c:v>24.520097529207135</c:v>
                </c:pt>
                <c:pt idx="328">
                  <c:v>24.126300852718714</c:v>
                </c:pt>
                <c:pt idx="329">
                  <c:v>22.770978442444797</c:v>
                </c:pt>
                <c:pt idx="330">
                  <c:v>22.968737176788899</c:v>
                </c:pt>
                <c:pt idx="331">
                  <c:v>22.774817132736615</c:v>
                </c:pt>
                <c:pt idx="332">
                  <c:v>22.64284560787646</c:v>
                </c:pt>
                <c:pt idx="333">
                  <c:v>23.96150190743197</c:v>
                </c:pt>
                <c:pt idx="334">
                  <c:v>24.405598663606298</c:v>
                </c:pt>
                <c:pt idx="335">
                  <c:v>24.412349463774671</c:v>
                </c:pt>
                <c:pt idx="336">
                  <c:v>25.420866061477287</c:v>
                </c:pt>
                <c:pt idx="337">
                  <c:v>25.283202685494782</c:v>
                </c:pt>
                <c:pt idx="338">
                  <c:v>24.734137605133785</c:v>
                </c:pt>
                <c:pt idx="339">
                  <c:v>23.767846600641189</c:v>
                </c:pt>
                <c:pt idx="340">
                  <c:v>24.74393288380946</c:v>
                </c:pt>
                <c:pt idx="341">
                  <c:v>25.071148139029415</c:v>
                </c:pt>
                <c:pt idx="342">
                  <c:v>25.317221423598152</c:v>
                </c:pt>
                <c:pt idx="343">
                  <c:v>25.188691483137553</c:v>
                </c:pt>
                <c:pt idx="344">
                  <c:v>24.866770973147702</c:v>
                </c:pt>
                <c:pt idx="345">
                  <c:v>25.017141737682437</c:v>
                </c:pt>
                <c:pt idx="346">
                  <c:v>25.351902004855276</c:v>
                </c:pt>
                <c:pt idx="347">
                  <c:v>25.033290710634233</c:v>
                </c:pt>
                <c:pt idx="348" formatCode="0.00">
                  <c:v>24.912041044865024</c:v>
                </c:pt>
                <c:pt idx="349">
                  <c:v>25.555882064844742</c:v>
                </c:pt>
                <c:pt idx="350">
                  <c:v>25.066118131060826</c:v>
                </c:pt>
                <c:pt idx="351">
                  <c:v>25.026407541835106</c:v>
                </c:pt>
                <c:pt idx="352">
                  <c:v>25.211723624888478</c:v>
                </c:pt>
                <c:pt idx="353">
                  <c:v>24.496933018825466</c:v>
                </c:pt>
                <c:pt idx="354">
                  <c:v>24.721959691104566</c:v>
                </c:pt>
                <c:pt idx="355">
                  <c:v>24.589591060352152</c:v>
                </c:pt>
                <c:pt idx="356">
                  <c:v>24.496933018825466</c:v>
                </c:pt>
                <c:pt idx="357">
                  <c:v>24.669012238803603</c:v>
                </c:pt>
                <c:pt idx="358">
                  <c:v>24.298380072696855</c:v>
                </c:pt>
                <c:pt idx="359">
                  <c:v>23.398273383580467</c:v>
                </c:pt>
                <c:pt idx="360">
                  <c:v>23.543878877408115</c:v>
                </c:pt>
                <c:pt idx="361">
                  <c:v>22.736430229818421</c:v>
                </c:pt>
                <c:pt idx="362">
                  <c:v>20.962690577736122</c:v>
                </c:pt>
                <c:pt idx="363">
                  <c:v>20.155241930146424</c:v>
                </c:pt>
                <c:pt idx="364">
                  <c:v>20.883269399284675</c:v>
                </c:pt>
                <c:pt idx="365">
                  <c:v>21.253901565391423</c:v>
                </c:pt>
                <c:pt idx="366">
                  <c:v>22.008402760680159</c:v>
                </c:pt>
                <c:pt idx="367">
                  <c:v>21.730428636100097</c:v>
                </c:pt>
                <c:pt idx="368">
                  <c:v>21.518638826896247</c:v>
                </c:pt>
                <c:pt idx="369">
                  <c:v>21.187717250015222</c:v>
                </c:pt>
                <c:pt idx="370" formatCode="0.00">
                  <c:v>21.717191773024858</c:v>
                </c:pt>
                <c:pt idx="371">
                  <c:v>21.437496856245016</c:v>
                </c:pt>
                <c:pt idx="372">
                  <c:v>21.35595777970153</c:v>
                </c:pt>
                <c:pt idx="373">
                  <c:v>20.465911106522334</c:v>
                </c:pt>
                <c:pt idx="374">
                  <c:v>20.733295740642198</c:v>
                </c:pt>
                <c:pt idx="375">
                  <c:v>20.081644971448085</c:v>
                </c:pt>
                <c:pt idx="376">
                  <c:v>20.270535007531773</c:v>
                </c:pt>
                <c:pt idx="377">
                  <c:v>19.461895042265297</c:v>
                </c:pt>
                <c:pt idx="378">
                  <c:v>20.625812412471241</c:v>
                </c:pt>
                <c:pt idx="379">
                  <c:v>20.746929709609699</c:v>
                </c:pt>
                <c:pt idx="380">
                  <c:v>21.656434571509507</c:v>
                </c:pt>
                <c:pt idx="381">
                  <c:v>21.380710713652238</c:v>
                </c:pt>
                <c:pt idx="382">
                  <c:v>21.550407298276824</c:v>
                </c:pt>
                <c:pt idx="383">
                  <c:v>21.950028194518346</c:v>
                </c:pt>
                <c:pt idx="384">
                  <c:v>22.077234448671412</c:v>
                </c:pt>
                <c:pt idx="385">
                  <c:v>21.525257258433868</c:v>
                </c:pt>
                <c:pt idx="386">
                  <c:v>20.603971588397091</c:v>
                </c:pt>
                <c:pt idx="387">
                  <c:v>20.600927109889788</c:v>
                </c:pt>
                <c:pt idx="388">
                  <c:v>21.007960649453445</c:v>
                </c:pt>
                <c:pt idx="389">
                  <c:v>21.24993050646885</c:v>
                </c:pt>
                <c:pt idx="390">
                  <c:v>21.259990522406039</c:v>
                </c:pt>
                <c:pt idx="391" formatCode="0.00">
                  <c:v>20.595499996028938</c:v>
                </c:pt>
                <c:pt idx="392">
                  <c:v>20.243267069596772</c:v>
                </c:pt>
                <c:pt idx="393">
                  <c:v>19.805788744960058</c:v>
                </c:pt>
                <c:pt idx="394">
                  <c:v>20.243267069596772</c:v>
                </c:pt>
                <c:pt idx="395">
                  <c:v>20.693585151416475</c:v>
                </c:pt>
                <c:pt idx="396">
                  <c:v>20.570879430708992</c:v>
                </c:pt>
                <c:pt idx="397">
                  <c:v>20.890020199453055</c:v>
                </c:pt>
                <c:pt idx="398">
                  <c:v>20.396417575377317</c:v>
                </c:pt>
                <c:pt idx="399">
                  <c:v>20.509328017409118</c:v>
                </c:pt>
                <c:pt idx="400">
                  <c:v>20.777506863313505</c:v>
                </c:pt>
                <c:pt idx="401">
                  <c:v>20.918214717803313</c:v>
                </c:pt>
                <c:pt idx="402">
                  <c:v>20.892270466175844</c:v>
                </c:pt>
                <c:pt idx="403">
                  <c:v>21.228222051025458</c:v>
                </c:pt>
                <c:pt idx="404">
                  <c:v>21.867959643451854</c:v>
                </c:pt>
                <c:pt idx="405">
                  <c:v>21.820836410903993</c:v>
                </c:pt>
                <c:pt idx="406">
                  <c:v>21.813291398951108</c:v>
                </c:pt>
                <c:pt idx="407">
                  <c:v>21.872063071005172</c:v>
                </c:pt>
                <c:pt idx="408">
                  <c:v>21.774375021509897</c:v>
                </c:pt>
                <c:pt idx="409">
                  <c:v>21.555569674876171</c:v>
                </c:pt>
                <c:pt idx="410">
                  <c:v>22.437277124317973</c:v>
                </c:pt>
                <c:pt idx="411">
                  <c:v>22.504123282847939</c:v>
                </c:pt>
                <c:pt idx="412">
                  <c:v>22.21198571477737</c:v>
                </c:pt>
                <c:pt idx="413">
                  <c:v>22.675805396933814</c:v>
                </c:pt>
                <c:pt idx="414" formatCode="0.00">
                  <c:v>23.160009848226128</c:v>
                </c:pt>
                <c:pt idx="415">
                  <c:v>23.848591465400158</c:v>
                </c:pt>
                <c:pt idx="416">
                  <c:v>23.468693495140744</c:v>
                </c:pt>
                <c:pt idx="417">
                  <c:v>23.875462297442898</c:v>
                </c:pt>
                <c:pt idx="418">
                  <c:v>24.098503440260711</c:v>
                </c:pt>
                <c:pt idx="419">
                  <c:v>24.553719161418243</c:v>
                </c:pt>
                <c:pt idx="420">
                  <c:v>24.166805653728954</c:v>
                </c:pt>
                <c:pt idx="421">
                  <c:v>24.351327524997814</c:v>
                </c:pt>
                <c:pt idx="422">
                  <c:v>23.62991848739718</c:v>
                </c:pt>
                <c:pt idx="423">
                  <c:v>23.303629812592494</c:v>
                </c:pt>
                <c:pt idx="424">
                  <c:v>23.835751708217181</c:v>
                </c:pt>
                <c:pt idx="425">
                  <c:v>23.788099001146314</c:v>
                </c:pt>
                <c:pt idx="426">
                  <c:v>23.155244577519035</c:v>
                </c:pt>
                <c:pt idx="427">
                  <c:v>22.819160624038673</c:v>
                </c:pt>
                <c:pt idx="428">
                  <c:v>23.457177424265289</c:v>
                </c:pt>
                <c:pt idx="429">
                  <c:v>23.425011846992447</c:v>
                </c:pt>
                <c:pt idx="430">
                  <c:v>23.7325041762303</c:v>
                </c:pt>
                <c:pt idx="431">
                  <c:v>23.619461365567741</c:v>
                </c:pt>
                <c:pt idx="432">
                  <c:v>23.16305432673343</c:v>
                </c:pt>
                <c:pt idx="433">
                  <c:v>23.062718904623107</c:v>
                </c:pt>
                <c:pt idx="434">
                  <c:v>23.210971771065804</c:v>
                </c:pt>
                <c:pt idx="435" formatCode="0.00">
                  <c:v>23.795379275837693</c:v>
                </c:pt>
                <c:pt idx="436">
                  <c:v>23.365181225892357</c:v>
                </c:pt>
                <c:pt idx="437">
                  <c:v>23.441293188574999</c:v>
                </c:pt>
                <c:pt idx="438">
                  <c:v>23.681542253390621</c:v>
                </c:pt>
                <c:pt idx="439">
                  <c:v>23.872814924827857</c:v>
                </c:pt>
                <c:pt idx="440">
                  <c:v>22.993225373478086</c:v>
                </c:pt>
                <c:pt idx="441">
                  <c:v>22.77216976012156</c:v>
                </c:pt>
                <c:pt idx="442">
                  <c:v>23.25796263498291</c:v>
                </c:pt>
                <c:pt idx="443">
                  <c:v>23.389007579427794</c:v>
                </c:pt>
                <c:pt idx="444">
                  <c:v>23.562013379821199</c:v>
                </c:pt>
                <c:pt idx="445">
                  <c:v>24.380845729655604</c:v>
                </c:pt>
                <c:pt idx="446">
                  <c:v>24.139537715793953</c:v>
                </c:pt>
                <c:pt idx="447">
                  <c:v>23.920864737790975</c:v>
                </c:pt>
                <c:pt idx="448">
                  <c:v>23.963487436893256</c:v>
                </c:pt>
                <c:pt idx="449">
                  <c:v>24.068455761079914</c:v>
                </c:pt>
                <c:pt idx="450">
                  <c:v>23.87307966208936</c:v>
                </c:pt>
                <c:pt idx="451">
                  <c:v>23.852165418430481</c:v>
                </c:pt>
                <c:pt idx="452">
                  <c:v>23.692396481112326</c:v>
                </c:pt>
                <c:pt idx="453">
                  <c:v>23.58226578032631</c:v>
                </c:pt>
                <c:pt idx="454">
                  <c:v>23.43401291388361</c:v>
                </c:pt>
                <c:pt idx="455">
                  <c:v>22.9912398440168</c:v>
                </c:pt>
                <c:pt idx="456">
                  <c:v>23.307600871515067</c:v>
                </c:pt>
                <c:pt idx="457" formatCode="0.00">
                  <c:v>22.799305329425813</c:v>
                </c:pt>
                <c:pt idx="458">
                  <c:v>22.84695803649668</c:v>
                </c:pt>
                <c:pt idx="459">
                  <c:v>22.849870146373227</c:v>
                </c:pt>
                <c:pt idx="460">
                  <c:v>21.747371820836413</c:v>
                </c:pt>
                <c:pt idx="461">
                  <c:v>22.620607677910051</c:v>
                </c:pt>
                <c:pt idx="462">
                  <c:v>21.428760526615356</c:v>
                </c:pt>
                <c:pt idx="463">
                  <c:v>21.544053604000705</c:v>
                </c:pt>
                <c:pt idx="464">
                  <c:v>21.417509193001404</c:v>
                </c:pt>
                <c:pt idx="465">
                  <c:v>21.662258791262609</c:v>
                </c:pt>
                <c:pt idx="466">
                  <c:v>21.351324877625196</c:v>
                </c:pt>
                <c:pt idx="467">
                  <c:v>20.342543542661083</c:v>
                </c:pt>
                <c:pt idx="468">
                  <c:v>20.430568682111431</c:v>
                </c:pt>
                <c:pt idx="469">
                  <c:v>21.106840016625494</c:v>
                </c:pt>
                <c:pt idx="470">
                  <c:v>21.796612951476309</c:v>
                </c:pt>
                <c:pt idx="471">
                  <c:v>21.421480251923978</c:v>
                </c:pt>
                <c:pt idx="472">
                  <c:v>21.689659097828358</c:v>
                </c:pt>
                <c:pt idx="473">
                  <c:v>22.440586340086778</c:v>
                </c:pt>
                <c:pt idx="474">
                  <c:v>22.681497248056168</c:v>
                </c:pt>
                <c:pt idx="475">
                  <c:v>22.811086137562771</c:v>
                </c:pt>
                <c:pt idx="476">
                  <c:v>22.58447104171465</c:v>
                </c:pt>
                <c:pt idx="477">
                  <c:v>22.733121014049601</c:v>
                </c:pt>
                <c:pt idx="478">
                  <c:v>22.310997450580167</c:v>
                </c:pt>
                <c:pt idx="479" formatCode="0.00">
                  <c:v>22.639139286215393</c:v>
                </c:pt>
                <c:pt idx="480">
                  <c:v>21.849560403777271</c:v>
                </c:pt>
                <c:pt idx="481">
                  <c:v>22.234223644743771</c:v>
                </c:pt>
                <c:pt idx="482">
                  <c:v>22.294848477628374</c:v>
                </c:pt>
                <c:pt idx="483">
                  <c:v>21.640947441711468</c:v>
                </c:pt>
                <c:pt idx="484">
                  <c:v>21.721162831947431</c:v>
                </c:pt>
                <c:pt idx="485">
                  <c:v>21.503416434359721</c:v>
                </c:pt>
                <c:pt idx="486">
                  <c:v>21.960750053609289</c:v>
                </c:pt>
                <c:pt idx="487">
                  <c:v>21.557025729814438</c:v>
                </c:pt>
                <c:pt idx="488">
                  <c:v>22.158376419322643</c:v>
                </c:pt>
                <c:pt idx="489">
                  <c:v>22.092456841207945</c:v>
                </c:pt>
                <c:pt idx="490">
                  <c:v>22.144080607201378</c:v>
                </c:pt>
                <c:pt idx="491">
                  <c:v>22.341177498391719</c:v>
                </c:pt>
                <c:pt idx="492">
                  <c:v>22.184585408211614</c:v>
                </c:pt>
                <c:pt idx="493">
                  <c:v>22.32277825871714</c:v>
                </c:pt>
                <c:pt idx="494">
                  <c:v>22.513124349739101</c:v>
                </c:pt>
                <c:pt idx="495">
                  <c:v>22.72848811197327</c:v>
                </c:pt>
                <c:pt idx="496">
                  <c:v>23.272523184365671</c:v>
                </c:pt>
                <c:pt idx="497">
                  <c:v>23.648450095702522</c:v>
                </c:pt>
                <c:pt idx="498">
                  <c:v>23.365843069046122</c:v>
                </c:pt>
                <c:pt idx="499">
                  <c:v>23.780024514670412</c:v>
                </c:pt>
                <c:pt idx="500" formatCode="0.00">
                  <c:v>23.795379275837693</c:v>
                </c:pt>
                <c:pt idx="501">
                  <c:v>23.337119076172847</c:v>
                </c:pt>
                <c:pt idx="502">
                  <c:v>23.850047520338439</c:v>
                </c:pt>
                <c:pt idx="503">
                  <c:v>24.329354332292912</c:v>
                </c:pt>
                <c:pt idx="504">
                  <c:v>24.760876068545766</c:v>
                </c:pt>
                <c:pt idx="505">
                  <c:v>24.567750236278005</c:v>
                </c:pt>
                <c:pt idx="506">
                  <c:v>24.397391808499648</c:v>
                </c:pt>
                <c:pt idx="507">
                  <c:v>24.573177350138856</c:v>
                </c:pt>
                <c:pt idx="508">
                  <c:v>24.572118401092837</c:v>
                </c:pt>
                <c:pt idx="509">
                  <c:v>25.126345858053167</c:v>
                </c:pt>
                <c:pt idx="510">
                  <c:v>25.092591857211303</c:v>
                </c:pt>
                <c:pt idx="511">
                  <c:v>25.365006499299771</c:v>
                </c:pt>
                <c:pt idx="512">
                  <c:v>25.220327585887386</c:v>
                </c:pt>
                <c:pt idx="513">
                  <c:v>24.984711423148092</c:v>
                </c:pt>
                <c:pt idx="514">
                  <c:v>25.200207554013019</c:v>
                </c:pt>
                <c:pt idx="515">
                  <c:v>24.998080654854089</c:v>
                </c:pt>
                <c:pt idx="516">
                  <c:v>25.161688282464066</c:v>
                </c:pt>
                <c:pt idx="517">
                  <c:v>25.255802378929026</c:v>
                </c:pt>
                <c:pt idx="518">
                  <c:v>25.506640934204842</c:v>
                </c:pt>
                <c:pt idx="519">
                  <c:v>26.16146855053702</c:v>
                </c:pt>
                <c:pt idx="520">
                  <c:v>25.681102789536521</c:v>
                </c:pt>
                <c:pt idx="521">
                  <c:v>25.365933079715035</c:v>
                </c:pt>
                <c:pt idx="522">
                  <c:v>25.427219755753395</c:v>
                </c:pt>
                <c:pt idx="523" formatCode="0.00">
                  <c:v>25.500949083082492</c:v>
                </c:pt>
                <c:pt idx="524">
                  <c:v>25.78223242343136</c:v>
                </c:pt>
                <c:pt idx="525">
                  <c:v>25.363947550253751</c:v>
                </c:pt>
                <c:pt idx="526">
                  <c:v>24.695883070846339</c:v>
                </c:pt>
                <c:pt idx="527">
                  <c:v>24.540879404235266</c:v>
                </c:pt>
                <c:pt idx="528">
                  <c:v>23.916893678868405</c:v>
                </c:pt>
                <c:pt idx="529">
                  <c:v>22.818631149515667</c:v>
                </c:pt>
                <c:pt idx="530">
                  <c:v>22.518419094969193</c:v>
                </c:pt>
                <c:pt idx="531">
                  <c:v>23.500859072413586</c:v>
                </c:pt>
                <c:pt idx="532">
                  <c:v>23.503506445028627</c:v>
                </c:pt>
                <c:pt idx="533">
                  <c:v>24.583104997445286</c:v>
                </c:pt>
                <c:pt idx="534">
                  <c:v>25.103843190825266</c:v>
                </c:pt>
                <c:pt idx="535">
                  <c:v>25.370433613160621</c:v>
                </c:pt>
                <c:pt idx="536">
                  <c:v>25.38711206063542</c:v>
                </c:pt>
                <c:pt idx="537">
                  <c:v>25.262685547728154</c:v>
                </c:pt>
                <c:pt idx="538">
                  <c:v>25.064794444753307</c:v>
                </c:pt>
                <c:pt idx="539">
                  <c:v>25.171218823878238</c:v>
                </c:pt>
                <c:pt idx="540">
                  <c:v>25.440059512936386</c:v>
                </c:pt>
                <c:pt idx="541">
                  <c:v>26.110374259066589</c:v>
                </c:pt>
                <c:pt idx="542">
                  <c:v>25.634509031511676</c:v>
                </c:pt>
                <c:pt idx="543" formatCode="0.00">
                  <c:v>25.56223575912086</c:v>
                </c:pt>
              </c:numCache>
            </c:numRef>
          </c:val>
          <c:smooth val="0"/>
        </c:ser>
        <c:dLbls>
          <c:showLegendKey val="0"/>
          <c:showVal val="0"/>
          <c:showCatName val="0"/>
          <c:showSerName val="0"/>
          <c:showPercent val="0"/>
          <c:showBubbleSize val="0"/>
        </c:dLbls>
        <c:smooth val="0"/>
        <c:axId val="462574016"/>
        <c:axId val="462580680"/>
      </c:lineChart>
      <c:dateAx>
        <c:axId val="462574016"/>
        <c:scaling>
          <c:orientation val="minMax"/>
        </c:scaling>
        <c:delete val="0"/>
        <c:axPos val="b"/>
        <c:numFmt formatCode="[$-409]mmm\-yy;@" sourceLinked="0"/>
        <c:majorTickMark val="out"/>
        <c:minorTickMark val="none"/>
        <c:tickLblPos val="low"/>
        <c:txPr>
          <a:bodyPr rot="-5400000" vert="horz"/>
          <a:lstStyle/>
          <a:p>
            <a:pPr>
              <a:defRPr/>
            </a:pPr>
            <a:endParaRPr lang="en-US"/>
          </a:p>
        </c:txPr>
        <c:crossAx val="462580680"/>
        <c:crosses val="autoZero"/>
        <c:auto val="1"/>
        <c:lblOffset val="100"/>
        <c:baseTimeUnit val="days"/>
        <c:majorUnit val="1"/>
      </c:dateAx>
      <c:valAx>
        <c:axId val="462580680"/>
        <c:scaling>
          <c:orientation val="minMax"/>
        </c:scaling>
        <c:delete val="0"/>
        <c:axPos val="l"/>
        <c:majorGridlines/>
        <c:numFmt formatCode="0" sourceLinked="0"/>
        <c:majorTickMark val="out"/>
        <c:minorTickMark val="none"/>
        <c:tickLblPos val="nextTo"/>
        <c:crossAx val="462574016"/>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76681265172459745"/>
          <c:h val="0.60706085715539493"/>
        </c:manualLayout>
      </c:layout>
      <c:lineChart>
        <c:grouping val="standard"/>
        <c:varyColors val="0"/>
        <c:ser>
          <c:idx val="0"/>
          <c:order val="0"/>
          <c:tx>
            <c:strRef>
              <c:f>Int_ind!$Q$70</c:f>
              <c:strCache>
                <c:ptCount val="1"/>
                <c:pt idx="0">
                  <c:v>FTSE 100 (LHS)</c:v>
                </c:pt>
              </c:strCache>
            </c:strRef>
          </c:tx>
          <c:marker>
            <c:symbol val="none"/>
          </c:marker>
          <c:cat>
            <c:numRef>
              <c:f>Int_ind!$P$143:$P$177</c:f>
              <c:numCache>
                <c:formatCode>[$-409]mmm\-yy;@</c:formatCode>
                <c:ptCount val="3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numCache>
            </c:numRef>
          </c:cat>
          <c:val>
            <c:numRef>
              <c:f>Int_ind!$Q$143:$Q$177</c:f>
              <c:numCache>
                <c:formatCode>0.00</c:formatCode>
                <c:ptCount val="35"/>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pt idx="28" formatCode="General">
                  <c:v>7430.62</c:v>
                </c:pt>
                <c:pt idx="29" formatCode="General">
                  <c:v>7372.76</c:v>
                </c:pt>
                <c:pt idx="30" formatCode="General">
                  <c:v>7493.08</c:v>
                </c:pt>
                <c:pt idx="31" formatCode="General">
                  <c:v>7326.67</c:v>
                </c:pt>
                <c:pt idx="32" formatCode="General">
                  <c:v>7687.77</c:v>
                </c:pt>
                <c:pt idx="33" formatCode="General">
                  <c:v>7533.55</c:v>
                </c:pt>
                <c:pt idx="34" formatCode="General">
                  <c:v>7231.91</c:v>
                </c:pt>
              </c:numCache>
            </c:numRef>
          </c:val>
          <c:smooth val="0"/>
        </c:ser>
        <c:ser>
          <c:idx val="1"/>
          <c:order val="1"/>
          <c:tx>
            <c:strRef>
              <c:f>Int_ind!$R$70</c:f>
              <c:strCache>
                <c:ptCount val="1"/>
                <c:pt idx="0">
                  <c:v>Dow Jones Industrial Average (LHS)</c:v>
                </c:pt>
              </c:strCache>
            </c:strRef>
          </c:tx>
          <c:marker>
            <c:symbol val="none"/>
          </c:marker>
          <c:cat>
            <c:numRef>
              <c:f>Int_ind!$P$143:$P$177</c:f>
              <c:numCache>
                <c:formatCode>[$-409]mmm\-yy;@</c:formatCode>
                <c:ptCount val="3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numCache>
            </c:numRef>
          </c:cat>
          <c:val>
            <c:numRef>
              <c:f>Int_ind!$R$143:$R$177</c:f>
              <c:numCache>
                <c:formatCode>0.00</c:formatCode>
                <c:ptCount val="35"/>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pt idx="28" formatCode="General">
                  <c:v>21948.1</c:v>
                </c:pt>
                <c:pt idx="29" formatCode="General">
                  <c:v>22405.09</c:v>
                </c:pt>
                <c:pt idx="30" formatCode="General">
                  <c:v>23377.24</c:v>
                </c:pt>
                <c:pt idx="31" formatCode="General">
                  <c:v>24272.35</c:v>
                </c:pt>
                <c:pt idx="32" formatCode="General">
                  <c:v>24719.22</c:v>
                </c:pt>
                <c:pt idx="33" formatCode="General">
                  <c:v>26149.39</c:v>
                </c:pt>
                <c:pt idx="34" formatCode="General">
                  <c:v>25029.200000000001</c:v>
                </c:pt>
              </c:numCache>
            </c:numRef>
          </c:val>
          <c:smooth val="0"/>
        </c:ser>
        <c:dLbls>
          <c:showLegendKey val="0"/>
          <c:showVal val="0"/>
          <c:showCatName val="0"/>
          <c:showSerName val="0"/>
          <c:showPercent val="0"/>
          <c:showBubbleSize val="0"/>
        </c:dLbls>
        <c:marker val="1"/>
        <c:smooth val="0"/>
        <c:axId val="462581856"/>
        <c:axId val="462585776"/>
      </c:lineChart>
      <c:lineChart>
        <c:grouping val="standard"/>
        <c:varyColors val="0"/>
        <c:ser>
          <c:idx val="2"/>
          <c:order val="2"/>
          <c:tx>
            <c:strRef>
              <c:f>Int_ind!$S$70</c:f>
              <c:strCache>
                <c:ptCount val="1"/>
                <c:pt idx="0">
                  <c:v>Nasdaq Composite (RHS)</c:v>
                </c:pt>
              </c:strCache>
            </c:strRef>
          </c:tx>
          <c:marker>
            <c:symbol val="none"/>
          </c:marker>
          <c:cat>
            <c:numRef>
              <c:f>Int_ind!$P$143:$P$177</c:f>
              <c:numCache>
                <c:formatCode>[$-409]mmm\-yy;@</c:formatCode>
                <c:ptCount val="3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numCache>
            </c:numRef>
          </c:cat>
          <c:val>
            <c:numRef>
              <c:f>Int_ind!$S$143:$S$177</c:f>
              <c:numCache>
                <c:formatCode>0.00</c:formatCode>
                <c:ptCount val="35"/>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pt idx="28" formatCode="General">
                  <c:v>6428.6620000000003</c:v>
                </c:pt>
                <c:pt idx="29" formatCode="General">
                  <c:v>6495.9589999999998</c:v>
                </c:pt>
                <c:pt idx="30" formatCode="General">
                  <c:v>6727.6689999999999</c:v>
                </c:pt>
                <c:pt idx="31" formatCode="General">
                  <c:v>6873.973</c:v>
                </c:pt>
                <c:pt idx="32" formatCode="General">
                  <c:v>6903.3890000000001</c:v>
                </c:pt>
                <c:pt idx="33" formatCode="General">
                  <c:v>7411.48</c:v>
                </c:pt>
                <c:pt idx="34" formatCode="General">
                  <c:v>7273.009</c:v>
                </c:pt>
              </c:numCache>
            </c:numRef>
          </c:val>
          <c:smooth val="0"/>
        </c:ser>
        <c:ser>
          <c:idx val="3"/>
          <c:order val="3"/>
          <c:tx>
            <c:strRef>
              <c:f>Int_ind!$T$70</c:f>
              <c:strCache>
                <c:ptCount val="1"/>
                <c:pt idx="0">
                  <c:v>Nikkei 225 (RHS)</c:v>
                </c:pt>
              </c:strCache>
            </c:strRef>
          </c:tx>
          <c:marker>
            <c:symbol val="none"/>
          </c:marker>
          <c:cat>
            <c:numRef>
              <c:f>Int_ind!$P$143:$P$177</c:f>
              <c:numCache>
                <c:formatCode>[$-409]mmm\-yy;@</c:formatCode>
                <c:ptCount val="3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numCache>
            </c:numRef>
          </c:cat>
          <c:val>
            <c:numRef>
              <c:f>Int_ind!$T$143:$T$177</c:f>
              <c:numCache>
                <c:formatCode>0.00</c:formatCode>
                <c:ptCount val="35"/>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pt idx="28" formatCode="General">
                  <c:v>19646.240000000002</c:v>
                </c:pt>
                <c:pt idx="29" formatCode="General">
                  <c:v>20356.28</c:v>
                </c:pt>
                <c:pt idx="30" formatCode="General">
                  <c:v>22011.61</c:v>
                </c:pt>
                <c:pt idx="31" formatCode="General">
                  <c:v>22724.959999999999</c:v>
                </c:pt>
                <c:pt idx="32" formatCode="General">
                  <c:v>22764.94</c:v>
                </c:pt>
                <c:pt idx="33" formatCode="General">
                  <c:v>23098.29</c:v>
                </c:pt>
                <c:pt idx="34" formatCode="General">
                  <c:v>22068.240000000002</c:v>
                </c:pt>
              </c:numCache>
            </c:numRef>
          </c:val>
          <c:smooth val="0"/>
        </c:ser>
        <c:ser>
          <c:idx val="4"/>
          <c:order val="4"/>
          <c:tx>
            <c:strRef>
              <c:f>Int_ind!$U$70</c:f>
              <c:strCache>
                <c:ptCount val="1"/>
                <c:pt idx="0">
                  <c:v>Dax (RHS)</c:v>
                </c:pt>
              </c:strCache>
            </c:strRef>
          </c:tx>
          <c:marker>
            <c:symbol val="none"/>
          </c:marker>
          <c:cat>
            <c:numRef>
              <c:f>Int_ind!$P$143:$P$177</c:f>
              <c:numCache>
                <c:formatCode>[$-409]mmm\-yy;@</c:formatCode>
                <c:ptCount val="35"/>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pt idx="33">
                  <c:v>43101</c:v>
                </c:pt>
                <c:pt idx="34">
                  <c:v>43132</c:v>
                </c:pt>
              </c:numCache>
            </c:numRef>
          </c:cat>
          <c:val>
            <c:numRef>
              <c:f>Int_ind!$U$143:$U$177</c:f>
              <c:numCache>
                <c:formatCode>0.00</c:formatCode>
                <c:ptCount val="35"/>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pt idx="28" formatCode="General">
                  <c:v>12055.84</c:v>
                </c:pt>
                <c:pt idx="29" formatCode="General">
                  <c:v>12828.86</c:v>
                </c:pt>
                <c:pt idx="30" formatCode="General">
                  <c:v>13229.57</c:v>
                </c:pt>
                <c:pt idx="31" formatCode="General">
                  <c:v>13023.98</c:v>
                </c:pt>
                <c:pt idx="32" formatCode="General">
                  <c:v>12917.64</c:v>
                </c:pt>
                <c:pt idx="33" formatCode="General">
                  <c:v>13189.48</c:v>
                </c:pt>
                <c:pt idx="34" formatCode="General">
                  <c:v>12435.85</c:v>
                </c:pt>
              </c:numCache>
            </c:numRef>
          </c:val>
          <c:smooth val="0"/>
        </c:ser>
        <c:dLbls>
          <c:showLegendKey val="0"/>
          <c:showVal val="0"/>
          <c:showCatName val="0"/>
          <c:showSerName val="0"/>
          <c:showPercent val="0"/>
          <c:showBubbleSize val="0"/>
        </c:dLbls>
        <c:marker val="1"/>
        <c:smooth val="0"/>
        <c:axId val="462584600"/>
        <c:axId val="462584208"/>
      </c:lineChart>
      <c:dateAx>
        <c:axId val="462581856"/>
        <c:scaling>
          <c:orientation val="minMax"/>
          <c:min val="42430"/>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462585776"/>
        <c:crosses val="autoZero"/>
        <c:auto val="1"/>
        <c:lblOffset val="100"/>
        <c:baseTimeUnit val="months"/>
        <c:majorUnit val="1"/>
      </c:dateAx>
      <c:valAx>
        <c:axId val="462585776"/>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462581856"/>
        <c:crosses val="autoZero"/>
        <c:crossBetween val="between"/>
      </c:valAx>
      <c:valAx>
        <c:axId val="462584208"/>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462584600"/>
        <c:crosses val="max"/>
        <c:crossBetween val="between"/>
      </c:valAx>
      <c:dateAx>
        <c:axId val="462584600"/>
        <c:scaling>
          <c:orientation val="minMax"/>
        </c:scaling>
        <c:delete val="1"/>
        <c:axPos val="b"/>
        <c:numFmt formatCode="[$-409]mmm\-yy;@" sourceLinked="1"/>
        <c:majorTickMark val="out"/>
        <c:minorTickMark val="none"/>
        <c:tickLblPos val="none"/>
        <c:crossAx val="462584208"/>
        <c:crosses val="autoZero"/>
        <c:auto val="1"/>
        <c:lblOffset val="100"/>
        <c:baseTimeUnit val="months"/>
        <c:majorUnit val="1"/>
        <c:minorUnit val="1"/>
      </c:dateAx>
    </c:plotArea>
    <c:legend>
      <c:legendPos val="r"/>
      <c:layout>
        <c:manualLayout>
          <c:xMode val="edge"/>
          <c:yMode val="edge"/>
          <c:x val="7.3828017899005213E-2"/>
          <c:y val="0.80125723613816568"/>
          <c:w val="0.80255878112549639"/>
          <c:h val="0.1602091278224368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203330889945063"/>
          <c:h val="0.60673028454224665"/>
        </c:manualLayout>
      </c:layout>
      <c:lineChart>
        <c:grouping val="standard"/>
        <c:varyColors val="0"/>
        <c:ser>
          <c:idx val="0"/>
          <c:order val="0"/>
          <c:tx>
            <c:strRef>
              <c:f>Int_ind!$K$70</c:f>
              <c:strCache>
                <c:ptCount val="1"/>
                <c:pt idx="0">
                  <c:v>BSE SENSEX (RHS)</c:v>
                </c:pt>
              </c:strCache>
            </c:strRef>
          </c:tx>
          <c:marker>
            <c:symbol val="none"/>
          </c:marker>
          <c:cat>
            <c:numRef>
              <c:f>Int_ind!$J$92:$J$177</c:f>
              <c:numCache>
                <c:formatCode>[$-409]mmm\-yy;@</c:formatCode>
                <c:ptCount val="86"/>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pt idx="84">
                  <c:v>43101</c:v>
                </c:pt>
                <c:pt idx="85">
                  <c:v>43132</c:v>
                </c:pt>
              </c:numCache>
            </c:numRef>
          </c:cat>
          <c:val>
            <c:numRef>
              <c:f>Int_ind!$K$92:$K$177</c:f>
              <c:numCache>
                <c:formatCode>0</c:formatCode>
                <c:ptCount val="86"/>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pt idx="78" formatCode="0.00">
                  <c:v>32514.94</c:v>
                </c:pt>
                <c:pt idx="79" formatCode="0.00">
                  <c:v>31730.49</c:v>
                </c:pt>
                <c:pt idx="80" formatCode="0.00">
                  <c:v>31283.72</c:v>
                </c:pt>
                <c:pt idx="81" formatCode="0.00">
                  <c:v>33213.129999999997</c:v>
                </c:pt>
                <c:pt idx="82" formatCode="0.00">
                  <c:v>33149.35</c:v>
                </c:pt>
                <c:pt idx="83" formatCode="0.00">
                  <c:v>34056.83</c:v>
                </c:pt>
                <c:pt idx="84" formatCode="0.00">
                  <c:v>35965.019999999997</c:v>
                </c:pt>
                <c:pt idx="85" formatCode="0.00">
                  <c:v>34184.04</c:v>
                </c:pt>
              </c:numCache>
            </c:numRef>
          </c:val>
          <c:smooth val="0"/>
        </c:ser>
        <c:ser>
          <c:idx val="2"/>
          <c:order val="2"/>
          <c:tx>
            <c:strRef>
              <c:f>Int_ind!$M$70</c:f>
              <c:strCache>
                <c:ptCount val="1"/>
                <c:pt idx="0">
                  <c:v>Brazil Bovespa (RHS)</c:v>
                </c:pt>
              </c:strCache>
            </c:strRef>
          </c:tx>
          <c:marker>
            <c:symbol val="none"/>
          </c:marker>
          <c:cat>
            <c:numRef>
              <c:f>Int_ind!$J$92:$J$177</c:f>
              <c:numCache>
                <c:formatCode>[$-409]mmm\-yy;@</c:formatCode>
                <c:ptCount val="86"/>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pt idx="84">
                  <c:v>43101</c:v>
                </c:pt>
                <c:pt idx="85">
                  <c:v>43132</c:v>
                </c:pt>
              </c:numCache>
            </c:numRef>
          </c:cat>
          <c:val>
            <c:numRef>
              <c:f>Int_ind!$M$92:$M$177</c:f>
              <c:numCache>
                <c:formatCode>0</c:formatCode>
                <c:ptCount val="86"/>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pt idx="78" formatCode="0.00">
                  <c:v>65920.36</c:v>
                </c:pt>
                <c:pt idx="79" formatCode="0.00">
                  <c:v>70835.05</c:v>
                </c:pt>
                <c:pt idx="80" formatCode="0.00">
                  <c:v>74293.509999999995</c:v>
                </c:pt>
                <c:pt idx="81" formatCode="0.00">
                  <c:v>74308.490000000005</c:v>
                </c:pt>
                <c:pt idx="82" formatCode="0.00">
                  <c:v>71970.990000000005</c:v>
                </c:pt>
                <c:pt idx="83" formatCode="0.00">
                  <c:v>76402.080000000002</c:v>
                </c:pt>
                <c:pt idx="84" formatCode="0.00">
                  <c:v>84912.7</c:v>
                </c:pt>
                <c:pt idx="85" formatCode="0.00">
                  <c:v>85353.59</c:v>
                </c:pt>
              </c:numCache>
            </c:numRef>
          </c:val>
          <c:smooth val="0"/>
        </c:ser>
        <c:dLbls>
          <c:showLegendKey val="0"/>
          <c:showVal val="0"/>
          <c:showCatName val="0"/>
          <c:showSerName val="0"/>
          <c:showPercent val="0"/>
          <c:showBubbleSize val="0"/>
        </c:dLbls>
        <c:marker val="1"/>
        <c:smooth val="0"/>
        <c:axId val="462579896"/>
        <c:axId val="462574408"/>
      </c:lineChart>
      <c:lineChart>
        <c:grouping val="standard"/>
        <c:varyColors val="0"/>
        <c:ser>
          <c:idx val="1"/>
          <c:order val="1"/>
          <c:tx>
            <c:strRef>
              <c:f>Int_ind!$L$70</c:f>
              <c:strCache>
                <c:ptCount val="1"/>
                <c:pt idx="0">
                  <c:v>Russian Traded (LHS)</c:v>
                </c:pt>
              </c:strCache>
            </c:strRef>
          </c:tx>
          <c:marker>
            <c:symbol val="none"/>
          </c:marker>
          <c:cat>
            <c:numRef>
              <c:f>Int_ind!$J$92:$J$177</c:f>
              <c:numCache>
                <c:formatCode>[$-409]mmm\-yy;@</c:formatCode>
                <c:ptCount val="86"/>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pt idx="84">
                  <c:v>43101</c:v>
                </c:pt>
                <c:pt idx="85">
                  <c:v>43132</c:v>
                </c:pt>
              </c:numCache>
            </c:numRef>
          </c:cat>
          <c:val>
            <c:numRef>
              <c:f>Int_ind!$L$92:$L$177</c:f>
              <c:numCache>
                <c:formatCode>0</c:formatCode>
                <c:ptCount val="86"/>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pt idx="78" formatCode="0.00">
                  <c:v>1364.22</c:v>
                </c:pt>
                <c:pt idx="79" formatCode="0.00">
                  <c:v>1486.25</c:v>
                </c:pt>
                <c:pt idx="80" formatCode="0.00">
                  <c:v>1552.94</c:v>
                </c:pt>
                <c:pt idx="81" formatCode="0.00">
                  <c:v>1522.17</c:v>
                </c:pt>
                <c:pt idx="82" formatCode="0.00">
                  <c:v>1562.43</c:v>
                </c:pt>
                <c:pt idx="83" formatCode="0.00">
                  <c:v>1597.64</c:v>
                </c:pt>
                <c:pt idx="84" formatCode="0.00">
                  <c:v>1812.81</c:v>
                </c:pt>
                <c:pt idx="85" formatCode="0.00">
                  <c:v>1818.18</c:v>
                </c:pt>
              </c:numCache>
            </c:numRef>
          </c:val>
          <c:smooth val="0"/>
        </c:ser>
        <c:ser>
          <c:idx val="3"/>
          <c:order val="3"/>
          <c:tx>
            <c:strRef>
              <c:f>Int_ind!$N$70</c:f>
              <c:strCache>
                <c:ptCount val="1"/>
                <c:pt idx="0">
                  <c:v>China Shanghai Composite (LHS)</c:v>
                </c:pt>
              </c:strCache>
            </c:strRef>
          </c:tx>
          <c:marker>
            <c:symbol val="none"/>
          </c:marker>
          <c:cat>
            <c:numRef>
              <c:f>Int_ind!$J$92:$J$177</c:f>
              <c:numCache>
                <c:formatCode>[$-409]mmm\-yy;@</c:formatCode>
                <c:ptCount val="86"/>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pt idx="84">
                  <c:v>43101</c:v>
                </c:pt>
                <c:pt idx="85">
                  <c:v>43132</c:v>
                </c:pt>
              </c:numCache>
            </c:numRef>
          </c:cat>
          <c:val>
            <c:numRef>
              <c:f>Int_ind!$N$92:$N$177</c:f>
              <c:numCache>
                <c:formatCode>0</c:formatCode>
                <c:ptCount val="86"/>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0.00">
                  <c:v>3085.491</c:v>
                </c:pt>
                <c:pt idx="68" formatCode="0.00">
                  <c:v>3004.703</c:v>
                </c:pt>
                <c:pt idx="69" formatCode="0.00">
                  <c:v>3100.4920000000002</c:v>
                </c:pt>
                <c:pt idx="70" formatCode="0.00">
                  <c:v>3250.0349999999999</c:v>
                </c:pt>
                <c:pt idx="71" formatCode="0.00">
                  <c:v>3103.6370000000002</c:v>
                </c:pt>
                <c:pt idx="72" formatCode="0.00">
                  <c:v>3159.1660000000002</c:v>
                </c:pt>
                <c:pt idx="73" formatCode="0.00">
                  <c:v>3241.7330000000002</c:v>
                </c:pt>
                <c:pt idx="74" formatCode="0.00">
                  <c:v>3222.5140000000001</c:v>
                </c:pt>
                <c:pt idx="75" formatCode="0.00">
                  <c:v>3154.6579999999999</c:v>
                </c:pt>
                <c:pt idx="76" formatCode="0.00">
                  <c:v>3117.1779999999999</c:v>
                </c:pt>
                <c:pt idx="77" formatCode="0.00">
                  <c:v>3192.4</c:v>
                </c:pt>
                <c:pt idx="78" formatCode="0.00">
                  <c:v>3273.0279999999998</c:v>
                </c:pt>
                <c:pt idx="79" formatCode="0.00">
                  <c:v>3360.81</c:v>
                </c:pt>
                <c:pt idx="80" formatCode="0.00">
                  <c:v>3348.9430000000002</c:v>
                </c:pt>
                <c:pt idx="81" formatCode="0.00">
                  <c:v>3393.3420000000001</c:v>
                </c:pt>
                <c:pt idx="82" formatCode="0.00">
                  <c:v>3317.1880000000001</c:v>
                </c:pt>
                <c:pt idx="83" formatCode="0.00">
                  <c:v>3307.172</c:v>
                </c:pt>
                <c:pt idx="84" formatCode="0.00">
                  <c:v>3480.83</c:v>
                </c:pt>
                <c:pt idx="85" formatCode="0.00">
                  <c:v>3259.4079999999999</c:v>
                </c:pt>
              </c:numCache>
            </c:numRef>
          </c:val>
          <c:smooth val="0"/>
        </c:ser>
        <c:ser>
          <c:idx val="4"/>
          <c:order val="4"/>
          <c:tx>
            <c:strRef>
              <c:f>Int_ind!$O$70</c:f>
              <c:strCache>
                <c:ptCount val="1"/>
                <c:pt idx="0">
                  <c:v>FTSE/JSE Africa All Share(LHS)</c:v>
                </c:pt>
              </c:strCache>
            </c:strRef>
          </c:tx>
          <c:marker>
            <c:symbol val="none"/>
          </c:marker>
          <c:cat>
            <c:numRef>
              <c:f>Int_ind!$J$92:$J$177</c:f>
              <c:numCache>
                <c:formatCode>[$-409]mmm\-yy;@</c:formatCode>
                <c:ptCount val="86"/>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pt idx="84">
                  <c:v>43101</c:v>
                </c:pt>
                <c:pt idx="85">
                  <c:v>43132</c:v>
                </c:pt>
              </c:numCache>
            </c:numRef>
          </c:cat>
          <c:val>
            <c:numRef>
              <c:f>Int_ind!$O$92:$O$177</c:f>
              <c:numCache>
                <c:formatCode>General</c:formatCode>
                <c:ptCount val="86"/>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formatCode="0.00">
                  <c:v>52733.120000000003</c:v>
                </c:pt>
                <c:pt idx="68" formatCode="0.00">
                  <c:v>51949.83</c:v>
                </c:pt>
                <c:pt idx="69" formatCode="0.00">
                  <c:v>50590.080000000002</c:v>
                </c:pt>
                <c:pt idx="70" formatCode="0.00">
                  <c:v>50209.43</c:v>
                </c:pt>
                <c:pt idx="71" formatCode="0.00">
                  <c:v>50653.54</c:v>
                </c:pt>
                <c:pt idx="72" formatCode="0.00">
                  <c:v>52788.12</c:v>
                </c:pt>
                <c:pt idx="73" formatCode="0.00">
                  <c:v>51146.05</c:v>
                </c:pt>
                <c:pt idx="74" formatCode="0.00">
                  <c:v>52056.06</c:v>
                </c:pt>
                <c:pt idx="75" formatCode="0.00">
                  <c:v>53817.31</c:v>
                </c:pt>
                <c:pt idx="76" formatCode="0.00">
                  <c:v>53562.6</c:v>
                </c:pt>
                <c:pt idx="77" formatCode="0.00">
                  <c:v>51611</c:v>
                </c:pt>
                <c:pt idx="78" formatCode="0.00">
                  <c:v>55207.41</c:v>
                </c:pt>
                <c:pt idx="79" formatCode="0.00">
                  <c:v>56522.11</c:v>
                </c:pt>
                <c:pt idx="80" formatCode="0.00">
                  <c:v>55579.92</c:v>
                </c:pt>
                <c:pt idx="81" formatCode="0.00">
                  <c:v>58980.11</c:v>
                </c:pt>
                <c:pt idx="82" formatCode="0.00">
                  <c:v>59772.83</c:v>
                </c:pt>
                <c:pt idx="83" formatCode="0.00">
                  <c:v>59504.67</c:v>
                </c:pt>
                <c:pt idx="84" formatCode="0.00">
                  <c:v>59506.12</c:v>
                </c:pt>
                <c:pt idx="85" formatCode="0.00">
                  <c:v>58325.09</c:v>
                </c:pt>
              </c:numCache>
            </c:numRef>
          </c:val>
          <c:smooth val="0"/>
        </c:ser>
        <c:dLbls>
          <c:showLegendKey val="0"/>
          <c:showVal val="0"/>
          <c:showCatName val="0"/>
          <c:showSerName val="0"/>
          <c:showPercent val="0"/>
          <c:showBubbleSize val="0"/>
        </c:dLbls>
        <c:marker val="1"/>
        <c:smooth val="0"/>
        <c:axId val="462575584"/>
        <c:axId val="462582640"/>
      </c:lineChart>
      <c:dateAx>
        <c:axId val="462579896"/>
        <c:scaling>
          <c:orientation val="minMax"/>
          <c:min val="42430"/>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462574408"/>
        <c:crosses val="autoZero"/>
        <c:auto val="1"/>
        <c:lblOffset val="100"/>
        <c:baseTimeUnit val="days"/>
        <c:majorUnit val="1"/>
        <c:majorTimeUnit val="months"/>
      </c:dateAx>
      <c:valAx>
        <c:axId val="462574408"/>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462579896"/>
        <c:crosses val="max"/>
        <c:crossBetween val="between"/>
        <c:majorUnit val="10000"/>
      </c:valAx>
      <c:valAx>
        <c:axId val="462582640"/>
        <c:scaling>
          <c:orientation val="minMax"/>
          <c:min val="10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462575584"/>
        <c:crosses val="autoZero"/>
        <c:crossBetween val="between"/>
      </c:valAx>
      <c:dateAx>
        <c:axId val="462575584"/>
        <c:scaling>
          <c:orientation val="minMax"/>
        </c:scaling>
        <c:delete val="1"/>
        <c:axPos val="b"/>
        <c:numFmt formatCode="[$-409]mmm\-yy;@" sourceLinked="1"/>
        <c:majorTickMark val="out"/>
        <c:minorTickMark val="none"/>
        <c:tickLblPos val="none"/>
        <c:crossAx val="462582640"/>
        <c:crosses val="autoZero"/>
        <c:auto val="1"/>
        <c:lblOffset val="100"/>
        <c:baseTimeUnit val="days"/>
      </c:dateAx>
      <c:spPr>
        <a:solidFill>
          <a:schemeClr val="bg1"/>
        </a:solidFill>
        <a:ln w="25400">
          <a:noFill/>
        </a:ln>
      </c:spPr>
    </c:plotArea>
    <c:legend>
      <c:legendPos val="b"/>
      <c:layout>
        <c:manualLayout>
          <c:xMode val="edge"/>
          <c:yMode val="edge"/>
          <c:x val="0.1097313803085206"/>
          <c:y val="0.82322343793123254"/>
          <c:w val="0.89026861971206905"/>
          <c:h val="0.15031201551464501"/>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CHART'!$A$2</c:f>
              <c:strCache>
                <c:ptCount val="1"/>
                <c:pt idx="0">
                  <c:v>Japan (LHS)</c:v>
                </c:pt>
              </c:strCache>
            </c:strRef>
          </c:tx>
          <c:marker>
            <c:symbol val="none"/>
          </c:marker>
          <c:cat>
            <c:numRef>
              <c:f>'mCAP CHART'!$B$1:$AG$1</c:f>
              <c:numCache>
                <c:formatCode>m/d/yyyy</c:formatCode>
                <c:ptCount val="32"/>
                <c:pt idx="0">
                  <c:v>43159</c:v>
                </c:pt>
                <c:pt idx="1">
                  <c:v>43131</c:v>
                </c:pt>
                <c:pt idx="2">
                  <c:v>43099</c:v>
                </c:pt>
                <c:pt idx="3">
                  <c:v>43069</c:v>
                </c:pt>
                <c:pt idx="4">
                  <c:v>43039</c:v>
                </c:pt>
                <c:pt idx="5">
                  <c:v>43008</c:v>
                </c:pt>
                <c:pt idx="6">
                  <c:v>42978</c:v>
                </c:pt>
                <c:pt idx="7">
                  <c:v>42947</c:v>
                </c:pt>
                <c:pt idx="8">
                  <c:v>42916</c:v>
                </c:pt>
                <c:pt idx="9" formatCode="d\-mmm\-yy">
                  <c:v>42885</c:v>
                </c:pt>
                <c:pt idx="10" formatCode="d\-mmm\-yy">
                  <c:v>42855</c:v>
                </c:pt>
                <c:pt idx="11" formatCode="d\-mmm\-yy">
                  <c:v>42825</c:v>
                </c:pt>
                <c:pt idx="12" formatCode="d\-mmm\-yy">
                  <c:v>42794</c:v>
                </c:pt>
                <c:pt idx="13" formatCode="d\-mmm\-yy">
                  <c:v>42765</c:v>
                </c:pt>
                <c:pt idx="14" formatCode="d\-mmm\-yy">
                  <c:v>42734</c:v>
                </c:pt>
                <c:pt idx="15" formatCode="d\-mmm\-yy">
                  <c:v>42704</c:v>
                </c:pt>
                <c:pt idx="16" formatCode="d\-mmm\-yy">
                  <c:v>42674</c:v>
                </c:pt>
                <c:pt idx="17" formatCode="[$-409]d\-mmm\-yy;@">
                  <c:v>42643</c:v>
                </c:pt>
                <c:pt idx="18" formatCode="[$-14009]d\ mmmm\ yyyy;@">
                  <c:v>42613</c:v>
                </c:pt>
                <c:pt idx="19" formatCode="[$-14009]dd\ mmmm\ yyyy;@">
                  <c:v>42582</c:v>
                </c:pt>
                <c:pt idx="20" formatCode="[$-14009]dd\ mmmm\ yyyy;@">
                  <c:v>42551</c:v>
                </c:pt>
                <c:pt idx="21" formatCode="[$-409]d\-mmm\-yy;@">
                  <c:v>42521</c:v>
                </c:pt>
                <c:pt idx="22" formatCode="[$-409]d\-mmm\-yy;@">
                  <c:v>42490</c:v>
                </c:pt>
                <c:pt idx="23" formatCode="[$-409]d\-mmm\-yy;@">
                  <c:v>42460</c:v>
                </c:pt>
                <c:pt idx="24" formatCode="[$-409]d\-mmm\-yy;@">
                  <c:v>42429</c:v>
                </c:pt>
                <c:pt idx="25" formatCode="[$-409]d\-mmm\-yy;@">
                  <c:v>42400</c:v>
                </c:pt>
                <c:pt idx="26" formatCode="[$-409]d\-mmm\-yy;@">
                  <c:v>42369</c:v>
                </c:pt>
                <c:pt idx="27" formatCode="[$-409]d\-mmm\-yy;@">
                  <c:v>42338</c:v>
                </c:pt>
                <c:pt idx="28" formatCode="[$-409]d\-mmm\-yy;@">
                  <c:v>42308</c:v>
                </c:pt>
                <c:pt idx="29" formatCode="[$-409]d\-mmm\-yy;@">
                  <c:v>42277</c:v>
                </c:pt>
                <c:pt idx="30" formatCode="[$-409]d\-mmm\-yy;@">
                  <c:v>42247</c:v>
                </c:pt>
                <c:pt idx="31" formatCode="[$-409]d\-mmm\-yy;@">
                  <c:v>42216</c:v>
                </c:pt>
              </c:numCache>
            </c:numRef>
          </c:cat>
          <c:val>
            <c:numRef>
              <c:f>'mCAP CHART'!$B$2:$AG$2</c:f>
              <c:numCache>
                <c:formatCode>0</c:formatCode>
                <c:ptCount val="32"/>
                <c:pt idx="0">
                  <c:v>6530628.2703</c:v>
                </c:pt>
                <c:pt idx="1">
                  <c:v>6692250.6152999997</c:v>
                </c:pt>
                <c:pt idx="2">
                  <c:v>6329868.2392999995</c:v>
                </c:pt>
                <c:pt idx="3">
                  <c:v>6208397.9371999996</c:v>
                </c:pt>
                <c:pt idx="4">
                  <c:v>6068226.7588</c:v>
                </c:pt>
                <c:pt idx="5">
                  <c:v>5817557.9304999998</c:v>
                </c:pt>
                <c:pt idx="6">
                  <c:v>5724991.9752000002</c:v>
                </c:pt>
                <c:pt idx="7">
                  <c:v>5740646.6447999999</c:v>
                </c:pt>
                <c:pt idx="8">
                  <c:v>5652598.7719999999</c:v>
                </c:pt>
                <c:pt idx="9">
                  <c:v>5556567.7921000002</c:v>
                </c:pt>
                <c:pt idx="10">
                  <c:v>5389186.7019999996</c:v>
                </c:pt>
                <c:pt idx="11">
                  <c:v>5323905.3778999997</c:v>
                </c:pt>
                <c:pt idx="12">
                  <c:v>5307603.5093999999</c:v>
                </c:pt>
                <c:pt idx="13">
                  <c:v>5272041.5751</c:v>
                </c:pt>
                <c:pt idx="14">
                  <c:v>5084266.1694999998</c:v>
                </c:pt>
                <c:pt idx="15">
                  <c:v>4997125.6382999998</c:v>
                </c:pt>
                <c:pt idx="16">
                  <c:v>5217617.5120000001</c:v>
                </c:pt>
                <c:pt idx="17">
                  <c:v>5129749.9627999999</c:v>
                </c:pt>
                <c:pt idx="18" formatCode="General">
                  <c:v>5043901</c:v>
                </c:pt>
                <c:pt idx="19">
                  <c:v>5100372.2214000002</c:v>
                </c:pt>
                <c:pt idx="20">
                  <c:v>4773252.8580999998</c:v>
                </c:pt>
                <c:pt idx="21">
                  <c:v>4911396.1534000002</c:v>
                </c:pt>
                <c:pt idx="22">
                  <c:v>4951458.1507999999</c:v>
                </c:pt>
                <c:pt idx="23">
                  <c:v>4722409.0824999996</c:v>
                </c:pt>
                <c:pt idx="24">
                  <c:v>4554562.5312000001</c:v>
                </c:pt>
                <c:pt idx="25">
                  <c:v>4636755.608</c:v>
                </c:pt>
                <c:pt idx="26">
                  <c:v>5029957.4649</c:v>
                </c:pt>
                <c:pt idx="27">
                  <c:v>5015777.0663000001</c:v>
                </c:pt>
                <c:pt idx="28">
                  <c:v>4884613.3872999996</c:v>
                </c:pt>
                <c:pt idx="29">
                  <c:v>4466806.6957999999</c:v>
                </c:pt>
                <c:pt idx="30">
                  <c:v>4800669.6438999996</c:v>
                </c:pt>
                <c:pt idx="31">
                  <c:v>5067360.9030999998</c:v>
                </c:pt>
              </c:numCache>
            </c:numRef>
          </c:val>
          <c:smooth val="0"/>
        </c:ser>
        <c:ser>
          <c:idx val="2"/>
          <c:order val="2"/>
          <c:tx>
            <c:strRef>
              <c:f>'mCAP CHART'!$A$4</c:f>
              <c:strCache>
                <c:ptCount val="1"/>
                <c:pt idx="0">
                  <c:v>India (LHS)</c:v>
                </c:pt>
              </c:strCache>
            </c:strRef>
          </c:tx>
          <c:marker>
            <c:symbol val="none"/>
          </c:marker>
          <c:cat>
            <c:numRef>
              <c:f>'mCAP CHART'!$B$1:$AG$1</c:f>
              <c:numCache>
                <c:formatCode>m/d/yyyy</c:formatCode>
                <c:ptCount val="32"/>
                <c:pt idx="0">
                  <c:v>43159</c:v>
                </c:pt>
                <c:pt idx="1">
                  <c:v>43131</c:v>
                </c:pt>
                <c:pt idx="2">
                  <c:v>43099</c:v>
                </c:pt>
                <c:pt idx="3">
                  <c:v>43069</c:v>
                </c:pt>
                <c:pt idx="4">
                  <c:v>43039</c:v>
                </c:pt>
                <c:pt idx="5">
                  <c:v>43008</c:v>
                </c:pt>
                <c:pt idx="6">
                  <c:v>42978</c:v>
                </c:pt>
                <c:pt idx="7">
                  <c:v>42947</c:v>
                </c:pt>
                <c:pt idx="8">
                  <c:v>42916</c:v>
                </c:pt>
                <c:pt idx="9" formatCode="d\-mmm\-yy">
                  <c:v>42885</c:v>
                </c:pt>
                <c:pt idx="10" formatCode="d\-mmm\-yy">
                  <c:v>42855</c:v>
                </c:pt>
                <c:pt idx="11" formatCode="d\-mmm\-yy">
                  <c:v>42825</c:v>
                </c:pt>
                <c:pt idx="12" formatCode="d\-mmm\-yy">
                  <c:v>42794</c:v>
                </c:pt>
                <c:pt idx="13" formatCode="d\-mmm\-yy">
                  <c:v>42765</c:v>
                </c:pt>
                <c:pt idx="14" formatCode="d\-mmm\-yy">
                  <c:v>42734</c:v>
                </c:pt>
                <c:pt idx="15" formatCode="d\-mmm\-yy">
                  <c:v>42704</c:v>
                </c:pt>
                <c:pt idx="16" formatCode="d\-mmm\-yy">
                  <c:v>42674</c:v>
                </c:pt>
                <c:pt idx="17" formatCode="[$-409]d\-mmm\-yy;@">
                  <c:v>42643</c:v>
                </c:pt>
                <c:pt idx="18" formatCode="[$-14009]d\ mmmm\ yyyy;@">
                  <c:v>42613</c:v>
                </c:pt>
                <c:pt idx="19" formatCode="[$-14009]dd\ mmmm\ yyyy;@">
                  <c:v>42582</c:v>
                </c:pt>
                <c:pt idx="20" formatCode="[$-14009]dd\ mmmm\ yyyy;@">
                  <c:v>42551</c:v>
                </c:pt>
                <c:pt idx="21" formatCode="[$-409]d\-mmm\-yy;@">
                  <c:v>42521</c:v>
                </c:pt>
                <c:pt idx="22" formatCode="[$-409]d\-mmm\-yy;@">
                  <c:v>42490</c:v>
                </c:pt>
                <c:pt idx="23" formatCode="[$-409]d\-mmm\-yy;@">
                  <c:v>42460</c:v>
                </c:pt>
                <c:pt idx="24" formatCode="[$-409]d\-mmm\-yy;@">
                  <c:v>42429</c:v>
                </c:pt>
                <c:pt idx="25" formatCode="[$-409]d\-mmm\-yy;@">
                  <c:v>42400</c:v>
                </c:pt>
                <c:pt idx="26" formatCode="[$-409]d\-mmm\-yy;@">
                  <c:v>42369</c:v>
                </c:pt>
                <c:pt idx="27" formatCode="[$-409]d\-mmm\-yy;@">
                  <c:v>42338</c:v>
                </c:pt>
                <c:pt idx="28" formatCode="[$-409]d\-mmm\-yy;@">
                  <c:v>42308</c:v>
                </c:pt>
                <c:pt idx="29" formatCode="[$-409]d\-mmm\-yy;@">
                  <c:v>42277</c:v>
                </c:pt>
                <c:pt idx="30" formatCode="[$-409]d\-mmm\-yy;@">
                  <c:v>42247</c:v>
                </c:pt>
                <c:pt idx="31" formatCode="[$-409]d\-mmm\-yy;@">
                  <c:v>42216</c:v>
                </c:pt>
              </c:numCache>
            </c:numRef>
          </c:cat>
          <c:val>
            <c:numRef>
              <c:f>'mCAP CHART'!$B$4:$AG$4</c:f>
              <c:numCache>
                <c:formatCode>0</c:formatCode>
                <c:ptCount val="32"/>
                <c:pt idx="0">
                  <c:v>2270797.6773999999</c:v>
                </c:pt>
                <c:pt idx="1">
                  <c:v>2423928.1187</c:v>
                </c:pt>
                <c:pt idx="2">
                  <c:v>2386341.4235999999</c:v>
                </c:pt>
                <c:pt idx="3">
                  <c:v>2284752.0561000002</c:v>
                </c:pt>
                <c:pt idx="4">
                  <c:v>2231749.9202000001</c:v>
                </c:pt>
                <c:pt idx="5">
                  <c:v>2030815.9994000001</c:v>
                </c:pt>
                <c:pt idx="6">
                  <c:v>2073860.0615000001</c:v>
                </c:pt>
                <c:pt idx="7">
                  <c:v>2074591.9723</c:v>
                </c:pt>
                <c:pt idx="8">
                  <c:v>1950997.3566000001</c:v>
                </c:pt>
                <c:pt idx="9">
                  <c:v>1961199.585</c:v>
                </c:pt>
                <c:pt idx="10">
                  <c:v>1961124.7464000001</c:v>
                </c:pt>
                <c:pt idx="11">
                  <c:v>1872766.0597999999</c:v>
                </c:pt>
                <c:pt idx="12">
                  <c:v>1760638.7882000001</c:v>
                </c:pt>
                <c:pt idx="13">
                  <c:v>1686066.0863000001</c:v>
                </c:pt>
                <c:pt idx="14">
                  <c:v>1564173.6895000001</c:v>
                </c:pt>
                <c:pt idx="15">
                  <c:v>1574672.3402</c:v>
                </c:pt>
                <c:pt idx="16">
                  <c:v>1707125.7154000001</c:v>
                </c:pt>
                <c:pt idx="17">
                  <c:v>1664809.5038000001</c:v>
                </c:pt>
                <c:pt idx="18" formatCode="General">
                  <c:v>1660088</c:v>
                </c:pt>
                <c:pt idx="19">
                  <c:v>1628449.9177999999</c:v>
                </c:pt>
                <c:pt idx="20">
                  <c:v>1522987.9542</c:v>
                </c:pt>
                <c:pt idx="21">
                  <c:v>1475311.0649999999</c:v>
                </c:pt>
                <c:pt idx="22">
                  <c:v>1461330.3718000001</c:v>
                </c:pt>
                <c:pt idx="23">
                  <c:v>1431949.4733</c:v>
                </c:pt>
                <c:pt idx="24">
                  <c:v>1259876.6359999999</c:v>
                </c:pt>
                <c:pt idx="25">
                  <c:v>1387174.6973999999</c:v>
                </c:pt>
                <c:pt idx="26">
                  <c:v>1516301.9728999999</c:v>
                </c:pt>
                <c:pt idx="27">
                  <c:v>1490394.7357999999</c:v>
                </c:pt>
                <c:pt idx="28">
                  <c:v>1508519.9054</c:v>
                </c:pt>
                <c:pt idx="29">
                  <c:v>1478198.4855</c:v>
                </c:pt>
                <c:pt idx="30">
                  <c:v>1464711.0330000001</c:v>
                </c:pt>
                <c:pt idx="31">
                  <c:v>1623995.8681000001</c:v>
                </c:pt>
              </c:numCache>
            </c:numRef>
          </c:val>
          <c:smooth val="0"/>
        </c:ser>
        <c:ser>
          <c:idx val="3"/>
          <c:order val="3"/>
          <c:tx>
            <c:strRef>
              <c:f>'mCAP CHART'!$A$5</c:f>
              <c:strCache>
                <c:ptCount val="1"/>
                <c:pt idx="0">
                  <c:v>Brazil (LHS)</c:v>
                </c:pt>
              </c:strCache>
            </c:strRef>
          </c:tx>
          <c:marker>
            <c:symbol val="none"/>
          </c:marker>
          <c:cat>
            <c:numRef>
              <c:f>'mCAP CHART'!$B$1:$AG$1</c:f>
              <c:numCache>
                <c:formatCode>m/d/yyyy</c:formatCode>
                <c:ptCount val="32"/>
                <c:pt idx="0">
                  <c:v>43159</c:v>
                </c:pt>
                <c:pt idx="1">
                  <c:v>43131</c:v>
                </c:pt>
                <c:pt idx="2">
                  <c:v>43099</c:v>
                </c:pt>
                <c:pt idx="3">
                  <c:v>43069</c:v>
                </c:pt>
                <c:pt idx="4">
                  <c:v>43039</c:v>
                </c:pt>
                <c:pt idx="5">
                  <c:v>43008</c:v>
                </c:pt>
                <c:pt idx="6">
                  <c:v>42978</c:v>
                </c:pt>
                <c:pt idx="7">
                  <c:v>42947</c:v>
                </c:pt>
                <c:pt idx="8">
                  <c:v>42916</c:v>
                </c:pt>
                <c:pt idx="9" formatCode="d\-mmm\-yy">
                  <c:v>42885</c:v>
                </c:pt>
                <c:pt idx="10" formatCode="d\-mmm\-yy">
                  <c:v>42855</c:v>
                </c:pt>
                <c:pt idx="11" formatCode="d\-mmm\-yy">
                  <c:v>42825</c:v>
                </c:pt>
                <c:pt idx="12" formatCode="d\-mmm\-yy">
                  <c:v>42794</c:v>
                </c:pt>
                <c:pt idx="13" formatCode="d\-mmm\-yy">
                  <c:v>42765</c:v>
                </c:pt>
                <c:pt idx="14" formatCode="d\-mmm\-yy">
                  <c:v>42734</c:v>
                </c:pt>
                <c:pt idx="15" formatCode="d\-mmm\-yy">
                  <c:v>42704</c:v>
                </c:pt>
                <c:pt idx="16" formatCode="d\-mmm\-yy">
                  <c:v>42674</c:v>
                </c:pt>
                <c:pt idx="17" formatCode="[$-409]d\-mmm\-yy;@">
                  <c:v>42643</c:v>
                </c:pt>
                <c:pt idx="18" formatCode="[$-14009]d\ mmmm\ yyyy;@">
                  <c:v>42613</c:v>
                </c:pt>
                <c:pt idx="19" formatCode="[$-14009]dd\ mmmm\ yyyy;@">
                  <c:v>42582</c:v>
                </c:pt>
                <c:pt idx="20" formatCode="[$-14009]dd\ mmmm\ yyyy;@">
                  <c:v>42551</c:v>
                </c:pt>
                <c:pt idx="21" formatCode="[$-409]d\-mmm\-yy;@">
                  <c:v>42521</c:v>
                </c:pt>
                <c:pt idx="22" formatCode="[$-409]d\-mmm\-yy;@">
                  <c:v>42490</c:v>
                </c:pt>
                <c:pt idx="23" formatCode="[$-409]d\-mmm\-yy;@">
                  <c:v>42460</c:v>
                </c:pt>
                <c:pt idx="24" formatCode="[$-409]d\-mmm\-yy;@">
                  <c:v>42429</c:v>
                </c:pt>
                <c:pt idx="25" formatCode="[$-409]d\-mmm\-yy;@">
                  <c:v>42400</c:v>
                </c:pt>
                <c:pt idx="26" formatCode="[$-409]d\-mmm\-yy;@">
                  <c:v>42369</c:v>
                </c:pt>
                <c:pt idx="27" formatCode="[$-409]d\-mmm\-yy;@">
                  <c:v>42338</c:v>
                </c:pt>
                <c:pt idx="28" formatCode="[$-409]d\-mmm\-yy;@">
                  <c:v>42308</c:v>
                </c:pt>
                <c:pt idx="29" formatCode="[$-409]d\-mmm\-yy;@">
                  <c:v>42277</c:v>
                </c:pt>
                <c:pt idx="30" formatCode="[$-409]d\-mmm\-yy;@">
                  <c:v>42247</c:v>
                </c:pt>
                <c:pt idx="31" formatCode="[$-409]d\-mmm\-yy;@">
                  <c:v>42216</c:v>
                </c:pt>
              </c:numCache>
            </c:numRef>
          </c:cat>
          <c:val>
            <c:numRef>
              <c:f>'mCAP CHART'!$B$5:$AG$5</c:f>
              <c:numCache>
                <c:formatCode>0</c:formatCode>
                <c:ptCount val="32"/>
                <c:pt idx="0">
                  <c:v>1019293.6666</c:v>
                </c:pt>
                <c:pt idx="1">
                  <c:v>1012542.3918</c:v>
                </c:pt>
                <c:pt idx="2">
                  <c:v>891557.82397999999</c:v>
                </c:pt>
                <c:pt idx="3">
                  <c:v>810139.06707999995</c:v>
                </c:pt>
                <c:pt idx="4">
                  <c:v>890369.28640999994</c:v>
                </c:pt>
                <c:pt idx="5">
                  <c:v>917774.64881000004</c:v>
                </c:pt>
                <c:pt idx="6">
                  <c:v>888118.49988000002</c:v>
                </c:pt>
                <c:pt idx="7">
                  <c:v>825849.21556000004</c:v>
                </c:pt>
                <c:pt idx="8">
                  <c:v>735076.20860999997</c:v>
                </c:pt>
                <c:pt idx="9">
                  <c:v>763217.79963000002</c:v>
                </c:pt>
                <c:pt idx="10">
                  <c:v>787362.54815000005</c:v>
                </c:pt>
                <c:pt idx="11">
                  <c:v>800660.92050999997</c:v>
                </c:pt>
                <c:pt idx="12">
                  <c:v>826966.43345999997</c:v>
                </c:pt>
                <c:pt idx="13">
                  <c:v>774509.65572000004</c:v>
                </c:pt>
                <c:pt idx="14">
                  <c:v>710650.33733999997</c:v>
                </c:pt>
                <c:pt idx="15">
                  <c:v>700407.96794999996</c:v>
                </c:pt>
                <c:pt idx="16">
                  <c:v>788725.92279999994</c:v>
                </c:pt>
                <c:pt idx="17">
                  <c:v>714156.28619000001</c:v>
                </c:pt>
                <c:pt idx="18" formatCode="General">
                  <c:v>712407</c:v>
                </c:pt>
                <c:pt idx="19">
                  <c:v>709507.20148000005</c:v>
                </c:pt>
                <c:pt idx="20">
                  <c:v>644825.58773999999</c:v>
                </c:pt>
                <c:pt idx="21">
                  <c:v>545067.53509000002</c:v>
                </c:pt>
                <c:pt idx="22">
                  <c:v>617001.96839000005</c:v>
                </c:pt>
                <c:pt idx="23">
                  <c:v>560020.63252999994</c:v>
                </c:pt>
                <c:pt idx="24">
                  <c:v>441804.092</c:v>
                </c:pt>
                <c:pt idx="25">
                  <c:v>425530.31568</c:v>
                </c:pt>
                <c:pt idx="26">
                  <c:v>454036.2451</c:v>
                </c:pt>
                <c:pt idx="27">
                  <c:v>494382.8296</c:v>
                </c:pt>
                <c:pt idx="28">
                  <c:v>503920.50053000002</c:v>
                </c:pt>
                <c:pt idx="29">
                  <c:v>482054.13805000001</c:v>
                </c:pt>
                <c:pt idx="30">
                  <c:v>548466.69210999995</c:v>
                </c:pt>
                <c:pt idx="31">
                  <c:v>629866.35620000004</c:v>
                </c:pt>
              </c:numCache>
            </c:numRef>
          </c:val>
          <c:smooth val="0"/>
        </c:ser>
        <c:ser>
          <c:idx val="4"/>
          <c:order val="4"/>
          <c:tx>
            <c:strRef>
              <c:f>'mCAP CHART'!$A$6</c:f>
              <c:strCache>
                <c:ptCount val="1"/>
                <c:pt idx="0">
                  <c:v>China (LHS)</c:v>
                </c:pt>
              </c:strCache>
            </c:strRef>
          </c:tx>
          <c:marker>
            <c:symbol val="none"/>
          </c:marker>
          <c:cat>
            <c:numRef>
              <c:f>'mCAP CHART'!$B$1:$AG$1</c:f>
              <c:numCache>
                <c:formatCode>m/d/yyyy</c:formatCode>
                <c:ptCount val="32"/>
                <c:pt idx="0">
                  <c:v>43159</c:v>
                </c:pt>
                <c:pt idx="1">
                  <c:v>43131</c:v>
                </c:pt>
                <c:pt idx="2">
                  <c:v>43099</c:v>
                </c:pt>
                <c:pt idx="3">
                  <c:v>43069</c:v>
                </c:pt>
                <c:pt idx="4">
                  <c:v>43039</c:v>
                </c:pt>
                <c:pt idx="5">
                  <c:v>43008</c:v>
                </c:pt>
                <c:pt idx="6">
                  <c:v>42978</c:v>
                </c:pt>
                <c:pt idx="7">
                  <c:v>42947</c:v>
                </c:pt>
                <c:pt idx="8">
                  <c:v>42916</c:v>
                </c:pt>
                <c:pt idx="9" formatCode="d\-mmm\-yy">
                  <c:v>42885</c:v>
                </c:pt>
                <c:pt idx="10" formatCode="d\-mmm\-yy">
                  <c:v>42855</c:v>
                </c:pt>
                <c:pt idx="11" formatCode="d\-mmm\-yy">
                  <c:v>42825</c:v>
                </c:pt>
                <c:pt idx="12" formatCode="d\-mmm\-yy">
                  <c:v>42794</c:v>
                </c:pt>
                <c:pt idx="13" formatCode="d\-mmm\-yy">
                  <c:v>42765</c:v>
                </c:pt>
                <c:pt idx="14" formatCode="d\-mmm\-yy">
                  <c:v>42734</c:v>
                </c:pt>
                <c:pt idx="15" formatCode="d\-mmm\-yy">
                  <c:v>42704</c:v>
                </c:pt>
                <c:pt idx="16" formatCode="d\-mmm\-yy">
                  <c:v>42674</c:v>
                </c:pt>
                <c:pt idx="17" formatCode="[$-409]d\-mmm\-yy;@">
                  <c:v>42643</c:v>
                </c:pt>
                <c:pt idx="18" formatCode="[$-14009]d\ mmmm\ yyyy;@">
                  <c:v>42613</c:v>
                </c:pt>
                <c:pt idx="19" formatCode="[$-14009]dd\ mmmm\ yyyy;@">
                  <c:v>42582</c:v>
                </c:pt>
                <c:pt idx="20" formatCode="[$-14009]dd\ mmmm\ yyyy;@">
                  <c:v>42551</c:v>
                </c:pt>
                <c:pt idx="21" formatCode="[$-409]d\-mmm\-yy;@">
                  <c:v>42521</c:v>
                </c:pt>
                <c:pt idx="22" formatCode="[$-409]d\-mmm\-yy;@">
                  <c:v>42490</c:v>
                </c:pt>
                <c:pt idx="23" formatCode="[$-409]d\-mmm\-yy;@">
                  <c:v>42460</c:v>
                </c:pt>
                <c:pt idx="24" formatCode="[$-409]d\-mmm\-yy;@">
                  <c:v>42429</c:v>
                </c:pt>
                <c:pt idx="25" formatCode="[$-409]d\-mmm\-yy;@">
                  <c:v>42400</c:v>
                </c:pt>
                <c:pt idx="26" formatCode="[$-409]d\-mmm\-yy;@">
                  <c:v>42369</c:v>
                </c:pt>
                <c:pt idx="27" formatCode="[$-409]d\-mmm\-yy;@">
                  <c:v>42338</c:v>
                </c:pt>
                <c:pt idx="28" formatCode="[$-409]d\-mmm\-yy;@">
                  <c:v>42308</c:v>
                </c:pt>
                <c:pt idx="29" formatCode="[$-409]d\-mmm\-yy;@">
                  <c:v>42277</c:v>
                </c:pt>
                <c:pt idx="30" formatCode="[$-409]d\-mmm\-yy;@">
                  <c:v>42247</c:v>
                </c:pt>
                <c:pt idx="31" formatCode="[$-409]d\-mmm\-yy;@">
                  <c:v>42216</c:v>
                </c:pt>
              </c:numCache>
            </c:numRef>
          </c:cat>
          <c:val>
            <c:numRef>
              <c:f>'mCAP CHART'!$B$6:$AG$6</c:f>
              <c:numCache>
                <c:formatCode>0</c:formatCode>
                <c:ptCount val="32"/>
                <c:pt idx="0">
                  <c:v>7824166.2955999998</c:v>
                </c:pt>
                <c:pt idx="1">
                  <c:v>8252149.6556000002</c:v>
                </c:pt>
                <c:pt idx="2">
                  <c:v>7724009.7696000002</c:v>
                </c:pt>
                <c:pt idx="3">
                  <c:v>7598971.0845999997</c:v>
                </c:pt>
                <c:pt idx="4">
                  <c:v>7760053.5229000002</c:v>
                </c:pt>
                <c:pt idx="5">
                  <c:v>7568912.6213999996</c:v>
                </c:pt>
                <c:pt idx="6">
                  <c:v>7511277.8409000002</c:v>
                </c:pt>
                <c:pt idx="7">
                  <c:v>7099265.6350999996</c:v>
                </c:pt>
                <c:pt idx="8">
                  <c:v>6996992.6404999997</c:v>
                </c:pt>
                <c:pt idx="9">
                  <c:v>6699968.6456000004</c:v>
                </c:pt>
                <c:pt idx="10">
                  <c:v>6808334.7143000001</c:v>
                </c:pt>
                <c:pt idx="11">
                  <c:v>6886227.5146000003</c:v>
                </c:pt>
                <c:pt idx="12">
                  <c:v>6842644.7357999999</c:v>
                </c:pt>
                <c:pt idx="13">
                  <c:v>6609473.6052000001</c:v>
                </c:pt>
                <c:pt idx="14">
                  <c:v>6486902.8217000002</c:v>
                </c:pt>
                <c:pt idx="15">
                  <c:v>6791570.7483999999</c:v>
                </c:pt>
                <c:pt idx="16">
                  <c:v>6576145.1388999997</c:v>
                </c:pt>
                <c:pt idx="17">
                  <c:v>6387253.4775</c:v>
                </c:pt>
                <c:pt idx="18" formatCode="General">
                  <c:v>6415323</c:v>
                </c:pt>
                <c:pt idx="19">
                  <c:v>6143345.9502999997</c:v>
                </c:pt>
                <c:pt idx="20">
                  <c:v>6055251.2588999998</c:v>
                </c:pt>
                <c:pt idx="21">
                  <c:v>5838702.6168999998</c:v>
                </c:pt>
                <c:pt idx="22">
                  <c:v>5898152.3762999997</c:v>
                </c:pt>
                <c:pt idx="23">
                  <c:v>6036828.7953000003</c:v>
                </c:pt>
                <c:pt idx="24">
                  <c:v>5108795.4008999998</c:v>
                </c:pt>
                <c:pt idx="25">
                  <c:v>5208530.4271</c:v>
                </c:pt>
                <c:pt idx="26">
                  <c:v>7091933.7044000002</c:v>
                </c:pt>
                <c:pt idx="27">
                  <c:v>6661877.3640000001</c:v>
                </c:pt>
                <c:pt idx="28">
                  <c:v>6133774.7347999997</c:v>
                </c:pt>
                <c:pt idx="29">
                  <c:v>5180367.0017999997</c:v>
                </c:pt>
                <c:pt idx="30">
                  <c:v>5359644.5591000002</c:v>
                </c:pt>
                <c:pt idx="31">
                  <c:v>6566114.9183</c:v>
                </c:pt>
              </c:numCache>
            </c:numRef>
          </c:val>
          <c:smooth val="0"/>
        </c:ser>
        <c:ser>
          <c:idx val="5"/>
          <c:order val="5"/>
          <c:tx>
            <c:strRef>
              <c:f>'mCAP CHART'!$A$7</c:f>
              <c:strCache>
                <c:ptCount val="1"/>
                <c:pt idx="0">
                  <c:v>Russia (LHS)</c:v>
                </c:pt>
              </c:strCache>
            </c:strRef>
          </c:tx>
          <c:marker>
            <c:symbol val="none"/>
          </c:marker>
          <c:cat>
            <c:numRef>
              <c:f>'mCAP CHART'!$B$1:$AG$1</c:f>
              <c:numCache>
                <c:formatCode>m/d/yyyy</c:formatCode>
                <c:ptCount val="32"/>
                <c:pt idx="0">
                  <c:v>43159</c:v>
                </c:pt>
                <c:pt idx="1">
                  <c:v>43131</c:v>
                </c:pt>
                <c:pt idx="2">
                  <c:v>43099</c:v>
                </c:pt>
                <c:pt idx="3">
                  <c:v>43069</c:v>
                </c:pt>
                <c:pt idx="4">
                  <c:v>43039</c:v>
                </c:pt>
                <c:pt idx="5">
                  <c:v>43008</c:v>
                </c:pt>
                <c:pt idx="6">
                  <c:v>42978</c:v>
                </c:pt>
                <c:pt idx="7">
                  <c:v>42947</c:v>
                </c:pt>
                <c:pt idx="8">
                  <c:v>42916</c:v>
                </c:pt>
                <c:pt idx="9" formatCode="d\-mmm\-yy">
                  <c:v>42885</c:v>
                </c:pt>
                <c:pt idx="10" formatCode="d\-mmm\-yy">
                  <c:v>42855</c:v>
                </c:pt>
                <c:pt idx="11" formatCode="d\-mmm\-yy">
                  <c:v>42825</c:v>
                </c:pt>
                <c:pt idx="12" formatCode="d\-mmm\-yy">
                  <c:v>42794</c:v>
                </c:pt>
                <c:pt idx="13" formatCode="d\-mmm\-yy">
                  <c:v>42765</c:v>
                </c:pt>
                <c:pt idx="14" formatCode="d\-mmm\-yy">
                  <c:v>42734</c:v>
                </c:pt>
                <c:pt idx="15" formatCode="d\-mmm\-yy">
                  <c:v>42704</c:v>
                </c:pt>
                <c:pt idx="16" formatCode="d\-mmm\-yy">
                  <c:v>42674</c:v>
                </c:pt>
                <c:pt idx="17" formatCode="[$-409]d\-mmm\-yy;@">
                  <c:v>42643</c:v>
                </c:pt>
                <c:pt idx="18" formatCode="[$-14009]d\ mmmm\ yyyy;@">
                  <c:v>42613</c:v>
                </c:pt>
                <c:pt idx="19" formatCode="[$-14009]dd\ mmmm\ yyyy;@">
                  <c:v>42582</c:v>
                </c:pt>
                <c:pt idx="20" formatCode="[$-14009]dd\ mmmm\ yyyy;@">
                  <c:v>42551</c:v>
                </c:pt>
                <c:pt idx="21" formatCode="[$-409]d\-mmm\-yy;@">
                  <c:v>42521</c:v>
                </c:pt>
                <c:pt idx="22" formatCode="[$-409]d\-mmm\-yy;@">
                  <c:v>42490</c:v>
                </c:pt>
                <c:pt idx="23" formatCode="[$-409]d\-mmm\-yy;@">
                  <c:v>42460</c:v>
                </c:pt>
                <c:pt idx="24" formatCode="[$-409]d\-mmm\-yy;@">
                  <c:v>42429</c:v>
                </c:pt>
                <c:pt idx="25" formatCode="[$-409]d\-mmm\-yy;@">
                  <c:v>42400</c:v>
                </c:pt>
                <c:pt idx="26" formatCode="[$-409]d\-mmm\-yy;@">
                  <c:v>42369</c:v>
                </c:pt>
                <c:pt idx="27" formatCode="[$-409]d\-mmm\-yy;@">
                  <c:v>42338</c:v>
                </c:pt>
                <c:pt idx="28" formatCode="[$-409]d\-mmm\-yy;@">
                  <c:v>42308</c:v>
                </c:pt>
                <c:pt idx="29" formatCode="[$-409]d\-mmm\-yy;@">
                  <c:v>42277</c:v>
                </c:pt>
                <c:pt idx="30" formatCode="[$-409]d\-mmm\-yy;@">
                  <c:v>42247</c:v>
                </c:pt>
                <c:pt idx="31" formatCode="[$-409]d\-mmm\-yy;@">
                  <c:v>42216</c:v>
                </c:pt>
              </c:numCache>
            </c:numRef>
          </c:cat>
          <c:val>
            <c:numRef>
              <c:f>'mCAP CHART'!$B$7:$AG$7</c:f>
              <c:numCache>
                <c:formatCode>0</c:formatCode>
                <c:ptCount val="32"/>
                <c:pt idx="0">
                  <c:v>667977.26162999996</c:v>
                </c:pt>
                <c:pt idx="1">
                  <c:v>655191.36424000002</c:v>
                </c:pt>
                <c:pt idx="2">
                  <c:v>588404.87834000005</c:v>
                </c:pt>
                <c:pt idx="3">
                  <c:v>587261.03994000005</c:v>
                </c:pt>
                <c:pt idx="4">
                  <c:v>579474.69744999998</c:v>
                </c:pt>
                <c:pt idx="5">
                  <c:v>586065.64330999996</c:v>
                </c:pt>
                <c:pt idx="6">
                  <c:v>560777.81195</c:v>
                </c:pt>
                <c:pt idx="7">
                  <c:v>521878.39224000002</c:v>
                </c:pt>
                <c:pt idx="8">
                  <c:v>522597.10561000003</c:v>
                </c:pt>
                <c:pt idx="9">
                  <c:v>557932.91037000006</c:v>
                </c:pt>
                <c:pt idx="10">
                  <c:v>575203.76156999997</c:v>
                </c:pt>
                <c:pt idx="11">
                  <c:v>593305.89745000005</c:v>
                </c:pt>
                <c:pt idx="12">
                  <c:v>580652.57071</c:v>
                </c:pt>
                <c:pt idx="13">
                  <c:v>609008.30151999998</c:v>
                </c:pt>
                <c:pt idx="14">
                  <c:v>591944.79405000003</c:v>
                </c:pt>
                <c:pt idx="15">
                  <c:v>533320.18672</c:v>
                </c:pt>
                <c:pt idx="16">
                  <c:v>515373.43232000002</c:v>
                </c:pt>
                <c:pt idx="17">
                  <c:v>511723.47051000001</c:v>
                </c:pt>
                <c:pt idx="18" formatCode="General">
                  <c:v>489737</c:v>
                </c:pt>
                <c:pt idx="19">
                  <c:v>472538.79690999998</c:v>
                </c:pt>
                <c:pt idx="20">
                  <c:v>473076.31138000003</c:v>
                </c:pt>
                <c:pt idx="21">
                  <c:v>457027.59522999998</c:v>
                </c:pt>
                <c:pt idx="22">
                  <c:v>486943.65315999999</c:v>
                </c:pt>
                <c:pt idx="23">
                  <c:v>447672.31942999997</c:v>
                </c:pt>
                <c:pt idx="24">
                  <c:v>389622.36079000001</c:v>
                </c:pt>
                <c:pt idx="25">
                  <c:v>367320.74205</c:v>
                </c:pt>
                <c:pt idx="26">
                  <c:v>387889.16118</c:v>
                </c:pt>
                <c:pt idx="27">
                  <c:v>455302.43648999999</c:v>
                </c:pt>
                <c:pt idx="28">
                  <c:v>457669.62939000002</c:v>
                </c:pt>
                <c:pt idx="29">
                  <c:v>404235.81088</c:v>
                </c:pt>
                <c:pt idx="30">
                  <c:v>425593.37693000003</c:v>
                </c:pt>
                <c:pt idx="31">
                  <c:v>428270.86252999998</c:v>
                </c:pt>
              </c:numCache>
            </c:numRef>
          </c:val>
          <c:smooth val="0"/>
        </c:ser>
        <c:dLbls>
          <c:showLegendKey val="0"/>
          <c:showVal val="0"/>
          <c:showCatName val="0"/>
          <c:showSerName val="0"/>
          <c:showPercent val="0"/>
          <c:showBubbleSize val="0"/>
        </c:dLbls>
        <c:marker val="1"/>
        <c:smooth val="0"/>
        <c:axId val="462580288"/>
        <c:axId val="462575192"/>
      </c:lineChart>
      <c:lineChart>
        <c:grouping val="standard"/>
        <c:varyColors val="0"/>
        <c:ser>
          <c:idx val="1"/>
          <c:order val="1"/>
          <c:tx>
            <c:strRef>
              <c:f>'mCAP CHART'!$A$3</c:f>
              <c:strCache>
                <c:ptCount val="1"/>
                <c:pt idx="0">
                  <c:v>USA (RHS)</c:v>
                </c:pt>
              </c:strCache>
            </c:strRef>
          </c:tx>
          <c:marker>
            <c:symbol val="none"/>
          </c:marker>
          <c:cat>
            <c:numRef>
              <c:f>'mCAP CHART'!$B$1:$AG$1</c:f>
              <c:numCache>
                <c:formatCode>m/d/yyyy</c:formatCode>
                <c:ptCount val="32"/>
                <c:pt idx="0">
                  <c:v>43159</c:v>
                </c:pt>
                <c:pt idx="1">
                  <c:v>43131</c:v>
                </c:pt>
                <c:pt idx="2">
                  <c:v>43099</c:v>
                </c:pt>
                <c:pt idx="3">
                  <c:v>43069</c:v>
                </c:pt>
                <c:pt idx="4">
                  <c:v>43039</c:v>
                </c:pt>
                <c:pt idx="5">
                  <c:v>43008</c:v>
                </c:pt>
                <c:pt idx="6">
                  <c:v>42978</c:v>
                </c:pt>
                <c:pt idx="7">
                  <c:v>42947</c:v>
                </c:pt>
                <c:pt idx="8">
                  <c:v>42916</c:v>
                </c:pt>
                <c:pt idx="9" formatCode="d\-mmm\-yy">
                  <c:v>42885</c:v>
                </c:pt>
                <c:pt idx="10" formatCode="d\-mmm\-yy">
                  <c:v>42855</c:v>
                </c:pt>
                <c:pt idx="11" formatCode="d\-mmm\-yy">
                  <c:v>42825</c:v>
                </c:pt>
                <c:pt idx="12" formatCode="d\-mmm\-yy">
                  <c:v>42794</c:v>
                </c:pt>
                <c:pt idx="13" formatCode="d\-mmm\-yy">
                  <c:v>42765</c:v>
                </c:pt>
                <c:pt idx="14" formatCode="d\-mmm\-yy">
                  <c:v>42734</c:v>
                </c:pt>
                <c:pt idx="15" formatCode="d\-mmm\-yy">
                  <c:v>42704</c:v>
                </c:pt>
                <c:pt idx="16" formatCode="d\-mmm\-yy">
                  <c:v>42674</c:v>
                </c:pt>
                <c:pt idx="17" formatCode="[$-409]d\-mmm\-yy;@">
                  <c:v>42643</c:v>
                </c:pt>
                <c:pt idx="18" formatCode="[$-14009]d\ mmmm\ yyyy;@">
                  <c:v>42613</c:v>
                </c:pt>
                <c:pt idx="19" formatCode="[$-14009]dd\ mmmm\ yyyy;@">
                  <c:v>42582</c:v>
                </c:pt>
                <c:pt idx="20" formatCode="[$-14009]dd\ mmmm\ yyyy;@">
                  <c:v>42551</c:v>
                </c:pt>
                <c:pt idx="21" formatCode="[$-409]d\-mmm\-yy;@">
                  <c:v>42521</c:v>
                </c:pt>
                <c:pt idx="22" formatCode="[$-409]d\-mmm\-yy;@">
                  <c:v>42490</c:v>
                </c:pt>
                <c:pt idx="23" formatCode="[$-409]d\-mmm\-yy;@">
                  <c:v>42460</c:v>
                </c:pt>
                <c:pt idx="24" formatCode="[$-409]d\-mmm\-yy;@">
                  <c:v>42429</c:v>
                </c:pt>
                <c:pt idx="25" formatCode="[$-409]d\-mmm\-yy;@">
                  <c:v>42400</c:v>
                </c:pt>
                <c:pt idx="26" formatCode="[$-409]d\-mmm\-yy;@">
                  <c:v>42369</c:v>
                </c:pt>
                <c:pt idx="27" formatCode="[$-409]d\-mmm\-yy;@">
                  <c:v>42338</c:v>
                </c:pt>
                <c:pt idx="28" formatCode="[$-409]d\-mmm\-yy;@">
                  <c:v>42308</c:v>
                </c:pt>
                <c:pt idx="29" formatCode="[$-409]d\-mmm\-yy;@">
                  <c:v>42277</c:v>
                </c:pt>
                <c:pt idx="30" formatCode="[$-409]d\-mmm\-yy;@">
                  <c:v>42247</c:v>
                </c:pt>
                <c:pt idx="31" formatCode="[$-409]d\-mmm\-yy;@">
                  <c:v>42216</c:v>
                </c:pt>
              </c:numCache>
            </c:numRef>
          </c:cat>
          <c:val>
            <c:numRef>
              <c:f>'mCAP CHART'!$B$3:$AG$3</c:f>
              <c:numCache>
                <c:formatCode>0</c:formatCode>
                <c:ptCount val="32"/>
                <c:pt idx="0">
                  <c:v>30413918.077</c:v>
                </c:pt>
                <c:pt idx="1">
                  <c:v>31342088.837000001</c:v>
                </c:pt>
                <c:pt idx="2">
                  <c:v>29644397.316</c:v>
                </c:pt>
                <c:pt idx="3">
                  <c:v>29112868.598999999</c:v>
                </c:pt>
                <c:pt idx="4">
                  <c:v>28560967.842999998</c:v>
                </c:pt>
                <c:pt idx="5">
                  <c:v>28055836.541999999</c:v>
                </c:pt>
                <c:pt idx="6">
                  <c:v>27220398.791999999</c:v>
                </c:pt>
                <c:pt idx="7">
                  <c:v>27454115.789000001</c:v>
                </c:pt>
                <c:pt idx="8">
                  <c:v>26997560.866999999</c:v>
                </c:pt>
                <c:pt idx="9">
                  <c:v>26913466.888</c:v>
                </c:pt>
                <c:pt idx="10">
                  <c:v>26696106.193999998</c:v>
                </c:pt>
                <c:pt idx="11">
                  <c:v>26459998.818999998</c:v>
                </c:pt>
                <c:pt idx="12">
                  <c:v>26535724.960999999</c:v>
                </c:pt>
                <c:pt idx="13">
                  <c:v>25693050.118999999</c:v>
                </c:pt>
                <c:pt idx="14">
                  <c:v>25204455.309</c:v>
                </c:pt>
                <c:pt idx="15">
                  <c:v>24844563.032000002</c:v>
                </c:pt>
                <c:pt idx="16">
                  <c:v>23799592.616999999</c:v>
                </c:pt>
                <c:pt idx="17">
                  <c:v>24340526.645</c:v>
                </c:pt>
                <c:pt idx="18" formatCode="General">
                  <c:v>24398414</c:v>
                </c:pt>
                <c:pt idx="19">
                  <c:v>24341787.238000002</c:v>
                </c:pt>
                <c:pt idx="20">
                  <c:v>23413914.675000001</c:v>
                </c:pt>
                <c:pt idx="21">
                  <c:v>23608638.182</c:v>
                </c:pt>
                <c:pt idx="22">
                  <c:v>23304754.055</c:v>
                </c:pt>
                <c:pt idx="23">
                  <c:v>23172275.324000001</c:v>
                </c:pt>
                <c:pt idx="24">
                  <c:v>21907192.447000001</c:v>
                </c:pt>
                <c:pt idx="25">
                  <c:v>21961913.749000002</c:v>
                </c:pt>
                <c:pt idx="26">
                  <c:v>23544144.916000001</c:v>
                </c:pt>
                <c:pt idx="27">
                  <c:v>24061764.601</c:v>
                </c:pt>
                <c:pt idx="28">
                  <c:v>24027523.712000001</c:v>
                </c:pt>
                <c:pt idx="29">
                  <c:v>22280417.002</c:v>
                </c:pt>
                <c:pt idx="30">
                  <c:v>23149450.77</c:v>
                </c:pt>
                <c:pt idx="31">
                  <c:v>24826119.083000001</c:v>
                </c:pt>
              </c:numCache>
            </c:numRef>
          </c:val>
          <c:smooth val="0"/>
        </c:ser>
        <c:dLbls>
          <c:showLegendKey val="0"/>
          <c:showVal val="0"/>
          <c:showCatName val="0"/>
          <c:showSerName val="0"/>
          <c:showPercent val="0"/>
          <c:showBubbleSize val="0"/>
        </c:dLbls>
        <c:marker val="1"/>
        <c:smooth val="0"/>
        <c:axId val="462577152"/>
        <c:axId val="462575976"/>
      </c:lineChart>
      <c:dateAx>
        <c:axId val="462580288"/>
        <c:scaling>
          <c:orientation val="minMax"/>
          <c:min val="42430"/>
        </c:scaling>
        <c:delete val="0"/>
        <c:axPos val="b"/>
        <c:numFmt formatCode="[$-409]mmm\-yy;@" sourceLinked="0"/>
        <c:majorTickMark val="out"/>
        <c:minorTickMark val="none"/>
        <c:tickLblPos val="nextTo"/>
        <c:txPr>
          <a:bodyPr rot="-5400000" vert="horz"/>
          <a:lstStyle/>
          <a:p>
            <a:pPr>
              <a:defRPr/>
            </a:pPr>
            <a:endParaRPr lang="en-US"/>
          </a:p>
        </c:txPr>
        <c:crossAx val="462575192"/>
        <c:crosses val="autoZero"/>
        <c:auto val="1"/>
        <c:lblOffset val="100"/>
        <c:baseTimeUnit val="months"/>
        <c:majorUnit val="1"/>
        <c:majorTimeUnit val="months"/>
      </c:dateAx>
      <c:valAx>
        <c:axId val="462575192"/>
        <c:scaling>
          <c:orientation val="minMax"/>
        </c:scaling>
        <c:delete val="0"/>
        <c:axPos val="l"/>
        <c:majorGridlines/>
        <c:numFmt formatCode="@" sourceLinked="0"/>
        <c:majorTickMark val="out"/>
        <c:minorTickMark val="none"/>
        <c:tickLblPos val="nextTo"/>
        <c:crossAx val="462580288"/>
        <c:crosses val="autoZero"/>
        <c:crossBetween val="between"/>
        <c:dispUnits>
          <c:builtInUnit val="millions"/>
          <c:dispUnitsLbl>
            <c:tx>
              <c:rich>
                <a:bodyPr/>
                <a:lstStyle/>
                <a:p>
                  <a:pPr>
                    <a:defRPr/>
                  </a:pPr>
                  <a:r>
                    <a:rPr lang="en-US"/>
                    <a:t>Trillions</a:t>
                  </a:r>
                </a:p>
              </c:rich>
            </c:tx>
          </c:dispUnitsLbl>
        </c:dispUnits>
      </c:valAx>
      <c:valAx>
        <c:axId val="462575976"/>
        <c:scaling>
          <c:orientation val="minMax"/>
          <c:min val="10"/>
        </c:scaling>
        <c:delete val="0"/>
        <c:axPos val="r"/>
        <c:numFmt formatCode="0" sourceLinked="1"/>
        <c:majorTickMark val="out"/>
        <c:minorTickMark val="none"/>
        <c:tickLblPos val="nextTo"/>
        <c:crossAx val="462577152"/>
        <c:crosses val="max"/>
        <c:crossBetween val="between"/>
        <c:dispUnits>
          <c:builtInUnit val="millions"/>
          <c:dispUnitsLbl>
            <c:tx>
              <c:rich>
                <a:bodyPr/>
                <a:lstStyle/>
                <a:p>
                  <a:pPr>
                    <a:defRPr/>
                  </a:pPr>
                  <a:r>
                    <a:rPr lang="en-US"/>
                    <a:t>Trillions</a:t>
                  </a:r>
                </a:p>
              </c:rich>
            </c:tx>
          </c:dispUnitsLbl>
        </c:dispUnits>
      </c:valAx>
      <c:dateAx>
        <c:axId val="462577152"/>
        <c:scaling>
          <c:orientation val="minMax"/>
        </c:scaling>
        <c:delete val="1"/>
        <c:axPos val="b"/>
        <c:numFmt formatCode="m/d/yyyy" sourceLinked="1"/>
        <c:majorTickMark val="out"/>
        <c:minorTickMark val="none"/>
        <c:tickLblPos val="nextTo"/>
        <c:crossAx val="462575976"/>
        <c:crosses val="autoZero"/>
        <c:auto val="1"/>
        <c:lblOffset val="100"/>
        <c:baseTimeUnit val="months"/>
      </c:dateAx>
    </c:plotArea>
    <c:legend>
      <c:legendPos val="b"/>
      <c:layout>
        <c:manualLayout>
          <c:xMode val="edge"/>
          <c:yMode val="edge"/>
          <c:x val="1.740838977114003E-2"/>
          <c:y val="0.79559775435208069"/>
          <c:w val="0.96958203550191313"/>
          <c:h val="0.13403280609024149"/>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63989881426628503"/>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'F2&amp;F3'!$A$31:$A$42</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'F2&amp;F3'!$D$31:$D$42</c:f>
              <c:numCache>
                <c:formatCode>#,##0</c:formatCode>
                <c:ptCount val="12"/>
                <c:pt idx="0">
                  <c:v>25283.634812247459</c:v>
                </c:pt>
                <c:pt idx="1">
                  <c:v>26228.344143925562</c:v>
                </c:pt>
                <c:pt idx="2">
                  <c:v>26750.082811158594</c:v>
                </c:pt>
                <c:pt idx="3">
                  <c:v>23157.368473639526</c:v>
                </c:pt>
                <c:pt idx="4">
                  <c:v>25902.117792457713</c:v>
                </c:pt>
                <c:pt idx="5">
                  <c:v>26372.788820023143</c:v>
                </c:pt>
                <c:pt idx="6">
                  <c:v>28575.788099889622</c:v>
                </c:pt>
                <c:pt idx="7">
                  <c:v>30372.596084099096</c:v>
                </c:pt>
                <c:pt idx="8">
                  <c:v>33417.588282207413</c:v>
                </c:pt>
                <c:pt idx="9">
                  <c:v>29901.590310504398</c:v>
                </c:pt>
                <c:pt idx="10">
                  <c:v>37038.157898522266</c:v>
                </c:pt>
                <c:pt idx="11">
                  <c:v>33667.502947402005</c:v>
                </c:pt>
              </c:numCache>
            </c:numRef>
          </c:val>
        </c:ser>
        <c:dLbls>
          <c:showLegendKey val="0"/>
          <c:showVal val="0"/>
          <c:showCatName val="0"/>
          <c:showSerName val="0"/>
          <c:showPercent val="0"/>
          <c:showBubbleSize val="0"/>
        </c:dLbls>
        <c:gapWidth val="200"/>
        <c:overlap val="-100"/>
        <c:axId val="431884296"/>
        <c:axId val="431880376"/>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'F2&amp;F3'!$A$31:$A$42</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'F2&amp;F3'!$E$31:$E$42</c:f>
              <c:numCache>
                <c:formatCode>#,##0</c:formatCode>
                <c:ptCount val="12"/>
                <c:pt idx="0">
                  <c:v>8630.613636363636</c:v>
                </c:pt>
                <c:pt idx="1">
                  <c:v>9214.5722222222194</c:v>
                </c:pt>
                <c:pt idx="2">
                  <c:v>9436.9863636363607</c:v>
                </c:pt>
                <c:pt idx="3">
                  <c:v>9606.9547619047607</c:v>
                </c:pt>
                <c:pt idx="4">
                  <c:v>9850.1190476190459</c:v>
                </c:pt>
                <c:pt idx="5">
                  <c:v>9901.1833333333307</c:v>
                </c:pt>
                <c:pt idx="6">
                  <c:v>9977.9166666666679</c:v>
                </c:pt>
                <c:pt idx="7">
                  <c:v>10138.6775</c:v>
                </c:pt>
                <c:pt idx="8">
                  <c:v>10324.754545454545</c:v>
                </c:pt>
                <c:pt idx="9">
                  <c:v>10322.262500000001</c:v>
                </c:pt>
                <c:pt idx="10">
                  <c:v>10771.154545454547</c:v>
                </c:pt>
                <c:pt idx="11">
                  <c:v>10533.105263157895</c:v>
                </c:pt>
              </c:numCache>
            </c:numRef>
          </c:val>
          <c:smooth val="0"/>
        </c:ser>
        <c:dLbls>
          <c:showLegendKey val="0"/>
          <c:showVal val="0"/>
          <c:showCatName val="0"/>
          <c:showSerName val="0"/>
          <c:showPercent val="0"/>
          <c:showBubbleSize val="0"/>
        </c:dLbls>
        <c:marker val="1"/>
        <c:smooth val="0"/>
        <c:axId val="431881552"/>
        <c:axId val="431874104"/>
      </c:lineChart>
      <c:dateAx>
        <c:axId val="431884296"/>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431880376"/>
        <c:crosses val="autoZero"/>
        <c:auto val="1"/>
        <c:lblOffset val="100"/>
        <c:baseTimeUnit val="months"/>
      </c:dateAx>
      <c:valAx>
        <c:axId val="431880376"/>
        <c:scaling>
          <c:orientation val="minMax"/>
          <c:min val="10000"/>
        </c:scaling>
        <c:delete val="0"/>
        <c:axPos val="l"/>
        <c:numFmt formatCode="#,##0" sourceLinked="1"/>
        <c:majorTickMark val="none"/>
        <c:minorTickMark val="none"/>
        <c:tickLblPos val="nextTo"/>
        <c:txPr>
          <a:bodyPr/>
          <a:lstStyle/>
          <a:p>
            <a:pPr>
              <a:defRPr lang="en-IN"/>
            </a:pPr>
            <a:endParaRPr lang="en-US"/>
          </a:p>
        </c:txPr>
        <c:crossAx val="431884296"/>
        <c:crosses val="autoZero"/>
        <c:crossBetween val="between"/>
        <c:majorUnit val="3000"/>
      </c:valAx>
      <c:valAx>
        <c:axId val="431874104"/>
        <c:scaling>
          <c:orientation val="minMax"/>
          <c:min val="6000"/>
        </c:scaling>
        <c:delete val="0"/>
        <c:axPos val="r"/>
        <c:numFmt formatCode="#,##0" sourceLinked="1"/>
        <c:majorTickMark val="none"/>
        <c:minorTickMark val="none"/>
        <c:tickLblPos val="nextTo"/>
        <c:txPr>
          <a:bodyPr/>
          <a:lstStyle/>
          <a:p>
            <a:pPr>
              <a:defRPr lang="en-IN"/>
            </a:pPr>
            <a:endParaRPr lang="en-US"/>
          </a:p>
        </c:txPr>
        <c:crossAx val="431881552"/>
        <c:crosses val="max"/>
        <c:crossBetween val="between"/>
      </c:valAx>
      <c:dateAx>
        <c:axId val="431881552"/>
        <c:scaling>
          <c:orientation val="minMax"/>
        </c:scaling>
        <c:delete val="1"/>
        <c:axPos val="b"/>
        <c:numFmt formatCode="[$-409]mmm\-yy;@" sourceLinked="1"/>
        <c:majorTickMark val="out"/>
        <c:minorTickMark val="none"/>
        <c:tickLblPos val="none"/>
        <c:crossAx val="431874104"/>
        <c:crosses val="autoZero"/>
        <c:auto val="1"/>
        <c:lblOffset val="100"/>
        <c:baseTimeUnit val="days"/>
      </c:dateAx>
      <c:spPr>
        <a:ln>
          <a:solidFill>
            <a:schemeClr val="accent2">
              <a:lumMod val="75000"/>
            </a:schemeClr>
          </a:solidFill>
        </a:ln>
      </c:spPr>
    </c:plotArea>
    <c:legend>
      <c:legendPos val="b"/>
      <c:layout>
        <c:manualLayout>
          <c:xMode val="edge"/>
          <c:yMode val="edge"/>
          <c:x val="1.2881945595488798E-2"/>
          <c:y val="0.89301346029051154"/>
          <c:w val="0.97691568190581535"/>
          <c:h val="7.264079215554690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56507313518581E-2"/>
          <c:y val="5.5217945536177607E-2"/>
          <c:w val="0.7764457715606532"/>
          <c:h val="0.74168631410328723"/>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'F4'!$A$29:$A$40</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'F4'!$B$29:$B$40</c:f>
              <c:numCache>
                <c:formatCode>[&gt;=10000000]#\,##\,##\,##0;[&gt;=100000]#\,##\,##0;##,##0</c:formatCode>
                <c:ptCount val="12"/>
                <c:pt idx="0">
                  <c:v>453234.22272257454</c:v>
                </c:pt>
                <c:pt idx="1">
                  <c:v>525537.86411272385</c:v>
                </c:pt>
                <c:pt idx="2">
                  <c:v>540063.74466298777</c:v>
                </c:pt>
                <c:pt idx="3">
                  <c:v>544393.68076666666</c:v>
                </c:pt>
                <c:pt idx="4">
                  <c:v>580592.42851143167</c:v>
                </c:pt>
                <c:pt idx="5">
                  <c:v>701673.82645054266</c:v>
                </c:pt>
                <c:pt idx="6">
                  <c:v>645255.2709571427</c:v>
                </c:pt>
                <c:pt idx="7">
                  <c:v>654085.72656231583</c:v>
                </c:pt>
                <c:pt idx="8">
                  <c:v>702339.48444202775</c:v>
                </c:pt>
                <c:pt idx="9">
                  <c:v>685357.51637661213</c:v>
                </c:pt>
                <c:pt idx="10">
                  <c:v>727717.22666809405</c:v>
                </c:pt>
                <c:pt idx="11">
                  <c:v>843506.18635275459</c:v>
                </c:pt>
              </c:numCache>
            </c:numRef>
          </c:val>
        </c:ser>
        <c:dLbls>
          <c:showLegendKey val="0"/>
          <c:showVal val="0"/>
          <c:showCatName val="0"/>
          <c:showSerName val="0"/>
          <c:showPercent val="0"/>
          <c:showBubbleSize val="0"/>
        </c:dLbls>
        <c:gapWidth val="351"/>
        <c:overlap val="78"/>
        <c:axId val="431881160"/>
        <c:axId val="431883512"/>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'F4'!$A$29:$A$40</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'F4'!$C$29:$C$40</c:f>
              <c:numCache>
                <c:formatCode>[&gt;=10000000]#\,##\,##\,##0;[&gt;=100000]#\,##\,##0;##,##0</c:formatCode>
                <c:ptCount val="12"/>
                <c:pt idx="0">
                  <c:v>9971152.8998966403</c:v>
                </c:pt>
                <c:pt idx="1">
                  <c:v>9459681.5540290289</c:v>
                </c:pt>
                <c:pt idx="2">
                  <c:v>11881402.38258573</c:v>
                </c:pt>
                <c:pt idx="3">
                  <c:v>11432267.2961</c:v>
                </c:pt>
                <c:pt idx="4">
                  <c:v>12192440.998740064</c:v>
                </c:pt>
                <c:pt idx="5">
                  <c:v>14735150.355461396</c:v>
                </c:pt>
                <c:pt idx="6">
                  <c:v>13550360.690099997</c:v>
                </c:pt>
                <c:pt idx="7">
                  <c:v>13081714.531246318</c:v>
                </c:pt>
                <c:pt idx="8">
                  <c:v>15451468.657724611</c:v>
                </c:pt>
                <c:pt idx="9">
                  <c:v>13707150.327532243</c:v>
                </c:pt>
                <c:pt idx="10">
                  <c:v>16009778.986698069</c:v>
                </c:pt>
                <c:pt idx="11">
                  <c:v>16026617.540702337</c:v>
                </c:pt>
              </c:numCache>
            </c:numRef>
          </c:val>
          <c:smooth val="0"/>
        </c:ser>
        <c:dLbls>
          <c:showLegendKey val="0"/>
          <c:showVal val="0"/>
          <c:showCatName val="0"/>
          <c:showSerName val="0"/>
          <c:showPercent val="0"/>
          <c:showBubbleSize val="0"/>
        </c:dLbls>
        <c:marker val="1"/>
        <c:smooth val="0"/>
        <c:axId val="431876064"/>
        <c:axId val="431881944"/>
      </c:lineChart>
      <c:dateAx>
        <c:axId val="4318811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31883512"/>
        <c:crosses val="autoZero"/>
        <c:auto val="1"/>
        <c:lblOffset val="100"/>
        <c:baseTimeUnit val="months"/>
      </c:dateAx>
      <c:valAx>
        <c:axId val="431883512"/>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431881160"/>
        <c:crosses val="autoZero"/>
        <c:crossBetween val="between"/>
      </c:valAx>
      <c:valAx>
        <c:axId val="431881944"/>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31876064"/>
        <c:crosses val="max"/>
        <c:crossBetween val="between"/>
      </c:valAx>
      <c:dateAx>
        <c:axId val="431876064"/>
        <c:scaling>
          <c:orientation val="minMax"/>
        </c:scaling>
        <c:delete val="1"/>
        <c:axPos val="b"/>
        <c:numFmt formatCode="[$-409]mmm\-yy;@" sourceLinked="1"/>
        <c:majorTickMark val="out"/>
        <c:minorTickMark val="none"/>
        <c:tickLblPos val="none"/>
        <c:crossAx val="431881944"/>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42508039737351"/>
          <c:y val="0.12236516011906018"/>
          <c:w val="0.83528401100033145"/>
          <c:h val="0.69497209282645245"/>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'F5'!$C$31:$C$42</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43101</c:v>
                </c:pt>
                <c:pt idx="11">
                  <c:v>43135</c:v>
                </c:pt>
              </c:numCache>
            </c:numRef>
          </c:cat>
          <c:val>
            <c:numRef>
              <c:f>'F5'!$D$31:$D$42</c:f>
              <c:numCache>
                <c:formatCode>[&gt;=10000000]#.000\,##\,##\,##0;[&gt;=100000]#.000\,##\,##0;##,##0.000</c:formatCode>
                <c:ptCount val="12"/>
                <c:pt idx="0">
                  <c:v>12.42</c:v>
                </c:pt>
                <c:pt idx="1">
                  <c:v>10.86</c:v>
                </c:pt>
                <c:pt idx="2">
                  <c:v>11.762499999999999</c:v>
                </c:pt>
                <c:pt idx="3">
                  <c:v>11.7325</c:v>
                </c:pt>
                <c:pt idx="4">
                  <c:v>11.9</c:v>
                </c:pt>
                <c:pt idx="5">
                  <c:v>11.952500000000001</c:v>
                </c:pt>
                <c:pt idx="6">
                  <c:v>12.484999999999999</c:v>
                </c:pt>
                <c:pt idx="7">
                  <c:v>12.112500000000001</c:v>
                </c:pt>
                <c:pt idx="8">
                  <c:v>13.55</c:v>
                </c:pt>
                <c:pt idx="9">
                  <c:v>12.67</c:v>
                </c:pt>
                <c:pt idx="10">
                  <c:v>15.93</c:v>
                </c:pt>
                <c:pt idx="11">
                  <c:v>13.805</c:v>
                </c:pt>
              </c:numCache>
            </c:numRef>
          </c:val>
          <c:smooth val="0"/>
        </c:ser>
        <c:dLbls>
          <c:showLegendKey val="0"/>
          <c:showVal val="0"/>
          <c:showCatName val="0"/>
          <c:showSerName val="0"/>
          <c:showPercent val="0"/>
          <c:showBubbleSize val="0"/>
        </c:dLbls>
        <c:smooth val="0"/>
        <c:axId val="431882336"/>
        <c:axId val="431883904"/>
      </c:lineChart>
      <c:dateAx>
        <c:axId val="431882336"/>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431883904"/>
        <c:crosses val="autoZero"/>
        <c:auto val="1"/>
        <c:lblOffset val="100"/>
        <c:baseTimeUnit val="months"/>
      </c:dateAx>
      <c:valAx>
        <c:axId val="431883904"/>
        <c:scaling>
          <c:orientation val="minMax"/>
          <c:min val="5"/>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431882336"/>
        <c:crosses val="autoZero"/>
        <c:crossBetween val="midCat"/>
      </c:valAx>
    </c:plotArea>
    <c:legend>
      <c:legendPos val="b"/>
      <c:layout>
        <c:manualLayout>
          <c:xMode val="edge"/>
          <c:yMode val="edge"/>
          <c:x val="0.4060061093045963"/>
          <c:y val="7.6039771168014192E-2"/>
          <c:w val="0.21795211397470257"/>
          <c:h val="8.2457425379967045E-2"/>
        </c:manualLayout>
      </c:layout>
      <c:overlay val="0"/>
      <c:spPr>
        <a:ln>
          <a:solidFill>
            <a:srgbClr val="4F81BD"/>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73720552728461775"/>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'F6'!$A$30:$A$41</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'F6'!$B$30:$B$41</c:f>
              <c:numCache>
                <c:formatCode>[&gt;=10000000]#\,##\,##\,##0;[&gt;=100000]#\,##\,##0;##,##0</c:formatCode>
                <c:ptCount val="12"/>
                <c:pt idx="0">
                  <c:v>418536.8850675</c:v>
                </c:pt>
                <c:pt idx="1">
                  <c:v>398004.32778175006</c:v>
                </c:pt>
                <c:pt idx="2">
                  <c:v>393122.51131224993</c:v>
                </c:pt>
                <c:pt idx="3">
                  <c:v>324731.53253324999</c:v>
                </c:pt>
                <c:pt idx="4">
                  <c:v>322478.25984624994</c:v>
                </c:pt>
                <c:pt idx="5">
                  <c:v>372651.97143199993</c:v>
                </c:pt>
                <c:pt idx="6">
                  <c:v>557624.21825174999</c:v>
                </c:pt>
                <c:pt idx="7">
                  <c:v>405188.43233624997</c:v>
                </c:pt>
                <c:pt idx="8">
                  <c:v>496177.15048274997</c:v>
                </c:pt>
                <c:pt idx="9">
                  <c:v>394077.0650225</c:v>
                </c:pt>
                <c:pt idx="10">
                  <c:v>481163.01254524995</c:v>
                </c:pt>
                <c:pt idx="11">
                  <c:v>506671.42103376833</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'F6'!$A$30:$A$41</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'F6'!$D$30:$D$41</c:f>
              <c:numCache>
                <c:formatCode>[&gt;=10000000]#\,##\,##\,##0;[&gt;=100000]#\,##\,##0;##,##0</c:formatCode>
                <c:ptCount val="12"/>
                <c:pt idx="0">
                  <c:v>277956.75809999998</c:v>
                </c:pt>
                <c:pt idx="1">
                  <c:v>338721.10500000004</c:v>
                </c:pt>
                <c:pt idx="2">
                  <c:v>386287.93370000005</c:v>
                </c:pt>
                <c:pt idx="3">
                  <c:v>363858.19699999999</c:v>
                </c:pt>
                <c:pt idx="4">
                  <c:v>354302.73540000001</c:v>
                </c:pt>
                <c:pt idx="5">
                  <c:v>298051.13860000001</c:v>
                </c:pt>
                <c:pt idx="6">
                  <c:v>357993.89760000003</c:v>
                </c:pt>
                <c:pt idx="7">
                  <c:v>340848.18759999989</c:v>
                </c:pt>
                <c:pt idx="8">
                  <c:v>401253.10490000021</c:v>
                </c:pt>
                <c:pt idx="9">
                  <c:v>319218.96279999975</c:v>
                </c:pt>
                <c:pt idx="10">
                  <c:v>540691.17720000038</c:v>
                </c:pt>
                <c:pt idx="11">
                  <c:v>421033.50580000004</c:v>
                </c:pt>
              </c:numCache>
            </c:numRef>
          </c:val>
          <c:smooth val="0"/>
        </c:ser>
        <c:dLbls>
          <c:showLegendKey val="0"/>
          <c:showVal val="0"/>
          <c:showCatName val="0"/>
          <c:showSerName val="0"/>
          <c:showPercent val="0"/>
          <c:showBubbleSize val="0"/>
        </c:dLbls>
        <c:marker val="1"/>
        <c:smooth val="0"/>
        <c:axId val="431885080"/>
        <c:axId val="431875280"/>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'F6'!$A$30:$A$41</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'F6'!$C$30:$C$41</c:f>
              <c:numCache>
                <c:formatCode>[&gt;=10000000]#\,##\,##\,##0;[&gt;=100000]#\,##\,##0;##,##0</c:formatCode>
                <c:ptCount val="12"/>
                <c:pt idx="0">
                  <c:v>13922.045795999999</c:v>
                </c:pt>
                <c:pt idx="1">
                  <c:v>10169.798433749998</c:v>
                </c:pt>
                <c:pt idx="2">
                  <c:v>13582.348675749998</c:v>
                </c:pt>
                <c:pt idx="3">
                  <c:v>14202.542310999999</c:v>
                </c:pt>
                <c:pt idx="4">
                  <c:v>12656.520592750003</c:v>
                </c:pt>
                <c:pt idx="5">
                  <c:v>8721.8580965000001</c:v>
                </c:pt>
                <c:pt idx="6">
                  <c:v>7895.7243794999995</c:v>
                </c:pt>
                <c:pt idx="7">
                  <c:v>5742.0071627500001</c:v>
                </c:pt>
                <c:pt idx="8">
                  <c:v>5564.7936149999996</c:v>
                </c:pt>
                <c:pt idx="9">
                  <c:v>9214.5582809999996</c:v>
                </c:pt>
                <c:pt idx="10">
                  <c:v>10573.5139745</c:v>
                </c:pt>
                <c:pt idx="11">
                  <c:v>9928.3736077499998</c:v>
                </c:pt>
              </c:numCache>
            </c:numRef>
          </c:val>
          <c:smooth val="0"/>
        </c:ser>
        <c:dLbls>
          <c:showLegendKey val="0"/>
          <c:showVal val="0"/>
          <c:showCatName val="0"/>
          <c:showSerName val="0"/>
          <c:showPercent val="0"/>
          <c:showBubbleSize val="0"/>
        </c:dLbls>
        <c:marker val="1"/>
        <c:smooth val="0"/>
        <c:axId val="431885864"/>
        <c:axId val="431885472"/>
      </c:lineChart>
      <c:dateAx>
        <c:axId val="43188508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31875280"/>
        <c:crosses val="autoZero"/>
        <c:auto val="1"/>
        <c:lblOffset val="100"/>
        <c:baseTimeUnit val="months"/>
      </c:dateAx>
      <c:valAx>
        <c:axId val="431875280"/>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431885080"/>
        <c:crosses val="autoZero"/>
        <c:crossBetween val="between"/>
        <c:majorUnit val="50000"/>
        <c:minorUnit val="20000"/>
      </c:valAx>
      <c:valAx>
        <c:axId val="431885472"/>
        <c:scaling>
          <c:orientation val="minMax"/>
          <c:max val="25000"/>
        </c:scaling>
        <c:delete val="0"/>
        <c:axPos val="r"/>
        <c:numFmt formatCode="[&gt;=10000000]#\,##\,##\,##0;[&gt;=100000]#\,##\,##0;##,##0" sourceLinked="1"/>
        <c:majorTickMark val="out"/>
        <c:minorTickMark val="none"/>
        <c:tickLblPos val="nextTo"/>
        <c:crossAx val="431885864"/>
        <c:crosses val="max"/>
        <c:crossBetween val="between"/>
      </c:valAx>
      <c:dateAx>
        <c:axId val="431885864"/>
        <c:scaling>
          <c:orientation val="minMax"/>
        </c:scaling>
        <c:delete val="1"/>
        <c:axPos val="b"/>
        <c:numFmt formatCode="[$-409]mmm\-yy;@" sourceLinked="1"/>
        <c:majorTickMark val="out"/>
        <c:minorTickMark val="none"/>
        <c:tickLblPos val="nextTo"/>
        <c:crossAx val="431885472"/>
        <c:crosses val="autoZero"/>
        <c:auto val="1"/>
        <c:lblOffset val="100"/>
        <c:baseTimeUnit val="days"/>
      </c:dateAx>
    </c:plotArea>
    <c:legend>
      <c:legendPos val="b"/>
      <c:layout>
        <c:manualLayout>
          <c:xMode val="edge"/>
          <c:yMode val="edge"/>
          <c:x val="0.11113231940622977"/>
          <c:y val="0.92366722924637279"/>
          <c:w val="0.77539479125047328"/>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5705142580163"/>
          <c:y val="5.6243945116616505E-2"/>
          <c:w val="0.84704265200680762"/>
          <c:h val="0.71078454235002775"/>
        </c:manualLayout>
      </c:layout>
      <c:lineChart>
        <c:grouping val="standard"/>
        <c:varyColors val="0"/>
        <c:ser>
          <c:idx val="0"/>
          <c:order val="0"/>
          <c:spPr>
            <a:ln w="22225">
              <a:solidFill>
                <a:srgbClr val="FF0000"/>
              </a:solidFill>
            </a:ln>
          </c:spPr>
          <c:marker>
            <c:symbol val="none"/>
          </c:marker>
          <c:cat>
            <c:numRef>
              <c:f>'F7'!$A$30:$A$41</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'F7'!$B$30:$B$41</c:f>
              <c:numCache>
                <c:formatCode>[&gt;9999999]##\,##\,##\,##0;[&gt;99999]##\,##\,##0;##,##0</c:formatCode>
                <c:ptCount val="12"/>
                <c:pt idx="0">
                  <c:v>19504.446200000002</c:v>
                </c:pt>
                <c:pt idx="1">
                  <c:v>11046.7248</c:v>
                </c:pt>
                <c:pt idx="2">
                  <c:v>12230.2824</c:v>
                </c:pt>
                <c:pt idx="3">
                  <c:v>18656.991600000001</c:v>
                </c:pt>
                <c:pt idx="4">
                  <c:v>21989.516100000004</c:v>
                </c:pt>
                <c:pt idx="5">
                  <c:v>17102.266099999997</c:v>
                </c:pt>
                <c:pt idx="6">
                  <c:v>11354.9076</c:v>
                </c:pt>
                <c:pt idx="7">
                  <c:v>18967.921000000002</c:v>
                </c:pt>
                <c:pt idx="8">
                  <c:v>26430.3043</c:v>
                </c:pt>
                <c:pt idx="9">
                  <c:v>17274.077100000002</c:v>
                </c:pt>
                <c:pt idx="10">
                  <c:v>16607.981399999997</c:v>
                </c:pt>
                <c:pt idx="11">
                  <c:v>23671.246299999999</c:v>
                </c:pt>
              </c:numCache>
            </c:numRef>
          </c:val>
          <c:smooth val="0"/>
        </c:ser>
        <c:ser>
          <c:idx val="1"/>
          <c:order val="1"/>
          <c:spPr>
            <a:ln w="22225">
              <a:solidFill>
                <a:srgbClr val="0070C0"/>
              </a:solidFill>
            </a:ln>
          </c:spPr>
          <c:marker>
            <c:symbol val="none"/>
          </c:marker>
          <c:cat>
            <c:numRef>
              <c:f>'F7'!$A$30:$A$41</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'F7'!$C$30:$C$41</c:f>
              <c:numCache>
                <c:formatCode>[&gt;9999999]##\,##\,##\,##0;[&gt;99999]##\,##\,##0;##,##0</c:formatCode>
                <c:ptCount val="12"/>
                <c:pt idx="0">
                  <c:v>38527.6105905</c:v>
                </c:pt>
                <c:pt idx="1">
                  <c:v>32824.362904999994</c:v>
                </c:pt>
                <c:pt idx="2">
                  <c:v>22208.391542499998</c:v>
                </c:pt>
                <c:pt idx="3">
                  <c:v>26851.832140500006</c:v>
                </c:pt>
                <c:pt idx="4">
                  <c:v>22437.4836435</c:v>
                </c:pt>
                <c:pt idx="5">
                  <c:v>21572.845845</c:v>
                </c:pt>
                <c:pt idx="6">
                  <c:v>24201.007205999998</c:v>
                </c:pt>
                <c:pt idx="7">
                  <c:v>25041.386688999999</c:v>
                </c:pt>
                <c:pt idx="8">
                  <c:v>36432.648518000002</c:v>
                </c:pt>
                <c:pt idx="9">
                  <c:v>30861.924450999995</c:v>
                </c:pt>
                <c:pt idx="10">
                  <c:v>32065.420130999999</c:v>
                </c:pt>
                <c:pt idx="11">
                  <c:v>23710.728652499998</c:v>
                </c:pt>
              </c:numCache>
            </c:numRef>
          </c:val>
          <c:smooth val="0"/>
        </c:ser>
        <c:dLbls>
          <c:showLegendKey val="0"/>
          <c:showVal val="0"/>
          <c:showCatName val="0"/>
          <c:showSerName val="0"/>
          <c:showPercent val="0"/>
          <c:showBubbleSize val="0"/>
        </c:dLbls>
        <c:marker val="1"/>
        <c:smooth val="0"/>
        <c:axId val="396901048"/>
        <c:axId val="344314296"/>
      </c:lineChart>
      <c:lineChart>
        <c:grouping val="standard"/>
        <c:varyColors val="0"/>
        <c:ser>
          <c:idx val="2"/>
          <c:order val="2"/>
          <c:spPr>
            <a:ln>
              <a:solidFill>
                <a:srgbClr val="FFC000"/>
              </a:solidFill>
            </a:ln>
          </c:spPr>
          <c:marker>
            <c:symbol val="none"/>
          </c:marker>
          <c:cat>
            <c:numRef>
              <c:f>'F7'!$A$30:$A$41</c:f>
              <c:numCache>
                <c:formatCode>[$-409]mmm\-yy;@</c:formatCode>
                <c:ptCount val="12"/>
                <c:pt idx="0">
                  <c:v>42810</c:v>
                </c:pt>
                <c:pt idx="1">
                  <c:v>42842</c:v>
                </c:pt>
                <c:pt idx="2">
                  <c:v>42874</c:v>
                </c:pt>
                <c:pt idx="3">
                  <c:v>42906</c:v>
                </c:pt>
                <c:pt idx="4">
                  <c:v>42938</c:v>
                </c:pt>
                <c:pt idx="5">
                  <c:v>42970</c:v>
                </c:pt>
                <c:pt idx="6">
                  <c:v>43002</c:v>
                </c:pt>
                <c:pt idx="7">
                  <c:v>43034</c:v>
                </c:pt>
                <c:pt idx="8">
                  <c:v>43066</c:v>
                </c:pt>
                <c:pt idx="9">
                  <c:v>43098</c:v>
                </c:pt>
                <c:pt idx="10">
                  <c:v>43130</c:v>
                </c:pt>
                <c:pt idx="11">
                  <c:v>43134</c:v>
                </c:pt>
              </c:numCache>
            </c:numRef>
          </c:cat>
          <c:val>
            <c:numRef>
              <c:f>'F7'!$D$30:$D$41</c:f>
              <c:numCache>
                <c:formatCode>0.00</c:formatCode>
                <c:ptCount val="12"/>
                <c:pt idx="0">
                  <c:v>0.49952949999999996</c:v>
                </c:pt>
                <c:pt idx="1">
                  <c:v>0</c:v>
                </c:pt>
                <c:pt idx="2">
                  <c:v>0</c:v>
                </c:pt>
                <c:pt idx="3">
                  <c:v>0</c:v>
                </c:pt>
                <c:pt idx="4" formatCode="[&gt;=10000000]#.##\,##\,##0;[&gt;=100000]#.##\,##0;##,##0">
                  <c:v>213.19508099999996</c:v>
                </c:pt>
                <c:pt idx="5" formatCode="[&gt;=10000000]#.##\,##\,##0;[&gt;=100000]#.##\,##0;##,##0">
                  <c:v>0.24635199999999999</c:v>
                </c:pt>
                <c:pt idx="6" formatCode="[&gt;=10000000]#.##\,##\,##0;[&gt;=100000]#.##\,##0;##,##0">
                  <c:v>0</c:v>
                </c:pt>
                <c:pt idx="7" formatCode="[&gt;=10000000]#.##\,##\,##0;[&gt;=100000]#.##\,##0;##,##0">
                  <c:v>0</c:v>
                </c:pt>
                <c:pt idx="8" formatCode="[&gt;=10000000]#.##\,##\,##0;[&gt;=100000]#.##\,##0;##,##0">
                  <c:v>5.1067</c:v>
                </c:pt>
                <c:pt idx="9" formatCode="[&gt;=10000000]#.##\,##\,##0;[&gt;=100000]#.##\,##0;##,##0">
                  <c:v>0</c:v>
                </c:pt>
                <c:pt idx="10" formatCode="[&gt;=10000000]#.##\,##\,##0;[&gt;=100000]#.##\,##0;##,##0">
                  <c:v>0</c:v>
                </c:pt>
                <c:pt idx="11" formatCode="[&gt;=10000000]#.##\,##\,##0;[&gt;=100000]#.##\,##0;##,##0">
                  <c:v>0</c:v>
                </c:pt>
              </c:numCache>
            </c:numRef>
          </c:val>
          <c:smooth val="0"/>
        </c:ser>
        <c:dLbls>
          <c:showLegendKey val="0"/>
          <c:showVal val="0"/>
          <c:showCatName val="0"/>
          <c:showSerName val="0"/>
          <c:showPercent val="0"/>
          <c:showBubbleSize val="0"/>
        </c:dLbls>
        <c:marker val="1"/>
        <c:smooth val="0"/>
        <c:axId val="462590480"/>
        <c:axId val="462598320"/>
      </c:lineChart>
      <c:dateAx>
        <c:axId val="396901048"/>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44314296"/>
        <c:crosses val="autoZero"/>
        <c:auto val="1"/>
        <c:lblOffset val="100"/>
        <c:baseTimeUnit val="months"/>
        <c:majorUnit val="1"/>
        <c:majorTimeUnit val="months"/>
        <c:minorUnit val="1"/>
        <c:minorTimeUnit val="months"/>
      </c:dateAx>
      <c:valAx>
        <c:axId val="344314296"/>
        <c:scaling>
          <c:orientation val="minMax"/>
          <c:min val="0"/>
        </c:scaling>
        <c:delete val="0"/>
        <c:axPos val="l"/>
        <c:numFmt formatCode="[&gt;9999999]##\,##\,##\,##0;[&gt;99999]##\,##\,##0;##,##0" sourceLinked="1"/>
        <c:majorTickMark val="none"/>
        <c:minorTickMark val="none"/>
        <c:tickLblPos val="nextTo"/>
        <c:txPr>
          <a:bodyPr/>
          <a:lstStyle/>
          <a:p>
            <a:pPr>
              <a:defRPr lang="en-IN"/>
            </a:pPr>
            <a:endParaRPr lang="en-US"/>
          </a:p>
        </c:txPr>
        <c:crossAx val="396901048"/>
        <c:crosses val="autoZero"/>
        <c:crossBetween val="between"/>
      </c:valAx>
      <c:valAx>
        <c:axId val="462598320"/>
        <c:scaling>
          <c:orientation val="minMax"/>
        </c:scaling>
        <c:delete val="0"/>
        <c:axPos val="r"/>
        <c:numFmt formatCode="0.00" sourceLinked="1"/>
        <c:majorTickMark val="out"/>
        <c:minorTickMark val="none"/>
        <c:tickLblPos val="nextTo"/>
        <c:crossAx val="462590480"/>
        <c:crosses val="max"/>
        <c:crossBetween val="between"/>
      </c:valAx>
      <c:dateAx>
        <c:axId val="462590480"/>
        <c:scaling>
          <c:orientation val="minMax"/>
        </c:scaling>
        <c:delete val="1"/>
        <c:axPos val="b"/>
        <c:numFmt formatCode="[$-409]mmm\-yy;@" sourceLinked="1"/>
        <c:majorTickMark val="out"/>
        <c:minorTickMark val="none"/>
        <c:tickLblPos val="nextTo"/>
        <c:crossAx val="462598320"/>
        <c:crosses val="autoZero"/>
        <c:auto val="1"/>
        <c:lblOffset val="100"/>
        <c:baseTimeUnit val="days"/>
      </c:dateAx>
    </c:plotArea>
    <c:legend>
      <c:legendPos val="b"/>
      <c:layout>
        <c:manualLayout>
          <c:xMode val="edge"/>
          <c:yMode val="edge"/>
          <c:x val="0.13450420687463818"/>
          <c:y val="0.90615765598710052"/>
          <c:w val="0.73674155457464641"/>
          <c:h val="7.454747768179463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14471045084717"/>
          <c:y val="2.8205717915261785E-2"/>
          <c:w val="0.88134823940880758"/>
          <c:h val="0.69668329943677787"/>
        </c:manualLayout>
      </c:layout>
      <c:lineChart>
        <c:grouping val="standard"/>
        <c:varyColors val="0"/>
        <c:ser>
          <c:idx val="0"/>
          <c:order val="0"/>
          <c:tx>
            <c:v>MCXCOMDEX</c:v>
          </c:tx>
          <c:spPr>
            <a:ln w="28575" cap="rnd">
              <a:solidFill>
                <a:schemeClr val="accent1"/>
              </a:solidFill>
              <a:round/>
            </a:ln>
            <a:effectLst/>
          </c:spPr>
          <c:marker>
            <c:symbol val="none"/>
          </c:marker>
          <c:dLbls>
            <c:dLbl>
              <c:idx val="492"/>
              <c:layout>
                <c:manualLayout>
                  <c:x val="-1.4209591474245116E-2"/>
                  <c:y val="-7.8392944634982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Comdex_dhanya!$A$387:$A$879</c:f>
              <c:numCache>
                <c:formatCode>d\-mmm\-yy</c:formatCode>
                <c:ptCount val="493"/>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pt idx="408">
                  <c:v>43040</c:v>
                </c:pt>
                <c:pt idx="409">
                  <c:v>43041</c:v>
                </c:pt>
                <c:pt idx="410">
                  <c:v>43042</c:v>
                </c:pt>
                <c:pt idx="411">
                  <c:v>43045</c:v>
                </c:pt>
                <c:pt idx="412">
                  <c:v>43046</c:v>
                </c:pt>
                <c:pt idx="413">
                  <c:v>43047</c:v>
                </c:pt>
                <c:pt idx="414">
                  <c:v>43048</c:v>
                </c:pt>
                <c:pt idx="415">
                  <c:v>43049</c:v>
                </c:pt>
                <c:pt idx="416">
                  <c:v>43052</c:v>
                </c:pt>
                <c:pt idx="417">
                  <c:v>43053</c:v>
                </c:pt>
                <c:pt idx="418">
                  <c:v>43054</c:v>
                </c:pt>
                <c:pt idx="419">
                  <c:v>43055</c:v>
                </c:pt>
                <c:pt idx="420">
                  <c:v>43056</c:v>
                </c:pt>
                <c:pt idx="421">
                  <c:v>43059</c:v>
                </c:pt>
                <c:pt idx="422">
                  <c:v>43060</c:v>
                </c:pt>
                <c:pt idx="423">
                  <c:v>43061</c:v>
                </c:pt>
                <c:pt idx="424">
                  <c:v>43062</c:v>
                </c:pt>
                <c:pt idx="425">
                  <c:v>43063</c:v>
                </c:pt>
                <c:pt idx="426">
                  <c:v>43066</c:v>
                </c:pt>
                <c:pt idx="427">
                  <c:v>43067</c:v>
                </c:pt>
                <c:pt idx="428">
                  <c:v>43068</c:v>
                </c:pt>
                <c:pt idx="429">
                  <c:v>43069</c:v>
                </c:pt>
                <c:pt idx="430">
                  <c:v>43070</c:v>
                </c:pt>
                <c:pt idx="431">
                  <c:v>43073</c:v>
                </c:pt>
                <c:pt idx="432">
                  <c:v>43074</c:v>
                </c:pt>
                <c:pt idx="433">
                  <c:v>43075</c:v>
                </c:pt>
                <c:pt idx="434">
                  <c:v>43076</c:v>
                </c:pt>
                <c:pt idx="435">
                  <c:v>43077</c:v>
                </c:pt>
                <c:pt idx="436">
                  <c:v>43080</c:v>
                </c:pt>
                <c:pt idx="437">
                  <c:v>43081</c:v>
                </c:pt>
                <c:pt idx="438">
                  <c:v>43082</c:v>
                </c:pt>
                <c:pt idx="439">
                  <c:v>43083</c:v>
                </c:pt>
                <c:pt idx="440">
                  <c:v>43084</c:v>
                </c:pt>
                <c:pt idx="441">
                  <c:v>43087</c:v>
                </c:pt>
                <c:pt idx="442">
                  <c:v>43088</c:v>
                </c:pt>
                <c:pt idx="443">
                  <c:v>43089</c:v>
                </c:pt>
                <c:pt idx="444">
                  <c:v>43090</c:v>
                </c:pt>
                <c:pt idx="445">
                  <c:v>43091</c:v>
                </c:pt>
                <c:pt idx="446">
                  <c:v>43095</c:v>
                </c:pt>
                <c:pt idx="447">
                  <c:v>43096</c:v>
                </c:pt>
                <c:pt idx="448">
                  <c:v>43097</c:v>
                </c:pt>
                <c:pt idx="449">
                  <c:v>43098</c:v>
                </c:pt>
                <c:pt idx="450">
                  <c:v>43101</c:v>
                </c:pt>
                <c:pt idx="451">
                  <c:v>43102</c:v>
                </c:pt>
                <c:pt idx="452">
                  <c:v>43103</c:v>
                </c:pt>
                <c:pt idx="453">
                  <c:v>43104</c:v>
                </c:pt>
                <c:pt idx="454">
                  <c:v>43105</c:v>
                </c:pt>
                <c:pt idx="455">
                  <c:v>43108</c:v>
                </c:pt>
                <c:pt idx="456">
                  <c:v>43109</c:v>
                </c:pt>
                <c:pt idx="457">
                  <c:v>43110</c:v>
                </c:pt>
                <c:pt idx="458">
                  <c:v>43111</c:v>
                </c:pt>
                <c:pt idx="459">
                  <c:v>43112</c:v>
                </c:pt>
                <c:pt idx="460">
                  <c:v>43114</c:v>
                </c:pt>
                <c:pt idx="461">
                  <c:v>43115</c:v>
                </c:pt>
                <c:pt idx="462">
                  <c:v>43116</c:v>
                </c:pt>
                <c:pt idx="463">
                  <c:v>43117</c:v>
                </c:pt>
                <c:pt idx="464">
                  <c:v>43118</c:v>
                </c:pt>
                <c:pt idx="465">
                  <c:v>43119</c:v>
                </c:pt>
                <c:pt idx="466">
                  <c:v>43122</c:v>
                </c:pt>
                <c:pt idx="467">
                  <c:v>43123</c:v>
                </c:pt>
                <c:pt idx="468">
                  <c:v>43124</c:v>
                </c:pt>
                <c:pt idx="469">
                  <c:v>43125</c:v>
                </c:pt>
                <c:pt idx="470">
                  <c:v>43129</c:v>
                </c:pt>
                <c:pt idx="471">
                  <c:v>43130</c:v>
                </c:pt>
                <c:pt idx="472">
                  <c:v>43131</c:v>
                </c:pt>
                <c:pt idx="473">
                  <c:v>43132</c:v>
                </c:pt>
                <c:pt idx="474">
                  <c:v>43133</c:v>
                </c:pt>
                <c:pt idx="475">
                  <c:v>43136</c:v>
                </c:pt>
                <c:pt idx="476">
                  <c:v>43137</c:v>
                </c:pt>
                <c:pt idx="477">
                  <c:v>43138</c:v>
                </c:pt>
                <c:pt idx="478">
                  <c:v>43139</c:v>
                </c:pt>
                <c:pt idx="479">
                  <c:v>43140</c:v>
                </c:pt>
                <c:pt idx="480">
                  <c:v>43143</c:v>
                </c:pt>
                <c:pt idx="481">
                  <c:v>43144</c:v>
                </c:pt>
                <c:pt idx="482">
                  <c:v>43145</c:v>
                </c:pt>
                <c:pt idx="483">
                  <c:v>43146</c:v>
                </c:pt>
                <c:pt idx="484">
                  <c:v>43147</c:v>
                </c:pt>
                <c:pt idx="485">
                  <c:v>43150</c:v>
                </c:pt>
                <c:pt idx="486">
                  <c:v>43151</c:v>
                </c:pt>
                <c:pt idx="487">
                  <c:v>43152</c:v>
                </c:pt>
                <c:pt idx="488">
                  <c:v>43153</c:v>
                </c:pt>
                <c:pt idx="489">
                  <c:v>43154</c:v>
                </c:pt>
                <c:pt idx="490">
                  <c:v>43157</c:v>
                </c:pt>
                <c:pt idx="491">
                  <c:v>43158</c:v>
                </c:pt>
                <c:pt idx="492">
                  <c:v>43159</c:v>
                </c:pt>
              </c:numCache>
            </c:numRef>
          </c:cat>
          <c:val>
            <c:numRef>
              <c:f>Comdex_dhanya!$B$387:$B$879</c:f>
              <c:numCache>
                <c:formatCode>0.0</c:formatCode>
                <c:ptCount val="493"/>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pt idx="323">
                  <c:v>3070.64</c:v>
                </c:pt>
                <c:pt idx="324">
                  <c:v>3068.75</c:v>
                </c:pt>
                <c:pt idx="325">
                  <c:v>3025.71</c:v>
                </c:pt>
                <c:pt idx="326">
                  <c:v>3034.26</c:v>
                </c:pt>
                <c:pt idx="327">
                  <c:v>2994.73</c:v>
                </c:pt>
                <c:pt idx="328">
                  <c:v>3001.58</c:v>
                </c:pt>
                <c:pt idx="329">
                  <c:v>3023.15</c:v>
                </c:pt>
                <c:pt idx="330">
                  <c:v>3030.53</c:v>
                </c:pt>
                <c:pt idx="331">
                  <c:v>3025.41</c:v>
                </c:pt>
                <c:pt idx="332">
                  <c:v>3050.16</c:v>
                </c:pt>
                <c:pt idx="333">
                  <c:v>3059.16</c:v>
                </c:pt>
                <c:pt idx="334">
                  <c:v>3064.45</c:v>
                </c:pt>
                <c:pt idx="335">
                  <c:v>3067.73</c:v>
                </c:pt>
                <c:pt idx="336">
                  <c:v>3066.19</c:v>
                </c:pt>
                <c:pt idx="337">
                  <c:v>3055.53</c:v>
                </c:pt>
                <c:pt idx="338">
                  <c:v>3075.21</c:v>
                </c:pt>
                <c:pt idx="339">
                  <c:v>3135.62</c:v>
                </c:pt>
                <c:pt idx="340">
                  <c:v>3142.76</c:v>
                </c:pt>
                <c:pt idx="341">
                  <c:v>3167.73</c:v>
                </c:pt>
                <c:pt idx="342">
                  <c:v>3173.46</c:v>
                </c:pt>
                <c:pt idx="343">
                  <c:v>3174.63</c:v>
                </c:pt>
                <c:pt idx="344">
                  <c:v>3160.11</c:v>
                </c:pt>
                <c:pt idx="345">
                  <c:v>3156.41</c:v>
                </c:pt>
                <c:pt idx="346">
                  <c:v>3153.29</c:v>
                </c:pt>
                <c:pt idx="347">
                  <c:v>3149.7</c:v>
                </c:pt>
                <c:pt idx="348">
                  <c:v>3165.56</c:v>
                </c:pt>
                <c:pt idx="349">
                  <c:v>3180.62</c:v>
                </c:pt>
                <c:pt idx="350">
                  <c:v>3203.1</c:v>
                </c:pt>
                <c:pt idx="351">
                  <c:v>3214.67</c:v>
                </c:pt>
                <c:pt idx="352">
                  <c:v>3210.29</c:v>
                </c:pt>
                <c:pt idx="353">
                  <c:v>3187.68</c:v>
                </c:pt>
                <c:pt idx="354">
                  <c:v>3202.5</c:v>
                </c:pt>
                <c:pt idx="355">
                  <c:v>3204.07</c:v>
                </c:pt>
                <c:pt idx="356">
                  <c:v>3230.4</c:v>
                </c:pt>
                <c:pt idx="357">
                  <c:v>3231.67</c:v>
                </c:pt>
                <c:pt idx="358">
                  <c:v>3231.62</c:v>
                </c:pt>
                <c:pt idx="359">
                  <c:v>3255.92</c:v>
                </c:pt>
                <c:pt idx="360">
                  <c:v>3246.27</c:v>
                </c:pt>
                <c:pt idx="361">
                  <c:v>3246.27</c:v>
                </c:pt>
                <c:pt idx="362">
                  <c:v>3245.02</c:v>
                </c:pt>
                <c:pt idx="363">
                  <c:v>3264.44</c:v>
                </c:pt>
                <c:pt idx="364">
                  <c:v>3254.64</c:v>
                </c:pt>
                <c:pt idx="365">
                  <c:v>3299.37</c:v>
                </c:pt>
                <c:pt idx="366">
                  <c:v>3313.72</c:v>
                </c:pt>
                <c:pt idx="367">
                  <c:v>3334.94</c:v>
                </c:pt>
                <c:pt idx="368">
                  <c:v>3341.2</c:v>
                </c:pt>
                <c:pt idx="369">
                  <c:v>3355.27</c:v>
                </c:pt>
                <c:pt idx="370">
                  <c:v>3355.25</c:v>
                </c:pt>
                <c:pt idx="371">
                  <c:v>3294.61</c:v>
                </c:pt>
                <c:pt idx="372">
                  <c:v>3304.5</c:v>
                </c:pt>
                <c:pt idx="373">
                  <c:v>3313.56</c:v>
                </c:pt>
                <c:pt idx="374">
                  <c:v>3310.17</c:v>
                </c:pt>
                <c:pt idx="375">
                  <c:v>3319.14</c:v>
                </c:pt>
                <c:pt idx="376">
                  <c:v>3309.69</c:v>
                </c:pt>
                <c:pt idx="377">
                  <c:v>3309.46</c:v>
                </c:pt>
                <c:pt idx="378">
                  <c:v>3303.04</c:v>
                </c:pt>
                <c:pt idx="379">
                  <c:v>3336.55</c:v>
                </c:pt>
                <c:pt idx="380">
                  <c:v>3315.19</c:v>
                </c:pt>
                <c:pt idx="381">
                  <c:v>3321.1</c:v>
                </c:pt>
                <c:pt idx="382">
                  <c:v>3369.51</c:v>
                </c:pt>
                <c:pt idx="383">
                  <c:v>3360.23</c:v>
                </c:pt>
                <c:pt idx="384">
                  <c:v>3365.42</c:v>
                </c:pt>
                <c:pt idx="385">
                  <c:v>3359.47</c:v>
                </c:pt>
                <c:pt idx="386">
                  <c:v>3352.9</c:v>
                </c:pt>
                <c:pt idx="387">
                  <c:v>3350.89</c:v>
                </c:pt>
                <c:pt idx="388">
                  <c:v>3328.41</c:v>
                </c:pt>
                <c:pt idx="389">
                  <c:v>3355.07</c:v>
                </c:pt>
                <c:pt idx="390">
                  <c:v>3337.53</c:v>
                </c:pt>
                <c:pt idx="391">
                  <c:v>3355.41</c:v>
                </c:pt>
                <c:pt idx="392">
                  <c:v>3384.55</c:v>
                </c:pt>
                <c:pt idx="393">
                  <c:v>3386.47</c:v>
                </c:pt>
                <c:pt idx="394">
                  <c:v>3386.18</c:v>
                </c:pt>
                <c:pt idx="395">
                  <c:v>3387.12</c:v>
                </c:pt>
                <c:pt idx="396">
                  <c:v>3406.67</c:v>
                </c:pt>
                <c:pt idx="397">
                  <c:v>3384.15</c:v>
                </c:pt>
                <c:pt idx="398">
                  <c:v>3388.08</c:v>
                </c:pt>
                <c:pt idx="399">
                  <c:v>3376.41</c:v>
                </c:pt>
                <c:pt idx="400">
                  <c:v>3383.03</c:v>
                </c:pt>
                <c:pt idx="401">
                  <c:v>3403.65</c:v>
                </c:pt>
                <c:pt idx="402">
                  <c:v>3426</c:v>
                </c:pt>
                <c:pt idx="403">
                  <c:v>3403.52</c:v>
                </c:pt>
                <c:pt idx="404">
                  <c:v>3411.62</c:v>
                </c:pt>
                <c:pt idx="405">
                  <c:v>3408.47</c:v>
                </c:pt>
                <c:pt idx="406">
                  <c:v>3413.11</c:v>
                </c:pt>
                <c:pt idx="407">
                  <c:v>3416.33</c:v>
                </c:pt>
                <c:pt idx="408">
                  <c:v>3427.2</c:v>
                </c:pt>
                <c:pt idx="409">
                  <c:v>3433.31</c:v>
                </c:pt>
                <c:pt idx="410">
                  <c:v>3446.44</c:v>
                </c:pt>
                <c:pt idx="411">
                  <c:v>3499.98</c:v>
                </c:pt>
                <c:pt idx="412">
                  <c:v>3508.17</c:v>
                </c:pt>
                <c:pt idx="413">
                  <c:v>3506.63</c:v>
                </c:pt>
                <c:pt idx="414">
                  <c:v>3518.08</c:v>
                </c:pt>
                <c:pt idx="415">
                  <c:v>3505.2</c:v>
                </c:pt>
                <c:pt idx="416">
                  <c:v>3531.96</c:v>
                </c:pt>
                <c:pt idx="417">
                  <c:v>3474.26</c:v>
                </c:pt>
                <c:pt idx="418">
                  <c:v>3458.98</c:v>
                </c:pt>
                <c:pt idx="419">
                  <c:v>3441.29</c:v>
                </c:pt>
                <c:pt idx="420">
                  <c:v>3472.89</c:v>
                </c:pt>
                <c:pt idx="421">
                  <c:v>3463.56</c:v>
                </c:pt>
                <c:pt idx="422">
                  <c:v>3480.29</c:v>
                </c:pt>
                <c:pt idx="423">
                  <c:v>3506.9</c:v>
                </c:pt>
                <c:pt idx="424">
                  <c:v>3518.38</c:v>
                </c:pt>
                <c:pt idx="425">
                  <c:v>3523.81</c:v>
                </c:pt>
                <c:pt idx="426">
                  <c:v>3504.02</c:v>
                </c:pt>
                <c:pt idx="427">
                  <c:v>3487.87</c:v>
                </c:pt>
                <c:pt idx="428">
                  <c:v>3463.73</c:v>
                </c:pt>
                <c:pt idx="429">
                  <c:v>3455.24</c:v>
                </c:pt>
                <c:pt idx="430">
                  <c:v>3499.12</c:v>
                </c:pt>
                <c:pt idx="431">
                  <c:v>3470.21</c:v>
                </c:pt>
                <c:pt idx="432">
                  <c:v>3427.66</c:v>
                </c:pt>
                <c:pt idx="433">
                  <c:v>3406.46</c:v>
                </c:pt>
                <c:pt idx="434">
                  <c:v>3390.26</c:v>
                </c:pt>
                <c:pt idx="435">
                  <c:v>3400.09</c:v>
                </c:pt>
                <c:pt idx="436">
                  <c:v>3412.24</c:v>
                </c:pt>
                <c:pt idx="437">
                  <c:v>3396.19</c:v>
                </c:pt>
                <c:pt idx="438">
                  <c:v>3388.7</c:v>
                </c:pt>
                <c:pt idx="439">
                  <c:v>3394.29</c:v>
                </c:pt>
                <c:pt idx="440">
                  <c:v>3409.13</c:v>
                </c:pt>
                <c:pt idx="441">
                  <c:v>3428.4</c:v>
                </c:pt>
                <c:pt idx="442">
                  <c:v>3431.98</c:v>
                </c:pt>
                <c:pt idx="443">
                  <c:v>3440.59</c:v>
                </c:pt>
                <c:pt idx="444">
                  <c:v>3452.93</c:v>
                </c:pt>
                <c:pt idx="445">
                  <c:v>3471.39</c:v>
                </c:pt>
                <c:pt idx="446">
                  <c:v>3509.58</c:v>
                </c:pt>
                <c:pt idx="447">
                  <c:v>3528.22</c:v>
                </c:pt>
                <c:pt idx="448">
                  <c:v>3553.09</c:v>
                </c:pt>
                <c:pt idx="449">
                  <c:v>3568.2</c:v>
                </c:pt>
                <c:pt idx="450">
                  <c:v>3554.83</c:v>
                </c:pt>
                <c:pt idx="451">
                  <c:v>3549.15</c:v>
                </c:pt>
                <c:pt idx="452">
                  <c:v>3560.02</c:v>
                </c:pt>
                <c:pt idx="453">
                  <c:v>3567.05</c:v>
                </c:pt>
                <c:pt idx="454">
                  <c:v>3542.32</c:v>
                </c:pt>
                <c:pt idx="455">
                  <c:v>3551.12</c:v>
                </c:pt>
                <c:pt idx="456">
                  <c:v>3566.91</c:v>
                </c:pt>
                <c:pt idx="457">
                  <c:v>3593.67</c:v>
                </c:pt>
                <c:pt idx="458">
                  <c:v>3615.99</c:v>
                </c:pt>
                <c:pt idx="459">
                  <c:v>3615.48</c:v>
                </c:pt>
                <c:pt idx="461">
                  <c:v>3644.32</c:v>
                </c:pt>
                <c:pt idx="462">
                  <c:v>3630.87</c:v>
                </c:pt>
                <c:pt idx="463">
                  <c:v>3620.87</c:v>
                </c:pt>
                <c:pt idx="464">
                  <c:v>3620.57</c:v>
                </c:pt>
                <c:pt idx="465">
                  <c:v>3615.71</c:v>
                </c:pt>
                <c:pt idx="466">
                  <c:v>3621.65</c:v>
                </c:pt>
                <c:pt idx="467">
                  <c:v>3628.9</c:v>
                </c:pt>
                <c:pt idx="468">
                  <c:v>3670.7</c:v>
                </c:pt>
                <c:pt idx="469">
                  <c:v>3687.24</c:v>
                </c:pt>
                <c:pt idx="470">
                  <c:v>3681.17</c:v>
                </c:pt>
                <c:pt idx="471">
                  <c:v>3655.07</c:v>
                </c:pt>
                <c:pt idx="472">
                  <c:v>3650.19</c:v>
                </c:pt>
                <c:pt idx="473">
                  <c:v>3703.21</c:v>
                </c:pt>
                <c:pt idx="474">
                  <c:v>3680.69</c:v>
                </c:pt>
                <c:pt idx="475">
                  <c:v>3659.04</c:v>
                </c:pt>
                <c:pt idx="476">
                  <c:v>3633.95</c:v>
                </c:pt>
                <c:pt idx="477">
                  <c:v>3575.29</c:v>
                </c:pt>
                <c:pt idx="478">
                  <c:v>3577.52</c:v>
                </c:pt>
                <c:pt idx="479">
                  <c:v>3521.3</c:v>
                </c:pt>
                <c:pt idx="480">
                  <c:v>3541.95</c:v>
                </c:pt>
                <c:pt idx="481">
                  <c:v>3560.64</c:v>
                </c:pt>
                <c:pt idx="482">
                  <c:v>3595.27</c:v>
                </c:pt>
                <c:pt idx="483">
                  <c:v>3608.11</c:v>
                </c:pt>
                <c:pt idx="484">
                  <c:v>3632.99</c:v>
                </c:pt>
                <c:pt idx="485">
                  <c:v>3639.08</c:v>
                </c:pt>
                <c:pt idx="486">
                  <c:v>3643.73</c:v>
                </c:pt>
                <c:pt idx="487">
                  <c:v>3647.53</c:v>
                </c:pt>
                <c:pt idx="488">
                  <c:v>3676.4</c:v>
                </c:pt>
                <c:pt idx="489">
                  <c:v>3674.23</c:v>
                </c:pt>
                <c:pt idx="490">
                  <c:v>3691.55</c:v>
                </c:pt>
                <c:pt idx="491">
                  <c:v>3673.9</c:v>
                </c:pt>
                <c:pt idx="492">
                  <c:v>3659.05</c:v>
                </c:pt>
              </c:numCache>
            </c:numRef>
          </c:val>
          <c:smooth val="0"/>
        </c:ser>
        <c:ser>
          <c:idx val="1"/>
          <c:order val="1"/>
          <c:tx>
            <c:v>NCDEX DHAANYA</c:v>
          </c:tx>
          <c:spPr>
            <a:ln w="28575" cap="rnd">
              <a:solidFill>
                <a:schemeClr val="accent2"/>
              </a:solidFill>
              <a:round/>
            </a:ln>
            <a:effectLst/>
          </c:spPr>
          <c:marker>
            <c:symbol val="none"/>
          </c:marker>
          <c:dLbls>
            <c:dLbl>
              <c:idx val="492"/>
              <c:layout>
                <c:manualLayout>
                  <c:x val="0"/>
                  <c:y val="9.79911807937284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Comdex_dhanya!$A$387:$A$879</c:f>
              <c:numCache>
                <c:formatCode>d\-mmm\-yy</c:formatCode>
                <c:ptCount val="493"/>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pt idx="408">
                  <c:v>43040</c:v>
                </c:pt>
                <c:pt idx="409">
                  <c:v>43041</c:v>
                </c:pt>
                <c:pt idx="410">
                  <c:v>43042</c:v>
                </c:pt>
                <c:pt idx="411">
                  <c:v>43045</c:v>
                </c:pt>
                <c:pt idx="412">
                  <c:v>43046</c:v>
                </c:pt>
                <c:pt idx="413">
                  <c:v>43047</c:v>
                </c:pt>
                <c:pt idx="414">
                  <c:v>43048</c:v>
                </c:pt>
                <c:pt idx="415">
                  <c:v>43049</c:v>
                </c:pt>
                <c:pt idx="416">
                  <c:v>43052</c:v>
                </c:pt>
                <c:pt idx="417">
                  <c:v>43053</c:v>
                </c:pt>
                <c:pt idx="418">
                  <c:v>43054</c:v>
                </c:pt>
                <c:pt idx="419">
                  <c:v>43055</c:v>
                </c:pt>
                <c:pt idx="420">
                  <c:v>43056</c:v>
                </c:pt>
                <c:pt idx="421">
                  <c:v>43059</c:v>
                </c:pt>
                <c:pt idx="422">
                  <c:v>43060</c:v>
                </c:pt>
                <c:pt idx="423">
                  <c:v>43061</c:v>
                </c:pt>
                <c:pt idx="424">
                  <c:v>43062</c:v>
                </c:pt>
                <c:pt idx="425">
                  <c:v>43063</c:v>
                </c:pt>
                <c:pt idx="426">
                  <c:v>43066</c:v>
                </c:pt>
                <c:pt idx="427">
                  <c:v>43067</c:v>
                </c:pt>
                <c:pt idx="428">
                  <c:v>43068</c:v>
                </c:pt>
                <c:pt idx="429">
                  <c:v>43069</c:v>
                </c:pt>
                <c:pt idx="430">
                  <c:v>43070</c:v>
                </c:pt>
                <c:pt idx="431">
                  <c:v>43073</c:v>
                </c:pt>
                <c:pt idx="432">
                  <c:v>43074</c:v>
                </c:pt>
                <c:pt idx="433">
                  <c:v>43075</c:v>
                </c:pt>
                <c:pt idx="434">
                  <c:v>43076</c:v>
                </c:pt>
                <c:pt idx="435">
                  <c:v>43077</c:v>
                </c:pt>
                <c:pt idx="436">
                  <c:v>43080</c:v>
                </c:pt>
                <c:pt idx="437">
                  <c:v>43081</c:v>
                </c:pt>
                <c:pt idx="438">
                  <c:v>43082</c:v>
                </c:pt>
                <c:pt idx="439">
                  <c:v>43083</c:v>
                </c:pt>
                <c:pt idx="440">
                  <c:v>43084</c:v>
                </c:pt>
                <c:pt idx="441">
                  <c:v>43087</c:v>
                </c:pt>
                <c:pt idx="442">
                  <c:v>43088</c:v>
                </c:pt>
                <c:pt idx="443">
                  <c:v>43089</c:v>
                </c:pt>
                <c:pt idx="444">
                  <c:v>43090</c:v>
                </c:pt>
                <c:pt idx="445">
                  <c:v>43091</c:v>
                </c:pt>
                <c:pt idx="446">
                  <c:v>43095</c:v>
                </c:pt>
                <c:pt idx="447">
                  <c:v>43096</c:v>
                </c:pt>
                <c:pt idx="448">
                  <c:v>43097</c:v>
                </c:pt>
                <c:pt idx="449">
                  <c:v>43098</c:v>
                </c:pt>
                <c:pt idx="450">
                  <c:v>43101</c:v>
                </c:pt>
                <c:pt idx="451">
                  <c:v>43102</c:v>
                </c:pt>
                <c:pt idx="452">
                  <c:v>43103</c:v>
                </c:pt>
                <c:pt idx="453">
                  <c:v>43104</c:v>
                </c:pt>
                <c:pt idx="454">
                  <c:v>43105</c:v>
                </c:pt>
                <c:pt idx="455">
                  <c:v>43108</c:v>
                </c:pt>
                <c:pt idx="456">
                  <c:v>43109</c:v>
                </c:pt>
                <c:pt idx="457">
                  <c:v>43110</c:v>
                </c:pt>
                <c:pt idx="458">
                  <c:v>43111</c:v>
                </c:pt>
                <c:pt idx="459">
                  <c:v>43112</c:v>
                </c:pt>
                <c:pt idx="460">
                  <c:v>43114</c:v>
                </c:pt>
                <c:pt idx="461">
                  <c:v>43115</c:v>
                </c:pt>
                <c:pt idx="462">
                  <c:v>43116</c:v>
                </c:pt>
                <c:pt idx="463">
                  <c:v>43117</c:v>
                </c:pt>
                <c:pt idx="464">
                  <c:v>43118</c:v>
                </c:pt>
                <c:pt idx="465">
                  <c:v>43119</c:v>
                </c:pt>
                <c:pt idx="466">
                  <c:v>43122</c:v>
                </c:pt>
                <c:pt idx="467">
                  <c:v>43123</c:v>
                </c:pt>
                <c:pt idx="468">
                  <c:v>43124</c:v>
                </c:pt>
                <c:pt idx="469">
                  <c:v>43125</c:v>
                </c:pt>
                <c:pt idx="470">
                  <c:v>43129</c:v>
                </c:pt>
                <c:pt idx="471">
                  <c:v>43130</c:v>
                </c:pt>
                <c:pt idx="472">
                  <c:v>43131</c:v>
                </c:pt>
                <c:pt idx="473">
                  <c:v>43132</c:v>
                </c:pt>
                <c:pt idx="474">
                  <c:v>43133</c:v>
                </c:pt>
                <c:pt idx="475">
                  <c:v>43136</c:v>
                </c:pt>
                <c:pt idx="476">
                  <c:v>43137</c:v>
                </c:pt>
                <c:pt idx="477">
                  <c:v>43138</c:v>
                </c:pt>
                <c:pt idx="478">
                  <c:v>43139</c:v>
                </c:pt>
                <c:pt idx="479">
                  <c:v>43140</c:v>
                </c:pt>
                <c:pt idx="480">
                  <c:v>43143</c:v>
                </c:pt>
                <c:pt idx="481">
                  <c:v>43144</c:v>
                </c:pt>
                <c:pt idx="482">
                  <c:v>43145</c:v>
                </c:pt>
                <c:pt idx="483">
                  <c:v>43146</c:v>
                </c:pt>
                <c:pt idx="484">
                  <c:v>43147</c:v>
                </c:pt>
                <c:pt idx="485">
                  <c:v>43150</c:v>
                </c:pt>
                <c:pt idx="486">
                  <c:v>43151</c:v>
                </c:pt>
                <c:pt idx="487">
                  <c:v>43152</c:v>
                </c:pt>
                <c:pt idx="488">
                  <c:v>43153</c:v>
                </c:pt>
                <c:pt idx="489">
                  <c:v>43154</c:v>
                </c:pt>
                <c:pt idx="490">
                  <c:v>43157</c:v>
                </c:pt>
                <c:pt idx="491">
                  <c:v>43158</c:v>
                </c:pt>
                <c:pt idx="492">
                  <c:v>43159</c:v>
                </c:pt>
              </c:numCache>
            </c:numRef>
          </c:cat>
          <c:val>
            <c:numRef>
              <c:f>Comdex_dhanya!$C$387:$C$879</c:f>
              <c:numCache>
                <c:formatCode>0.0</c:formatCode>
                <c:ptCount val="493"/>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8">
                  <c:v>#N/A</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9">
                  <c:v>2842</c:v>
                </c:pt>
                <c:pt idx="320">
                  <c:v>2862.71</c:v>
                </c:pt>
                <c:pt idx="321">
                  <c:v>2853.96</c:v>
                </c:pt>
                <c:pt idx="322">
                  <c:v>2875.74</c:v>
                </c:pt>
                <c:pt idx="323">
                  <c:v>2881.73</c:v>
                </c:pt>
                <c:pt idx="324">
                  <c:v>2875.32</c:v>
                </c:pt>
                <c:pt idx="325">
                  <c:v>2893.9</c:v>
                </c:pt>
                <c:pt idx="326">
                  <c:v>2932.68</c:v>
                </c:pt>
                <c:pt idx="327">
                  <c:v>2926.02</c:v>
                </c:pt>
                <c:pt idx="328">
                  <c:v>2948.12</c:v>
                </c:pt>
                <c:pt idx="329">
                  <c:v>2917.76</c:v>
                </c:pt>
                <c:pt idx="330">
                  <c:v>2951.58</c:v>
                </c:pt>
                <c:pt idx="331">
                  <c:v>2943.28</c:v>
                </c:pt>
                <c:pt idx="332">
                  <c:v>2974.84</c:v>
                </c:pt>
                <c:pt idx="333">
                  <c:v>2945.97</c:v>
                </c:pt>
                <c:pt idx="334">
                  <c:v>2955.37</c:v>
                </c:pt>
                <c:pt idx="335">
                  <c:v>2945.26</c:v>
                </c:pt>
                <c:pt idx="336">
                  <c:v>2958.13</c:v>
                </c:pt>
                <c:pt idx="337">
                  <c:v>2951.3</c:v>
                </c:pt>
                <c:pt idx="338">
                  <c:v>2928.81</c:v>
                </c:pt>
                <c:pt idx="339">
                  <c:v>2929.26</c:v>
                </c:pt>
                <c:pt idx="340">
                  <c:v>2952.43</c:v>
                </c:pt>
                <c:pt idx="341">
                  <c:v>2946.78</c:v>
                </c:pt>
                <c:pt idx="342">
                  <c:v>2963.05</c:v>
                </c:pt>
                <c:pt idx="343">
                  <c:v>2971.27</c:v>
                </c:pt>
                <c:pt idx="344">
                  <c:v>2972.24</c:v>
                </c:pt>
                <c:pt idx="345">
                  <c:v>2955.69</c:v>
                </c:pt>
                <c:pt idx="346">
                  <c:v>2959.51</c:v>
                </c:pt>
                <c:pt idx="347">
                  <c:v>2984.71</c:v>
                </c:pt>
                <c:pt idx="348">
                  <c:v>2984.31</c:v>
                </c:pt>
                <c:pt idx="349">
                  <c:v>2996.81</c:v>
                </c:pt>
                <c:pt idx="350">
                  <c:v>2987.98</c:v>
                </c:pt>
                <c:pt idx="351">
                  <c:v>2981.29</c:v>
                </c:pt>
                <c:pt idx="352">
                  <c:v>3016.37</c:v>
                </c:pt>
                <c:pt idx="353">
                  <c:v>3012.2</c:v>
                </c:pt>
                <c:pt idx="354">
                  <c:v>3036.72</c:v>
                </c:pt>
                <c:pt idx="355">
                  <c:v>3027.76</c:v>
                </c:pt>
                <c:pt idx="356">
                  <c:v>3040.41</c:v>
                </c:pt>
                <c:pt idx="357">
                  <c:v>3065.72</c:v>
                </c:pt>
                <c:pt idx="358">
                  <c:v>3063.33</c:v>
                </c:pt>
                <c:pt idx="359">
                  <c:v>3064.37</c:v>
                </c:pt>
                <c:pt idx="360">
                  <c:v>3108.93</c:v>
                </c:pt>
                <c:pt idx="362">
                  <c:v>3078.15</c:v>
                </c:pt>
                <c:pt idx="363">
                  <c:v>3052.75</c:v>
                </c:pt>
                <c:pt idx="364">
                  <c:v>3049.61</c:v>
                </c:pt>
                <c:pt idx="365">
                  <c:v>3024.85</c:v>
                </c:pt>
                <c:pt idx="366">
                  <c:v>3012.73</c:v>
                </c:pt>
                <c:pt idx="367">
                  <c:v>3020.78</c:v>
                </c:pt>
                <c:pt idx="368">
                  <c:v>3023.14</c:v>
                </c:pt>
                <c:pt idx="369">
                  <c:v>3032.77</c:v>
                </c:pt>
                <c:pt idx="370">
                  <c:v>3028.85</c:v>
                </c:pt>
                <c:pt idx="371">
                  <c:v>3036.85</c:v>
                </c:pt>
                <c:pt idx="372">
                  <c:v>3019.37</c:v>
                </c:pt>
                <c:pt idx="373">
                  <c:v>3025.27</c:v>
                </c:pt>
                <c:pt idx="374">
                  <c:v>3034.41</c:v>
                </c:pt>
                <c:pt idx="375">
                  <c:v>3016.47</c:v>
                </c:pt>
                <c:pt idx="376">
                  <c:v>3002.51</c:v>
                </c:pt>
                <c:pt idx="377">
                  <c:v>2976.1</c:v>
                </c:pt>
                <c:pt idx="378">
                  <c:v>2999.94</c:v>
                </c:pt>
                <c:pt idx="379">
                  <c:v>2999.11</c:v>
                </c:pt>
                <c:pt idx="380">
                  <c:v>2986.4</c:v>
                </c:pt>
                <c:pt idx="381">
                  <c:v>2990.3</c:v>
                </c:pt>
                <c:pt idx="382">
                  <c:v>2964.7</c:v>
                </c:pt>
                <c:pt idx="383">
                  <c:v>2987.56</c:v>
                </c:pt>
                <c:pt idx="384">
                  <c:v>2995.98</c:v>
                </c:pt>
                <c:pt idx="385">
                  <c:v>2987.43</c:v>
                </c:pt>
                <c:pt idx="386">
                  <c:v>2988.44</c:v>
                </c:pt>
                <c:pt idx="387">
                  <c:v>2993.34</c:v>
                </c:pt>
                <c:pt idx="388">
                  <c:v>2993.82</c:v>
                </c:pt>
                <c:pt idx="389">
                  <c:v>3022.79</c:v>
                </c:pt>
                <c:pt idx="390">
                  <c:v>2994.74</c:v>
                </c:pt>
                <c:pt idx="391">
                  <c:v>2994.6</c:v>
                </c:pt>
                <c:pt idx="392">
                  <c:v>3029.98</c:v>
                </c:pt>
                <c:pt idx="393">
                  <c:v>3008.96</c:v>
                </c:pt>
                <c:pt idx="394">
                  <c:v>3007.43</c:v>
                </c:pt>
                <c:pt idx="395">
                  <c:v>3005.95</c:v>
                </c:pt>
                <c:pt idx="396">
                  <c:v>3014.11</c:v>
                </c:pt>
                <c:pt idx="397">
                  <c:v>3019.84</c:v>
                </c:pt>
                <c:pt idx="398">
                  <c:v>3028.64</c:v>
                </c:pt>
                <c:pt idx="399">
                  <c:v>3015.26</c:v>
                </c:pt>
                <c:pt idx="401">
                  <c:v>2985.99</c:v>
                </c:pt>
                <c:pt idx="402">
                  <c:v>2985.7</c:v>
                </c:pt>
                <c:pt idx="403">
                  <c:v>2994.29</c:v>
                </c:pt>
                <c:pt idx="404">
                  <c:v>3003.15</c:v>
                </c:pt>
                <c:pt idx="405">
                  <c:v>2966.31</c:v>
                </c:pt>
                <c:pt idx="406">
                  <c:v>2969.44</c:v>
                </c:pt>
                <c:pt idx="407">
                  <c:v>2941.89</c:v>
                </c:pt>
                <c:pt idx="408">
                  <c:v>2942.12</c:v>
                </c:pt>
                <c:pt idx="409">
                  <c:v>2969.83</c:v>
                </c:pt>
                <c:pt idx="410">
                  <c:v>2982.42</c:v>
                </c:pt>
                <c:pt idx="411">
                  <c:v>2959.11</c:v>
                </c:pt>
                <c:pt idx="412">
                  <c:v>2958.14</c:v>
                </c:pt>
                <c:pt idx="413">
                  <c:v>2975.47</c:v>
                </c:pt>
                <c:pt idx="414">
                  <c:v>2976.53</c:v>
                </c:pt>
                <c:pt idx="415">
                  <c:v>2960.17</c:v>
                </c:pt>
                <c:pt idx="416">
                  <c:v>2970.03</c:v>
                </c:pt>
                <c:pt idx="417">
                  <c:v>2975.09</c:v>
                </c:pt>
                <c:pt idx="418">
                  <c:v>2967.3</c:v>
                </c:pt>
                <c:pt idx="419">
                  <c:v>2964.43</c:v>
                </c:pt>
                <c:pt idx="420">
                  <c:v>2958.73</c:v>
                </c:pt>
                <c:pt idx="421">
                  <c:v>2997.73</c:v>
                </c:pt>
                <c:pt idx="422">
                  <c:v>2998.75</c:v>
                </c:pt>
                <c:pt idx="423">
                  <c:v>3010.86</c:v>
                </c:pt>
                <c:pt idx="424">
                  <c:v>3054.42</c:v>
                </c:pt>
                <c:pt idx="425">
                  <c:v>3057.7</c:v>
                </c:pt>
                <c:pt idx="426">
                  <c:v>3067.38</c:v>
                </c:pt>
                <c:pt idx="427">
                  <c:v>3049.8</c:v>
                </c:pt>
                <c:pt idx="428">
                  <c:v>3026.6</c:v>
                </c:pt>
                <c:pt idx="429">
                  <c:v>3051.76</c:v>
                </c:pt>
                <c:pt idx="430">
                  <c:v>3033.73</c:v>
                </c:pt>
                <c:pt idx="431">
                  <c:v>3058.07</c:v>
                </c:pt>
                <c:pt idx="432">
                  <c:v>3040.49</c:v>
                </c:pt>
                <c:pt idx="433">
                  <c:v>3042.39</c:v>
                </c:pt>
                <c:pt idx="434">
                  <c:v>3009.29</c:v>
                </c:pt>
                <c:pt idx="435">
                  <c:v>3003.75</c:v>
                </c:pt>
                <c:pt idx="436">
                  <c:v>2975.41</c:v>
                </c:pt>
                <c:pt idx="437">
                  <c:v>2980.75</c:v>
                </c:pt>
                <c:pt idx="438">
                  <c:v>2982.32</c:v>
                </c:pt>
                <c:pt idx="439">
                  <c:v>2963.76</c:v>
                </c:pt>
                <c:pt idx="440">
                  <c:v>2976.1</c:v>
                </c:pt>
                <c:pt idx="441">
                  <c:v>2992.12</c:v>
                </c:pt>
                <c:pt idx="442">
                  <c:v>3016.4</c:v>
                </c:pt>
                <c:pt idx="443">
                  <c:v>3013.88</c:v>
                </c:pt>
                <c:pt idx="444">
                  <c:v>3044.09</c:v>
                </c:pt>
                <c:pt idx="445">
                  <c:v>3052.03</c:v>
                </c:pt>
                <c:pt idx="446">
                  <c:v>3053.27</c:v>
                </c:pt>
                <c:pt idx="447">
                  <c:v>3024.15</c:v>
                </c:pt>
                <c:pt idx="448">
                  <c:v>3030.31</c:v>
                </c:pt>
                <c:pt idx="449">
                  <c:v>3013.9</c:v>
                </c:pt>
                <c:pt idx="450">
                  <c:v>2979.68</c:v>
                </c:pt>
                <c:pt idx="451">
                  <c:v>2997.53</c:v>
                </c:pt>
                <c:pt idx="452">
                  <c:v>3015.94</c:v>
                </c:pt>
                <c:pt idx="453">
                  <c:v>3035.38</c:v>
                </c:pt>
                <c:pt idx="454">
                  <c:v>3054.5</c:v>
                </c:pt>
                <c:pt idx="455">
                  <c:v>3066.54</c:v>
                </c:pt>
                <c:pt idx="456">
                  <c:v>3042.13</c:v>
                </c:pt>
                <c:pt idx="457">
                  <c:v>3065.61</c:v>
                </c:pt>
                <c:pt idx="458">
                  <c:v>3069.44</c:v>
                </c:pt>
                <c:pt idx="459">
                  <c:v>3056.68</c:v>
                </c:pt>
                <c:pt idx="460">
                  <c:v>3066.99</c:v>
                </c:pt>
                <c:pt idx="461">
                  <c:v>3081.13</c:v>
                </c:pt>
                <c:pt idx="462">
                  <c:v>3055.45</c:v>
                </c:pt>
                <c:pt idx="463">
                  <c:v>3053.39</c:v>
                </c:pt>
                <c:pt idx="464">
                  <c:v>3022.24</c:v>
                </c:pt>
                <c:pt idx="465">
                  <c:v>3026.06</c:v>
                </c:pt>
                <c:pt idx="466">
                  <c:v>3064.25</c:v>
                </c:pt>
                <c:pt idx="467">
                  <c:v>3086.26</c:v>
                </c:pt>
                <c:pt idx="468">
                  <c:v>3081.15</c:v>
                </c:pt>
                <c:pt idx="469">
                  <c:v>3118.33</c:v>
                </c:pt>
                <c:pt idx="470">
                  <c:v>3159.69</c:v>
                </c:pt>
                <c:pt idx="471">
                  <c:v>3145.53</c:v>
                </c:pt>
                <c:pt idx="472">
                  <c:v>3145.61</c:v>
                </c:pt>
                <c:pt idx="473">
                  <c:v>3153.07</c:v>
                </c:pt>
                <c:pt idx="474">
                  <c:v>3156.36</c:v>
                </c:pt>
                <c:pt idx="475">
                  <c:v>3123.51</c:v>
                </c:pt>
                <c:pt idx="476">
                  <c:v>3110.84</c:v>
                </c:pt>
                <c:pt idx="477">
                  <c:v>3132.75</c:v>
                </c:pt>
                <c:pt idx="478">
                  <c:v>3114.57</c:v>
                </c:pt>
                <c:pt idx="479">
                  <c:v>3143.53</c:v>
                </c:pt>
                <c:pt idx="480">
                  <c:v>3146.08</c:v>
                </c:pt>
                <c:pt idx="482">
                  <c:v>3121.04</c:v>
                </c:pt>
                <c:pt idx="483">
                  <c:v>3113.42</c:v>
                </c:pt>
                <c:pt idx="484">
                  <c:v>3167.43</c:v>
                </c:pt>
                <c:pt idx="485">
                  <c:v>3151.61</c:v>
                </c:pt>
                <c:pt idx="486">
                  <c:v>3183.17</c:v>
                </c:pt>
                <c:pt idx="487">
                  <c:v>3159.97</c:v>
                </c:pt>
                <c:pt idx="488">
                  <c:v>3166.94</c:v>
                </c:pt>
                <c:pt idx="489">
                  <c:v>3132.24</c:v>
                </c:pt>
                <c:pt idx="490">
                  <c:v>3099.86</c:v>
                </c:pt>
                <c:pt idx="491">
                  <c:v>3081.62</c:v>
                </c:pt>
                <c:pt idx="492">
                  <c:v>3114.64</c:v>
                </c:pt>
              </c:numCache>
            </c:numRef>
          </c:val>
          <c:smooth val="0"/>
        </c:ser>
        <c:dLbls>
          <c:showLegendKey val="0"/>
          <c:showVal val="0"/>
          <c:showCatName val="0"/>
          <c:showSerName val="0"/>
          <c:showPercent val="0"/>
          <c:showBubbleSize val="0"/>
        </c:dLbls>
        <c:smooth val="0"/>
        <c:axId val="462589696"/>
        <c:axId val="462592048"/>
      </c:lineChart>
      <c:dateAx>
        <c:axId val="462589696"/>
        <c:scaling>
          <c:orientation val="minMax"/>
          <c:max val="43159"/>
          <c:min val="42736"/>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462592048"/>
        <c:crosses val="autoZero"/>
        <c:auto val="1"/>
        <c:lblOffset val="100"/>
        <c:baseTimeUnit val="days"/>
        <c:majorUnit val="31"/>
        <c:majorTimeUnit val="days"/>
      </c:dateAx>
      <c:valAx>
        <c:axId val="462592048"/>
        <c:scaling>
          <c:orientation val="minMax"/>
          <c:max val="3800"/>
          <c:min val="27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462589696"/>
        <c:crossesAt val="42124"/>
        <c:crossBetween val="between"/>
        <c:majorUnit val="100"/>
      </c:valAx>
      <c:spPr>
        <a:noFill/>
        <a:ln cap="rnd">
          <a:solidFill>
            <a:schemeClr val="bg1"/>
          </a:solidFill>
        </a:ln>
        <a:effectLst/>
      </c:spPr>
    </c:plotArea>
    <c:legend>
      <c:legendPos val="b"/>
      <c:layout>
        <c:manualLayout>
          <c:xMode val="edge"/>
          <c:yMode val="edge"/>
          <c:x val="0.30465177634061008"/>
          <c:y val="0.89635364053597133"/>
          <c:w val="0.59443364428469525"/>
          <c:h val="7.03130151945587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0.12917833187518227"/>
          <c:w val="0.87635870516185477"/>
          <c:h val="0.69036198600174981"/>
        </c:manualLayout>
      </c:layout>
      <c:barChart>
        <c:barDir val="col"/>
        <c:grouping val="clustered"/>
        <c:varyColors val="0"/>
        <c:ser>
          <c:idx val="0"/>
          <c:order val="0"/>
          <c:tx>
            <c:strRef>
              <c:f>'Chart- Volatility'!$C$3</c:f>
              <c:strCache>
                <c:ptCount val="1"/>
                <c:pt idx="0">
                  <c:v>Variation</c:v>
                </c:pt>
              </c:strCache>
            </c:strRef>
          </c:tx>
          <c:invertIfNegative val="0"/>
          <c:dLbls>
            <c:dLbl>
              <c:idx val="1"/>
              <c:layout>
                <c:manualLayout>
                  <c:x val="3.927343526284442E-3"/>
                  <c:y val="-1.8517054292305022E-2"/>
                </c:manualLayout>
              </c:layout>
              <c:spPr>
                <a:solidFill>
                  <a:schemeClr val="bg1">
                    <a:alpha val="89000"/>
                  </a:schemeClr>
                </a:solidFill>
              </c:spPr>
              <c:txPr>
                <a:bodyPr rot="0" vert="horz" anchor="b" anchorCtr="1"/>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927343526284442E-3"/>
                  <c:y val="1.01850360285314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Volatility'!$B$4:$B$8</c:f>
              <c:strCache>
                <c:ptCount val="5"/>
                <c:pt idx="0">
                  <c:v>MCX Comdex</c:v>
                </c:pt>
                <c:pt idx="1">
                  <c:v>MCX Metal</c:v>
                </c:pt>
                <c:pt idx="2">
                  <c:v>MCX Energy</c:v>
                </c:pt>
                <c:pt idx="3">
                  <c:v>MCX  Agri</c:v>
                </c:pt>
                <c:pt idx="4">
                  <c:v>NCDEX Dhaanya</c:v>
                </c:pt>
              </c:strCache>
            </c:strRef>
          </c:cat>
          <c:val>
            <c:numRef>
              <c:f>'Chart- Volatility'!$C$4:$C$8</c:f>
              <c:numCache>
                <c:formatCode>0.00</c:formatCode>
                <c:ptCount val="5"/>
                <c:pt idx="0">
                  <c:v>0.2427270909185584</c:v>
                </c:pt>
                <c:pt idx="1">
                  <c:v>0.85816260810892797</c:v>
                </c:pt>
                <c:pt idx="2">
                  <c:v>-0.76031396739036461</c:v>
                </c:pt>
                <c:pt idx="3">
                  <c:v>1.4410415848578627E-2</c:v>
                </c:pt>
                <c:pt idx="4">
                  <c:v>-0.98454671748882583</c:v>
                </c:pt>
              </c:numCache>
            </c:numRef>
          </c:val>
        </c:ser>
        <c:ser>
          <c:idx val="1"/>
          <c:order val="1"/>
          <c:tx>
            <c:strRef>
              <c:f>'Chart- Volatility'!$D$3</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Volatility'!$B$4:$B$8</c:f>
              <c:strCache>
                <c:ptCount val="5"/>
                <c:pt idx="0">
                  <c:v>MCX Comdex</c:v>
                </c:pt>
                <c:pt idx="1">
                  <c:v>MCX Metal</c:v>
                </c:pt>
                <c:pt idx="2">
                  <c:v>MCX Energy</c:v>
                </c:pt>
                <c:pt idx="3">
                  <c:v>MCX  Agri</c:v>
                </c:pt>
                <c:pt idx="4">
                  <c:v>NCDEX Dhaanya</c:v>
                </c:pt>
              </c:strCache>
            </c:strRef>
          </c:cat>
          <c:val>
            <c:numRef>
              <c:f>'Chart- Volatility'!$D$4:$D$8</c:f>
              <c:numCache>
                <c:formatCode>0.00</c:formatCode>
                <c:ptCount val="5"/>
                <c:pt idx="0">
                  <c:v>0.7907872539460693</c:v>
                </c:pt>
                <c:pt idx="1">
                  <c:v>0.86387888330183604</c:v>
                </c:pt>
                <c:pt idx="2">
                  <c:v>1.4036517202781866</c:v>
                </c:pt>
                <c:pt idx="3">
                  <c:v>0.53359653858241352</c:v>
                </c:pt>
                <c:pt idx="4">
                  <c:v>0.82432052275358891</c:v>
                </c:pt>
              </c:numCache>
            </c:numRef>
          </c:val>
        </c:ser>
        <c:dLbls>
          <c:showLegendKey val="0"/>
          <c:showVal val="0"/>
          <c:showCatName val="0"/>
          <c:showSerName val="0"/>
          <c:showPercent val="0"/>
          <c:showBubbleSize val="0"/>
        </c:dLbls>
        <c:gapWidth val="75"/>
        <c:overlap val="-25"/>
        <c:axId val="462588912"/>
        <c:axId val="462586560"/>
      </c:barChart>
      <c:catAx>
        <c:axId val="462588912"/>
        <c:scaling>
          <c:orientation val="minMax"/>
        </c:scaling>
        <c:delete val="0"/>
        <c:axPos val="b"/>
        <c:numFmt formatCode="General" sourceLinked="0"/>
        <c:majorTickMark val="cross"/>
        <c:minorTickMark val="cross"/>
        <c:tickLblPos val="nextTo"/>
        <c:txPr>
          <a:bodyPr anchor="b" anchorCtr="0"/>
          <a:lstStyle/>
          <a:p>
            <a:pPr>
              <a:defRPr>
                <a:latin typeface="Times New Roman" panose="02020603050405020304" pitchFamily="18" charset="0"/>
                <a:cs typeface="Times New Roman" panose="02020603050405020304" pitchFamily="18" charset="0"/>
              </a:defRPr>
            </a:pPr>
            <a:endParaRPr lang="en-US"/>
          </a:p>
        </c:txPr>
        <c:crossAx val="462586560"/>
        <c:crosses val="autoZero"/>
        <c:auto val="1"/>
        <c:lblAlgn val="ctr"/>
        <c:lblOffset val="100"/>
        <c:noMultiLvlLbl val="0"/>
      </c:catAx>
      <c:valAx>
        <c:axId val="462586560"/>
        <c:scaling>
          <c:orientation val="minMax"/>
          <c:max val="2"/>
          <c:min val="-1"/>
        </c:scaling>
        <c:delete val="0"/>
        <c:axPos val="l"/>
        <c:majorGridlines>
          <c:spPr>
            <a:ln w="6350">
              <a:solidFill>
                <a:schemeClr val="bg1">
                  <a:lumMod val="85000"/>
                </a:schemeClr>
              </a:solidFill>
            </a:ln>
          </c:spPr>
        </c:majorGridlines>
        <c:numFmt formatCode="0" sourceLinked="0"/>
        <c:majorTickMark val="none"/>
        <c:minorTickMark val="none"/>
        <c:tickLblPos val="nextTo"/>
        <c:spPr>
          <a:ln w="9525">
            <a:noFill/>
          </a:ln>
        </c:spPr>
        <c:crossAx val="462588912"/>
        <c:crosses val="autoZero"/>
        <c:crossBetween val="between"/>
        <c:majorUnit val="1"/>
      </c:valAx>
    </c:plotArea>
    <c:legend>
      <c:legendPos val="b"/>
      <c:layout>
        <c:manualLayout>
          <c:xMode val="edge"/>
          <c:yMode val="edge"/>
          <c:x val="0.24779202891514407"/>
          <c:y val="0.87551593834930908"/>
          <c:w val="0.56133381863342047"/>
          <c:h val="9.2672284270437402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47</Pages>
  <Words>11294</Words>
  <Characters>64379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dcterms:created xsi:type="dcterms:W3CDTF">2018-04-04T04:49:00Z</dcterms:created>
  <dcterms:modified xsi:type="dcterms:W3CDTF">2018-04-04T04:49:00Z</dcterms:modified>
</cp:coreProperties>
</file>