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0.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5" w:rsidRPr="00560465" w:rsidRDefault="00FC6C85" w:rsidP="00FC6C85">
      <w:pPr>
        <w:spacing w:after="0" w:line="20" w:lineRule="atLeast"/>
        <w:jc w:val="center"/>
        <w:outlineLvl w:val="0"/>
        <w:rPr>
          <w:rFonts w:ascii="Garamond" w:hAnsi="Garamond"/>
          <w:b/>
          <w:color w:val="000080"/>
          <w:sz w:val="144"/>
          <w:szCs w:val="144"/>
        </w:rPr>
      </w:pPr>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A0047C" w:rsidP="00FC6C85">
      <w:pPr>
        <w:spacing w:after="0" w:line="20" w:lineRule="atLeast"/>
        <w:jc w:val="center"/>
        <w:rPr>
          <w:rFonts w:ascii="Garamond" w:hAnsi="Garamond"/>
          <w:b/>
          <w:color w:val="FF0000"/>
          <w:sz w:val="28"/>
          <w:szCs w:val="28"/>
        </w:rPr>
      </w:pPr>
      <w:r>
        <w:rPr>
          <w:rFonts w:ascii="Garamond" w:hAnsi="Garamond"/>
          <w:b/>
          <w:color w:val="000080"/>
          <w:sz w:val="28"/>
          <w:szCs w:val="28"/>
        </w:rPr>
        <w:t>July</w:t>
      </w:r>
      <w:r w:rsidR="00FC6C85" w:rsidRPr="00560465">
        <w:rPr>
          <w:rFonts w:ascii="Garamond" w:hAnsi="Garamond"/>
          <w:b/>
          <w:color w:val="000080"/>
          <w:sz w:val="28"/>
          <w:szCs w:val="28"/>
        </w:rPr>
        <w:t xml:space="preserve"> 2017   VOL. 15</w:t>
      </w:r>
      <w:r w:rsidR="00FC6C85" w:rsidRPr="00560465">
        <w:rPr>
          <w:rFonts w:ascii="Garamond" w:hAnsi="Garamond"/>
          <w:b/>
          <w:color w:val="000080"/>
          <w:sz w:val="28"/>
          <w:szCs w:val="28"/>
        </w:rPr>
        <w:tab/>
        <w:t xml:space="preserve">  </w:t>
      </w:r>
      <w:r>
        <w:rPr>
          <w:rFonts w:ascii="Garamond" w:hAnsi="Garamond"/>
          <w:b/>
          <w:color w:val="FF0000"/>
          <w:sz w:val="28"/>
          <w:szCs w:val="28"/>
        </w:rPr>
        <w:t>NUMBER 7</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 xml:space="preserve">Mr. </w:t>
      </w:r>
      <w:proofErr w:type="spellStart"/>
      <w:r w:rsidRPr="00560465">
        <w:rPr>
          <w:rFonts w:ascii="Garamond" w:hAnsi="Garamond"/>
          <w:b/>
          <w:sz w:val="24"/>
          <w:szCs w:val="24"/>
        </w:rPr>
        <w:t>Ananta</w:t>
      </w:r>
      <w:proofErr w:type="spellEnd"/>
      <w:r w:rsidRPr="00560465">
        <w:rPr>
          <w:rFonts w:ascii="Garamond" w:hAnsi="Garamond"/>
          <w:b/>
          <w:sz w:val="24"/>
          <w:szCs w:val="24"/>
        </w:rPr>
        <w:t xml:space="preserve"> </w:t>
      </w:r>
      <w:proofErr w:type="spellStart"/>
      <w:r w:rsidRPr="00560465">
        <w:rPr>
          <w:rFonts w:ascii="Garamond" w:hAnsi="Garamond"/>
          <w:b/>
          <w:sz w:val="24"/>
          <w:szCs w:val="24"/>
        </w:rPr>
        <w:t>Barua</w:t>
      </w:r>
      <w:proofErr w:type="spellEnd"/>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 xml:space="preserve">Mr. J. </w:t>
      </w:r>
      <w:proofErr w:type="spellStart"/>
      <w:r w:rsidRPr="00560465">
        <w:rPr>
          <w:rFonts w:ascii="Garamond" w:hAnsi="Garamond"/>
          <w:b/>
          <w:sz w:val="24"/>
          <w:szCs w:val="24"/>
        </w:rPr>
        <w:t>Ranganayakulu</w:t>
      </w:r>
      <w:proofErr w:type="spellEnd"/>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 xml:space="preserve">Mr. S. V. </w:t>
      </w:r>
      <w:proofErr w:type="spellStart"/>
      <w:r w:rsidRPr="00560465">
        <w:rPr>
          <w:rFonts w:ascii="Garamond" w:hAnsi="Garamond"/>
          <w:b/>
          <w:sz w:val="24"/>
          <w:szCs w:val="24"/>
        </w:rPr>
        <w:t>Murali</w:t>
      </w:r>
      <w:proofErr w:type="spellEnd"/>
      <w:r w:rsidRPr="00560465">
        <w:rPr>
          <w:rFonts w:ascii="Garamond" w:hAnsi="Garamond"/>
          <w:b/>
          <w:sz w:val="24"/>
          <w:szCs w:val="24"/>
        </w:rPr>
        <w:t xml:space="preserve"> </w:t>
      </w:r>
      <w:proofErr w:type="spellStart"/>
      <w:r w:rsidRPr="00560465">
        <w:rPr>
          <w:rFonts w:ascii="Garamond" w:hAnsi="Garamond"/>
          <w:b/>
          <w:sz w:val="24"/>
          <w:szCs w:val="24"/>
        </w:rPr>
        <w:t>Dhar</w:t>
      </w:r>
      <w:proofErr w:type="spellEnd"/>
      <w:r w:rsidRPr="00560465">
        <w:rPr>
          <w:rFonts w:ascii="Garamond" w:hAnsi="Garamond"/>
          <w:b/>
          <w:sz w:val="24"/>
          <w:szCs w:val="24"/>
        </w:rPr>
        <w:t xml:space="preserve">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127BC5">
        <w:rPr>
          <w:rFonts w:ascii="Garamond" w:hAnsi="Garamond"/>
          <w:b/>
          <w:color w:val="0000FF"/>
          <w:sz w:val="24"/>
          <w:szCs w:val="24"/>
        </w:rPr>
        <w:t>JULY</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outlineLvl w:val="0"/>
        <w:rPr>
          <w:rFonts w:ascii="Garamond" w:hAnsi="Garamond" w:cs="Helvetica"/>
          <w:b/>
          <w:color w:val="7030A0"/>
          <w:sz w:val="32"/>
          <w:szCs w:val="40"/>
          <w:lang w:val="en-GB"/>
        </w:rPr>
      </w:pPr>
      <w:r w:rsidRPr="007D38B4">
        <w:rPr>
          <w:rFonts w:ascii="Garamond" w:hAnsi="Garamond" w:cs="Helvetica"/>
          <w:b/>
          <w:color w:val="7030A0"/>
          <w:sz w:val="32"/>
          <w:szCs w:val="40"/>
          <w:lang w:val="en-GB"/>
        </w:rPr>
        <w:lastRenderedPageBreak/>
        <w:t>CAPITAL MARKET REVIEW</w:t>
      </w:r>
    </w:p>
    <w:p w:rsidR="00FC6C85" w:rsidRPr="00560465" w:rsidRDefault="00FC6C85" w:rsidP="00FC6C85">
      <w:pPr>
        <w:spacing w:after="0" w:line="20" w:lineRule="atLeast"/>
        <w:jc w:val="center"/>
        <w:rPr>
          <w:rFonts w:ascii="Garamond" w:hAnsi="Garamond" w:cs="Helvetica"/>
          <w:b/>
          <w:color w:val="0033CC"/>
          <w:sz w:val="24"/>
          <w:szCs w:val="24"/>
          <w:lang w:val="en-GB"/>
        </w:rPr>
      </w:pPr>
    </w:p>
    <w:p w:rsidR="00FC6C85" w:rsidRPr="00560465" w:rsidRDefault="00FC6C85" w:rsidP="00FC6C85">
      <w:pPr>
        <w:spacing w:after="0" w:line="240" w:lineRule="auto"/>
        <w:jc w:val="center"/>
        <w:rPr>
          <w:rFonts w:ascii="Garamond" w:hAnsi="Garamond"/>
          <w:b/>
          <w:color w:val="000099"/>
        </w:rPr>
      </w:pPr>
    </w:p>
    <w:p w:rsidR="00BB0159" w:rsidRPr="00BB0159" w:rsidRDefault="00BB0159" w:rsidP="00BB0159">
      <w:pPr>
        <w:widowControl w:val="0"/>
        <w:numPr>
          <w:ilvl w:val="0"/>
          <w:numId w:val="3"/>
        </w:numPr>
        <w:spacing w:after="0" w:line="240" w:lineRule="auto"/>
        <w:contextualSpacing/>
        <w:jc w:val="both"/>
        <w:rPr>
          <w:rFonts w:ascii="Helvetica" w:hAnsi="Helvetica"/>
          <w:b/>
          <w:color w:val="000000"/>
          <w:sz w:val="24"/>
          <w:szCs w:val="24"/>
          <w:lang w:val="en-GB"/>
        </w:rPr>
      </w:pPr>
      <w:bookmarkStart w:id="0" w:name="OLE_LINK3"/>
      <w:bookmarkStart w:id="1" w:name="OLE_LINK4"/>
      <w:r w:rsidRPr="00BB0159">
        <w:rPr>
          <w:rFonts w:ascii="Helvetica" w:hAnsi="Helvetica"/>
          <w:b/>
          <w:color w:val="000000"/>
          <w:sz w:val="24"/>
          <w:szCs w:val="24"/>
          <w:lang w:val="en-GB"/>
        </w:rPr>
        <w:t>Trends in Primary Market</w:t>
      </w:r>
    </w:p>
    <w:bookmarkEnd w:id="0"/>
    <w:bookmarkEnd w:id="1"/>
    <w:p w:rsidR="007D38B4" w:rsidRPr="007D38B4" w:rsidRDefault="007D38B4" w:rsidP="007D38B4">
      <w:pPr>
        <w:numPr>
          <w:ilvl w:val="0"/>
          <w:numId w:val="1"/>
        </w:numPr>
        <w:spacing w:line="240" w:lineRule="auto"/>
        <w:jc w:val="both"/>
        <w:rPr>
          <w:rFonts w:ascii="Helvetica" w:hAnsi="Helvetica"/>
          <w:b/>
          <w:sz w:val="24"/>
          <w:szCs w:val="24"/>
          <w:lang w:val="en-GB"/>
        </w:rPr>
      </w:pPr>
      <w:r w:rsidRPr="007D38B4">
        <w:rPr>
          <w:rFonts w:ascii="Helvetica" w:hAnsi="Helvetica"/>
          <w:b/>
          <w:sz w:val="24"/>
          <w:szCs w:val="24"/>
          <w:lang w:val="en-GB"/>
        </w:rPr>
        <w:t>Public and Rights Issues</w:t>
      </w:r>
    </w:p>
    <w:p w:rsidR="007D38B4" w:rsidRPr="007D38B4" w:rsidRDefault="007D38B4" w:rsidP="007D38B4">
      <w:pPr>
        <w:autoSpaceDE w:val="0"/>
        <w:autoSpaceDN w:val="0"/>
        <w:adjustRightInd w:val="0"/>
        <w:spacing w:line="240" w:lineRule="auto"/>
        <w:jc w:val="both"/>
        <w:rPr>
          <w:rFonts w:ascii="Helvetica" w:hAnsi="Helvetica"/>
          <w:sz w:val="24"/>
          <w:szCs w:val="24"/>
          <w:lang w:val="en-GB"/>
        </w:rPr>
      </w:pPr>
      <w:r w:rsidRPr="007D38B4">
        <w:rPr>
          <w:rFonts w:ascii="Helvetica" w:hAnsi="Helvetica"/>
          <w:sz w:val="24"/>
          <w:szCs w:val="24"/>
          <w:lang w:val="en-GB"/>
        </w:rPr>
        <w:t xml:space="preserve">Indian primary market recorded uptick in resource mobilisation during June 2017 compared to the previous month. During the month under review, the primary market witnessed 15 equity issues that mobilised </w:t>
      </w:r>
      <w:r w:rsidRPr="007D38B4">
        <w:rPr>
          <w:rFonts w:ascii="Rupee Foradian" w:eastAsia="Times New Roman" w:hAnsi="Rupee Foradian"/>
          <w:bCs/>
          <w:sz w:val="24"/>
          <w:szCs w:val="20"/>
          <w:lang w:val="en-GB" w:eastAsia="en-GB" w:bidi="bn-IN"/>
        </w:rPr>
        <w:t xml:space="preserve">` </w:t>
      </w:r>
      <w:r w:rsidRPr="007D38B4">
        <w:rPr>
          <w:rFonts w:ascii="Helvetica" w:hAnsi="Helvetica"/>
          <w:sz w:val="24"/>
          <w:szCs w:val="24"/>
          <w:lang w:val="en-GB"/>
        </w:rPr>
        <w:t xml:space="preserve">5,632 crore compared to 7 equity issues during May 2017 that mobilised </w:t>
      </w:r>
      <w:r w:rsidRPr="007D38B4">
        <w:rPr>
          <w:rFonts w:ascii="Rupee Foradian" w:eastAsia="Times New Roman" w:hAnsi="Rupee Foradian"/>
          <w:bCs/>
          <w:sz w:val="24"/>
          <w:szCs w:val="20"/>
          <w:lang w:val="en-GB" w:eastAsia="en-GB" w:bidi="bn-IN"/>
        </w:rPr>
        <w:t xml:space="preserve">` </w:t>
      </w:r>
      <w:r w:rsidRPr="007D38B4">
        <w:rPr>
          <w:rFonts w:ascii="Helvetica" w:hAnsi="Helvetica"/>
          <w:sz w:val="24"/>
          <w:szCs w:val="24"/>
          <w:lang w:val="en-GB"/>
        </w:rPr>
        <w:t xml:space="preserve">1,480 crore. There were 14 initial public offerings (IPOs) that raised 5,512 crore and one rights issue that raised </w:t>
      </w:r>
      <w:r w:rsidRPr="007D38B4">
        <w:rPr>
          <w:rFonts w:ascii="Rupee Foradian" w:hAnsi="Rupee Foradian"/>
          <w:sz w:val="24"/>
          <w:szCs w:val="24"/>
        </w:rPr>
        <w:t>`</w:t>
      </w:r>
      <w:r w:rsidRPr="007D38B4">
        <w:rPr>
          <w:rFonts w:ascii="Helvetica" w:hAnsi="Helvetica"/>
          <w:sz w:val="24"/>
          <w:szCs w:val="24"/>
        </w:rPr>
        <w:t xml:space="preserve"> 120 crore</w:t>
      </w:r>
      <w:r w:rsidRPr="007D38B4">
        <w:rPr>
          <w:rFonts w:ascii="Helvetica" w:hAnsi="Helvetica"/>
          <w:sz w:val="24"/>
          <w:szCs w:val="24"/>
          <w:lang w:val="en-GB"/>
        </w:rPr>
        <w:t>.</w:t>
      </w:r>
    </w:p>
    <w:p w:rsidR="007D38B4" w:rsidRPr="007D38B4" w:rsidRDefault="007D38B4" w:rsidP="007D38B4">
      <w:pPr>
        <w:autoSpaceDE w:val="0"/>
        <w:autoSpaceDN w:val="0"/>
        <w:adjustRightInd w:val="0"/>
        <w:spacing w:line="240" w:lineRule="auto"/>
        <w:jc w:val="both"/>
        <w:rPr>
          <w:rFonts w:ascii="Helvetica" w:hAnsi="Helvetica"/>
          <w:color w:val="0033CC"/>
          <w:sz w:val="24"/>
          <w:szCs w:val="24"/>
          <w:lang w:val="en-GB"/>
        </w:rPr>
      </w:pPr>
    </w:p>
    <w:p w:rsidR="007D38B4" w:rsidRPr="007D38B4" w:rsidRDefault="007D38B4" w:rsidP="007D38B4">
      <w:pPr>
        <w:spacing w:after="0" w:line="240" w:lineRule="auto"/>
        <w:jc w:val="both"/>
        <w:outlineLvl w:val="0"/>
        <w:rPr>
          <w:rFonts w:ascii="Helvetica" w:eastAsia="Times New Roman" w:hAnsi="Helvetica"/>
          <w:b/>
          <w:bCs/>
          <w:sz w:val="24"/>
          <w:szCs w:val="24"/>
          <w:lang w:val="en-GB"/>
        </w:rPr>
      </w:pPr>
      <w:r w:rsidRPr="007D38B4">
        <w:rPr>
          <w:rFonts w:ascii="Helvetica" w:eastAsia="Times New Roman" w:hAnsi="Helvetica"/>
          <w:b/>
          <w:bCs/>
          <w:sz w:val="24"/>
          <w:szCs w:val="24"/>
          <w:lang w:val="en-GB"/>
        </w:rPr>
        <w:t>Exhibit 1: Primary Market Trends (Public &amp; Rights Issues)</w:t>
      </w:r>
    </w:p>
    <w:p w:rsidR="007D38B4" w:rsidRPr="007D38B4" w:rsidRDefault="007D38B4" w:rsidP="007D38B4">
      <w:pPr>
        <w:spacing w:after="0" w:line="240" w:lineRule="auto"/>
        <w:jc w:val="both"/>
        <w:outlineLvl w:val="0"/>
        <w:rPr>
          <w:rFonts w:ascii="Helvetica" w:eastAsia="Times New Roman" w:hAnsi="Helvetica"/>
          <w:b/>
          <w:bCs/>
          <w:sz w:val="24"/>
          <w:szCs w:val="24"/>
          <w:lang w:val="en-GB"/>
        </w:rPr>
      </w:pPr>
    </w:p>
    <w:tbl>
      <w:tblPr>
        <w:tblW w:w="9238" w:type="dxa"/>
        <w:tblCellMar>
          <w:left w:w="58" w:type="dxa"/>
          <w:right w:w="58" w:type="dxa"/>
        </w:tblCellMar>
        <w:tblLook w:val="04A0" w:firstRow="1" w:lastRow="0" w:firstColumn="1" w:lastColumn="0" w:noHBand="0" w:noVBand="1"/>
      </w:tblPr>
      <w:tblGrid>
        <w:gridCol w:w="2425"/>
        <w:gridCol w:w="757"/>
        <w:gridCol w:w="964"/>
        <w:gridCol w:w="757"/>
        <w:gridCol w:w="923"/>
        <w:gridCol w:w="757"/>
        <w:gridCol w:w="944"/>
        <w:gridCol w:w="757"/>
        <w:gridCol w:w="954"/>
      </w:tblGrid>
      <w:tr w:rsidR="007D38B4" w:rsidRPr="007D38B4" w:rsidTr="007D38B4">
        <w:trPr>
          <w:trHeight w:val="68"/>
        </w:trPr>
        <w:tc>
          <w:tcPr>
            <w:tcW w:w="2425" w:type="dxa"/>
            <w:tcBorders>
              <w:top w:val="single" w:sz="4" w:space="0" w:color="auto"/>
              <w:left w:val="single" w:sz="4" w:space="0" w:color="auto"/>
              <w:bottom w:val="nil"/>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Items</w:t>
            </w:r>
          </w:p>
        </w:tc>
        <w:tc>
          <w:tcPr>
            <w:tcW w:w="1721"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Jun-17</w:t>
            </w:r>
          </w:p>
        </w:tc>
        <w:tc>
          <w:tcPr>
            <w:tcW w:w="1680"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May-17</w:t>
            </w:r>
          </w:p>
        </w:tc>
        <w:tc>
          <w:tcPr>
            <w:tcW w:w="1701"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2017-18$</w:t>
            </w:r>
          </w:p>
        </w:tc>
        <w:tc>
          <w:tcPr>
            <w:tcW w:w="1711"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2016-17$</w:t>
            </w:r>
          </w:p>
        </w:tc>
      </w:tr>
      <w:tr w:rsidR="007D38B4" w:rsidRPr="007D38B4" w:rsidTr="007D38B4">
        <w:trPr>
          <w:trHeight w:val="55"/>
        </w:trPr>
        <w:tc>
          <w:tcPr>
            <w:tcW w:w="2425" w:type="dxa"/>
            <w:tcBorders>
              <w:top w:val="nil"/>
              <w:left w:val="single" w:sz="4" w:space="0" w:color="auto"/>
              <w:bottom w:val="nil"/>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w:t>
            </w:r>
          </w:p>
        </w:tc>
        <w:tc>
          <w:tcPr>
            <w:tcW w:w="757"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No. of Issues</w:t>
            </w:r>
          </w:p>
        </w:tc>
        <w:tc>
          <w:tcPr>
            <w:tcW w:w="964"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Amount (</w:t>
            </w:r>
            <w:r w:rsidRPr="007D38B4">
              <w:rPr>
                <w:rFonts w:ascii="Rupee Foradian" w:eastAsia="Times New Roman" w:hAnsi="Rupee Foradian"/>
                <w:b/>
                <w:bCs/>
                <w:sz w:val="20"/>
                <w:szCs w:val="20"/>
                <w:lang w:val="en-GB" w:eastAsia="en-GB" w:bidi="bn-IN"/>
              </w:rPr>
              <w:t>`</w:t>
            </w:r>
            <w:r w:rsidRPr="007D38B4">
              <w:rPr>
                <w:rFonts w:ascii="Helvetica" w:eastAsia="Times New Roman" w:hAnsi="Helvetica" w:cs="Helvetica"/>
                <w:b/>
                <w:bCs/>
                <w:sz w:val="20"/>
                <w:szCs w:val="20"/>
                <w:lang w:val="en-GB" w:eastAsia="en-GB"/>
              </w:rPr>
              <w:t xml:space="preserve"> crore)</w:t>
            </w:r>
          </w:p>
        </w:tc>
        <w:tc>
          <w:tcPr>
            <w:tcW w:w="757"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No. of Issues</w:t>
            </w:r>
          </w:p>
        </w:tc>
        <w:tc>
          <w:tcPr>
            <w:tcW w:w="923"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Amount (</w:t>
            </w:r>
            <w:r w:rsidRPr="007D38B4">
              <w:rPr>
                <w:rFonts w:ascii="Rupee Foradian" w:eastAsia="Times New Roman" w:hAnsi="Rupee Foradian"/>
                <w:b/>
                <w:bCs/>
                <w:sz w:val="20"/>
                <w:szCs w:val="20"/>
                <w:lang w:val="en-GB" w:eastAsia="en-GB" w:bidi="bn-IN"/>
              </w:rPr>
              <w:t>`</w:t>
            </w:r>
            <w:r w:rsidRPr="007D38B4">
              <w:rPr>
                <w:rFonts w:ascii="Helvetica" w:eastAsia="Times New Roman" w:hAnsi="Helvetica" w:cs="Helvetica"/>
                <w:b/>
                <w:bCs/>
                <w:sz w:val="20"/>
                <w:szCs w:val="20"/>
                <w:lang w:val="en-GB" w:eastAsia="en-GB"/>
              </w:rPr>
              <w:t xml:space="preserve"> crore)</w:t>
            </w:r>
          </w:p>
        </w:tc>
        <w:tc>
          <w:tcPr>
            <w:tcW w:w="757"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No. of Issues</w:t>
            </w:r>
          </w:p>
        </w:tc>
        <w:tc>
          <w:tcPr>
            <w:tcW w:w="944"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Amount (</w:t>
            </w:r>
            <w:r w:rsidRPr="007D38B4">
              <w:rPr>
                <w:rFonts w:ascii="Rupee Foradian" w:eastAsia="Times New Roman" w:hAnsi="Rupee Foradian"/>
                <w:b/>
                <w:bCs/>
                <w:sz w:val="20"/>
                <w:szCs w:val="20"/>
                <w:lang w:val="en-GB" w:eastAsia="en-GB" w:bidi="bn-IN"/>
              </w:rPr>
              <w:t>`</w:t>
            </w:r>
            <w:r w:rsidRPr="007D38B4">
              <w:rPr>
                <w:rFonts w:ascii="Helvetica" w:eastAsia="Times New Roman" w:hAnsi="Helvetica" w:cs="Helvetica"/>
                <w:b/>
                <w:bCs/>
                <w:sz w:val="20"/>
                <w:szCs w:val="20"/>
                <w:lang w:val="en-GB" w:eastAsia="en-GB"/>
              </w:rPr>
              <w:t xml:space="preserve"> crore)</w:t>
            </w:r>
          </w:p>
        </w:tc>
        <w:tc>
          <w:tcPr>
            <w:tcW w:w="757"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No. of Issues</w:t>
            </w:r>
          </w:p>
        </w:tc>
        <w:tc>
          <w:tcPr>
            <w:tcW w:w="954" w:type="dxa"/>
            <w:vMerge w:val="restart"/>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Amount (</w:t>
            </w:r>
            <w:r w:rsidRPr="007D38B4">
              <w:rPr>
                <w:rFonts w:ascii="Rupee Foradian" w:eastAsia="Times New Roman" w:hAnsi="Rupee Foradian"/>
                <w:b/>
                <w:bCs/>
                <w:sz w:val="20"/>
                <w:szCs w:val="20"/>
                <w:lang w:val="en-GB" w:eastAsia="en-GB" w:bidi="bn-IN"/>
              </w:rPr>
              <w:t>`</w:t>
            </w:r>
            <w:r w:rsidRPr="007D38B4">
              <w:rPr>
                <w:rFonts w:ascii="Helvetica" w:eastAsia="Times New Roman" w:hAnsi="Helvetica" w:cs="Helvetica"/>
                <w:b/>
                <w:bCs/>
                <w:sz w:val="20"/>
                <w:szCs w:val="20"/>
                <w:lang w:val="en-GB" w:eastAsia="en-GB"/>
              </w:rPr>
              <w:t xml:space="preserve"> crore)</w:t>
            </w:r>
          </w:p>
        </w:tc>
      </w:tr>
      <w:tr w:rsidR="007D38B4" w:rsidRPr="007D38B4" w:rsidTr="007D38B4">
        <w:trPr>
          <w:trHeight w:val="85"/>
        </w:trPr>
        <w:tc>
          <w:tcPr>
            <w:tcW w:w="2425" w:type="dxa"/>
            <w:tcBorders>
              <w:top w:val="nil"/>
              <w:left w:val="single" w:sz="4" w:space="0" w:color="auto"/>
              <w:bottom w:val="single" w:sz="4" w:space="0" w:color="auto"/>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w:t>
            </w:r>
          </w:p>
        </w:tc>
        <w:tc>
          <w:tcPr>
            <w:tcW w:w="757"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964"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757"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923"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757"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944"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757"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954" w:type="dxa"/>
            <w:vMerge/>
            <w:tcBorders>
              <w:top w:val="nil"/>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r>
      <w:tr w:rsidR="007D38B4" w:rsidRPr="007D38B4" w:rsidTr="007D38B4">
        <w:trPr>
          <w:trHeight w:val="68"/>
        </w:trPr>
        <w:tc>
          <w:tcPr>
            <w:tcW w:w="2425" w:type="dxa"/>
            <w:tcBorders>
              <w:top w:val="nil"/>
              <w:left w:val="single" w:sz="4" w:space="0" w:color="auto"/>
              <w:bottom w:val="single" w:sz="4" w:space="0" w:color="auto"/>
              <w:right w:val="nil"/>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1</w:t>
            </w:r>
          </w:p>
        </w:tc>
        <w:tc>
          <w:tcPr>
            <w:tcW w:w="757" w:type="dxa"/>
            <w:tcBorders>
              <w:top w:val="nil"/>
              <w:left w:val="single" w:sz="4" w:space="0" w:color="auto"/>
              <w:bottom w:val="nil"/>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2</w:t>
            </w:r>
          </w:p>
        </w:tc>
        <w:tc>
          <w:tcPr>
            <w:tcW w:w="964" w:type="dxa"/>
            <w:tcBorders>
              <w:top w:val="nil"/>
              <w:left w:val="single" w:sz="4" w:space="0" w:color="auto"/>
              <w:bottom w:val="nil"/>
              <w:right w:val="nil"/>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3</w:t>
            </w:r>
          </w:p>
        </w:tc>
        <w:tc>
          <w:tcPr>
            <w:tcW w:w="757" w:type="dxa"/>
            <w:tcBorders>
              <w:top w:val="nil"/>
              <w:left w:val="single" w:sz="4" w:space="0" w:color="auto"/>
              <w:bottom w:val="nil"/>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4</w:t>
            </w:r>
          </w:p>
        </w:tc>
        <w:tc>
          <w:tcPr>
            <w:tcW w:w="923" w:type="dxa"/>
            <w:tcBorders>
              <w:top w:val="nil"/>
              <w:left w:val="single" w:sz="4" w:space="0" w:color="auto"/>
              <w:bottom w:val="nil"/>
              <w:right w:val="nil"/>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5</w:t>
            </w:r>
          </w:p>
        </w:tc>
        <w:tc>
          <w:tcPr>
            <w:tcW w:w="757" w:type="dxa"/>
            <w:tcBorders>
              <w:top w:val="nil"/>
              <w:left w:val="single" w:sz="4" w:space="0" w:color="auto"/>
              <w:bottom w:val="single" w:sz="4" w:space="0" w:color="auto"/>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6</w:t>
            </w:r>
          </w:p>
        </w:tc>
        <w:tc>
          <w:tcPr>
            <w:tcW w:w="944" w:type="dxa"/>
            <w:tcBorders>
              <w:top w:val="nil"/>
              <w:left w:val="single" w:sz="4" w:space="0" w:color="auto"/>
              <w:bottom w:val="single" w:sz="4" w:space="0" w:color="auto"/>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7</w:t>
            </w:r>
          </w:p>
        </w:tc>
        <w:tc>
          <w:tcPr>
            <w:tcW w:w="757" w:type="dxa"/>
            <w:tcBorders>
              <w:top w:val="nil"/>
              <w:left w:val="nil"/>
              <w:bottom w:val="nil"/>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8</w:t>
            </w:r>
          </w:p>
        </w:tc>
        <w:tc>
          <w:tcPr>
            <w:tcW w:w="954" w:type="dxa"/>
            <w:tcBorders>
              <w:top w:val="nil"/>
              <w:left w:val="single" w:sz="4" w:space="0" w:color="auto"/>
              <w:bottom w:val="single" w:sz="4" w:space="0" w:color="auto"/>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9</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a. Public Issues</w:t>
            </w:r>
          </w:p>
        </w:tc>
        <w:tc>
          <w:tcPr>
            <w:tcW w:w="757" w:type="dxa"/>
            <w:tcBorders>
              <w:top w:val="single" w:sz="4" w:space="0" w:color="auto"/>
              <w:left w:val="single" w:sz="4" w:space="0" w:color="auto"/>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w:t>
            </w:r>
          </w:p>
        </w:tc>
        <w:tc>
          <w:tcPr>
            <w:tcW w:w="964" w:type="dxa"/>
            <w:tcBorders>
              <w:top w:val="single" w:sz="4" w:space="0" w:color="auto"/>
              <w:left w:val="single" w:sz="4" w:space="0" w:color="auto"/>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5,512</w:t>
            </w:r>
          </w:p>
        </w:tc>
        <w:tc>
          <w:tcPr>
            <w:tcW w:w="757" w:type="dxa"/>
            <w:tcBorders>
              <w:top w:val="single" w:sz="4" w:space="0" w:color="auto"/>
              <w:left w:val="nil"/>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w:t>
            </w:r>
          </w:p>
        </w:tc>
        <w:tc>
          <w:tcPr>
            <w:tcW w:w="923" w:type="dxa"/>
            <w:tcBorders>
              <w:top w:val="single" w:sz="4" w:space="0" w:color="auto"/>
              <w:left w:val="single" w:sz="4" w:space="0" w:color="auto"/>
              <w:bottom w:val="nil"/>
              <w:right w:val="nil"/>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1,480</w:t>
            </w:r>
          </w:p>
        </w:tc>
        <w:tc>
          <w:tcPr>
            <w:tcW w:w="757" w:type="dxa"/>
            <w:tcBorders>
              <w:top w:val="nil"/>
              <w:left w:val="single" w:sz="4" w:space="0" w:color="auto"/>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31</w:t>
            </w:r>
          </w:p>
        </w:tc>
        <w:tc>
          <w:tcPr>
            <w:tcW w:w="944" w:type="dxa"/>
            <w:tcBorders>
              <w:top w:val="nil"/>
              <w:left w:val="single" w:sz="4" w:space="0" w:color="auto"/>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9,824</w:t>
            </w:r>
          </w:p>
        </w:tc>
        <w:tc>
          <w:tcPr>
            <w:tcW w:w="757" w:type="dxa"/>
            <w:tcBorders>
              <w:top w:val="single" w:sz="4" w:space="0" w:color="auto"/>
              <w:left w:val="nil"/>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23</w:t>
            </w:r>
          </w:p>
        </w:tc>
        <w:tc>
          <w:tcPr>
            <w:tcW w:w="954" w:type="dxa"/>
            <w:tcBorders>
              <w:top w:val="nil"/>
              <w:left w:val="single" w:sz="4" w:space="0" w:color="auto"/>
              <w:bottom w:val="nil"/>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7,761</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w:t>
            </w:r>
            <w:proofErr w:type="spellStart"/>
            <w:r w:rsidRPr="007D38B4">
              <w:rPr>
                <w:rFonts w:ascii="Helvetica" w:eastAsia="Times New Roman" w:hAnsi="Helvetica" w:cs="Helvetica"/>
                <w:sz w:val="20"/>
                <w:szCs w:val="20"/>
                <w:lang w:val="en-GB" w:eastAsia="en-GB"/>
              </w:rPr>
              <w:t>i</w:t>
            </w:r>
            <w:proofErr w:type="spellEnd"/>
            <w:r w:rsidRPr="007D38B4">
              <w:rPr>
                <w:rFonts w:ascii="Helvetica" w:eastAsia="Times New Roman" w:hAnsi="Helvetica" w:cs="Helvetica"/>
                <w:sz w:val="20"/>
                <w:szCs w:val="20"/>
                <w:lang w:val="en-GB" w:eastAsia="en-GB"/>
              </w:rPr>
              <w:t>) Debt</w:t>
            </w:r>
          </w:p>
        </w:tc>
        <w:tc>
          <w:tcPr>
            <w:tcW w:w="757"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6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23"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w:t>
            </w:r>
          </w:p>
        </w:tc>
        <w:tc>
          <w:tcPr>
            <w:tcW w:w="94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1,969</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w:t>
            </w:r>
          </w:p>
        </w:tc>
        <w:tc>
          <w:tcPr>
            <w:tcW w:w="95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1,899</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 Equity, of which</w:t>
            </w:r>
          </w:p>
        </w:tc>
        <w:tc>
          <w:tcPr>
            <w:tcW w:w="757"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96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923"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94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95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ind w:left="297"/>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IPOs</w:t>
            </w:r>
          </w:p>
        </w:tc>
        <w:tc>
          <w:tcPr>
            <w:tcW w:w="757"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w:t>
            </w:r>
          </w:p>
        </w:tc>
        <w:tc>
          <w:tcPr>
            <w:tcW w:w="96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5,512</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w:t>
            </w:r>
          </w:p>
        </w:tc>
        <w:tc>
          <w:tcPr>
            <w:tcW w:w="923"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1,480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30</w:t>
            </w:r>
          </w:p>
        </w:tc>
        <w:tc>
          <w:tcPr>
            <w:tcW w:w="94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7,856</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19</w:t>
            </w:r>
          </w:p>
        </w:tc>
        <w:tc>
          <w:tcPr>
            <w:tcW w:w="95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5,862</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ind w:left="297"/>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FPOs</w:t>
            </w:r>
          </w:p>
        </w:tc>
        <w:tc>
          <w:tcPr>
            <w:tcW w:w="757"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6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23"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4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5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b. Rights Issues</w:t>
            </w:r>
          </w:p>
        </w:tc>
        <w:tc>
          <w:tcPr>
            <w:tcW w:w="757"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w:t>
            </w:r>
          </w:p>
        </w:tc>
        <w:tc>
          <w:tcPr>
            <w:tcW w:w="96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120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923"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w:t>
            </w:r>
          </w:p>
        </w:tc>
        <w:tc>
          <w:tcPr>
            <w:tcW w:w="94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488</w:t>
            </w:r>
          </w:p>
        </w:tc>
        <w:tc>
          <w:tcPr>
            <w:tcW w:w="757" w:type="dxa"/>
            <w:tcBorders>
              <w:top w:val="nil"/>
              <w:left w:val="nil"/>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w:t>
            </w:r>
          </w:p>
        </w:tc>
        <w:tc>
          <w:tcPr>
            <w:tcW w:w="954" w:type="dxa"/>
            <w:tcBorders>
              <w:top w:val="nil"/>
              <w:left w:val="single" w:sz="4" w:space="0" w:color="auto"/>
              <w:bottom w:val="nil"/>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75</w:t>
            </w:r>
          </w:p>
        </w:tc>
      </w:tr>
      <w:tr w:rsidR="007D38B4" w:rsidRPr="007D38B4" w:rsidTr="007D38B4">
        <w:trPr>
          <w:trHeight w:val="88"/>
        </w:trPr>
        <w:tc>
          <w:tcPr>
            <w:tcW w:w="2425" w:type="dxa"/>
            <w:tcBorders>
              <w:top w:val="nil"/>
              <w:left w:val="single" w:sz="4" w:space="0" w:color="auto"/>
              <w:bottom w:val="nil"/>
              <w:right w:val="nil"/>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Total Equity Issues a(ii)+b</w:t>
            </w:r>
          </w:p>
        </w:tc>
        <w:tc>
          <w:tcPr>
            <w:tcW w:w="757" w:type="dxa"/>
            <w:tcBorders>
              <w:top w:val="nil"/>
              <w:left w:val="single" w:sz="4" w:space="0" w:color="auto"/>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15</w:t>
            </w:r>
          </w:p>
        </w:tc>
        <w:tc>
          <w:tcPr>
            <w:tcW w:w="964" w:type="dxa"/>
            <w:tcBorders>
              <w:top w:val="nil"/>
              <w:left w:val="single" w:sz="4" w:space="0" w:color="auto"/>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5,632</w:t>
            </w:r>
          </w:p>
        </w:tc>
        <w:tc>
          <w:tcPr>
            <w:tcW w:w="757" w:type="dxa"/>
            <w:tcBorders>
              <w:top w:val="nil"/>
              <w:left w:val="nil"/>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w:t>
            </w:r>
          </w:p>
        </w:tc>
        <w:tc>
          <w:tcPr>
            <w:tcW w:w="923" w:type="dxa"/>
            <w:tcBorders>
              <w:top w:val="nil"/>
              <w:left w:val="single" w:sz="4" w:space="0" w:color="auto"/>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1,480</w:t>
            </w:r>
          </w:p>
        </w:tc>
        <w:tc>
          <w:tcPr>
            <w:tcW w:w="757" w:type="dxa"/>
            <w:tcBorders>
              <w:top w:val="nil"/>
              <w:left w:val="nil"/>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33</w:t>
            </w:r>
          </w:p>
        </w:tc>
        <w:tc>
          <w:tcPr>
            <w:tcW w:w="944" w:type="dxa"/>
            <w:tcBorders>
              <w:top w:val="nil"/>
              <w:left w:val="single" w:sz="4" w:space="0" w:color="auto"/>
              <w:bottom w:val="single" w:sz="4" w:space="0" w:color="auto"/>
              <w:right w:val="nil"/>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8,343</w:t>
            </w:r>
          </w:p>
        </w:tc>
        <w:tc>
          <w:tcPr>
            <w:tcW w:w="757" w:type="dxa"/>
            <w:tcBorders>
              <w:top w:val="nil"/>
              <w:left w:val="single" w:sz="4" w:space="0" w:color="auto"/>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20</w:t>
            </w:r>
          </w:p>
        </w:tc>
        <w:tc>
          <w:tcPr>
            <w:tcW w:w="954" w:type="dxa"/>
            <w:tcBorders>
              <w:top w:val="nil"/>
              <w:left w:val="single" w:sz="4" w:space="0" w:color="auto"/>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5,937</w:t>
            </w:r>
          </w:p>
        </w:tc>
      </w:tr>
      <w:tr w:rsidR="007D38B4" w:rsidRPr="007D38B4" w:rsidTr="007D38B4">
        <w:trPr>
          <w:trHeight w:val="75"/>
        </w:trPr>
        <w:tc>
          <w:tcPr>
            <w:tcW w:w="2425" w:type="dxa"/>
            <w:tcBorders>
              <w:top w:val="single" w:sz="4" w:space="0" w:color="auto"/>
              <w:left w:val="single" w:sz="4" w:space="0" w:color="auto"/>
              <w:bottom w:val="single" w:sz="4" w:space="0" w:color="auto"/>
              <w:right w:val="nil"/>
            </w:tcBorders>
            <w:shd w:val="clear" w:color="auto" w:fill="D9E2F3"/>
            <w:noWrap/>
            <w:vAlign w:val="bottom"/>
            <w:hideMark/>
          </w:tcPr>
          <w:p w:rsidR="007D38B4" w:rsidRPr="007D38B4" w:rsidRDefault="007D38B4" w:rsidP="007D38B4">
            <w:pPr>
              <w:spacing w:after="0" w:line="240" w:lineRule="auto"/>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Grand Total (a + b)</w:t>
            </w:r>
          </w:p>
        </w:tc>
        <w:tc>
          <w:tcPr>
            <w:tcW w:w="757"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15</w:t>
            </w:r>
          </w:p>
        </w:tc>
        <w:tc>
          <w:tcPr>
            <w:tcW w:w="964"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5,632</w:t>
            </w:r>
          </w:p>
        </w:tc>
        <w:tc>
          <w:tcPr>
            <w:tcW w:w="75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7</w:t>
            </w:r>
          </w:p>
        </w:tc>
        <w:tc>
          <w:tcPr>
            <w:tcW w:w="923"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1,480</w:t>
            </w:r>
          </w:p>
        </w:tc>
        <w:tc>
          <w:tcPr>
            <w:tcW w:w="75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34</w:t>
            </w:r>
          </w:p>
        </w:tc>
        <w:tc>
          <w:tcPr>
            <w:tcW w:w="944"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10,312</w:t>
            </w:r>
          </w:p>
        </w:tc>
        <w:tc>
          <w:tcPr>
            <w:tcW w:w="75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24</w:t>
            </w:r>
          </w:p>
        </w:tc>
        <w:tc>
          <w:tcPr>
            <w:tcW w:w="954"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i/>
                <w:iCs/>
                <w:color w:val="000000"/>
                <w:sz w:val="20"/>
                <w:szCs w:val="20"/>
                <w:lang w:val="en-GB" w:eastAsia="en-GB"/>
              </w:rPr>
            </w:pPr>
            <w:r w:rsidRPr="007D38B4">
              <w:rPr>
                <w:rFonts w:ascii="Helvetica" w:eastAsia="Times New Roman" w:hAnsi="Helvetica" w:cs="Helvetica"/>
                <w:b/>
                <w:bCs/>
                <w:i/>
                <w:iCs/>
                <w:color w:val="000000"/>
                <w:sz w:val="20"/>
                <w:szCs w:val="20"/>
                <w:lang w:val="en-GB" w:eastAsia="en-GB"/>
              </w:rPr>
              <w:t>7,836</w:t>
            </w:r>
          </w:p>
        </w:tc>
      </w:tr>
    </w:tbl>
    <w:p w:rsidR="007D38B4" w:rsidRPr="007D38B4" w:rsidRDefault="007D38B4" w:rsidP="007D38B4">
      <w:pPr>
        <w:spacing w:after="0" w:line="240" w:lineRule="auto"/>
        <w:rPr>
          <w:rFonts w:ascii="Helvetica" w:hAnsi="Helvetica"/>
          <w:b/>
          <w:i/>
          <w:sz w:val="20"/>
          <w:szCs w:val="20"/>
          <w:lang w:val="en-GB"/>
        </w:rPr>
      </w:pPr>
    </w:p>
    <w:p w:rsidR="007D38B4" w:rsidRPr="007D38B4" w:rsidRDefault="007D38B4" w:rsidP="007D38B4">
      <w:pPr>
        <w:spacing w:after="0" w:line="240" w:lineRule="auto"/>
        <w:rPr>
          <w:rFonts w:ascii="Helvetica" w:hAnsi="Helvetica"/>
          <w:b/>
          <w:i/>
          <w:sz w:val="20"/>
          <w:szCs w:val="20"/>
          <w:lang w:val="en-GB"/>
        </w:rPr>
      </w:pPr>
      <w:r w:rsidRPr="007D38B4">
        <w:rPr>
          <w:rFonts w:ascii="Helvetica" w:hAnsi="Helvetica"/>
          <w:b/>
          <w:i/>
          <w:sz w:val="20"/>
          <w:szCs w:val="20"/>
          <w:lang w:val="en-GB"/>
        </w:rPr>
        <w:t xml:space="preserve">Notes: </w:t>
      </w:r>
    </w:p>
    <w:p w:rsidR="007D38B4" w:rsidRPr="007D38B4" w:rsidRDefault="007D38B4" w:rsidP="007D38B4">
      <w:pPr>
        <w:spacing w:after="0" w:line="240" w:lineRule="auto"/>
        <w:rPr>
          <w:rFonts w:ascii="Helvetica" w:hAnsi="Helvetica"/>
          <w:i/>
          <w:sz w:val="20"/>
          <w:szCs w:val="20"/>
          <w:lang w:val="en-GB"/>
        </w:rPr>
      </w:pPr>
      <w:r w:rsidRPr="007D38B4">
        <w:rPr>
          <w:rFonts w:ascii="Helvetica" w:hAnsi="Helvetica"/>
          <w:i/>
          <w:sz w:val="20"/>
          <w:szCs w:val="20"/>
          <w:lang w:val="en-GB"/>
        </w:rPr>
        <w:t xml:space="preserve">1. IPOs - Initial Public Offers, FPOs - Follow on Public Offers </w:t>
      </w:r>
    </w:p>
    <w:p w:rsidR="007D38B4" w:rsidRPr="007D38B4" w:rsidRDefault="007D38B4" w:rsidP="007D38B4">
      <w:pPr>
        <w:spacing w:after="0" w:line="240" w:lineRule="auto"/>
        <w:rPr>
          <w:rFonts w:ascii="Helvetica" w:hAnsi="Helvetica"/>
          <w:i/>
          <w:sz w:val="20"/>
          <w:szCs w:val="20"/>
          <w:lang w:val="en-GB"/>
        </w:rPr>
      </w:pPr>
      <w:r w:rsidRPr="007D38B4">
        <w:rPr>
          <w:rFonts w:ascii="Helvetica" w:hAnsi="Helvetica"/>
          <w:i/>
          <w:sz w:val="20"/>
          <w:szCs w:val="20"/>
          <w:lang w:val="en-GB"/>
        </w:rPr>
        <w:t>2. Amount raised through debt issues for the last two months are provisional.</w:t>
      </w:r>
    </w:p>
    <w:p w:rsidR="007D38B4" w:rsidRPr="007D38B4" w:rsidRDefault="007D38B4" w:rsidP="007D38B4">
      <w:pPr>
        <w:spacing w:after="0" w:line="240" w:lineRule="auto"/>
        <w:rPr>
          <w:rFonts w:ascii="Helvetica" w:hAnsi="Helvetica"/>
          <w:b/>
          <w:sz w:val="18"/>
          <w:szCs w:val="18"/>
          <w:lang w:val="en-GB"/>
        </w:rPr>
      </w:pPr>
      <w:r w:rsidRPr="007D38B4">
        <w:rPr>
          <w:rFonts w:ascii="Helvetica" w:hAnsi="Helvetica"/>
          <w:i/>
          <w:sz w:val="20"/>
          <w:szCs w:val="20"/>
          <w:lang w:val="en-GB"/>
        </w:rPr>
        <w:t>$ denotes as at the end of June of the respective years</w:t>
      </w:r>
    </w:p>
    <w:p w:rsidR="007D38B4" w:rsidRPr="007D38B4" w:rsidRDefault="007D38B4" w:rsidP="007D38B4">
      <w:pPr>
        <w:spacing w:after="0" w:line="240" w:lineRule="auto"/>
        <w:rPr>
          <w:rFonts w:ascii="Helvetica" w:hAnsi="Helvetica"/>
          <w:b/>
          <w:sz w:val="18"/>
          <w:szCs w:val="18"/>
          <w:lang w:val="en-GB"/>
        </w:rPr>
      </w:pPr>
    </w:p>
    <w:p w:rsidR="007D38B4" w:rsidRPr="007D38B4" w:rsidRDefault="007D38B4" w:rsidP="007D38B4">
      <w:pPr>
        <w:spacing w:after="0" w:line="240" w:lineRule="auto"/>
        <w:rPr>
          <w:rFonts w:ascii="Helvetica" w:hAnsi="Helvetica"/>
          <w:b/>
          <w:color w:val="0033CC"/>
          <w:sz w:val="18"/>
          <w:szCs w:val="18"/>
          <w:lang w:val="en-GB"/>
        </w:rPr>
      </w:pPr>
    </w:p>
    <w:p w:rsidR="007D38B4" w:rsidRPr="007D38B4" w:rsidRDefault="007D38B4" w:rsidP="007D38B4">
      <w:pPr>
        <w:numPr>
          <w:ilvl w:val="0"/>
          <w:numId w:val="1"/>
        </w:numPr>
        <w:spacing w:line="240" w:lineRule="auto"/>
        <w:jc w:val="both"/>
        <w:rPr>
          <w:rFonts w:ascii="Helvetica" w:hAnsi="Helvetica"/>
          <w:b/>
          <w:sz w:val="24"/>
          <w:szCs w:val="24"/>
          <w:lang w:val="en-GB"/>
        </w:rPr>
      </w:pPr>
      <w:r w:rsidRPr="007D38B4">
        <w:rPr>
          <w:rFonts w:ascii="Helvetica" w:hAnsi="Helvetica"/>
          <w:b/>
          <w:sz w:val="24"/>
          <w:szCs w:val="24"/>
          <w:lang w:val="en-GB"/>
        </w:rPr>
        <w:t>Private Placement</w:t>
      </w:r>
    </w:p>
    <w:p w:rsidR="007D38B4" w:rsidRPr="007D38B4" w:rsidRDefault="007D38B4" w:rsidP="007D38B4">
      <w:pPr>
        <w:numPr>
          <w:ilvl w:val="0"/>
          <w:numId w:val="4"/>
        </w:numPr>
        <w:autoSpaceDE w:val="0"/>
        <w:autoSpaceDN w:val="0"/>
        <w:adjustRightInd w:val="0"/>
        <w:spacing w:line="240" w:lineRule="auto"/>
        <w:contextualSpacing/>
        <w:jc w:val="both"/>
        <w:rPr>
          <w:rFonts w:ascii="Helvetica" w:hAnsi="Helvetica"/>
          <w:b/>
          <w:sz w:val="24"/>
          <w:szCs w:val="24"/>
          <w:lang w:val="en-GB"/>
        </w:rPr>
      </w:pPr>
      <w:r w:rsidRPr="007D38B4">
        <w:rPr>
          <w:rFonts w:ascii="Helvetica" w:hAnsi="Helvetica"/>
          <w:b/>
          <w:sz w:val="24"/>
          <w:szCs w:val="24"/>
          <w:lang w:val="en-GB"/>
        </w:rPr>
        <w:t>QIPs Listed at BSE and NSE</w:t>
      </w:r>
    </w:p>
    <w:p w:rsidR="007D38B4" w:rsidRPr="007D38B4" w:rsidRDefault="007D38B4" w:rsidP="007D38B4">
      <w:pPr>
        <w:autoSpaceDE w:val="0"/>
        <w:autoSpaceDN w:val="0"/>
        <w:adjustRightInd w:val="0"/>
        <w:spacing w:line="240" w:lineRule="auto"/>
        <w:jc w:val="both"/>
        <w:rPr>
          <w:rFonts w:ascii="Helvetica" w:hAnsi="Helvetica"/>
          <w:sz w:val="24"/>
          <w:szCs w:val="24"/>
          <w:lang w:val="en-GB"/>
        </w:rPr>
      </w:pPr>
      <w:r w:rsidRPr="007D38B4">
        <w:rPr>
          <w:rFonts w:ascii="Helvetica" w:hAnsi="Helvetica"/>
          <w:sz w:val="24"/>
          <w:szCs w:val="24"/>
          <w:lang w:val="en-GB"/>
        </w:rPr>
        <w:t xml:space="preserve">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 There was one QIP issue during June 2017 which raised </w:t>
      </w:r>
      <w:r w:rsidRPr="007D38B4">
        <w:rPr>
          <w:rFonts w:ascii="Rupee Foradian" w:hAnsi="Rupee Foradian"/>
          <w:sz w:val="24"/>
          <w:szCs w:val="24"/>
        </w:rPr>
        <w:t>`</w:t>
      </w:r>
      <w:r w:rsidRPr="007D38B4">
        <w:rPr>
          <w:rFonts w:ascii="Helvetica" w:hAnsi="Helvetica"/>
          <w:sz w:val="24"/>
          <w:szCs w:val="24"/>
        </w:rPr>
        <w:t xml:space="preserve"> 15,000 </w:t>
      </w:r>
      <w:r w:rsidRPr="007D38B4">
        <w:rPr>
          <w:rFonts w:ascii="Helvetica" w:hAnsi="Helvetica" w:cs="Garamond"/>
          <w:sz w:val="24"/>
          <w:szCs w:val="24"/>
          <w:lang w:val="en-GB"/>
        </w:rPr>
        <w:t xml:space="preserve">crore </w:t>
      </w:r>
      <w:r w:rsidRPr="007D38B4">
        <w:rPr>
          <w:rFonts w:ascii="Helvetica" w:hAnsi="Helvetica"/>
          <w:sz w:val="24"/>
          <w:szCs w:val="24"/>
          <w:lang w:val="en-GB"/>
        </w:rPr>
        <w:t xml:space="preserve">compared to </w:t>
      </w:r>
      <w:r w:rsidRPr="007D38B4">
        <w:rPr>
          <w:rFonts w:ascii="Rupee Foradian" w:hAnsi="Rupee Foradian"/>
          <w:sz w:val="24"/>
          <w:szCs w:val="24"/>
        </w:rPr>
        <w:t>`</w:t>
      </w:r>
      <w:r w:rsidRPr="007D38B4">
        <w:rPr>
          <w:rFonts w:ascii="Helvetica" w:hAnsi="Helvetica"/>
          <w:sz w:val="24"/>
          <w:szCs w:val="24"/>
        </w:rPr>
        <w:t xml:space="preserve"> 7,298 </w:t>
      </w:r>
      <w:r w:rsidRPr="007D38B4">
        <w:rPr>
          <w:rFonts w:ascii="Helvetica" w:hAnsi="Helvetica" w:cs="Garamond"/>
          <w:sz w:val="24"/>
          <w:szCs w:val="24"/>
          <w:lang w:val="en-GB"/>
        </w:rPr>
        <w:t>crore that was mobilised through five QIP issues</w:t>
      </w:r>
      <w:r w:rsidRPr="007D38B4">
        <w:rPr>
          <w:rFonts w:ascii="Helvetica" w:hAnsi="Helvetica"/>
          <w:sz w:val="24"/>
          <w:szCs w:val="24"/>
          <w:lang w:val="en-GB"/>
        </w:rPr>
        <w:t xml:space="preserve"> in the previous month</w:t>
      </w:r>
      <w:r w:rsidRPr="007D38B4">
        <w:rPr>
          <w:rFonts w:ascii="Helvetica" w:hAnsi="Helvetica" w:cs="Garamond"/>
          <w:sz w:val="24"/>
          <w:szCs w:val="24"/>
          <w:lang w:val="en-GB"/>
        </w:rPr>
        <w:t xml:space="preserve"> </w:t>
      </w:r>
      <w:r w:rsidRPr="007D38B4">
        <w:rPr>
          <w:rFonts w:ascii="Helvetica" w:hAnsi="Helvetica" w:cs="Garamond"/>
          <w:b/>
          <w:sz w:val="24"/>
          <w:szCs w:val="24"/>
          <w:lang w:val="en-GB"/>
        </w:rPr>
        <w:t>(</w:t>
      </w:r>
      <w:r w:rsidRPr="007D38B4">
        <w:rPr>
          <w:rFonts w:ascii="Helvetica" w:hAnsi="Helvetica" w:cs="Garamond"/>
          <w:b/>
          <w:i/>
          <w:iCs/>
          <w:sz w:val="24"/>
          <w:szCs w:val="24"/>
          <w:lang w:val="en-GB"/>
        </w:rPr>
        <w:t>Table 10</w:t>
      </w:r>
      <w:r w:rsidRPr="007D38B4">
        <w:rPr>
          <w:rFonts w:ascii="Helvetica" w:hAnsi="Helvetica" w:cs="Garamond"/>
          <w:b/>
          <w:sz w:val="24"/>
          <w:szCs w:val="24"/>
          <w:lang w:val="en-GB"/>
        </w:rPr>
        <w:t>)</w:t>
      </w:r>
      <w:r w:rsidRPr="007D38B4">
        <w:rPr>
          <w:rFonts w:ascii="Helvetica" w:hAnsi="Helvetica" w:cs="Garamond"/>
          <w:sz w:val="24"/>
          <w:szCs w:val="24"/>
          <w:lang w:val="en-GB"/>
        </w:rPr>
        <w:t>.</w:t>
      </w:r>
    </w:p>
    <w:p w:rsidR="007D38B4" w:rsidRPr="007D38B4" w:rsidRDefault="007D38B4" w:rsidP="007D38B4">
      <w:pPr>
        <w:numPr>
          <w:ilvl w:val="0"/>
          <w:numId w:val="4"/>
        </w:numPr>
        <w:autoSpaceDE w:val="0"/>
        <w:autoSpaceDN w:val="0"/>
        <w:adjustRightInd w:val="0"/>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Preferential Allotments Listed at BSE and NSE</w:t>
      </w:r>
    </w:p>
    <w:p w:rsidR="007D38B4" w:rsidRPr="007D38B4" w:rsidRDefault="007D38B4" w:rsidP="007D38B4">
      <w:pPr>
        <w:widowControl w:val="0"/>
        <w:spacing w:after="0" w:line="240" w:lineRule="auto"/>
        <w:jc w:val="both"/>
        <w:rPr>
          <w:rFonts w:ascii="Helvetica" w:hAnsi="Helvetica"/>
          <w:sz w:val="16"/>
          <w:szCs w:val="16"/>
          <w:lang w:val="en-GB"/>
        </w:rPr>
      </w:pPr>
    </w:p>
    <w:p w:rsidR="006774B4" w:rsidRDefault="007D38B4" w:rsidP="007D38B4">
      <w:pPr>
        <w:widowControl w:val="0"/>
        <w:spacing w:line="240" w:lineRule="auto"/>
        <w:jc w:val="both"/>
        <w:rPr>
          <w:rFonts w:ascii="Helvetica" w:hAnsi="Helvetica"/>
          <w:sz w:val="24"/>
          <w:szCs w:val="24"/>
          <w:lang w:val="en-GB"/>
        </w:rPr>
      </w:pPr>
      <w:r w:rsidRPr="007D38B4">
        <w:rPr>
          <w:rFonts w:ascii="Helvetica" w:hAnsi="Helvetica"/>
          <w:sz w:val="24"/>
          <w:szCs w:val="24"/>
          <w:lang w:val="en-GB"/>
        </w:rPr>
        <w:t xml:space="preserve">Preferential allotment also serves as an alternative mechanism of resource mobilization wherein a listed issuer issues shares or convertible securities to a select group of persons. There were 48 preferential allotments (amounting to </w:t>
      </w:r>
      <w:r w:rsidRPr="007D38B4">
        <w:rPr>
          <w:rFonts w:ascii="Rupee Foradian" w:eastAsia="Times New Roman" w:hAnsi="Rupee Foradian"/>
          <w:bCs/>
          <w:sz w:val="24"/>
          <w:szCs w:val="20"/>
          <w:lang w:val="en-GB" w:eastAsia="en-GB" w:bidi="bn-IN"/>
        </w:rPr>
        <w:t xml:space="preserve">` </w:t>
      </w:r>
      <w:r w:rsidRPr="007D38B4">
        <w:rPr>
          <w:rFonts w:ascii="Helvetica" w:hAnsi="Helvetica" w:cs="Garamond"/>
          <w:sz w:val="24"/>
          <w:szCs w:val="24"/>
          <w:lang w:val="en-GB"/>
        </w:rPr>
        <w:t xml:space="preserve">4,825 crore) listed at BSE and NSE together during June 2017, compared to </w:t>
      </w:r>
      <w:r w:rsidRPr="007D38B4">
        <w:rPr>
          <w:rFonts w:ascii="Helvetica" w:hAnsi="Helvetica"/>
          <w:sz w:val="24"/>
          <w:szCs w:val="24"/>
          <w:lang w:val="en-GB"/>
        </w:rPr>
        <w:t xml:space="preserve">48 preferential allotments (amounting to </w:t>
      </w:r>
      <w:r w:rsidRPr="007D38B4">
        <w:rPr>
          <w:rFonts w:ascii="Rupee Foradian" w:eastAsia="Times New Roman" w:hAnsi="Rupee Foradian"/>
          <w:bCs/>
          <w:sz w:val="24"/>
          <w:szCs w:val="20"/>
          <w:lang w:val="en-GB" w:eastAsia="en-GB" w:bidi="bn-IN"/>
        </w:rPr>
        <w:t xml:space="preserve">` </w:t>
      </w:r>
      <w:r w:rsidRPr="007D38B4">
        <w:rPr>
          <w:rFonts w:ascii="Helvetica" w:hAnsi="Helvetica" w:cs="Garamond"/>
          <w:sz w:val="24"/>
          <w:szCs w:val="24"/>
          <w:lang w:val="en-GB"/>
        </w:rPr>
        <w:t>2,377 crore)</w:t>
      </w:r>
      <w:r w:rsidRPr="007D38B4">
        <w:rPr>
          <w:rFonts w:ascii="Helvetica" w:hAnsi="Helvetica" w:cs="Garamond"/>
          <w:b/>
          <w:sz w:val="24"/>
          <w:szCs w:val="24"/>
          <w:lang w:val="en-GB"/>
        </w:rPr>
        <w:t xml:space="preserve"> </w:t>
      </w:r>
      <w:r w:rsidRPr="007D38B4">
        <w:rPr>
          <w:rFonts w:ascii="Helvetica" w:hAnsi="Helvetica" w:cs="Garamond"/>
          <w:sz w:val="24"/>
          <w:szCs w:val="24"/>
          <w:lang w:val="en-GB"/>
        </w:rPr>
        <w:t xml:space="preserve">listed during May 2017 </w:t>
      </w:r>
      <w:r w:rsidRPr="007D38B4">
        <w:rPr>
          <w:rFonts w:ascii="Helvetica" w:hAnsi="Helvetica" w:cs="Garamond"/>
          <w:b/>
          <w:sz w:val="24"/>
          <w:szCs w:val="24"/>
          <w:lang w:val="en-GB"/>
        </w:rPr>
        <w:t>(</w:t>
      </w:r>
      <w:r w:rsidRPr="007D38B4">
        <w:rPr>
          <w:rFonts w:ascii="Helvetica" w:hAnsi="Helvetica" w:cs="Garamond"/>
          <w:b/>
          <w:i/>
          <w:iCs/>
          <w:sz w:val="24"/>
          <w:szCs w:val="24"/>
          <w:lang w:val="en-GB"/>
        </w:rPr>
        <w:t>Table 11</w:t>
      </w:r>
      <w:r w:rsidRPr="007D38B4">
        <w:rPr>
          <w:rFonts w:ascii="Helvetica" w:hAnsi="Helvetica" w:cs="Garamond"/>
          <w:b/>
          <w:sz w:val="24"/>
          <w:szCs w:val="24"/>
          <w:lang w:val="en-GB"/>
        </w:rPr>
        <w:t>)</w:t>
      </w:r>
      <w:r w:rsidRPr="007D38B4">
        <w:rPr>
          <w:rFonts w:ascii="Helvetica" w:hAnsi="Helvetica"/>
          <w:sz w:val="24"/>
          <w:szCs w:val="24"/>
          <w:lang w:val="en-GB"/>
        </w:rPr>
        <w:t>.</w:t>
      </w:r>
    </w:p>
    <w:p w:rsidR="006774B4" w:rsidRDefault="006774B4">
      <w:pPr>
        <w:spacing w:after="0" w:line="240" w:lineRule="auto"/>
        <w:rPr>
          <w:rFonts w:ascii="Helvetica" w:hAnsi="Helvetica"/>
          <w:sz w:val="24"/>
          <w:szCs w:val="24"/>
          <w:lang w:val="en-GB"/>
        </w:rPr>
      </w:pPr>
      <w:r>
        <w:rPr>
          <w:rFonts w:ascii="Helvetica" w:hAnsi="Helvetica"/>
          <w:sz w:val="24"/>
          <w:szCs w:val="24"/>
          <w:lang w:val="en-GB"/>
        </w:rPr>
        <w:br w:type="page"/>
      </w:r>
    </w:p>
    <w:p w:rsidR="007D38B4" w:rsidRPr="007D38B4" w:rsidRDefault="007D38B4" w:rsidP="007D38B4">
      <w:pPr>
        <w:widowControl w:val="0"/>
        <w:spacing w:line="240" w:lineRule="auto"/>
        <w:jc w:val="both"/>
        <w:rPr>
          <w:rFonts w:ascii="Helvetica" w:hAnsi="Helvetica"/>
          <w:sz w:val="24"/>
          <w:szCs w:val="24"/>
          <w:lang w:val="en-GB"/>
        </w:rPr>
      </w:pPr>
    </w:p>
    <w:p w:rsidR="007D38B4" w:rsidRPr="007D38B4" w:rsidRDefault="007D38B4" w:rsidP="007D38B4">
      <w:pPr>
        <w:numPr>
          <w:ilvl w:val="0"/>
          <w:numId w:val="4"/>
        </w:numPr>
        <w:autoSpaceDE w:val="0"/>
        <w:autoSpaceDN w:val="0"/>
        <w:adjustRightInd w:val="0"/>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 xml:space="preserve">Private Placement of Corporate Debt </w:t>
      </w:r>
    </w:p>
    <w:p w:rsidR="007D38B4" w:rsidRPr="007D38B4" w:rsidRDefault="007D38B4" w:rsidP="007D38B4">
      <w:pPr>
        <w:widowControl w:val="0"/>
        <w:spacing w:after="0" w:line="240" w:lineRule="auto"/>
        <w:jc w:val="both"/>
        <w:rPr>
          <w:rFonts w:ascii="Helvetica" w:hAnsi="Helvetica"/>
          <w:sz w:val="24"/>
          <w:szCs w:val="24"/>
          <w:lang w:val="en-GB"/>
        </w:rPr>
      </w:pPr>
    </w:p>
    <w:p w:rsidR="007D38B4" w:rsidRPr="007D38B4" w:rsidRDefault="007D38B4" w:rsidP="007D38B4">
      <w:pPr>
        <w:widowControl w:val="0"/>
        <w:spacing w:after="0" w:line="240" w:lineRule="auto"/>
        <w:jc w:val="both"/>
        <w:rPr>
          <w:rFonts w:ascii="Helvetica" w:hAnsi="Helvetica"/>
          <w:sz w:val="24"/>
          <w:szCs w:val="24"/>
          <w:lang w:val="en-GB"/>
        </w:rPr>
      </w:pPr>
      <w:r w:rsidRPr="007D38B4">
        <w:rPr>
          <w:rFonts w:ascii="Helvetica" w:hAnsi="Helvetica"/>
          <w:sz w:val="24"/>
          <w:szCs w:val="24"/>
          <w:lang w:val="en-GB"/>
        </w:rPr>
        <w:t xml:space="preserve">Private placement mechanism dominates the resource mobilization through corporate bonds. During June 2017, an amount of </w:t>
      </w:r>
      <w:r w:rsidRPr="007D38B4">
        <w:rPr>
          <w:rFonts w:ascii="Rupee Foradian" w:eastAsia="Times New Roman" w:hAnsi="Rupee Foradian"/>
          <w:bCs/>
          <w:sz w:val="24"/>
          <w:szCs w:val="20"/>
          <w:lang w:val="en-GB" w:eastAsia="en-GB" w:bidi="bn-IN"/>
        </w:rPr>
        <w:t xml:space="preserve">` </w:t>
      </w:r>
      <w:r w:rsidRPr="007D38B4">
        <w:rPr>
          <w:rFonts w:ascii="Helvetica" w:hAnsi="Helvetica" w:cs="Calibri"/>
          <w:sz w:val="24"/>
          <w:szCs w:val="24"/>
          <w:lang w:val="en-GB"/>
        </w:rPr>
        <w:t>75,337 crore was raised through private placement of 370 issues in the</w:t>
      </w:r>
      <w:r w:rsidRPr="007D38B4">
        <w:rPr>
          <w:rFonts w:ascii="Helvetica" w:hAnsi="Helvetica"/>
          <w:sz w:val="24"/>
          <w:szCs w:val="24"/>
          <w:lang w:val="en-GB"/>
        </w:rPr>
        <w:t xml:space="preserve"> corporate bond market. However, there was no public issue of debt during the month</w:t>
      </w:r>
      <w:r w:rsidRPr="007D38B4">
        <w:rPr>
          <w:rFonts w:ascii="Helvetica" w:hAnsi="Helvetica" w:cs="Calibri"/>
          <w:sz w:val="24"/>
          <w:szCs w:val="24"/>
          <w:lang w:val="en-GB"/>
        </w:rPr>
        <w:t xml:space="preserve"> </w:t>
      </w:r>
      <w:r w:rsidRPr="007D38B4">
        <w:rPr>
          <w:rFonts w:ascii="Helvetica" w:hAnsi="Helvetica" w:cs="Calibri"/>
          <w:b/>
          <w:sz w:val="24"/>
          <w:szCs w:val="24"/>
          <w:lang w:val="en-GB"/>
        </w:rPr>
        <w:t>(</w:t>
      </w:r>
      <w:r w:rsidRPr="007D38B4">
        <w:rPr>
          <w:rFonts w:ascii="Helvetica" w:hAnsi="Helvetica" w:cs="Calibri"/>
          <w:b/>
          <w:i/>
          <w:iCs/>
          <w:sz w:val="24"/>
          <w:szCs w:val="24"/>
          <w:lang w:val="en-GB"/>
        </w:rPr>
        <w:t xml:space="preserve">Table 12 and </w:t>
      </w:r>
      <w:r w:rsidRPr="007D38B4">
        <w:rPr>
          <w:rFonts w:ascii="Helvetica" w:hAnsi="Helvetica"/>
          <w:b/>
          <w:i/>
          <w:iCs/>
          <w:sz w:val="24"/>
          <w:szCs w:val="24"/>
          <w:lang w:val="en-GB"/>
        </w:rPr>
        <w:t>Exhibit 1A</w:t>
      </w:r>
      <w:r w:rsidRPr="007D38B4">
        <w:rPr>
          <w:rFonts w:ascii="Helvetica" w:hAnsi="Helvetica"/>
          <w:b/>
          <w:sz w:val="24"/>
          <w:szCs w:val="24"/>
          <w:lang w:val="en-GB"/>
        </w:rPr>
        <w:t>)</w:t>
      </w:r>
      <w:r w:rsidRPr="007D38B4">
        <w:rPr>
          <w:rFonts w:ascii="Helvetica" w:hAnsi="Helvetica"/>
          <w:sz w:val="24"/>
          <w:szCs w:val="24"/>
          <w:lang w:val="en-GB"/>
        </w:rPr>
        <w:t>.</w:t>
      </w:r>
    </w:p>
    <w:p w:rsidR="007D38B4" w:rsidRPr="007D38B4" w:rsidRDefault="007D38B4" w:rsidP="007D38B4">
      <w:pPr>
        <w:widowControl w:val="0"/>
        <w:spacing w:after="0" w:line="240" w:lineRule="auto"/>
        <w:jc w:val="both"/>
        <w:rPr>
          <w:rFonts w:ascii="Helvetica" w:hAnsi="Helvetica" w:cs="Calibri"/>
          <w:sz w:val="24"/>
          <w:szCs w:val="24"/>
          <w:lang w:val="en-GB"/>
        </w:rPr>
      </w:pPr>
    </w:p>
    <w:p w:rsidR="007D38B4" w:rsidRPr="007D38B4" w:rsidRDefault="007D38B4" w:rsidP="007D38B4">
      <w:pPr>
        <w:widowControl w:val="0"/>
        <w:spacing w:after="0" w:line="240" w:lineRule="auto"/>
        <w:jc w:val="both"/>
        <w:rPr>
          <w:rFonts w:ascii="Helvetica" w:hAnsi="Helvetica"/>
          <w:sz w:val="24"/>
          <w:szCs w:val="24"/>
          <w:lang w:val="en-GB"/>
        </w:rPr>
      </w:pPr>
      <w:r w:rsidRPr="007D38B4">
        <w:rPr>
          <w:rFonts w:ascii="Helvetica" w:hAnsi="Helvetica"/>
          <w:sz w:val="24"/>
          <w:szCs w:val="24"/>
          <w:lang w:val="en-GB"/>
        </w:rPr>
        <w:t xml:space="preserve">Further, in June 2017, the total amount mobilised through public issues and private placement of both debt and equity combined stood at </w:t>
      </w:r>
      <w:r w:rsidRPr="007D38B4">
        <w:rPr>
          <w:rFonts w:ascii="Rupee Foradian" w:eastAsia="Times New Roman" w:hAnsi="Rupee Foradian"/>
          <w:bCs/>
          <w:sz w:val="24"/>
          <w:szCs w:val="20"/>
          <w:lang w:val="en-GB" w:eastAsia="en-GB" w:bidi="bn-IN"/>
        </w:rPr>
        <w:t xml:space="preserve">` </w:t>
      </w:r>
      <w:r w:rsidRPr="007D38B4">
        <w:rPr>
          <w:rFonts w:ascii="Helvetica" w:hAnsi="Helvetica" w:cs="Calibri"/>
          <w:sz w:val="24"/>
          <w:szCs w:val="24"/>
          <w:lang w:val="en-GB"/>
        </w:rPr>
        <w:t>1</w:t>
      </w:r>
      <w:proofErr w:type="gramStart"/>
      <w:r w:rsidRPr="007D38B4">
        <w:rPr>
          <w:rFonts w:ascii="Helvetica" w:hAnsi="Helvetica" w:cs="Calibri"/>
          <w:sz w:val="24"/>
          <w:szCs w:val="24"/>
          <w:lang w:val="en-GB"/>
        </w:rPr>
        <w:t>,00,794</w:t>
      </w:r>
      <w:proofErr w:type="gramEnd"/>
      <w:r w:rsidRPr="007D38B4">
        <w:rPr>
          <w:rFonts w:ascii="Helvetica" w:hAnsi="Helvetica" w:cs="Calibri"/>
          <w:sz w:val="24"/>
          <w:szCs w:val="24"/>
          <w:lang w:val="en-GB"/>
        </w:rPr>
        <w:t xml:space="preserve"> crore as compared to </w:t>
      </w:r>
      <w:r w:rsidRPr="007D38B4">
        <w:rPr>
          <w:rFonts w:ascii="Rupee Foradian" w:eastAsia="Times New Roman" w:hAnsi="Rupee Foradian"/>
          <w:bCs/>
          <w:sz w:val="24"/>
          <w:szCs w:val="20"/>
          <w:lang w:val="en-GB" w:eastAsia="en-GB" w:bidi="bn-IN"/>
        </w:rPr>
        <w:t xml:space="preserve">` </w:t>
      </w:r>
      <w:r w:rsidRPr="007D38B4">
        <w:rPr>
          <w:rFonts w:ascii="Helvetica" w:hAnsi="Helvetica"/>
          <w:sz w:val="24"/>
          <w:szCs w:val="24"/>
          <w:lang w:val="en-GB"/>
        </w:rPr>
        <w:t>44,544</w:t>
      </w:r>
      <w:r w:rsidRPr="007D38B4">
        <w:rPr>
          <w:rFonts w:ascii="Helvetica" w:hAnsi="Helvetica" w:cs="Calibri"/>
          <w:sz w:val="24"/>
          <w:szCs w:val="24"/>
          <w:lang w:val="en-GB"/>
        </w:rPr>
        <w:t xml:space="preserve"> crore in May 2017. </w:t>
      </w:r>
    </w:p>
    <w:p w:rsidR="007D38B4" w:rsidRPr="007D38B4" w:rsidRDefault="007D38B4" w:rsidP="007D38B4">
      <w:pPr>
        <w:widowControl w:val="0"/>
        <w:spacing w:after="0" w:line="240" w:lineRule="auto"/>
        <w:jc w:val="both"/>
        <w:rPr>
          <w:rFonts w:ascii="Helvetica" w:eastAsia="Times New Roman" w:hAnsi="Helvetica"/>
          <w:sz w:val="24"/>
          <w:szCs w:val="24"/>
          <w:lang w:val="en-GB"/>
        </w:rPr>
      </w:pPr>
    </w:p>
    <w:p w:rsidR="007D38B4" w:rsidRPr="007D38B4" w:rsidRDefault="007D38B4" w:rsidP="007D38B4">
      <w:pPr>
        <w:spacing w:after="0" w:line="240" w:lineRule="auto"/>
        <w:outlineLvl w:val="0"/>
        <w:rPr>
          <w:rFonts w:ascii="Helvetica" w:eastAsia="Times New Roman" w:hAnsi="Helvetica"/>
          <w:b/>
          <w:bCs/>
          <w:sz w:val="24"/>
          <w:szCs w:val="24"/>
          <w:lang w:val="en-GB"/>
        </w:rPr>
      </w:pPr>
      <w:r w:rsidRPr="007D38B4">
        <w:rPr>
          <w:rFonts w:ascii="Helvetica" w:eastAsia="Times New Roman" w:hAnsi="Helvetica"/>
          <w:b/>
          <w:bCs/>
          <w:sz w:val="24"/>
          <w:szCs w:val="24"/>
          <w:lang w:val="en-GB"/>
        </w:rPr>
        <w:t>Exhibit 1A: Total Resources Mobilised by Corporate Sector (</w:t>
      </w:r>
      <w:r w:rsidRPr="007D38B4">
        <w:rPr>
          <w:rFonts w:ascii="Rupee Foradian" w:eastAsia="Times New Roman" w:hAnsi="Rupee Foradian"/>
          <w:b/>
          <w:bCs/>
          <w:sz w:val="24"/>
          <w:szCs w:val="20"/>
          <w:lang w:val="en-GB" w:eastAsia="en-GB" w:bidi="bn-IN"/>
        </w:rPr>
        <w:t>`</w:t>
      </w:r>
      <w:r w:rsidRPr="007D38B4">
        <w:rPr>
          <w:rFonts w:ascii="Helvetica" w:eastAsia="Times New Roman" w:hAnsi="Helvetica"/>
          <w:sz w:val="24"/>
          <w:szCs w:val="24"/>
          <w:lang w:val="en-GB"/>
        </w:rPr>
        <w:t xml:space="preserve"> </w:t>
      </w:r>
      <w:r w:rsidRPr="007D38B4">
        <w:rPr>
          <w:rFonts w:ascii="Helvetica" w:eastAsia="Times New Roman" w:hAnsi="Helvetica"/>
          <w:b/>
          <w:bCs/>
          <w:sz w:val="24"/>
          <w:szCs w:val="24"/>
          <w:lang w:val="en-GB"/>
        </w:rPr>
        <w:t>crore)</w:t>
      </w:r>
    </w:p>
    <w:tbl>
      <w:tblPr>
        <w:tblW w:w="8212" w:type="dxa"/>
        <w:jc w:val="center"/>
        <w:tblCellMar>
          <w:left w:w="0" w:type="dxa"/>
          <w:right w:w="0" w:type="dxa"/>
        </w:tblCellMar>
        <w:tblLook w:val="04A0" w:firstRow="1" w:lastRow="0" w:firstColumn="1" w:lastColumn="0" w:noHBand="0" w:noVBand="1"/>
      </w:tblPr>
      <w:tblGrid>
        <w:gridCol w:w="985"/>
        <w:gridCol w:w="900"/>
        <w:gridCol w:w="1260"/>
        <w:gridCol w:w="745"/>
        <w:gridCol w:w="808"/>
        <w:gridCol w:w="1170"/>
        <w:gridCol w:w="809"/>
        <w:gridCol w:w="1535"/>
      </w:tblGrid>
      <w:tr w:rsidR="007D38B4" w:rsidRPr="007D38B4" w:rsidTr="007D38B4">
        <w:trPr>
          <w:trHeight w:val="247"/>
          <w:jc w:val="center"/>
        </w:trPr>
        <w:tc>
          <w:tcPr>
            <w:tcW w:w="985" w:type="dxa"/>
            <w:vMerge w:val="restart"/>
            <w:tcBorders>
              <w:top w:val="single" w:sz="4" w:space="0" w:color="auto"/>
              <w:left w:val="single" w:sz="4" w:space="0" w:color="auto"/>
              <w:bottom w:val="single" w:sz="4" w:space="0" w:color="000000"/>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Month</w:t>
            </w:r>
          </w:p>
        </w:tc>
        <w:tc>
          <w:tcPr>
            <w:tcW w:w="2905" w:type="dxa"/>
            <w:gridSpan w:val="3"/>
            <w:tcBorders>
              <w:top w:val="single" w:sz="4" w:space="0" w:color="auto"/>
              <w:left w:val="nil"/>
              <w:bottom w:val="single" w:sz="4" w:space="0" w:color="auto"/>
              <w:right w:val="single" w:sz="4" w:space="0" w:color="000000"/>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Equity Issues</w:t>
            </w:r>
          </w:p>
        </w:tc>
        <w:tc>
          <w:tcPr>
            <w:tcW w:w="2787" w:type="dxa"/>
            <w:gridSpan w:val="3"/>
            <w:tcBorders>
              <w:top w:val="single" w:sz="4" w:space="0" w:color="auto"/>
              <w:left w:val="nil"/>
              <w:bottom w:val="single" w:sz="4" w:space="0" w:color="auto"/>
              <w:right w:val="single" w:sz="4" w:space="0" w:color="000000"/>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Debt Issues</w:t>
            </w:r>
          </w:p>
        </w:tc>
        <w:tc>
          <w:tcPr>
            <w:tcW w:w="1535" w:type="dxa"/>
            <w:vMerge w:val="restart"/>
            <w:tcBorders>
              <w:top w:val="single" w:sz="4" w:space="0" w:color="auto"/>
              <w:left w:val="single" w:sz="4" w:space="0" w:color="auto"/>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Total Resource Mobilisation  (4+7)</w:t>
            </w:r>
          </w:p>
        </w:tc>
      </w:tr>
      <w:tr w:rsidR="007D38B4" w:rsidRPr="007D38B4" w:rsidTr="007D38B4">
        <w:trPr>
          <w:trHeight w:val="332"/>
          <w:jc w:val="center"/>
        </w:trPr>
        <w:tc>
          <w:tcPr>
            <w:tcW w:w="985" w:type="dxa"/>
            <w:vMerge/>
            <w:tcBorders>
              <w:top w:val="single" w:sz="4" w:space="0" w:color="auto"/>
              <w:left w:val="single" w:sz="4" w:space="0" w:color="auto"/>
              <w:bottom w:val="single" w:sz="4" w:space="0" w:color="000000"/>
              <w:right w:val="single" w:sz="4" w:space="0" w:color="auto"/>
            </w:tcBorders>
            <w:shd w:val="clear" w:color="auto" w:fill="B4C6E7"/>
            <w:vAlign w:val="center"/>
            <w:hideMark/>
          </w:tcPr>
          <w:p w:rsidR="007D38B4" w:rsidRPr="007D38B4" w:rsidRDefault="007D38B4" w:rsidP="007D38B4">
            <w:pPr>
              <w:spacing w:after="0" w:line="240" w:lineRule="auto"/>
              <w:rPr>
                <w:rFonts w:ascii="Helvetica" w:hAnsi="Helvetica" w:cs="Helvetica"/>
                <w:b/>
                <w:bCs/>
                <w:sz w:val="20"/>
                <w:szCs w:val="20"/>
                <w:lang w:val="en-GB"/>
              </w:rPr>
            </w:pPr>
          </w:p>
        </w:tc>
        <w:tc>
          <w:tcPr>
            <w:tcW w:w="900" w:type="dxa"/>
            <w:tcBorders>
              <w:top w:val="nil"/>
              <w:left w:val="nil"/>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Public &amp; Rights</w:t>
            </w:r>
          </w:p>
        </w:tc>
        <w:tc>
          <w:tcPr>
            <w:tcW w:w="1260" w:type="dxa"/>
            <w:tcBorders>
              <w:top w:val="nil"/>
              <w:left w:val="single" w:sz="4" w:space="0" w:color="auto"/>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Private Placements</w:t>
            </w:r>
          </w:p>
        </w:tc>
        <w:tc>
          <w:tcPr>
            <w:tcW w:w="745" w:type="dxa"/>
            <w:tcBorders>
              <w:top w:val="nil"/>
              <w:left w:val="single" w:sz="4" w:space="0" w:color="auto"/>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Total</w:t>
            </w:r>
            <w:r w:rsidRPr="007D38B4">
              <w:rPr>
                <w:rFonts w:ascii="Helvetica" w:hAnsi="Helvetica" w:cs="Helvetica"/>
                <w:b/>
                <w:bCs/>
                <w:sz w:val="20"/>
                <w:szCs w:val="20"/>
                <w:lang w:val="en-GB"/>
              </w:rPr>
              <w:br/>
              <w:t>(2+3)</w:t>
            </w:r>
          </w:p>
        </w:tc>
        <w:tc>
          <w:tcPr>
            <w:tcW w:w="808" w:type="dxa"/>
            <w:tcBorders>
              <w:top w:val="nil"/>
              <w:left w:val="nil"/>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 xml:space="preserve">Public </w:t>
            </w:r>
          </w:p>
        </w:tc>
        <w:tc>
          <w:tcPr>
            <w:tcW w:w="1170" w:type="dxa"/>
            <w:tcBorders>
              <w:top w:val="nil"/>
              <w:left w:val="single" w:sz="4" w:space="0" w:color="auto"/>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Private Placements</w:t>
            </w:r>
          </w:p>
        </w:tc>
        <w:tc>
          <w:tcPr>
            <w:tcW w:w="809" w:type="dxa"/>
            <w:tcBorders>
              <w:top w:val="nil"/>
              <w:left w:val="single" w:sz="4" w:space="0" w:color="auto"/>
              <w:bottom w:val="nil"/>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Total</w:t>
            </w:r>
            <w:r w:rsidRPr="007D38B4">
              <w:rPr>
                <w:rFonts w:ascii="Helvetica" w:hAnsi="Helvetica" w:cs="Helvetica"/>
                <w:b/>
                <w:bCs/>
                <w:sz w:val="20"/>
                <w:szCs w:val="20"/>
                <w:lang w:val="en-GB"/>
              </w:rPr>
              <w:br/>
              <w:t>(5+6)</w:t>
            </w:r>
          </w:p>
        </w:tc>
        <w:tc>
          <w:tcPr>
            <w:tcW w:w="1535" w:type="dxa"/>
            <w:vMerge/>
            <w:tcBorders>
              <w:top w:val="single" w:sz="4" w:space="0" w:color="auto"/>
              <w:left w:val="single" w:sz="4" w:space="0" w:color="auto"/>
              <w:bottom w:val="nil"/>
              <w:right w:val="single" w:sz="4" w:space="0" w:color="auto"/>
            </w:tcBorders>
            <w:shd w:val="clear" w:color="auto" w:fill="B4C6E7"/>
            <w:vAlign w:val="center"/>
            <w:hideMark/>
          </w:tcPr>
          <w:p w:rsidR="007D38B4" w:rsidRPr="007D38B4" w:rsidRDefault="007D38B4" w:rsidP="007D38B4">
            <w:pPr>
              <w:spacing w:after="0" w:line="240" w:lineRule="auto"/>
              <w:rPr>
                <w:rFonts w:ascii="Helvetica" w:hAnsi="Helvetica" w:cs="Helvetica"/>
                <w:b/>
                <w:bCs/>
                <w:sz w:val="20"/>
                <w:szCs w:val="20"/>
                <w:lang w:val="en-GB"/>
              </w:rPr>
            </w:pPr>
          </w:p>
        </w:tc>
      </w:tr>
      <w:tr w:rsidR="007D38B4" w:rsidRPr="007D38B4" w:rsidTr="007D38B4">
        <w:trPr>
          <w:trHeight w:val="131"/>
          <w:jc w:val="center"/>
        </w:trPr>
        <w:tc>
          <w:tcPr>
            <w:tcW w:w="985" w:type="dxa"/>
            <w:tcBorders>
              <w:top w:val="nil"/>
              <w:left w:val="single" w:sz="4" w:space="0" w:color="auto"/>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1</w:t>
            </w:r>
          </w:p>
        </w:tc>
        <w:tc>
          <w:tcPr>
            <w:tcW w:w="900" w:type="dxa"/>
            <w:tcBorders>
              <w:top w:val="single" w:sz="4" w:space="0" w:color="auto"/>
              <w:left w:val="nil"/>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2</w:t>
            </w:r>
          </w:p>
        </w:tc>
        <w:tc>
          <w:tcPr>
            <w:tcW w:w="1260" w:type="dxa"/>
            <w:tcBorders>
              <w:top w:val="single" w:sz="4" w:space="0" w:color="auto"/>
              <w:left w:val="single" w:sz="4" w:space="0" w:color="auto"/>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3</w:t>
            </w:r>
          </w:p>
        </w:tc>
        <w:tc>
          <w:tcPr>
            <w:tcW w:w="745" w:type="dxa"/>
            <w:tcBorders>
              <w:top w:val="single" w:sz="4" w:space="0" w:color="auto"/>
              <w:left w:val="single" w:sz="4" w:space="0" w:color="auto"/>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4</w:t>
            </w:r>
          </w:p>
        </w:tc>
        <w:tc>
          <w:tcPr>
            <w:tcW w:w="808" w:type="dxa"/>
            <w:tcBorders>
              <w:top w:val="single" w:sz="4" w:space="0" w:color="auto"/>
              <w:left w:val="nil"/>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5</w:t>
            </w:r>
          </w:p>
        </w:tc>
        <w:tc>
          <w:tcPr>
            <w:tcW w:w="1170" w:type="dxa"/>
            <w:tcBorders>
              <w:top w:val="single" w:sz="4" w:space="0" w:color="auto"/>
              <w:left w:val="single" w:sz="4" w:space="0" w:color="auto"/>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6</w:t>
            </w:r>
          </w:p>
        </w:tc>
        <w:tc>
          <w:tcPr>
            <w:tcW w:w="809" w:type="dxa"/>
            <w:tcBorders>
              <w:top w:val="single" w:sz="4" w:space="0" w:color="auto"/>
              <w:left w:val="single" w:sz="4" w:space="0" w:color="auto"/>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7</w:t>
            </w:r>
          </w:p>
        </w:tc>
        <w:tc>
          <w:tcPr>
            <w:tcW w:w="1535" w:type="dxa"/>
            <w:tcBorders>
              <w:top w:val="single" w:sz="4" w:space="0" w:color="auto"/>
              <w:left w:val="nil"/>
              <w:bottom w:val="single" w:sz="4" w:space="0" w:color="auto"/>
              <w:right w:val="single" w:sz="4" w:space="0" w:color="auto"/>
            </w:tcBorders>
            <w:shd w:val="clear" w:color="auto" w:fill="B4C6E7"/>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8</w:t>
            </w:r>
          </w:p>
        </w:tc>
      </w:tr>
      <w:tr w:rsidR="007D38B4" w:rsidRPr="007D38B4" w:rsidTr="007D38B4">
        <w:trPr>
          <w:trHeight w:val="131"/>
          <w:jc w:val="center"/>
        </w:trPr>
        <w:tc>
          <w:tcPr>
            <w:tcW w:w="98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rPr>
                <w:rFonts w:ascii="Helvetica" w:hAnsi="Helvetica" w:cs="Helvetica"/>
                <w:b/>
                <w:bCs/>
                <w:sz w:val="20"/>
                <w:szCs w:val="20"/>
                <w:lang w:val="en-GB"/>
              </w:rPr>
            </w:pPr>
            <w:r w:rsidRPr="007D38B4">
              <w:rPr>
                <w:rFonts w:ascii="Helvetica" w:hAnsi="Helvetica" w:cs="Helvetica"/>
                <w:b/>
                <w:bCs/>
                <w:sz w:val="20"/>
                <w:szCs w:val="20"/>
                <w:lang w:val="en-GB"/>
              </w:rPr>
              <w:t>2016-17</w:t>
            </w:r>
          </w:p>
        </w:tc>
        <w:tc>
          <w:tcPr>
            <w:tcW w:w="900"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32,517</w:t>
            </w:r>
          </w:p>
        </w:tc>
        <w:tc>
          <w:tcPr>
            <w:tcW w:w="126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52,614</w:t>
            </w:r>
          </w:p>
        </w:tc>
        <w:tc>
          <w:tcPr>
            <w:tcW w:w="74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85,132</w:t>
            </w:r>
          </w:p>
        </w:tc>
        <w:tc>
          <w:tcPr>
            <w:tcW w:w="808"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29,363</w:t>
            </w:r>
          </w:p>
        </w:tc>
        <w:tc>
          <w:tcPr>
            <w:tcW w:w="117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6,40,715</w:t>
            </w:r>
          </w:p>
        </w:tc>
        <w:tc>
          <w:tcPr>
            <w:tcW w:w="809" w:type="dxa"/>
            <w:tcBorders>
              <w:top w:val="nil"/>
              <w:left w:val="single" w:sz="4" w:space="0" w:color="auto"/>
              <w:bottom w:val="nil"/>
              <w:right w:val="nil"/>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6,70,077</w:t>
            </w:r>
          </w:p>
        </w:tc>
        <w:tc>
          <w:tcPr>
            <w:tcW w:w="153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7,55,209</w:t>
            </w:r>
          </w:p>
        </w:tc>
      </w:tr>
      <w:tr w:rsidR="007D38B4" w:rsidRPr="007D38B4" w:rsidTr="007D38B4">
        <w:trPr>
          <w:trHeight w:val="131"/>
          <w:jc w:val="center"/>
        </w:trPr>
        <w:tc>
          <w:tcPr>
            <w:tcW w:w="98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rPr>
                <w:rFonts w:ascii="Helvetica" w:hAnsi="Helvetica" w:cs="Helvetica"/>
                <w:b/>
                <w:bCs/>
                <w:sz w:val="20"/>
                <w:szCs w:val="20"/>
                <w:lang w:val="en-GB"/>
              </w:rPr>
            </w:pPr>
            <w:r w:rsidRPr="007D38B4">
              <w:rPr>
                <w:rFonts w:ascii="Helvetica" w:hAnsi="Helvetica" w:cs="Helvetica"/>
                <w:b/>
                <w:bCs/>
                <w:sz w:val="20"/>
                <w:szCs w:val="20"/>
                <w:lang w:val="en-GB"/>
              </w:rPr>
              <w:t>2017-18$</w:t>
            </w:r>
          </w:p>
        </w:tc>
        <w:tc>
          <w:tcPr>
            <w:tcW w:w="900"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8,343</w:t>
            </w:r>
          </w:p>
        </w:tc>
        <w:tc>
          <w:tcPr>
            <w:tcW w:w="126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36,541</w:t>
            </w:r>
          </w:p>
        </w:tc>
        <w:tc>
          <w:tcPr>
            <w:tcW w:w="74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44,885</w:t>
            </w:r>
          </w:p>
        </w:tc>
        <w:tc>
          <w:tcPr>
            <w:tcW w:w="808"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1,969</w:t>
            </w:r>
          </w:p>
        </w:tc>
        <w:tc>
          <w:tcPr>
            <w:tcW w:w="117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1,72,545</w:t>
            </w:r>
          </w:p>
        </w:tc>
        <w:tc>
          <w:tcPr>
            <w:tcW w:w="809" w:type="dxa"/>
            <w:tcBorders>
              <w:top w:val="nil"/>
              <w:left w:val="single" w:sz="4" w:space="0" w:color="auto"/>
              <w:bottom w:val="nil"/>
              <w:right w:val="nil"/>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1,74,514</w:t>
            </w:r>
          </w:p>
        </w:tc>
        <w:tc>
          <w:tcPr>
            <w:tcW w:w="153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b/>
                <w:bCs/>
                <w:sz w:val="20"/>
                <w:szCs w:val="20"/>
                <w:lang w:val="en-GB"/>
              </w:rPr>
            </w:pPr>
            <w:r w:rsidRPr="007D38B4">
              <w:rPr>
                <w:rFonts w:ascii="Helvetica" w:hAnsi="Helvetica" w:cs="Helvetica"/>
                <w:b/>
                <w:bCs/>
                <w:sz w:val="20"/>
                <w:szCs w:val="20"/>
                <w:lang w:val="en-GB"/>
              </w:rPr>
              <w:t>2,19,398</w:t>
            </w:r>
          </w:p>
        </w:tc>
      </w:tr>
      <w:tr w:rsidR="007D38B4" w:rsidRPr="007D38B4" w:rsidTr="007D38B4">
        <w:trPr>
          <w:trHeight w:val="131"/>
          <w:jc w:val="center"/>
        </w:trPr>
        <w:tc>
          <w:tcPr>
            <w:tcW w:w="98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rPr>
                <w:rFonts w:ascii="Helvetica" w:hAnsi="Helvetica" w:cs="Helvetica"/>
                <w:sz w:val="20"/>
                <w:szCs w:val="20"/>
                <w:lang w:val="en-GB"/>
              </w:rPr>
            </w:pPr>
            <w:r w:rsidRPr="007D38B4">
              <w:rPr>
                <w:rFonts w:ascii="Helvetica" w:hAnsi="Helvetica" w:cs="Helvetica"/>
                <w:sz w:val="20"/>
                <w:szCs w:val="20"/>
                <w:lang w:val="en-GB"/>
              </w:rPr>
              <w:t>Apr-17</w:t>
            </w:r>
          </w:p>
        </w:tc>
        <w:tc>
          <w:tcPr>
            <w:tcW w:w="900"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1,232</w:t>
            </w:r>
          </w:p>
        </w:tc>
        <w:tc>
          <w:tcPr>
            <w:tcW w:w="126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7,041</w:t>
            </w:r>
          </w:p>
        </w:tc>
        <w:tc>
          <w:tcPr>
            <w:tcW w:w="74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8,273</w:t>
            </w:r>
          </w:p>
        </w:tc>
        <w:tc>
          <w:tcPr>
            <w:tcW w:w="808"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1,969</w:t>
            </w:r>
          </w:p>
        </w:tc>
        <w:tc>
          <w:tcPr>
            <w:tcW w:w="117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63,819</w:t>
            </w:r>
          </w:p>
        </w:tc>
        <w:tc>
          <w:tcPr>
            <w:tcW w:w="809"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65,787</w:t>
            </w:r>
          </w:p>
        </w:tc>
        <w:tc>
          <w:tcPr>
            <w:tcW w:w="1535"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74,060</w:t>
            </w:r>
          </w:p>
        </w:tc>
      </w:tr>
      <w:tr w:rsidR="007D38B4" w:rsidRPr="007D38B4" w:rsidTr="007D38B4">
        <w:trPr>
          <w:trHeight w:val="131"/>
          <w:jc w:val="center"/>
        </w:trPr>
        <w:tc>
          <w:tcPr>
            <w:tcW w:w="98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rPr>
                <w:rFonts w:ascii="Helvetica" w:hAnsi="Helvetica" w:cs="Helvetica"/>
                <w:sz w:val="20"/>
                <w:szCs w:val="20"/>
                <w:lang w:val="en-GB"/>
              </w:rPr>
            </w:pPr>
            <w:r w:rsidRPr="007D38B4">
              <w:rPr>
                <w:rFonts w:ascii="Helvetica" w:hAnsi="Helvetica" w:cs="Helvetica"/>
                <w:sz w:val="20"/>
                <w:szCs w:val="20"/>
                <w:lang w:val="en-GB"/>
              </w:rPr>
              <w:t>May-17</w:t>
            </w:r>
          </w:p>
        </w:tc>
        <w:tc>
          <w:tcPr>
            <w:tcW w:w="900"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1,480</w:t>
            </w:r>
          </w:p>
        </w:tc>
        <w:tc>
          <w:tcPr>
            <w:tcW w:w="126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9,675</w:t>
            </w:r>
          </w:p>
        </w:tc>
        <w:tc>
          <w:tcPr>
            <w:tcW w:w="745"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11,155</w:t>
            </w:r>
          </w:p>
        </w:tc>
        <w:tc>
          <w:tcPr>
            <w:tcW w:w="808"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0</w:t>
            </w:r>
          </w:p>
        </w:tc>
        <w:tc>
          <w:tcPr>
            <w:tcW w:w="1170"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33,389</w:t>
            </w:r>
          </w:p>
        </w:tc>
        <w:tc>
          <w:tcPr>
            <w:tcW w:w="809"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33,389</w:t>
            </w:r>
          </w:p>
        </w:tc>
        <w:tc>
          <w:tcPr>
            <w:tcW w:w="1535" w:type="dxa"/>
            <w:tcBorders>
              <w:top w:val="nil"/>
              <w:left w:val="nil"/>
              <w:bottom w:val="nil"/>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44,544</w:t>
            </w:r>
          </w:p>
        </w:tc>
      </w:tr>
      <w:tr w:rsidR="007D38B4" w:rsidRPr="007D38B4" w:rsidTr="007D38B4">
        <w:trPr>
          <w:trHeight w:val="131"/>
          <w:jc w:val="center"/>
        </w:trPr>
        <w:tc>
          <w:tcPr>
            <w:tcW w:w="985"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rPr>
                <w:rFonts w:ascii="Helvetica" w:hAnsi="Helvetica" w:cs="Helvetica"/>
                <w:sz w:val="20"/>
                <w:szCs w:val="20"/>
                <w:lang w:val="en-GB"/>
              </w:rPr>
            </w:pPr>
            <w:r w:rsidRPr="007D38B4">
              <w:rPr>
                <w:rFonts w:ascii="Helvetica" w:hAnsi="Helvetica" w:cs="Helvetica"/>
                <w:sz w:val="20"/>
                <w:szCs w:val="20"/>
                <w:lang w:val="en-GB"/>
              </w:rPr>
              <w:t>Jun-17</w:t>
            </w:r>
          </w:p>
        </w:tc>
        <w:tc>
          <w:tcPr>
            <w:tcW w:w="90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5,632</w:t>
            </w:r>
          </w:p>
        </w:tc>
        <w:tc>
          <w:tcPr>
            <w:tcW w:w="1260"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19,825</w:t>
            </w:r>
          </w:p>
        </w:tc>
        <w:tc>
          <w:tcPr>
            <w:tcW w:w="745"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25,457</w:t>
            </w:r>
          </w:p>
        </w:tc>
        <w:tc>
          <w:tcPr>
            <w:tcW w:w="808"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0</w:t>
            </w:r>
          </w:p>
        </w:tc>
        <w:tc>
          <w:tcPr>
            <w:tcW w:w="1170"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75,337</w:t>
            </w:r>
          </w:p>
        </w:tc>
        <w:tc>
          <w:tcPr>
            <w:tcW w:w="809"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75,337</w:t>
            </w:r>
          </w:p>
        </w:tc>
        <w:tc>
          <w:tcPr>
            <w:tcW w:w="1535"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center"/>
            <w:hideMark/>
          </w:tcPr>
          <w:p w:rsidR="007D38B4" w:rsidRPr="007D38B4" w:rsidRDefault="007D38B4" w:rsidP="007D38B4">
            <w:pPr>
              <w:spacing w:after="0" w:line="240" w:lineRule="auto"/>
              <w:jc w:val="right"/>
              <w:rPr>
                <w:rFonts w:ascii="Helvetica" w:hAnsi="Helvetica" w:cs="Helvetica"/>
                <w:sz w:val="20"/>
                <w:szCs w:val="20"/>
                <w:lang w:val="en-GB"/>
              </w:rPr>
            </w:pPr>
            <w:r w:rsidRPr="007D38B4">
              <w:rPr>
                <w:rFonts w:ascii="Helvetica" w:hAnsi="Helvetica" w:cs="Helvetica"/>
                <w:sz w:val="20"/>
                <w:szCs w:val="20"/>
                <w:lang w:val="en-GB"/>
              </w:rPr>
              <w:t>1,00,794</w:t>
            </w:r>
          </w:p>
        </w:tc>
      </w:tr>
    </w:tbl>
    <w:p w:rsidR="007D38B4" w:rsidRPr="007D38B4" w:rsidRDefault="007D38B4" w:rsidP="007D38B4">
      <w:pPr>
        <w:spacing w:after="0" w:line="240" w:lineRule="auto"/>
        <w:jc w:val="both"/>
        <w:rPr>
          <w:rFonts w:ascii="Helvetica" w:eastAsia="Times New Roman" w:hAnsi="Helvetica"/>
          <w:b/>
          <w:bCs/>
          <w:i/>
          <w:sz w:val="20"/>
          <w:szCs w:val="24"/>
          <w:lang w:val="en-GB"/>
        </w:rPr>
      </w:pPr>
      <w:r w:rsidRPr="007D38B4">
        <w:rPr>
          <w:rFonts w:ascii="Helvetica" w:eastAsia="Times New Roman" w:hAnsi="Helvetica"/>
          <w:b/>
          <w:bCs/>
          <w:i/>
          <w:sz w:val="20"/>
          <w:szCs w:val="24"/>
          <w:lang w:val="en-GB"/>
        </w:rPr>
        <w:t xml:space="preserve"> Notes: </w:t>
      </w:r>
    </w:p>
    <w:p w:rsidR="007D38B4" w:rsidRPr="007D38B4" w:rsidRDefault="007D38B4" w:rsidP="007D38B4">
      <w:pPr>
        <w:numPr>
          <w:ilvl w:val="1"/>
          <w:numId w:val="1"/>
        </w:numPr>
        <w:spacing w:after="0" w:line="240" w:lineRule="auto"/>
        <w:ind w:left="450"/>
        <w:contextualSpacing/>
        <w:jc w:val="both"/>
        <w:rPr>
          <w:rFonts w:ascii="Helvetica" w:eastAsia="Times New Roman" w:hAnsi="Helvetica"/>
          <w:i/>
          <w:sz w:val="20"/>
          <w:szCs w:val="20"/>
          <w:lang w:val="en-GB"/>
        </w:rPr>
      </w:pPr>
      <w:r w:rsidRPr="007D38B4">
        <w:rPr>
          <w:rFonts w:ascii="Helvetica" w:eastAsia="Times New Roman" w:hAnsi="Helvetica"/>
          <w:i/>
          <w:sz w:val="20"/>
          <w:szCs w:val="20"/>
          <w:lang w:val="en-GB"/>
        </w:rPr>
        <w:t>Private placement of Equity includes, amount raised through preferential allotments, QIP and IPP mechanism.</w:t>
      </w:r>
    </w:p>
    <w:p w:rsidR="007D38B4" w:rsidRPr="007D38B4" w:rsidRDefault="007D38B4" w:rsidP="007D38B4">
      <w:pPr>
        <w:numPr>
          <w:ilvl w:val="1"/>
          <w:numId w:val="1"/>
        </w:numPr>
        <w:spacing w:after="0" w:line="240" w:lineRule="auto"/>
        <w:ind w:left="450"/>
        <w:contextualSpacing/>
        <w:jc w:val="both"/>
        <w:rPr>
          <w:rFonts w:ascii="Helvetica" w:eastAsia="Times New Roman" w:hAnsi="Helvetica"/>
          <w:i/>
          <w:sz w:val="20"/>
          <w:szCs w:val="20"/>
          <w:lang w:val="en-GB"/>
        </w:rPr>
      </w:pPr>
      <w:r w:rsidRPr="007D38B4">
        <w:rPr>
          <w:rFonts w:ascii="Helvetica" w:eastAsia="Times New Roman" w:hAnsi="Helvetica"/>
          <w:i/>
          <w:sz w:val="20"/>
          <w:szCs w:val="20"/>
          <w:lang w:val="en-GB"/>
        </w:rPr>
        <w:t xml:space="preserve">Public Equity Issues includes IPO, FPO &amp; Rights issues of common equity shares. </w:t>
      </w:r>
    </w:p>
    <w:p w:rsidR="007D38B4" w:rsidRPr="007D38B4" w:rsidRDefault="007D38B4" w:rsidP="007D38B4">
      <w:pPr>
        <w:numPr>
          <w:ilvl w:val="1"/>
          <w:numId w:val="1"/>
        </w:numPr>
        <w:spacing w:after="0" w:line="240" w:lineRule="auto"/>
        <w:ind w:left="450"/>
        <w:contextualSpacing/>
        <w:jc w:val="both"/>
        <w:rPr>
          <w:rFonts w:ascii="Helvetica" w:hAnsi="Helvetica"/>
          <w:i/>
          <w:sz w:val="20"/>
          <w:szCs w:val="20"/>
          <w:lang w:val="en-GB"/>
        </w:rPr>
      </w:pPr>
      <w:r w:rsidRPr="007D38B4">
        <w:rPr>
          <w:rFonts w:ascii="Helvetica" w:hAnsi="Helvetica"/>
          <w:i/>
          <w:sz w:val="20"/>
          <w:szCs w:val="20"/>
          <w:lang w:val="en-GB"/>
        </w:rPr>
        <w:t>Data pertaining to Debt Issue of June 2017 are provisional</w:t>
      </w:r>
    </w:p>
    <w:p w:rsidR="007D38B4" w:rsidRPr="007D38B4" w:rsidRDefault="007D38B4" w:rsidP="007D38B4">
      <w:pPr>
        <w:spacing w:after="0" w:line="240" w:lineRule="auto"/>
        <w:jc w:val="both"/>
        <w:rPr>
          <w:rFonts w:ascii="Helvetica" w:hAnsi="Helvetica"/>
          <w:i/>
          <w:color w:val="0033CC"/>
          <w:sz w:val="20"/>
          <w:szCs w:val="20"/>
          <w:lang w:val="en-GB"/>
        </w:rPr>
      </w:pPr>
    </w:p>
    <w:p w:rsidR="007D38B4" w:rsidRPr="007D38B4" w:rsidRDefault="007D38B4" w:rsidP="007D38B4">
      <w:pPr>
        <w:spacing w:after="0" w:line="240" w:lineRule="auto"/>
        <w:jc w:val="both"/>
        <w:rPr>
          <w:rFonts w:ascii="Helvetica" w:eastAsia="Times New Roman" w:hAnsi="Helvetica"/>
          <w:b/>
          <w:bCs/>
          <w:i/>
          <w:sz w:val="24"/>
          <w:szCs w:val="28"/>
          <w:lang w:val="en-GB"/>
        </w:rPr>
      </w:pPr>
    </w:p>
    <w:p w:rsidR="007D38B4" w:rsidRPr="007D38B4" w:rsidRDefault="007D38B4" w:rsidP="007D38B4">
      <w:pPr>
        <w:widowControl w:val="0"/>
        <w:numPr>
          <w:ilvl w:val="0"/>
          <w:numId w:val="3"/>
        </w:numPr>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Resource Mobilisation by Mutual Funds</w:t>
      </w:r>
    </w:p>
    <w:p w:rsidR="007D38B4" w:rsidRPr="007D38B4" w:rsidRDefault="007D38B4" w:rsidP="007D38B4">
      <w:pPr>
        <w:widowControl w:val="0"/>
        <w:spacing w:after="0" w:line="240" w:lineRule="auto"/>
        <w:ind w:left="720"/>
        <w:contextualSpacing/>
        <w:jc w:val="both"/>
        <w:rPr>
          <w:rFonts w:ascii="Helvetica" w:hAnsi="Helvetica"/>
          <w:b/>
          <w:sz w:val="24"/>
          <w:szCs w:val="24"/>
          <w:lang w:val="en-GB"/>
        </w:rPr>
      </w:pPr>
    </w:p>
    <w:p w:rsidR="007D38B4" w:rsidRPr="007D38B4" w:rsidRDefault="007D38B4" w:rsidP="007D38B4">
      <w:pPr>
        <w:spacing w:line="240" w:lineRule="auto"/>
        <w:jc w:val="both"/>
        <w:rPr>
          <w:rFonts w:ascii="Helvetica" w:hAnsi="Helvetica" w:cs="Garamond"/>
          <w:b/>
          <w:color w:val="0033CC"/>
          <w:sz w:val="24"/>
          <w:szCs w:val="24"/>
          <w:lang w:val="en-GB"/>
        </w:rPr>
      </w:pPr>
      <w:r w:rsidRPr="007D38B4">
        <w:rPr>
          <w:rFonts w:ascii="Helvetica" w:hAnsi="Helvetica" w:cs="Arial"/>
          <w:sz w:val="24"/>
          <w:szCs w:val="24"/>
          <w:lang w:val="en-GB"/>
        </w:rPr>
        <w:t xml:space="preserve">During June 2017, there was a net outflow of </w:t>
      </w:r>
      <w:r w:rsidRPr="007D38B4">
        <w:rPr>
          <w:rFonts w:ascii="Rupee Foradian" w:hAnsi="Rupee Foradian" w:cs="Arial"/>
          <w:sz w:val="24"/>
          <w:szCs w:val="24"/>
        </w:rPr>
        <w:t>`</w:t>
      </w:r>
      <w:r w:rsidRPr="007D38B4">
        <w:rPr>
          <w:rFonts w:ascii="Helvetica" w:hAnsi="Helvetica" w:cs="Arial"/>
          <w:sz w:val="24"/>
          <w:szCs w:val="24"/>
        </w:rPr>
        <w:t xml:space="preserve"> 16,593 crore from the mutual funds industry against</w:t>
      </w:r>
      <w:r w:rsidRPr="007D38B4">
        <w:rPr>
          <w:rFonts w:ascii="Helvetica" w:hAnsi="Helvetica" w:cs="Arial"/>
          <w:sz w:val="24"/>
          <w:szCs w:val="24"/>
          <w:lang w:val="en-GB"/>
        </w:rPr>
        <w:t xml:space="preserve"> a </w:t>
      </w:r>
      <w:r w:rsidRPr="007D38B4">
        <w:rPr>
          <w:rFonts w:ascii="Helvetica" w:hAnsi="Helvetica" w:cs="Arial"/>
          <w:sz w:val="24"/>
          <w:szCs w:val="24"/>
        </w:rPr>
        <w:t xml:space="preserve">net </w:t>
      </w:r>
      <w:r w:rsidRPr="007D38B4">
        <w:rPr>
          <w:rFonts w:ascii="Helvetica" w:hAnsi="Helvetica" w:cs="Arial"/>
          <w:sz w:val="24"/>
          <w:szCs w:val="24"/>
          <w:lang w:val="en-GB"/>
        </w:rPr>
        <w:t xml:space="preserve">outflow of </w:t>
      </w:r>
      <w:r w:rsidRPr="007D38B4">
        <w:rPr>
          <w:rFonts w:ascii="Rupee Foradian" w:hAnsi="Rupee Foradian" w:cs="Arial"/>
          <w:sz w:val="24"/>
          <w:szCs w:val="24"/>
        </w:rPr>
        <w:t>`</w:t>
      </w:r>
      <w:r w:rsidRPr="007D38B4">
        <w:rPr>
          <w:rFonts w:ascii="Helvetica" w:hAnsi="Helvetica" w:cs="Arial"/>
          <w:sz w:val="24"/>
          <w:szCs w:val="24"/>
        </w:rPr>
        <w:t xml:space="preserve"> 40,711 crore </w:t>
      </w:r>
      <w:r w:rsidRPr="007D38B4">
        <w:rPr>
          <w:rFonts w:ascii="Helvetica" w:hAnsi="Helvetica" w:cs="Arial"/>
          <w:sz w:val="24"/>
          <w:szCs w:val="24"/>
          <w:lang w:val="en-GB"/>
        </w:rPr>
        <w:t xml:space="preserve">during May 2017. In the month under review, there were outflow of </w:t>
      </w:r>
      <w:r w:rsidRPr="007D38B4">
        <w:rPr>
          <w:rFonts w:ascii="Rupee Foradian" w:hAnsi="Rupee Foradian" w:cs="Arial"/>
          <w:sz w:val="24"/>
          <w:szCs w:val="24"/>
        </w:rPr>
        <w:t>`</w:t>
      </w:r>
      <w:r w:rsidRPr="007D38B4">
        <w:rPr>
          <w:rFonts w:ascii="Helvetica" w:hAnsi="Helvetica" w:cs="Arial"/>
          <w:sz w:val="24"/>
          <w:szCs w:val="24"/>
        </w:rPr>
        <w:t xml:space="preserve"> </w:t>
      </w:r>
      <w:r w:rsidRPr="007D38B4">
        <w:rPr>
          <w:rFonts w:ascii="Helvetica" w:hAnsi="Helvetica" w:cs="Arial"/>
          <w:sz w:val="24"/>
          <w:szCs w:val="24"/>
          <w:lang w:val="en-GB"/>
        </w:rPr>
        <w:t>33,460</w:t>
      </w:r>
      <w:r w:rsidRPr="007D38B4">
        <w:rPr>
          <w:rFonts w:ascii="Helvetica" w:hAnsi="Helvetica" w:cs="Arial"/>
          <w:b/>
          <w:bCs/>
          <w:sz w:val="24"/>
          <w:szCs w:val="24"/>
          <w:lang w:val="en-GB"/>
        </w:rPr>
        <w:t xml:space="preserve"> </w:t>
      </w:r>
      <w:r w:rsidRPr="007D38B4">
        <w:rPr>
          <w:rFonts w:ascii="Helvetica" w:hAnsi="Helvetica" w:cs="Arial"/>
          <w:bCs/>
          <w:sz w:val="24"/>
          <w:szCs w:val="24"/>
          <w:lang w:val="en-GB"/>
        </w:rPr>
        <w:t>crore</w:t>
      </w:r>
      <w:r w:rsidRPr="007D38B4">
        <w:rPr>
          <w:rFonts w:ascii="Helvetica" w:hAnsi="Helvetica" w:cs="Arial"/>
          <w:sz w:val="24"/>
          <w:szCs w:val="24"/>
          <w:lang w:val="en-GB"/>
        </w:rPr>
        <w:t xml:space="preserve"> from income / debt oriented schemes whereas inflow of </w:t>
      </w:r>
      <w:r w:rsidRPr="007D38B4">
        <w:rPr>
          <w:rFonts w:ascii="Rupee Foradian" w:hAnsi="Rupee Foradian" w:cs="Arial"/>
          <w:sz w:val="24"/>
          <w:szCs w:val="24"/>
        </w:rPr>
        <w:t>`</w:t>
      </w:r>
      <w:r w:rsidRPr="007D38B4">
        <w:rPr>
          <w:rFonts w:ascii="Helvetica" w:hAnsi="Helvetica" w:cs="Arial"/>
          <w:sz w:val="24"/>
          <w:szCs w:val="24"/>
        </w:rPr>
        <w:t xml:space="preserve"> 8,165 crore into growth / equity oriented schemes</w:t>
      </w:r>
      <w:r w:rsidRPr="007D38B4">
        <w:rPr>
          <w:rFonts w:ascii="Helvetica" w:hAnsi="Helvetica" w:cs="Arial"/>
          <w:sz w:val="24"/>
          <w:szCs w:val="24"/>
          <w:lang w:val="en-GB"/>
        </w:rPr>
        <w:t xml:space="preserve">. Balanced schemes recorded inflow of </w:t>
      </w:r>
      <w:r w:rsidRPr="007D38B4">
        <w:rPr>
          <w:rFonts w:ascii="Rupee Foradian" w:hAnsi="Rupee Foradian" w:cs="Arial"/>
          <w:sz w:val="24"/>
          <w:szCs w:val="24"/>
        </w:rPr>
        <w:t>`</w:t>
      </w:r>
      <w:r w:rsidRPr="007D38B4">
        <w:rPr>
          <w:rFonts w:ascii="Helvetica" w:hAnsi="Helvetica" w:cs="Arial"/>
          <w:sz w:val="24"/>
          <w:szCs w:val="24"/>
        </w:rPr>
        <w:t xml:space="preserve"> 7,458 crore. Exchange traded </w:t>
      </w:r>
      <w:r w:rsidRPr="007D38B4">
        <w:rPr>
          <w:rFonts w:ascii="Helvetica" w:hAnsi="Helvetica" w:cs="Arial"/>
          <w:sz w:val="24"/>
          <w:szCs w:val="24"/>
          <w:lang w:val="en-GB"/>
        </w:rPr>
        <w:t xml:space="preserve">funds witnessed net inflow of </w:t>
      </w:r>
      <w:r w:rsidRPr="007D38B4">
        <w:rPr>
          <w:rFonts w:ascii="Rupee Foradian" w:eastAsia="Times New Roman" w:hAnsi="Rupee Foradian"/>
          <w:bCs/>
          <w:sz w:val="24"/>
          <w:szCs w:val="20"/>
          <w:lang w:val="en-GB" w:eastAsia="en-GB" w:bidi="bn-IN"/>
        </w:rPr>
        <w:t>`</w:t>
      </w:r>
      <w:r w:rsidRPr="007D38B4">
        <w:rPr>
          <w:rFonts w:ascii="Helvetica" w:hAnsi="Helvetica" w:cs="Arial"/>
          <w:sz w:val="24"/>
          <w:szCs w:val="24"/>
          <w:lang w:val="en-GB"/>
        </w:rPr>
        <w:t xml:space="preserve"> 1,282 crore of which there was an outflow of </w:t>
      </w:r>
      <w:r w:rsidRPr="007D38B4">
        <w:rPr>
          <w:rFonts w:ascii="Rupee Foradian" w:eastAsia="Times New Roman" w:hAnsi="Rupee Foradian"/>
          <w:bCs/>
          <w:sz w:val="24"/>
          <w:szCs w:val="20"/>
          <w:lang w:val="en-GB" w:eastAsia="en-GB" w:bidi="bn-IN"/>
        </w:rPr>
        <w:t xml:space="preserve">` </w:t>
      </w:r>
      <w:r w:rsidRPr="007D38B4">
        <w:rPr>
          <w:rFonts w:ascii="Helvetica" w:hAnsi="Helvetica" w:cs="Arial"/>
          <w:sz w:val="24"/>
          <w:szCs w:val="24"/>
          <w:lang w:val="en-GB"/>
        </w:rPr>
        <w:t xml:space="preserve">82 crore from gold ETFs and an inflow of </w:t>
      </w:r>
      <w:r w:rsidRPr="007D38B4">
        <w:rPr>
          <w:rFonts w:ascii="Rupee Foradian" w:eastAsia="Times New Roman" w:hAnsi="Rupee Foradian"/>
          <w:bCs/>
          <w:sz w:val="24"/>
          <w:szCs w:val="20"/>
          <w:lang w:val="en-GB" w:eastAsia="en-GB" w:bidi="bn-IN"/>
        </w:rPr>
        <w:t xml:space="preserve">` </w:t>
      </w:r>
      <w:r w:rsidRPr="007D38B4">
        <w:rPr>
          <w:rFonts w:ascii="Helvetica" w:hAnsi="Helvetica" w:cs="Garamond"/>
          <w:sz w:val="24"/>
          <w:szCs w:val="24"/>
          <w:lang w:val="en-GB"/>
        </w:rPr>
        <w:t>1,364 crore in other ETFs. The Fund of funds schemes investing overseas registered net outflow</w:t>
      </w:r>
      <w:r w:rsidRPr="007D38B4">
        <w:rPr>
          <w:rFonts w:ascii="Helvetica" w:hAnsi="Helvetica" w:cs="Arial"/>
          <w:sz w:val="24"/>
          <w:szCs w:val="24"/>
          <w:lang w:val="en-GB"/>
        </w:rPr>
        <w:t xml:space="preserve"> of </w:t>
      </w:r>
      <w:r w:rsidRPr="007D38B4">
        <w:rPr>
          <w:rFonts w:ascii="Rupee Foradian" w:eastAsia="Times New Roman" w:hAnsi="Rupee Foradian"/>
          <w:bCs/>
          <w:sz w:val="24"/>
          <w:szCs w:val="20"/>
          <w:lang w:val="en-GB" w:eastAsia="en-GB" w:bidi="bn-IN"/>
        </w:rPr>
        <w:t>`</w:t>
      </w:r>
      <w:r w:rsidRPr="007D38B4">
        <w:rPr>
          <w:rFonts w:ascii="Helvetica" w:hAnsi="Helvetica" w:cs="Arial"/>
          <w:sz w:val="24"/>
          <w:szCs w:val="24"/>
          <w:lang w:val="en-GB"/>
        </w:rPr>
        <w:t xml:space="preserve"> 39 crore. The cumulative net assets under management by all mutual funds fell by 0.4 per cent to </w:t>
      </w:r>
      <w:r w:rsidRPr="007D38B4">
        <w:rPr>
          <w:rFonts w:ascii="Rupee Foradian" w:hAnsi="Rupee Foradian" w:cs="Arial"/>
          <w:sz w:val="24"/>
          <w:szCs w:val="24"/>
        </w:rPr>
        <w:t>`</w:t>
      </w:r>
      <w:r w:rsidRPr="007D38B4">
        <w:rPr>
          <w:rFonts w:ascii="Helvetica" w:hAnsi="Helvetica" w:cs="Arial"/>
          <w:sz w:val="24"/>
          <w:szCs w:val="24"/>
        </w:rPr>
        <w:t xml:space="preserve"> 18</w:t>
      </w:r>
      <w:proofErr w:type="gramStart"/>
      <w:r w:rsidRPr="007D38B4">
        <w:rPr>
          <w:rFonts w:ascii="Helvetica" w:hAnsi="Helvetica" w:cs="Arial"/>
          <w:sz w:val="24"/>
          <w:szCs w:val="24"/>
        </w:rPr>
        <w:t>,96,291</w:t>
      </w:r>
      <w:proofErr w:type="gramEnd"/>
      <w:r w:rsidRPr="007D38B4">
        <w:rPr>
          <w:rFonts w:ascii="Helvetica" w:hAnsi="Helvetica" w:cs="Arial"/>
          <w:sz w:val="24"/>
          <w:szCs w:val="24"/>
        </w:rPr>
        <w:t xml:space="preserve"> </w:t>
      </w:r>
      <w:r w:rsidRPr="007D38B4">
        <w:rPr>
          <w:rFonts w:ascii="Helvetica" w:hAnsi="Helvetica" w:cs="Garamond"/>
          <w:sz w:val="24"/>
          <w:szCs w:val="24"/>
          <w:lang w:val="en-GB"/>
        </w:rPr>
        <w:t xml:space="preserve">crore at the end of June 2017 from </w:t>
      </w:r>
      <w:r w:rsidRPr="007D38B4">
        <w:rPr>
          <w:rFonts w:ascii="Rupee Foradian" w:hAnsi="Rupee Foradian" w:cs="Arial"/>
          <w:sz w:val="24"/>
          <w:szCs w:val="24"/>
        </w:rPr>
        <w:t>`</w:t>
      </w:r>
      <w:r w:rsidRPr="007D38B4">
        <w:rPr>
          <w:rFonts w:ascii="Helvetica" w:hAnsi="Helvetica" w:cs="Arial"/>
          <w:sz w:val="24"/>
          <w:szCs w:val="24"/>
        </w:rPr>
        <w:t xml:space="preserve"> 19,03,975 </w:t>
      </w:r>
      <w:r w:rsidRPr="007D38B4">
        <w:rPr>
          <w:rFonts w:ascii="Helvetica" w:hAnsi="Helvetica" w:cs="Garamond"/>
          <w:sz w:val="24"/>
          <w:szCs w:val="24"/>
          <w:lang w:val="en-GB"/>
        </w:rPr>
        <w:t xml:space="preserve">crore at the end of May 2017 </w:t>
      </w:r>
      <w:r w:rsidRPr="007D38B4">
        <w:rPr>
          <w:rFonts w:ascii="Helvetica" w:hAnsi="Helvetica" w:cs="Garamond"/>
          <w:b/>
          <w:sz w:val="24"/>
          <w:szCs w:val="24"/>
          <w:lang w:val="en-GB"/>
        </w:rPr>
        <w:t>(</w:t>
      </w:r>
      <w:r w:rsidRPr="007D38B4">
        <w:rPr>
          <w:rFonts w:ascii="Helvetica" w:hAnsi="Helvetica" w:cs="Garamond"/>
          <w:b/>
          <w:i/>
          <w:iCs/>
          <w:sz w:val="24"/>
          <w:szCs w:val="24"/>
          <w:lang w:val="en-GB"/>
        </w:rPr>
        <w:t>Tables 52 &amp; 54</w:t>
      </w:r>
      <w:r w:rsidRPr="007D38B4">
        <w:rPr>
          <w:rFonts w:ascii="Helvetica" w:hAnsi="Helvetica" w:cs="Garamond"/>
          <w:b/>
          <w:sz w:val="24"/>
          <w:szCs w:val="24"/>
          <w:lang w:val="en-GB"/>
        </w:rPr>
        <w:t>).</w:t>
      </w:r>
    </w:p>
    <w:p w:rsidR="007D38B4" w:rsidRPr="007D38B4" w:rsidRDefault="007D38B4" w:rsidP="007D38B4">
      <w:pPr>
        <w:spacing w:line="240" w:lineRule="auto"/>
        <w:jc w:val="both"/>
        <w:rPr>
          <w:rFonts w:ascii="Helvetica" w:hAnsi="Helvetica" w:cs="Garamond"/>
          <w:b/>
          <w:color w:val="0033CC"/>
          <w:sz w:val="24"/>
          <w:szCs w:val="24"/>
          <w:lang w:val="en-GB"/>
        </w:rPr>
      </w:pPr>
    </w:p>
    <w:p w:rsidR="007D38B4" w:rsidRPr="007D38B4" w:rsidRDefault="007D38B4" w:rsidP="007D38B4">
      <w:pPr>
        <w:widowControl w:val="0"/>
        <w:numPr>
          <w:ilvl w:val="0"/>
          <w:numId w:val="3"/>
        </w:numPr>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Trends in the Secondary Market</w:t>
      </w:r>
    </w:p>
    <w:p w:rsidR="007D38B4" w:rsidRPr="007D38B4" w:rsidRDefault="007D38B4" w:rsidP="007D38B4">
      <w:pPr>
        <w:widowControl w:val="0"/>
        <w:spacing w:after="0" w:line="240" w:lineRule="auto"/>
        <w:jc w:val="both"/>
        <w:rPr>
          <w:rFonts w:ascii="Helvetica" w:hAnsi="Helvetica"/>
          <w:b/>
          <w:color w:val="0033CC"/>
          <w:sz w:val="24"/>
          <w:szCs w:val="24"/>
          <w:lang w:val="en-GB"/>
        </w:rPr>
      </w:pPr>
    </w:p>
    <w:p w:rsidR="007D38B4" w:rsidRPr="007D38B4" w:rsidRDefault="007D38B4" w:rsidP="007D38B4">
      <w:pPr>
        <w:spacing w:after="0" w:line="240" w:lineRule="auto"/>
        <w:jc w:val="both"/>
        <w:rPr>
          <w:rFonts w:ascii="Helvetica" w:eastAsia="Times New Roman" w:hAnsi="Helvetica"/>
          <w:color w:val="0033CC"/>
          <w:sz w:val="24"/>
          <w:szCs w:val="24"/>
          <w:lang w:val="en-GB"/>
        </w:rPr>
      </w:pPr>
      <w:r w:rsidRPr="007D38B4">
        <w:rPr>
          <w:rFonts w:ascii="Helvetica" w:eastAsia="Times New Roman" w:hAnsi="Helvetica"/>
          <w:sz w:val="24"/>
          <w:szCs w:val="24"/>
          <w:lang w:val="en-GB"/>
        </w:rPr>
        <w:t>The Indian stock market witnessed a mixed trend gain during May 2017. At the end of June 2017, S&amp;P BSE Sensex closed at 30921.6 witnessing 0.7 per cent fall from its last month’s closing at 31145.8. The Nifty 50 also declined by 0.1 per cent to close at 9520.9 at the end of June 2017 compared to previous month’s closing at 9,621.3 (</w:t>
      </w:r>
      <w:r w:rsidRPr="007D38B4">
        <w:rPr>
          <w:rFonts w:ascii="Helvetica" w:eastAsia="Times New Roman" w:hAnsi="Helvetica"/>
          <w:b/>
          <w:bCs/>
          <w:i/>
          <w:iCs/>
          <w:sz w:val="24"/>
          <w:szCs w:val="24"/>
          <w:lang w:val="en-GB"/>
        </w:rPr>
        <w:t>Figure 1</w:t>
      </w:r>
      <w:r w:rsidRPr="007D38B4">
        <w:rPr>
          <w:rFonts w:ascii="Helvetica" w:eastAsia="Times New Roman" w:hAnsi="Helvetica"/>
          <w:sz w:val="24"/>
          <w:szCs w:val="24"/>
          <w:lang w:val="en-GB"/>
        </w:rPr>
        <w:t xml:space="preserve">). S&amp;P BSE Sensex and Nifty 50 touched their intraday highs of 32672.7 and 10114.9 respectively on July 27, 2017. Both Sensex and Nifty touched their intraday lows of 31017.1 and </w:t>
      </w:r>
      <w:r w:rsidRPr="007D38B4">
        <w:rPr>
          <w:rFonts w:ascii="Arial" w:eastAsia="Times New Roman" w:hAnsi="Arial" w:cs="Arial"/>
          <w:sz w:val="24"/>
          <w:szCs w:val="24"/>
          <w:lang w:val="en-GB" w:eastAsia="en-GB"/>
        </w:rPr>
        <w:t>9543.6</w:t>
      </w:r>
      <w:r w:rsidRPr="007D38B4">
        <w:rPr>
          <w:rFonts w:ascii="Helvetica" w:eastAsia="Times New Roman" w:hAnsi="Helvetica"/>
          <w:sz w:val="24"/>
          <w:szCs w:val="24"/>
          <w:lang w:val="en-GB"/>
        </w:rPr>
        <w:t xml:space="preserve"> respectively on July 03, 2017.</w:t>
      </w:r>
    </w:p>
    <w:p w:rsidR="007D38B4" w:rsidRPr="007D38B4" w:rsidRDefault="007D38B4" w:rsidP="007D38B4">
      <w:pPr>
        <w:spacing w:after="0" w:line="240" w:lineRule="auto"/>
        <w:jc w:val="both"/>
        <w:rPr>
          <w:rFonts w:ascii="Helvetica" w:eastAsia="Times New Roman" w:hAnsi="Helvetica"/>
          <w:color w:val="0033CC"/>
          <w:sz w:val="24"/>
          <w:szCs w:val="24"/>
          <w:lang w:val="en-GB"/>
        </w:rPr>
      </w:pPr>
    </w:p>
    <w:p w:rsidR="007D38B4" w:rsidRPr="007D38B4" w:rsidRDefault="007D38B4" w:rsidP="007D38B4">
      <w:pPr>
        <w:spacing w:after="0" w:line="240" w:lineRule="auto"/>
        <w:jc w:val="center"/>
        <w:outlineLvl w:val="0"/>
        <w:rPr>
          <w:rFonts w:ascii="Helvetica" w:hAnsi="Helvetica"/>
          <w:b/>
          <w:bCs/>
          <w:sz w:val="24"/>
          <w:szCs w:val="24"/>
          <w:lang w:val="en-GB"/>
        </w:rPr>
      </w:pPr>
      <w:r w:rsidRPr="007D38B4">
        <w:rPr>
          <w:rFonts w:ascii="Helvetica" w:hAnsi="Helvetica"/>
          <w:b/>
          <w:bCs/>
          <w:sz w:val="24"/>
          <w:szCs w:val="24"/>
          <w:lang w:val="en-GB"/>
        </w:rPr>
        <w:t xml:space="preserve">Figure </w:t>
      </w:r>
      <w:r w:rsidRPr="007D38B4">
        <w:rPr>
          <w:rFonts w:ascii="Helvetica" w:hAnsi="Helvetica"/>
          <w:b/>
          <w:bCs/>
          <w:sz w:val="24"/>
          <w:szCs w:val="24"/>
          <w:lang w:val="en-GB"/>
        </w:rPr>
        <w:fldChar w:fldCharType="begin"/>
      </w:r>
      <w:r w:rsidRPr="007D38B4">
        <w:rPr>
          <w:rFonts w:ascii="Helvetica" w:hAnsi="Helvetica"/>
          <w:b/>
          <w:bCs/>
          <w:sz w:val="24"/>
          <w:szCs w:val="24"/>
          <w:lang w:val="en-GB"/>
        </w:rPr>
        <w:instrText xml:space="preserve"> SEQ Figure \* ARABIC </w:instrText>
      </w:r>
      <w:r w:rsidRPr="007D38B4">
        <w:rPr>
          <w:rFonts w:ascii="Helvetica" w:hAnsi="Helvetica"/>
          <w:b/>
          <w:bCs/>
          <w:sz w:val="24"/>
          <w:szCs w:val="24"/>
          <w:lang w:val="en-GB"/>
        </w:rPr>
        <w:fldChar w:fldCharType="separate"/>
      </w:r>
      <w:r w:rsidRPr="007D38B4">
        <w:rPr>
          <w:rFonts w:ascii="Helvetica" w:hAnsi="Helvetica"/>
          <w:b/>
          <w:bCs/>
          <w:noProof/>
          <w:sz w:val="24"/>
          <w:szCs w:val="24"/>
          <w:lang w:val="en-GB"/>
        </w:rPr>
        <w:t>1</w:t>
      </w:r>
      <w:r w:rsidRPr="007D38B4">
        <w:rPr>
          <w:rFonts w:ascii="Helvetica" w:hAnsi="Helvetica"/>
          <w:b/>
          <w:bCs/>
          <w:sz w:val="24"/>
          <w:szCs w:val="24"/>
          <w:lang w:val="en-GB"/>
        </w:rPr>
        <w:fldChar w:fldCharType="end"/>
      </w:r>
      <w:r w:rsidRPr="007D38B4">
        <w:rPr>
          <w:rFonts w:ascii="Helvetica" w:hAnsi="Helvetica"/>
          <w:b/>
          <w:bCs/>
          <w:sz w:val="24"/>
          <w:szCs w:val="24"/>
          <w:lang w:val="en-GB"/>
        </w:rPr>
        <w:t>: Movement of Sensex and Nifty</w:t>
      </w:r>
    </w:p>
    <w:p w:rsidR="007D38B4" w:rsidRPr="007D38B4" w:rsidRDefault="007D38B4" w:rsidP="007D38B4">
      <w:pPr>
        <w:spacing w:line="240" w:lineRule="auto"/>
        <w:jc w:val="center"/>
        <w:rPr>
          <w:rFonts w:ascii="Helvetica" w:hAnsi="Helvetica"/>
          <w:b/>
          <w:bCs/>
          <w:color w:val="0033CC"/>
          <w:sz w:val="24"/>
          <w:szCs w:val="24"/>
          <w:lang w:val="en-GB"/>
        </w:rPr>
      </w:pPr>
      <w:r w:rsidRPr="007D38B4">
        <w:rPr>
          <w:rFonts w:ascii="Helvetica" w:hAnsi="Helvetica"/>
          <w:noProof/>
          <w:sz w:val="24"/>
          <w:szCs w:val="24"/>
        </w:rPr>
        <w:drawing>
          <wp:inline distT="0" distB="0" distL="0" distR="0" wp14:anchorId="3DEEAD4A" wp14:editId="087AB20C">
            <wp:extent cx="5670550" cy="2797791"/>
            <wp:effectExtent l="0" t="0" r="6350" b="31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38B4" w:rsidRPr="007D38B4" w:rsidRDefault="007D38B4" w:rsidP="007D38B4">
      <w:pPr>
        <w:spacing w:line="240" w:lineRule="auto"/>
        <w:jc w:val="both"/>
        <w:rPr>
          <w:rFonts w:ascii="Helvetica" w:eastAsia="Times New Roman" w:hAnsi="Helvetica" w:cs="Garamond"/>
          <w:color w:val="0033CC"/>
          <w:sz w:val="24"/>
          <w:szCs w:val="24"/>
        </w:rPr>
      </w:pPr>
      <w:r w:rsidRPr="007D38B4">
        <w:rPr>
          <w:rFonts w:ascii="Helvetica" w:eastAsia="Times New Roman" w:hAnsi="Helvetica"/>
          <w:sz w:val="24"/>
          <w:szCs w:val="24"/>
          <w:lang w:val="en-GB"/>
        </w:rPr>
        <w:t xml:space="preserve">Market capitalisation of BSE increased by 0.1 per cent to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sz w:val="24"/>
          <w:szCs w:val="24"/>
          <w:lang w:val="en-GB"/>
        </w:rPr>
        <w:t>1</w:t>
      </w:r>
      <w:proofErr w:type="gramStart"/>
      <w:r w:rsidRPr="007D38B4">
        <w:rPr>
          <w:rFonts w:ascii="Helvetica" w:eastAsia="Times New Roman" w:hAnsi="Helvetica"/>
          <w:sz w:val="24"/>
          <w:szCs w:val="24"/>
          <w:lang w:val="en-GB"/>
        </w:rPr>
        <w:t>,25,96,812</w:t>
      </w:r>
      <w:proofErr w:type="gramEnd"/>
      <w:r w:rsidRPr="007D38B4">
        <w:rPr>
          <w:rFonts w:ascii="Helvetica" w:eastAsia="Times New Roman" w:hAnsi="Helvetica" w:cs="Garamond"/>
          <w:sz w:val="24"/>
          <w:szCs w:val="24"/>
          <w:lang w:val="en-GB"/>
        </w:rPr>
        <w:t xml:space="preserve"> crore</w:t>
      </w:r>
      <w:r w:rsidRPr="007D38B4">
        <w:rPr>
          <w:rFonts w:ascii="Helvetica" w:eastAsia="Times New Roman" w:hAnsi="Helvetica"/>
          <w:sz w:val="24"/>
          <w:szCs w:val="24"/>
          <w:lang w:val="en-GB"/>
        </w:rPr>
        <w:t xml:space="preserve"> at the end of June 2017, from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sz w:val="24"/>
          <w:szCs w:val="24"/>
          <w:lang w:val="en-GB"/>
        </w:rPr>
        <w:t>1,25,80,119</w:t>
      </w:r>
      <w:r w:rsidRPr="007D38B4">
        <w:rPr>
          <w:rFonts w:ascii="Helvetica" w:eastAsia="Times New Roman" w:hAnsi="Helvetica" w:cs="Garamond"/>
          <w:sz w:val="24"/>
          <w:szCs w:val="24"/>
          <w:lang w:val="en-GB"/>
        </w:rPr>
        <w:t xml:space="preserve"> crore</w:t>
      </w:r>
      <w:r w:rsidRPr="007D38B4">
        <w:rPr>
          <w:rFonts w:ascii="Helvetica" w:eastAsia="Times New Roman" w:hAnsi="Helvetica"/>
          <w:sz w:val="24"/>
          <w:szCs w:val="24"/>
          <w:lang w:val="en-GB"/>
        </w:rPr>
        <w:t xml:space="preserve"> at the end of May 2017</w:t>
      </w:r>
      <w:r w:rsidRPr="007D38B4">
        <w:rPr>
          <w:rFonts w:ascii="Helvetica" w:eastAsia="Times New Roman" w:hAnsi="Helvetica" w:cs="Garamond"/>
          <w:sz w:val="24"/>
          <w:szCs w:val="24"/>
          <w:lang w:val="en-GB"/>
        </w:rPr>
        <w:t>. Market capitalization at</w:t>
      </w:r>
      <w:r w:rsidRPr="007D38B4">
        <w:rPr>
          <w:rFonts w:ascii="Helvetica" w:eastAsia="Times New Roman" w:hAnsi="Helvetica"/>
          <w:sz w:val="24"/>
          <w:szCs w:val="24"/>
          <w:lang w:val="en-GB"/>
        </w:rPr>
        <w:t xml:space="preserve"> NSE also rose to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cs="Helvetica"/>
          <w:bCs/>
          <w:sz w:val="24"/>
          <w:szCs w:val="20"/>
          <w:lang w:val="en-GB" w:eastAsia="en-GB" w:bidi="bn-IN"/>
        </w:rPr>
        <w:t>1</w:t>
      </w:r>
      <w:proofErr w:type="gramStart"/>
      <w:r w:rsidRPr="007D38B4">
        <w:rPr>
          <w:rFonts w:ascii="Helvetica" w:eastAsia="Times New Roman" w:hAnsi="Helvetica" w:cs="Helvetica"/>
          <w:bCs/>
          <w:sz w:val="24"/>
          <w:szCs w:val="20"/>
          <w:lang w:val="en-GB" w:eastAsia="en-GB" w:bidi="bn-IN"/>
        </w:rPr>
        <w:t>,24,30,129</w:t>
      </w:r>
      <w:proofErr w:type="gramEnd"/>
      <w:r w:rsidRPr="007D38B4">
        <w:rPr>
          <w:rFonts w:ascii="Helvetica" w:eastAsia="Times New Roman" w:hAnsi="Helvetica" w:cs="Helvetica"/>
          <w:bCs/>
          <w:sz w:val="24"/>
          <w:szCs w:val="20"/>
          <w:lang w:val="en-GB" w:eastAsia="en-GB" w:bidi="bn-IN"/>
        </w:rPr>
        <w:t xml:space="preserve"> </w:t>
      </w:r>
      <w:r w:rsidRPr="007D38B4">
        <w:rPr>
          <w:rFonts w:ascii="Helvetica" w:eastAsia="Times New Roman" w:hAnsi="Helvetica" w:cs="Garamond"/>
          <w:sz w:val="24"/>
          <w:szCs w:val="24"/>
          <w:lang w:val="en-GB"/>
        </w:rPr>
        <w:t xml:space="preserve">crore from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cs="Helvetica"/>
          <w:bCs/>
          <w:sz w:val="24"/>
          <w:szCs w:val="20"/>
          <w:lang w:val="en-GB" w:eastAsia="en-GB" w:bidi="bn-IN"/>
        </w:rPr>
        <w:t xml:space="preserve">1,24,16,789 </w:t>
      </w:r>
      <w:r w:rsidRPr="007D38B4">
        <w:rPr>
          <w:rFonts w:ascii="Helvetica" w:eastAsia="Times New Roman" w:hAnsi="Helvetica" w:cs="Garamond"/>
          <w:sz w:val="24"/>
          <w:szCs w:val="24"/>
          <w:lang w:val="en-GB"/>
        </w:rPr>
        <w:t xml:space="preserve">crore during the same period </w:t>
      </w:r>
      <w:r w:rsidRPr="007D38B4">
        <w:rPr>
          <w:rFonts w:ascii="Helvetica" w:eastAsia="Times New Roman" w:hAnsi="Helvetica"/>
          <w:sz w:val="24"/>
          <w:szCs w:val="24"/>
          <w:lang w:val="en-GB"/>
        </w:rPr>
        <w:t xml:space="preserve">witnessing a </w:t>
      </w:r>
      <w:r w:rsidRPr="007D38B4">
        <w:rPr>
          <w:rFonts w:ascii="Helvetica" w:eastAsia="Times New Roman" w:hAnsi="Helvetica" w:cs="Garamond"/>
          <w:sz w:val="24"/>
          <w:szCs w:val="24"/>
          <w:lang w:val="en-GB"/>
        </w:rPr>
        <w:t>gain of 0.1</w:t>
      </w:r>
      <w:r w:rsidRPr="007D38B4">
        <w:rPr>
          <w:rFonts w:ascii="Helvetica" w:eastAsia="Times New Roman" w:hAnsi="Helvetica"/>
          <w:sz w:val="24"/>
          <w:szCs w:val="24"/>
          <w:lang w:val="en-GB"/>
        </w:rPr>
        <w:t xml:space="preserve"> per cent</w:t>
      </w:r>
      <w:r w:rsidRPr="007D38B4">
        <w:rPr>
          <w:rFonts w:ascii="Helvetica" w:eastAsia="Times New Roman" w:hAnsi="Helvetica" w:cs="Garamond"/>
          <w:sz w:val="24"/>
          <w:szCs w:val="24"/>
          <w:lang w:val="en-GB"/>
        </w:rPr>
        <w:t xml:space="preserve">. The P/E ratios of S&amp;P BSE Sensex and Nifty 50 were 22.6 and 24.2 respectively at the end of </w:t>
      </w:r>
      <w:r w:rsidRPr="007D38B4">
        <w:rPr>
          <w:rFonts w:ascii="Helvetica" w:eastAsia="Times New Roman" w:hAnsi="Helvetica"/>
          <w:sz w:val="24"/>
          <w:szCs w:val="24"/>
          <w:lang w:val="en-GB"/>
        </w:rPr>
        <w:t>May</w:t>
      </w:r>
      <w:r w:rsidRPr="007D38B4">
        <w:rPr>
          <w:rFonts w:ascii="Helvetica" w:eastAsia="Times New Roman" w:hAnsi="Helvetica" w:cs="Garamond"/>
          <w:sz w:val="24"/>
          <w:szCs w:val="24"/>
          <w:lang w:val="en-GB"/>
        </w:rPr>
        <w:t xml:space="preserve"> 2017 compared to 22.7 and 24.4  respectively a month ago (</w:t>
      </w:r>
      <w:r w:rsidRPr="007D38B4">
        <w:rPr>
          <w:rFonts w:ascii="Helvetica" w:eastAsia="Times New Roman" w:hAnsi="Helvetica" w:cs="Garamond"/>
          <w:b/>
          <w:bCs/>
          <w:i/>
          <w:iCs/>
          <w:sz w:val="24"/>
          <w:szCs w:val="24"/>
          <w:lang w:val="en-GB"/>
        </w:rPr>
        <w:t>Exhibit 2</w:t>
      </w:r>
      <w:r w:rsidRPr="007D38B4">
        <w:rPr>
          <w:rFonts w:ascii="Helvetica" w:eastAsia="Times New Roman" w:hAnsi="Helvetica" w:cs="Garamond"/>
          <w:sz w:val="24"/>
          <w:szCs w:val="24"/>
          <w:lang w:val="en-GB"/>
        </w:rPr>
        <w:t>).</w:t>
      </w:r>
    </w:p>
    <w:p w:rsidR="007D38B4" w:rsidRPr="007D38B4" w:rsidRDefault="007D38B4" w:rsidP="007D38B4">
      <w:pPr>
        <w:spacing w:after="0" w:line="240" w:lineRule="auto"/>
        <w:jc w:val="both"/>
        <w:outlineLvl w:val="0"/>
        <w:rPr>
          <w:rFonts w:ascii="Helvetica" w:eastAsia="Times New Roman" w:hAnsi="Helvetica"/>
          <w:b/>
          <w:bCs/>
          <w:sz w:val="24"/>
          <w:szCs w:val="24"/>
          <w:lang w:val="en-GB"/>
        </w:rPr>
      </w:pPr>
      <w:r w:rsidRPr="007D38B4">
        <w:rPr>
          <w:rFonts w:ascii="Helvetica" w:eastAsia="Times New Roman" w:hAnsi="Helvetica"/>
          <w:b/>
          <w:bCs/>
          <w:sz w:val="24"/>
          <w:szCs w:val="24"/>
          <w:lang w:val="en-GB"/>
        </w:rPr>
        <w:t xml:space="preserve">Exhibit </w:t>
      </w:r>
      <w:r w:rsidRPr="007D38B4">
        <w:rPr>
          <w:rFonts w:ascii="Helvetica" w:eastAsia="Times New Roman" w:hAnsi="Helvetica"/>
          <w:b/>
          <w:sz w:val="24"/>
          <w:szCs w:val="24"/>
          <w:lang w:val="en-GB"/>
        </w:rPr>
        <w:t>2: The Basic Indicators in Cash Segment</w:t>
      </w:r>
    </w:p>
    <w:tbl>
      <w:tblPr>
        <w:tblW w:w="8995" w:type="dxa"/>
        <w:tblLayout w:type="fixed"/>
        <w:tblCellMar>
          <w:left w:w="0" w:type="dxa"/>
          <w:right w:w="0" w:type="dxa"/>
        </w:tblCellMar>
        <w:tblLook w:val="04A0" w:firstRow="1" w:lastRow="0" w:firstColumn="1" w:lastColumn="0" w:noHBand="0" w:noVBand="1"/>
      </w:tblPr>
      <w:tblGrid>
        <w:gridCol w:w="1971"/>
        <w:gridCol w:w="1174"/>
        <w:gridCol w:w="1170"/>
        <w:gridCol w:w="1110"/>
        <w:gridCol w:w="1087"/>
        <w:gridCol w:w="2483"/>
      </w:tblGrid>
      <w:tr w:rsidR="007D38B4" w:rsidRPr="007D38B4" w:rsidTr="007D38B4">
        <w:trPr>
          <w:trHeight w:val="87"/>
        </w:trPr>
        <w:tc>
          <w:tcPr>
            <w:tcW w:w="1971" w:type="dxa"/>
            <w:tcBorders>
              <w:top w:val="single" w:sz="4" w:space="0" w:color="auto"/>
              <w:left w:val="single" w:sz="4" w:space="0" w:color="auto"/>
              <w:bottom w:val="nil"/>
              <w:right w:val="single" w:sz="4" w:space="0" w:color="auto"/>
            </w:tcBorders>
            <w:shd w:val="clear" w:color="auto" w:fill="B4C6E7"/>
            <w:noWrap/>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 </w:t>
            </w:r>
          </w:p>
        </w:tc>
        <w:tc>
          <w:tcPr>
            <w:tcW w:w="1174"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2017-18$</w:t>
            </w:r>
          </w:p>
        </w:tc>
        <w:tc>
          <w:tcPr>
            <w:tcW w:w="1170"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2016-17</w:t>
            </w:r>
          </w:p>
        </w:tc>
        <w:tc>
          <w:tcPr>
            <w:tcW w:w="1110"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Jun-17</w:t>
            </w:r>
          </w:p>
        </w:tc>
        <w:tc>
          <w:tcPr>
            <w:tcW w:w="1087"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May-17</w:t>
            </w:r>
          </w:p>
        </w:tc>
        <w:tc>
          <w:tcPr>
            <w:tcW w:w="2483"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rsidR="007D38B4" w:rsidRPr="007D38B4" w:rsidRDefault="007D38B4" w:rsidP="007D38B4">
            <w:pPr>
              <w:spacing w:after="0" w:line="240" w:lineRule="auto"/>
              <w:jc w:val="center"/>
              <w:rPr>
                <w:rFonts w:ascii="Helvetica" w:hAnsi="Helvetica" w:cs="Helvetica"/>
                <w:b/>
                <w:bCs/>
                <w:sz w:val="20"/>
                <w:szCs w:val="20"/>
                <w:lang w:val="en-GB"/>
              </w:rPr>
            </w:pPr>
            <w:r w:rsidRPr="007D38B4">
              <w:rPr>
                <w:rFonts w:ascii="Helvetica" w:hAnsi="Helvetica" w:cs="Helvetica"/>
                <w:b/>
                <w:bCs/>
                <w:sz w:val="20"/>
                <w:szCs w:val="20"/>
                <w:lang w:val="en-GB"/>
              </w:rPr>
              <w:t>Percentage change over previous month</w:t>
            </w:r>
          </w:p>
        </w:tc>
      </w:tr>
      <w:tr w:rsidR="007D38B4" w:rsidRPr="007D38B4" w:rsidTr="007D38B4">
        <w:trPr>
          <w:trHeight w:val="172"/>
        </w:trPr>
        <w:tc>
          <w:tcPr>
            <w:tcW w:w="1971" w:type="dxa"/>
            <w:tcBorders>
              <w:top w:val="single" w:sz="4" w:space="0" w:color="auto"/>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1</w:t>
            </w:r>
          </w:p>
        </w:tc>
        <w:tc>
          <w:tcPr>
            <w:tcW w:w="1174" w:type="dxa"/>
            <w:tcBorders>
              <w:top w:val="nil"/>
              <w:left w:val="nil"/>
              <w:bottom w:val="single" w:sz="4" w:space="0" w:color="auto"/>
              <w:right w:val="single" w:sz="4" w:space="0" w:color="auto"/>
            </w:tcBorders>
            <w:shd w:val="clear" w:color="auto" w:fill="D9E2F3"/>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2</w:t>
            </w:r>
          </w:p>
        </w:tc>
        <w:tc>
          <w:tcPr>
            <w:tcW w:w="117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3</w:t>
            </w:r>
          </w:p>
        </w:tc>
        <w:tc>
          <w:tcPr>
            <w:tcW w:w="111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4</w:t>
            </w:r>
          </w:p>
        </w:tc>
        <w:tc>
          <w:tcPr>
            <w:tcW w:w="1087" w:type="dxa"/>
            <w:tcBorders>
              <w:top w:val="nil"/>
              <w:left w:val="nil"/>
              <w:bottom w:val="single" w:sz="4" w:space="0" w:color="auto"/>
              <w:right w:val="single" w:sz="4" w:space="0" w:color="auto"/>
            </w:tcBorders>
            <w:shd w:val="clear" w:color="auto" w:fill="D9E2F3"/>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5</w:t>
            </w:r>
          </w:p>
        </w:tc>
        <w:tc>
          <w:tcPr>
            <w:tcW w:w="248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hideMark/>
          </w:tcPr>
          <w:p w:rsidR="007D38B4" w:rsidRPr="007D38B4" w:rsidRDefault="007D38B4" w:rsidP="007D38B4">
            <w:pPr>
              <w:spacing w:after="0" w:line="240" w:lineRule="auto"/>
              <w:jc w:val="center"/>
              <w:rPr>
                <w:rFonts w:ascii="Helvetica" w:hAnsi="Helvetica" w:cs="Helvetica"/>
                <w:bCs/>
                <w:i/>
                <w:sz w:val="20"/>
                <w:szCs w:val="20"/>
                <w:lang w:val="en-GB"/>
              </w:rPr>
            </w:pPr>
            <w:r w:rsidRPr="007D38B4">
              <w:rPr>
                <w:rFonts w:ascii="Helvetica" w:hAnsi="Helvetica" w:cs="Helvetica"/>
                <w:bCs/>
                <w:i/>
                <w:sz w:val="20"/>
                <w:szCs w:val="20"/>
                <w:lang w:val="en-GB"/>
              </w:rPr>
              <w:t>6</w:t>
            </w:r>
          </w:p>
        </w:tc>
      </w:tr>
      <w:tr w:rsidR="007D38B4" w:rsidRPr="007D38B4" w:rsidTr="006774B4">
        <w:trPr>
          <w:trHeight w:val="172"/>
        </w:trPr>
        <w:tc>
          <w:tcPr>
            <w:tcW w:w="8995" w:type="dxa"/>
            <w:gridSpan w:val="6"/>
            <w:tcBorders>
              <w:top w:val="nil"/>
              <w:left w:val="single" w:sz="4" w:space="0" w:color="auto"/>
              <w:bottom w:val="nil"/>
              <w:right w:val="single" w:sz="4" w:space="0" w:color="auto"/>
            </w:tcBorders>
            <w:shd w:val="clear" w:color="000000" w:fill="FBF1B7"/>
            <w:tcMar>
              <w:top w:w="15" w:type="dxa"/>
              <w:left w:w="15" w:type="dxa"/>
              <w:bottom w:w="0" w:type="dxa"/>
              <w:right w:w="15" w:type="dxa"/>
            </w:tcMar>
            <w:vAlign w:val="center"/>
            <w:hideMark/>
          </w:tcPr>
          <w:p w:rsidR="007D38B4" w:rsidRPr="007D38B4" w:rsidRDefault="007D38B4" w:rsidP="007D38B4">
            <w:pPr>
              <w:spacing w:after="0" w:line="240" w:lineRule="auto"/>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A. Indices</w:t>
            </w:r>
          </w:p>
        </w:tc>
      </w:tr>
      <w:tr w:rsidR="007D38B4" w:rsidRPr="007D38B4" w:rsidTr="007D38B4">
        <w:trPr>
          <w:trHeight w:val="172"/>
        </w:trPr>
        <w:tc>
          <w:tcPr>
            <w:tcW w:w="1971" w:type="dxa"/>
            <w:tcBorders>
              <w:top w:val="single" w:sz="4" w:space="0" w:color="auto"/>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S&amp;P BSE Sensex</w:t>
            </w:r>
          </w:p>
        </w:tc>
        <w:tc>
          <w:tcPr>
            <w:tcW w:w="1174" w:type="dxa"/>
            <w:tcBorders>
              <w:top w:val="single" w:sz="4" w:space="0" w:color="auto"/>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30,922</w:t>
            </w:r>
          </w:p>
        </w:tc>
        <w:tc>
          <w:tcPr>
            <w:tcW w:w="1170"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29,621</w:t>
            </w:r>
          </w:p>
        </w:tc>
        <w:tc>
          <w:tcPr>
            <w:tcW w:w="1110"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30,921.6</w:t>
            </w:r>
          </w:p>
        </w:tc>
        <w:tc>
          <w:tcPr>
            <w:tcW w:w="1087"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31,145.8</w:t>
            </w:r>
          </w:p>
        </w:tc>
        <w:tc>
          <w:tcPr>
            <w:tcW w:w="2483"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-0.7</w:t>
            </w:r>
          </w:p>
        </w:tc>
      </w:tr>
      <w:tr w:rsidR="007D38B4" w:rsidRPr="007D38B4" w:rsidTr="007D38B4">
        <w:trPr>
          <w:trHeight w:val="172"/>
        </w:trPr>
        <w:tc>
          <w:tcPr>
            <w:tcW w:w="1971"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Nifty 50</w:t>
            </w:r>
          </w:p>
        </w:tc>
        <w:tc>
          <w:tcPr>
            <w:tcW w:w="1174"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9,521</w:t>
            </w:r>
          </w:p>
        </w:tc>
        <w:tc>
          <w:tcPr>
            <w:tcW w:w="117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9,174</w:t>
            </w:r>
          </w:p>
        </w:tc>
        <w:tc>
          <w:tcPr>
            <w:tcW w:w="111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9,520.9</w:t>
            </w:r>
          </w:p>
        </w:tc>
        <w:tc>
          <w:tcPr>
            <w:tcW w:w="1087"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9,621.3</w:t>
            </w:r>
          </w:p>
        </w:tc>
        <w:tc>
          <w:tcPr>
            <w:tcW w:w="248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-1.0</w:t>
            </w:r>
          </w:p>
        </w:tc>
      </w:tr>
      <w:tr w:rsidR="007D38B4" w:rsidRPr="007D38B4" w:rsidTr="006774B4">
        <w:trPr>
          <w:trHeight w:val="164"/>
        </w:trPr>
        <w:tc>
          <w:tcPr>
            <w:tcW w:w="8995" w:type="dxa"/>
            <w:gridSpan w:val="6"/>
            <w:tcBorders>
              <w:top w:val="single" w:sz="4" w:space="0" w:color="auto"/>
              <w:left w:val="single" w:sz="4" w:space="0" w:color="auto"/>
              <w:bottom w:val="nil"/>
              <w:right w:val="single" w:sz="4" w:space="0" w:color="auto"/>
            </w:tcBorders>
            <w:shd w:val="clear" w:color="000000" w:fill="FBF1B7"/>
            <w:noWrap/>
            <w:tcMar>
              <w:top w:w="15" w:type="dxa"/>
              <w:left w:w="15" w:type="dxa"/>
              <w:bottom w:w="0" w:type="dxa"/>
              <w:right w:w="15" w:type="dxa"/>
            </w:tcMar>
            <w:vAlign w:val="center"/>
            <w:hideMark/>
          </w:tcPr>
          <w:p w:rsidR="007D38B4" w:rsidRPr="007D38B4" w:rsidRDefault="007D38B4" w:rsidP="007D38B4">
            <w:pPr>
              <w:spacing w:after="0" w:line="240" w:lineRule="auto"/>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B. Market Capitalisation</w:t>
            </w:r>
          </w:p>
        </w:tc>
      </w:tr>
      <w:tr w:rsidR="007D38B4" w:rsidRPr="007D38B4" w:rsidTr="007D38B4">
        <w:trPr>
          <w:trHeight w:val="172"/>
        </w:trPr>
        <w:tc>
          <w:tcPr>
            <w:tcW w:w="1971" w:type="dxa"/>
            <w:tcBorders>
              <w:top w:val="single" w:sz="4" w:space="0" w:color="auto"/>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BSE</w:t>
            </w:r>
          </w:p>
        </w:tc>
        <w:tc>
          <w:tcPr>
            <w:tcW w:w="1174" w:type="dxa"/>
            <w:tcBorders>
              <w:top w:val="single" w:sz="4" w:space="0" w:color="auto"/>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1,25,96,812</w:t>
            </w:r>
          </w:p>
        </w:tc>
        <w:tc>
          <w:tcPr>
            <w:tcW w:w="1170"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1,21,54,525</w:t>
            </w:r>
          </w:p>
        </w:tc>
        <w:tc>
          <w:tcPr>
            <w:tcW w:w="1110"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1,25,96,812</w:t>
            </w:r>
          </w:p>
        </w:tc>
        <w:tc>
          <w:tcPr>
            <w:tcW w:w="1087"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1,25,80,119</w:t>
            </w:r>
          </w:p>
        </w:tc>
        <w:tc>
          <w:tcPr>
            <w:tcW w:w="2483"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0.1</w:t>
            </w:r>
          </w:p>
        </w:tc>
      </w:tr>
      <w:tr w:rsidR="007D38B4" w:rsidRPr="007D38B4" w:rsidTr="007D38B4">
        <w:trPr>
          <w:trHeight w:val="172"/>
        </w:trPr>
        <w:tc>
          <w:tcPr>
            <w:tcW w:w="1971"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NSE</w:t>
            </w:r>
          </w:p>
        </w:tc>
        <w:tc>
          <w:tcPr>
            <w:tcW w:w="1174"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1,24,30,129</w:t>
            </w:r>
          </w:p>
        </w:tc>
        <w:tc>
          <w:tcPr>
            <w:tcW w:w="117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1,19,78,421</w:t>
            </w:r>
          </w:p>
        </w:tc>
        <w:tc>
          <w:tcPr>
            <w:tcW w:w="111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1,24,30,129</w:t>
            </w:r>
          </w:p>
        </w:tc>
        <w:tc>
          <w:tcPr>
            <w:tcW w:w="1087"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1,24,16,789</w:t>
            </w:r>
          </w:p>
        </w:tc>
        <w:tc>
          <w:tcPr>
            <w:tcW w:w="248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0.1</w:t>
            </w:r>
          </w:p>
        </w:tc>
      </w:tr>
      <w:tr w:rsidR="007D38B4" w:rsidRPr="007D38B4" w:rsidTr="006774B4">
        <w:trPr>
          <w:trHeight w:val="164"/>
        </w:trPr>
        <w:tc>
          <w:tcPr>
            <w:tcW w:w="8995" w:type="dxa"/>
            <w:gridSpan w:val="6"/>
            <w:tcBorders>
              <w:top w:val="single" w:sz="4" w:space="0" w:color="auto"/>
              <w:left w:val="single" w:sz="4" w:space="0" w:color="auto"/>
              <w:bottom w:val="single" w:sz="4" w:space="0" w:color="auto"/>
              <w:right w:val="single" w:sz="4" w:space="0" w:color="000000"/>
            </w:tcBorders>
            <w:shd w:val="clear" w:color="000000" w:fill="FBF1B7"/>
            <w:noWrap/>
            <w:tcMar>
              <w:top w:w="15" w:type="dxa"/>
              <w:left w:w="15" w:type="dxa"/>
              <w:bottom w:w="0" w:type="dxa"/>
              <w:right w:w="15" w:type="dxa"/>
            </w:tcMar>
            <w:vAlign w:val="center"/>
            <w:hideMark/>
          </w:tcPr>
          <w:p w:rsidR="007D38B4" w:rsidRPr="007D38B4" w:rsidRDefault="007D38B4" w:rsidP="007D38B4">
            <w:pPr>
              <w:spacing w:after="0" w:line="240" w:lineRule="auto"/>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C. Gross Turnover</w:t>
            </w:r>
          </w:p>
        </w:tc>
      </w:tr>
      <w:tr w:rsidR="007D38B4" w:rsidRPr="007D38B4" w:rsidTr="007D38B4">
        <w:trPr>
          <w:trHeight w:val="172"/>
        </w:trPr>
        <w:tc>
          <w:tcPr>
            <w:tcW w:w="1971"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BSE</w:t>
            </w:r>
          </w:p>
        </w:tc>
        <w:tc>
          <w:tcPr>
            <w:tcW w:w="1174"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2,52,111</w:t>
            </w:r>
          </w:p>
        </w:tc>
        <w:tc>
          <w:tcPr>
            <w:tcW w:w="117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9,98,261</w:t>
            </w:r>
          </w:p>
        </w:tc>
        <w:tc>
          <w:tcPr>
            <w:tcW w:w="111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85,935</w:t>
            </w:r>
          </w:p>
        </w:tc>
        <w:tc>
          <w:tcPr>
            <w:tcW w:w="1087"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91,106</w:t>
            </w:r>
          </w:p>
        </w:tc>
        <w:tc>
          <w:tcPr>
            <w:tcW w:w="2483"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-5.7</w:t>
            </w:r>
          </w:p>
        </w:tc>
      </w:tr>
      <w:tr w:rsidR="007D38B4" w:rsidRPr="007D38B4" w:rsidTr="007D38B4">
        <w:trPr>
          <w:trHeight w:val="172"/>
        </w:trPr>
        <w:tc>
          <w:tcPr>
            <w:tcW w:w="1971"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NSE</w:t>
            </w:r>
          </w:p>
        </w:tc>
        <w:tc>
          <w:tcPr>
            <w:tcW w:w="1174"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15,46,917</w:t>
            </w:r>
          </w:p>
        </w:tc>
        <w:tc>
          <w:tcPr>
            <w:tcW w:w="117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50,55,913</w:t>
            </w:r>
          </w:p>
        </w:tc>
        <w:tc>
          <w:tcPr>
            <w:tcW w:w="111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4,86,305</w:t>
            </w:r>
          </w:p>
        </w:tc>
        <w:tc>
          <w:tcPr>
            <w:tcW w:w="1087"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5,88,502</w:t>
            </w:r>
          </w:p>
        </w:tc>
        <w:tc>
          <w:tcPr>
            <w:tcW w:w="248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-17.4</w:t>
            </w:r>
          </w:p>
        </w:tc>
      </w:tr>
      <w:tr w:rsidR="007D38B4" w:rsidRPr="007D38B4" w:rsidTr="006774B4">
        <w:trPr>
          <w:trHeight w:val="172"/>
        </w:trPr>
        <w:tc>
          <w:tcPr>
            <w:tcW w:w="8995" w:type="dxa"/>
            <w:gridSpan w:val="6"/>
            <w:tcBorders>
              <w:top w:val="single" w:sz="4" w:space="0" w:color="auto"/>
              <w:left w:val="single" w:sz="4" w:space="0" w:color="auto"/>
              <w:bottom w:val="single" w:sz="4" w:space="0" w:color="auto"/>
              <w:right w:val="single" w:sz="4" w:space="0" w:color="000000"/>
            </w:tcBorders>
            <w:shd w:val="clear" w:color="000000" w:fill="FBF1B7"/>
            <w:tcMar>
              <w:top w:w="15" w:type="dxa"/>
              <w:left w:w="15" w:type="dxa"/>
              <w:bottom w:w="0" w:type="dxa"/>
              <w:right w:w="15" w:type="dxa"/>
            </w:tcMar>
            <w:vAlign w:val="center"/>
            <w:hideMark/>
          </w:tcPr>
          <w:p w:rsidR="007D38B4" w:rsidRPr="007D38B4" w:rsidRDefault="007D38B4" w:rsidP="007D38B4">
            <w:pPr>
              <w:spacing w:after="0" w:line="240" w:lineRule="auto"/>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D. P/E Ratio</w:t>
            </w:r>
          </w:p>
        </w:tc>
      </w:tr>
      <w:tr w:rsidR="007D38B4" w:rsidRPr="007D38B4" w:rsidTr="007D38B4">
        <w:trPr>
          <w:trHeight w:val="172"/>
        </w:trPr>
        <w:tc>
          <w:tcPr>
            <w:tcW w:w="1971"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S&amp;P BSE Sensex</w:t>
            </w:r>
          </w:p>
        </w:tc>
        <w:tc>
          <w:tcPr>
            <w:tcW w:w="1174"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22.6</w:t>
            </w:r>
          </w:p>
        </w:tc>
        <w:tc>
          <w:tcPr>
            <w:tcW w:w="117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22.6</w:t>
            </w:r>
          </w:p>
        </w:tc>
        <w:tc>
          <w:tcPr>
            <w:tcW w:w="111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22.6</w:t>
            </w:r>
          </w:p>
        </w:tc>
        <w:tc>
          <w:tcPr>
            <w:tcW w:w="1087"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22.7</w:t>
            </w:r>
          </w:p>
        </w:tc>
        <w:tc>
          <w:tcPr>
            <w:tcW w:w="2483"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-0.1</w:t>
            </w:r>
          </w:p>
        </w:tc>
      </w:tr>
      <w:tr w:rsidR="007D38B4" w:rsidRPr="007D38B4" w:rsidTr="007D38B4">
        <w:trPr>
          <w:trHeight w:val="172"/>
        </w:trPr>
        <w:tc>
          <w:tcPr>
            <w:tcW w:w="1971"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Nifty 50</w:t>
            </w:r>
          </w:p>
        </w:tc>
        <w:tc>
          <w:tcPr>
            <w:tcW w:w="1174"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24.2</w:t>
            </w:r>
          </w:p>
        </w:tc>
        <w:tc>
          <w:tcPr>
            <w:tcW w:w="117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23.3</w:t>
            </w:r>
          </w:p>
        </w:tc>
        <w:tc>
          <w:tcPr>
            <w:tcW w:w="111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24.2</w:t>
            </w:r>
          </w:p>
        </w:tc>
        <w:tc>
          <w:tcPr>
            <w:tcW w:w="1087"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24.4</w:t>
            </w:r>
          </w:p>
        </w:tc>
        <w:tc>
          <w:tcPr>
            <w:tcW w:w="248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-0.5</w:t>
            </w:r>
          </w:p>
        </w:tc>
      </w:tr>
      <w:tr w:rsidR="007D38B4" w:rsidRPr="007D38B4" w:rsidTr="006774B4">
        <w:trPr>
          <w:trHeight w:val="172"/>
        </w:trPr>
        <w:tc>
          <w:tcPr>
            <w:tcW w:w="8995" w:type="dxa"/>
            <w:gridSpan w:val="6"/>
            <w:tcBorders>
              <w:top w:val="single" w:sz="4" w:space="0" w:color="auto"/>
              <w:left w:val="single" w:sz="4" w:space="0" w:color="auto"/>
              <w:bottom w:val="single" w:sz="4" w:space="0" w:color="auto"/>
              <w:right w:val="single" w:sz="4" w:space="0" w:color="000000"/>
            </w:tcBorders>
            <w:shd w:val="clear" w:color="000000" w:fill="FBF1B7"/>
            <w:tcMar>
              <w:top w:w="15" w:type="dxa"/>
              <w:left w:w="15" w:type="dxa"/>
              <w:bottom w:w="0" w:type="dxa"/>
              <w:right w:w="15" w:type="dxa"/>
            </w:tcMar>
            <w:vAlign w:val="center"/>
            <w:hideMark/>
          </w:tcPr>
          <w:p w:rsidR="007D38B4" w:rsidRPr="007D38B4" w:rsidRDefault="007D38B4" w:rsidP="007D38B4">
            <w:pPr>
              <w:spacing w:after="0" w:line="240" w:lineRule="auto"/>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E. No. of Listed Companies</w:t>
            </w:r>
          </w:p>
        </w:tc>
      </w:tr>
      <w:tr w:rsidR="007D38B4" w:rsidRPr="007D38B4" w:rsidTr="007D38B4">
        <w:trPr>
          <w:trHeight w:val="172"/>
        </w:trPr>
        <w:tc>
          <w:tcPr>
            <w:tcW w:w="1971"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BSE</w:t>
            </w:r>
          </w:p>
        </w:tc>
        <w:tc>
          <w:tcPr>
            <w:tcW w:w="1174" w:type="dxa"/>
            <w:tcBorders>
              <w:top w:val="nil"/>
              <w:left w:val="single" w:sz="4" w:space="0" w:color="auto"/>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5,794</w:t>
            </w:r>
          </w:p>
        </w:tc>
        <w:tc>
          <w:tcPr>
            <w:tcW w:w="117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5,834</w:t>
            </w:r>
          </w:p>
        </w:tc>
        <w:tc>
          <w:tcPr>
            <w:tcW w:w="1110"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5,794</w:t>
            </w:r>
          </w:p>
        </w:tc>
        <w:tc>
          <w:tcPr>
            <w:tcW w:w="1087"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5,783</w:t>
            </w:r>
          </w:p>
        </w:tc>
        <w:tc>
          <w:tcPr>
            <w:tcW w:w="2483" w:type="dxa"/>
            <w:tcBorders>
              <w:top w:val="nil"/>
              <w:left w:val="nil"/>
              <w:bottom w:val="nil"/>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0.2</w:t>
            </w:r>
          </w:p>
        </w:tc>
      </w:tr>
      <w:tr w:rsidR="007D38B4" w:rsidRPr="007D38B4" w:rsidTr="007D38B4">
        <w:trPr>
          <w:trHeight w:val="172"/>
        </w:trPr>
        <w:tc>
          <w:tcPr>
            <w:tcW w:w="1971" w:type="dxa"/>
            <w:tcBorders>
              <w:top w:val="nil"/>
              <w:left w:val="single" w:sz="4" w:space="0" w:color="auto"/>
              <w:bottom w:val="single" w:sz="4" w:space="0" w:color="auto"/>
              <w:right w:val="nil"/>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rPr>
                <w:rFonts w:ascii="Helvetica" w:hAnsi="Helvetica" w:cs="Helvetica"/>
                <w:color w:val="000000"/>
                <w:sz w:val="20"/>
                <w:szCs w:val="20"/>
                <w:lang w:val="en-GB"/>
              </w:rPr>
            </w:pPr>
            <w:r w:rsidRPr="007D38B4">
              <w:rPr>
                <w:rFonts w:ascii="Helvetica" w:hAnsi="Helvetica" w:cs="Helvetica"/>
                <w:color w:val="000000"/>
                <w:sz w:val="20"/>
                <w:szCs w:val="20"/>
                <w:lang w:val="en-GB"/>
              </w:rPr>
              <w:t>NSE</w:t>
            </w:r>
          </w:p>
        </w:tc>
        <w:tc>
          <w:tcPr>
            <w:tcW w:w="1174"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1,820</w:t>
            </w:r>
          </w:p>
        </w:tc>
        <w:tc>
          <w:tcPr>
            <w:tcW w:w="117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b/>
                <w:bCs/>
                <w:color w:val="000000"/>
                <w:sz w:val="20"/>
                <w:szCs w:val="20"/>
                <w:lang w:val="en-GB"/>
              </w:rPr>
            </w:pPr>
            <w:r w:rsidRPr="007D38B4">
              <w:rPr>
                <w:rFonts w:ascii="Helvetica" w:hAnsi="Helvetica" w:cs="Helvetica"/>
                <w:b/>
                <w:bCs/>
                <w:color w:val="000000"/>
                <w:sz w:val="20"/>
                <w:szCs w:val="20"/>
                <w:lang w:val="en-GB"/>
              </w:rPr>
              <w:t>1,817</w:t>
            </w:r>
          </w:p>
        </w:tc>
        <w:tc>
          <w:tcPr>
            <w:tcW w:w="1110"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1,820</w:t>
            </w:r>
          </w:p>
        </w:tc>
        <w:tc>
          <w:tcPr>
            <w:tcW w:w="1087"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1,814</w:t>
            </w:r>
          </w:p>
        </w:tc>
        <w:tc>
          <w:tcPr>
            <w:tcW w:w="248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vAlign w:val="bottom"/>
            <w:hideMark/>
          </w:tcPr>
          <w:p w:rsidR="007D38B4" w:rsidRPr="007D38B4" w:rsidRDefault="007D38B4" w:rsidP="007D38B4">
            <w:pPr>
              <w:spacing w:after="0" w:line="240" w:lineRule="auto"/>
              <w:jc w:val="right"/>
              <w:rPr>
                <w:rFonts w:ascii="Helvetica" w:hAnsi="Helvetica" w:cs="Helvetica"/>
                <w:color w:val="000000"/>
                <w:sz w:val="20"/>
                <w:szCs w:val="20"/>
                <w:lang w:val="en-GB"/>
              </w:rPr>
            </w:pPr>
            <w:r w:rsidRPr="007D38B4">
              <w:rPr>
                <w:rFonts w:ascii="Helvetica" w:hAnsi="Helvetica" w:cs="Helvetica"/>
                <w:color w:val="000000"/>
                <w:sz w:val="20"/>
                <w:szCs w:val="20"/>
                <w:lang w:val="en-GB"/>
              </w:rPr>
              <w:t>0.3</w:t>
            </w:r>
          </w:p>
        </w:tc>
      </w:tr>
    </w:tbl>
    <w:p w:rsidR="007D38B4" w:rsidRPr="007D38B4" w:rsidRDefault="007D38B4" w:rsidP="007D38B4">
      <w:pPr>
        <w:spacing w:after="0" w:line="240" w:lineRule="auto"/>
        <w:rPr>
          <w:rFonts w:ascii="Helvetica" w:hAnsi="Helvetica"/>
          <w:b/>
          <w:i/>
          <w:sz w:val="20"/>
          <w:szCs w:val="20"/>
          <w:lang w:val="en-GB"/>
        </w:rPr>
      </w:pPr>
      <w:r w:rsidRPr="007D38B4">
        <w:rPr>
          <w:rFonts w:ascii="Helvetica" w:hAnsi="Helvetica"/>
          <w:b/>
          <w:i/>
          <w:sz w:val="20"/>
          <w:szCs w:val="20"/>
          <w:lang w:val="en-GB"/>
        </w:rPr>
        <w:t xml:space="preserve"> Note:</w:t>
      </w:r>
      <w:r w:rsidRPr="007D38B4">
        <w:rPr>
          <w:rFonts w:ascii="Helvetica" w:hAnsi="Helvetica"/>
          <w:i/>
          <w:sz w:val="20"/>
          <w:szCs w:val="20"/>
          <w:lang w:val="en-GB"/>
        </w:rPr>
        <w:t xml:space="preserve"> $ denotes as at the end of June 2017</w:t>
      </w:r>
    </w:p>
    <w:p w:rsidR="007D38B4" w:rsidRPr="007D38B4" w:rsidRDefault="007D38B4" w:rsidP="007D38B4">
      <w:pPr>
        <w:spacing w:after="0" w:line="240" w:lineRule="auto"/>
        <w:rPr>
          <w:rFonts w:ascii="Helvetica" w:hAnsi="Helvetica"/>
          <w:b/>
          <w:i/>
          <w:sz w:val="20"/>
          <w:szCs w:val="20"/>
          <w:lang w:val="en-GB"/>
        </w:rPr>
      </w:pPr>
      <w:r w:rsidRPr="007D38B4">
        <w:rPr>
          <w:rFonts w:ascii="Helvetica" w:hAnsi="Helvetica"/>
          <w:b/>
          <w:i/>
          <w:sz w:val="20"/>
          <w:szCs w:val="20"/>
          <w:lang w:val="en-GB"/>
        </w:rPr>
        <w:t xml:space="preserve">Source: </w:t>
      </w:r>
      <w:r w:rsidRPr="007D38B4">
        <w:rPr>
          <w:rFonts w:ascii="Helvetica" w:hAnsi="Helvetica"/>
          <w:i/>
          <w:sz w:val="20"/>
          <w:szCs w:val="20"/>
          <w:lang w:val="en-GB"/>
        </w:rPr>
        <w:t xml:space="preserve">BSE, NSE </w:t>
      </w:r>
    </w:p>
    <w:p w:rsidR="007D38B4" w:rsidRPr="007D38B4" w:rsidRDefault="007D38B4" w:rsidP="007D38B4">
      <w:pPr>
        <w:spacing w:after="0" w:line="240" w:lineRule="auto"/>
        <w:jc w:val="both"/>
        <w:rPr>
          <w:rFonts w:ascii="Helvetica" w:eastAsia="Times New Roman" w:hAnsi="Helvetica"/>
          <w:sz w:val="24"/>
          <w:szCs w:val="24"/>
          <w:lang w:val="en-GB"/>
        </w:rPr>
      </w:pPr>
    </w:p>
    <w:p w:rsidR="007D38B4" w:rsidRPr="007D38B4" w:rsidRDefault="007D38B4" w:rsidP="007D38B4">
      <w:pPr>
        <w:spacing w:after="0" w:line="240" w:lineRule="auto"/>
        <w:jc w:val="both"/>
        <w:rPr>
          <w:rFonts w:ascii="Helvetica" w:eastAsia="Times New Roman" w:hAnsi="Helvetica"/>
          <w:sz w:val="24"/>
          <w:szCs w:val="24"/>
          <w:lang w:val="en-GB"/>
        </w:rPr>
      </w:pPr>
      <w:r w:rsidRPr="007D38B4">
        <w:rPr>
          <w:rFonts w:ascii="Helvetica" w:eastAsia="Times New Roman" w:hAnsi="Helvetica"/>
          <w:sz w:val="24"/>
          <w:szCs w:val="24"/>
          <w:lang w:val="en-GB"/>
        </w:rPr>
        <w:t xml:space="preserve">The monthly turnover of BSE (cash segment) fell by 5.7 per cent to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sz w:val="24"/>
          <w:szCs w:val="24"/>
          <w:lang w:val="en-GB"/>
        </w:rPr>
        <w:t>85,935</w:t>
      </w:r>
      <w:r w:rsidRPr="007D38B4">
        <w:rPr>
          <w:rFonts w:ascii="Helvetica" w:eastAsia="Times New Roman" w:hAnsi="Helvetica" w:cs="Garamond"/>
          <w:sz w:val="24"/>
          <w:szCs w:val="24"/>
          <w:lang w:val="en-GB"/>
        </w:rPr>
        <w:t xml:space="preserve"> crore in June 2017 from</w:t>
      </w:r>
      <w:r w:rsidRPr="007D38B4">
        <w:rPr>
          <w:rFonts w:ascii="Rupee Foradian" w:eastAsia="Times New Roman" w:hAnsi="Rupee Foradian"/>
          <w:bCs/>
          <w:sz w:val="24"/>
          <w:szCs w:val="20"/>
          <w:lang w:val="en-GB" w:eastAsia="en-GB" w:bidi="bn-IN"/>
        </w:rPr>
        <w:t xml:space="preserve"> ` </w:t>
      </w:r>
      <w:r w:rsidRPr="007D38B4">
        <w:rPr>
          <w:rFonts w:ascii="Helvetica" w:eastAsia="Times New Roman" w:hAnsi="Helvetica"/>
          <w:sz w:val="24"/>
          <w:szCs w:val="24"/>
          <w:lang w:val="en-GB"/>
        </w:rPr>
        <w:t>91,106</w:t>
      </w:r>
      <w:r w:rsidRPr="007D38B4">
        <w:rPr>
          <w:rFonts w:ascii="Helvetica" w:eastAsia="Times New Roman" w:hAnsi="Helvetica" w:cs="Garamond"/>
          <w:sz w:val="24"/>
          <w:szCs w:val="24"/>
          <w:lang w:val="en-GB"/>
        </w:rPr>
        <w:t xml:space="preserve"> crore in May 2017. The monthly turnover of NSE (cash segment) also fell by 17.4 per cent to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4</w:t>
      </w:r>
      <w:proofErr w:type="gramStart"/>
      <w:r w:rsidRPr="007D38B4">
        <w:rPr>
          <w:rFonts w:ascii="Helvetica" w:eastAsia="Times New Roman" w:hAnsi="Helvetica" w:cs="Garamond"/>
          <w:sz w:val="24"/>
          <w:szCs w:val="24"/>
        </w:rPr>
        <w:t>,86,305</w:t>
      </w:r>
      <w:proofErr w:type="gramEnd"/>
      <w:r w:rsidRPr="007D38B4">
        <w:rPr>
          <w:rFonts w:ascii="Helvetica" w:eastAsia="Times New Roman" w:hAnsi="Helvetica" w:cs="Garamond"/>
          <w:sz w:val="24"/>
          <w:szCs w:val="24"/>
        </w:rPr>
        <w:t xml:space="preserve"> crore in June 2017</w:t>
      </w:r>
      <w:r w:rsidRPr="007D38B4">
        <w:rPr>
          <w:rFonts w:ascii="Helvetica" w:eastAsia="Times New Roman" w:hAnsi="Helvetica" w:cs="Garamond"/>
          <w:sz w:val="24"/>
          <w:szCs w:val="24"/>
          <w:lang w:val="en-GB"/>
        </w:rPr>
        <w:t xml:space="preserve"> from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5,88,502 crore in May 2017</w:t>
      </w:r>
      <w:r w:rsidRPr="007D38B4">
        <w:rPr>
          <w:rFonts w:ascii="Helvetica" w:eastAsia="Times New Roman" w:hAnsi="Helvetica"/>
          <w:sz w:val="24"/>
          <w:szCs w:val="24"/>
          <w:lang w:val="en-GB"/>
        </w:rPr>
        <w:t>.</w:t>
      </w:r>
    </w:p>
    <w:p w:rsidR="007D38B4" w:rsidRPr="007D38B4" w:rsidRDefault="007D38B4" w:rsidP="007D38B4">
      <w:pPr>
        <w:spacing w:after="0" w:line="240" w:lineRule="auto"/>
        <w:jc w:val="both"/>
        <w:rPr>
          <w:rFonts w:ascii="Helvetica" w:hAnsi="Helvetica"/>
          <w:b/>
          <w:sz w:val="24"/>
          <w:szCs w:val="24"/>
          <w:lang w:val="en-GB"/>
        </w:rPr>
      </w:pPr>
    </w:p>
    <w:p w:rsidR="007D38B4" w:rsidRPr="007D38B4" w:rsidRDefault="007D38B4" w:rsidP="007D38B4">
      <w:pPr>
        <w:spacing w:after="0" w:line="240" w:lineRule="auto"/>
        <w:jc w:val="center"/>
        <w:outlineLvl w:val="0"/>
        <w:rPr>
          <w:rFonts w:ascii="Helvetica" w:hAnsi="Helvetica"/>
          <w:b/>
          <w:sz w:val="24"/>
          <w:szCs w:val="24"/>
          <w:lang w:val="en-GB"/>
        </w:rPr>
      </w:pPr>
      <w:r w:rsidRPr="007D38B4">
        <w:rPr>
          <w:rFonts w:ascii="Helvetica" w:hAnsi="Helvetica"/>
          <w:b/>
          <w:sz w:val="24"/>
          <w:szCs w:val="24"/>
          <w:lang w:val="en-GB"/>
        </w:rPr>
        <w:t xml:space="preserve">Figure </w:t>
      </w:r>
      <w:r w:rsidRPr="007D38B4">
        <w:rPr>
          <w:rFonts w:ascii="Helvetica" w:hAnsi="Helvetica"/>
          <w:b/>
          <w:sz w:val="24"/>
          <w:szCs w:val="24"/>
          <w:lang w:val="en-GB"/>
        </w:rPr>
        <w:fldChar w:fldCharType="begin"/>
      </w:r>
      <w:r w:rsidRPr="007D38B4">
        <w:rPr>
          <w:rFonts w:ascii="Helvetica" w:hAnsi="Helvetica"/>
          <w:b/>
          <w:sz w:val="24"/>
          <w:szCs w:val="24"/>
          <w:lang w:val="en-GB"/>
        </w:rPr>
        <w:instrText xml:space="preserve"> SEQ Figure \* ARABIC </w:instrText>
      </w:r>
      <w:r w:rsidRPr="007D38B4">
        <w:rPr>
          <w:rFonts w:ascii="Helvetica" w:hAnsi="Helvetica"/>
          <w:b/>
          <w:sz w:val="24"/>
          <w:szCs w:val="24"/>
          <w:lang w:val="en-GB"/>
        </w:rPr>
        <w:fldChar w:fldCharType="separate"/>
      </w:r>
      <w:r w:rsidRPr="007D38B4">
        <w:rPr>
          <w:rFonts w:ascii="Helvetica" w:hAnsi="Helvetica"/>
          <w:b/>
          <w:noProof/>
          <w:sz w:val="24"/>
          <w:szCs w:val="24"/>
          <w:lang w:val="en-GB"/>
        </w:rPr>
        <w:t>2</w:t>
      </w:r>
      <w:r w:rsidRPr="007D38B4">
        <w:rPr>
          <w:rFonts w:ascii="Helvetica" w:hAnsi="Helvetica"/>
          <w:b/>
          <w:sz w:val="24"/>
          <w:szCs w:val="24"/>
          <w:lang w:val="en-GB"/>
        </w:rPr>
        <w:fldChar w:fldCharType="end"/>
      </w:r>
      <w:r w:rsidRPr="007D38B4">
        <w:rPr>
          <w:rFonts w:ascii="Helvetica" w:hAnsi="Helvetica"/>
          <w:b/>
          <w:sz w:val="24"/>
          <w:szCs w:val="24"/>
          <w:lang w:val="en-GB"/>
        </w:rPr>
        <w:t>: Trends in Average Daily Values of Sensex and BSE Turnover</w:t>
      </w:r>
    </w:p>
    <w:p w:rsidR="007D38B4" w:rsidRPr="007D38B4" w:rsidRDefault="007D38B4" w:rsidP="007D38B4">
      <w:pPr>
        <w:spacing w:after="0" w:line="240" w:lineRule="auto"/>
        <w:jc w:val="center"/>
        <w:outlineLvl w:val="0"/>
        <w:rPr>
          <w:rFonts w:ascii="Helvetica" w:hAnsi="Helvetica"/>
          <w:b/>
          <w:color w:val="0033CC"/>
          <w:sz w:val="24"/>
          <w:szCs w:val="24"/>
          <w:lang w:val="en-GB"/>
        </w:rPr>
      </w:pPr>
    </w:p>
    <w:p w:rsidR="007D38B4" w:rsidRPr="007D38B4" w:rsidRDefault="007D38B4" w:rsidP="007D38B4">
      <w:pPr>
        <w:spacing w:line="240" w:lineRule="auto"/>
        <w:jc w:val="center"/>
        <w:rPr>
          <w:rFonts w:ascii="Helvetica" w:eastAsia="Times New Roman" w:hAnsi="Helvetica"/>
          <w:color w:val="0033CC"/>
          <w:sz w:val="24"/>
          <w:szCs w:val="24"/>
          <w:lang w:val="en-GB"/>
        </w:rPr>
      </w:pPr>
      <w:r w:rsidRPr="007D38B4">
        <w:rPr>
          <w:rFonts w:ascii="Helvetica" w:hAnsi="Helvetica"/>
          <w:noProof/>
          <w:sz w:val="24"/>
          <w:szCs w:val="24"/>
        </w:rPr>
        <w:lastRenderedPageBreak/>
        <w:drawing>
          <wp:inline distT="0" distB="0" distL="0" distR="0" wp14:anchorId="660D38BE" wp14:editId="2446CEAE">
            <wp:extent cx="5731510" cy="3574415"/>
            <wp:effectExtent l="0" t="0" r="2540" b="69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38B4" w:rsidRPr="007D38B4" w:rsidRDefault="007D38B4" w:rsidP="007D38B4">
      <w:pPr>
        <w:spacing w:after="0" w:line="240" w:lineRule="auto"/>
        <w:rPr>
          <w:rFonts w:ascii="Helvetica" w:eastAsia="Times New Roman" w:hAnsi="Helvetica"/>
          <w:color w:val="0033CC"/>
          <w:sz w:val="24"/>
          <w:szCs w:val="24"/>
          <w:lang w:val="en-GB"/>
        </w:rPr>
      </w:pPr>
      <w:r w:rsidRPr="007D38B4">
        <w:rPr>
          <w:rFonts w:ascii="Helvetica" w:eastAsia="Times New Roman" w:hAnsi="Helvetica"/>
          <w:color w:val="0033CC"/>
          <w:sz w:val="24"/>
          <w:szCs w:val="24"/>
          <w:lang w:val="en-GB"/>
        </w:rPr>
        <w:tab/>
      </w:r>
    </w:p>
    <w:p w:rsidR="007D38B4" w:rsidRPr="007D38B4" w:rsidRDefault="007D38B4" w:rsidP="007D38B4">
      <w:pPr>
        <w:spacing w:after="0" w:line="240" w:lineRule="auto"/>
        <w:jc w:val="center"/>
        <w:outlineLvl w:val="0"/>
        <w:rPr>
          <w:rFonts w:ascii="Helvetica" w:hAnsi="Helvetica"/>
          <w:b/>
          <w:bCs/>
          <w:sz w:val="24"/>
          <w:szCs w:val="24"/>
          <w:lang w:val="en-GB"/>
        </w:rPr>
      </w:pPr>
      <w:r w:rsidRPr="007D38B4">
        <w:rPr>
          <w:rFonts w:ascii="Helvetica" w:hAnsi="Helvetica"/>
          <w:b/>
          <w:bCs/>
          <w:sz w:val="24"/>
          <w:szCs w:val="24"/>
          <w:lang w:val="en-GB"/>
        </w:rPr>
        <w:t xml:space="preserve">Figure </w:t>
      </w:r>
      <w:r w:rsidRPr="007D38B4">
        <w:rPr>
          <w:rFonts w:ascii="Helvetica" w:hAnsi="Helvetica"/>
          <w:b/>
          <w:bCs/>
          <w:sz w:val="24"/>
          <w:szCs w:val="24"/>
          <w:lang w:val="en-GB"/>
        </w:rPr>
        <w:fldChar w:fldCharType="begin"/>
      </w:r>
      <w:r w:rsidRPr="007D38B4">
        <w:rPr>
          <w:rFonts w:ascii="Helvetica" w:hAnsi="Helvetica"/>
          <w:b/>
          <w:bCs/>
          <w:sz w:val="24"/>
          <w:szCs w:val="24"/>
          <w:lang w:val="en-GB"/>
        </w:rPr>
        <w:instrText xml:space="preserve"> SEQ Figure \* ARABIC </w:instrText>
      </w:r>
      <w:r w:rsidRPr="007D38B4">
        <w:rPr>
          <w:rFonts w:ascii="Helvetica" w:hAnsi="Helvetica"/>
          <w:b/>
          <w:bCs/>
          <w:sz w:val="24"/>
          <w:szCs w:val="24"/>
          <w:lang w:val="en-GB"/>
        </w:rPr>
        <w:fldChar w:fldCharType="separate"/>
      </w:r>
      <w:r w:rsidRPr="007D38B4">
        <w:rPr>
          <w:rFonts w:ascii="Helvetica" w:hAnsi="Helvetica"/>
          <w:b/>
          <w:bCs/>
          <w:noProof/>
          <w:sz w:val="24"/>
          <w:szCs w:val="24"/>
          <w:lang w:val="en-GB"/>
        </w:rPr>
        <w:t>3</w:t>
      </w:r>
      <w:r w:rsidRPr="007D38B4">
        <w:rPr>
          <w:rFonts w:ascii="Helvetica" w:hAnsi="Helvetica"/>
          <w:b/>
          <w:bCs/>
          <w:sz w:val="24"/>
          <w:szCs w:val="24"/>
          <w:lang w:val="en-GB"/>
        </w:rPr>
        <w:fldChar w:fldCharType="end"/>
      </w:r>
      <w:r w:rsidRPr="007D38B4">
        <w:rPr>
          <w:rFonts w:ascii="Helvetica" w:hAnsi="Helvetica"/>
          <w:b/>
          <w:bCs/>
          <w:sz w:val="24"/>
          <w:szCs w:val="24"/>
          <w:lang w:val="en-GB"/>
        </w:rPr>
        <w:t>: Trends in Average Daily Values of Nifty and NSE Turnover</w:t>
      </w:r>
    </w:p>
    <w:p w:rsidR="007D38B4" w:rsidRPr="007D38B4" w:rsidRDefault="007D38B4" w:rsidP="007D38B4">
      <w:pPr>
        <w:spacing w:after="0" w:line="240" w:lineRule="auto"/>
        <w:jc w:val="center"/>
        <w:outlineLvl w:val="0"/>
        <w:rPr>
          <w:rFonts w:ascii="Helvetica" w:hAnsi="Helvetica"/>
          <w:b/>
          <w:bCs/>
          <w:color w:val="0033CC"/>
          <w:sz w:val="24"/>
          <w:szCs w:val="24"/>
          <w:lang w:val="en-GB"/>
        </w:rPr>
      </w:pPr>
    </w:p>
    <w:p w:rsidR="007D38B4" w:rsidRPr="007D38B4" w:rsidRDefault="007D38B4" w:rsidP="007D38B4">
      <w:pPr>
        <w:spacing w:after="0" w:line="240" w:lineRule="auto"/>
        <w:jc w:val="center"/>
        <w:rPr>
          <w:rFonts w:ascii="Helvetica" w:hAnsi="Helvetica"/>
          <w:b/>
          <w:bCs/>
          <w:color w:val="0033CC"/>
          <w:sz w:val="24"/>
          <w:szCs w:val="24"/>
          <w:lang w:val="en-GB"/>
        </w:rPr>
      </w:pPr>
      <w:r w:rsidRPr="007D38B4">
        <w:rPr>
          <w:rFonts w:ascii="Helvetica" w:hAnsi="Helvetica"/>
          <w:noProof/>
          <w:sz w:val="24"/>
          <w:szCs w:val="24"/>
        </w:rPr>
        <w:drawing>
          <wp:inline distT="0" distB="0" distL="0" distR="0" wp14:anchorId="4B73B424" wp14:editId="30D29522">
            <wp:extent cx="5731510" cy="3944203"/>
            <wp:effectExtent l="0" t="0" r="2540"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8B4" w:rsidRPr="007D38B4" w:rsidRDefault="007D38B4" w:rsidP="007D38B4">
      <w:pPr>
        <w:spacing w:line="240" w:lineRule="auto"/>
        <w:jc w:val="both"/>
        <w:rPr>
          <w:rFonts w:ascii="Helvetica" w:eastAsia="Times New Roman" w:hAnsi="Helvetica"/>
          <w:bCs/>
          <w:color w:val="0033CC"/>
          <w:sz w:val="24"/>
          <w:szCs w:val="24"/>
          <w:lang w:val="en-GB"/>
        </w:rPr>
      </w:pPr>
    </w:p>
    <w:p w:rsidR="007D38B4" w:rsidRPr="007D38B4" w:rsidRDefault="007D38B4" w:rsidP="007D38B4">
      <w:pPr>
        <w:spacing w:after="0" w:line="240" w:lineRule="auto"/>
        <w:jc w:val="both"/>
        <w:rPr>
          <w:rFonts w:ascii="Helvetica" w:eastAsia="Times New Roman" w:hAnsi="Helvetica"/>
          <w:bCs/>
          <w:color w:val="0033CC"/>
          <w:sz w:val="24"/>
          <w:szCs w:val="24"/>
          <w:lang w:val="en-GB"/>
        </w:rPr>
      </w:pPr>
      <w:r w:rsidRPr="007D38B4">
        <w:rPr>
          <w:rFonts w:ascii="Helvetica" w:eastAsia="Times New Roman" w:hAnsi="Helvetica"/>
          <w:bCs/>
          <w:sz w:val="24"/>
          <w:szCs w:val="24"/>
          <w:lang w:val="en-GB"/>
        </w:rPr>
        <w:t xml:space="preserve">Indian securities market showcased a mixed trend during June 2017 as indicated by different market indices. Among BSE indices, in June 2017, S&amp;P BSE Healthcare index increased the </w:t>
      </w:r>
      <w:r w:rsidRPr="007D38B4">
        <w:rPr>
          <w:rFonts w:ascii="Helvetica" w:eastAsia="Times New Roman" w:hAnsi="Helvetica"/>
          <w:bCs/>
          <w:sz w:val="24"/>
          <w:szCs w:val="24"/>
          <w:lang w:val="en-GB"/>
        </w:rPr>
        <w:lastRenderedPageBreak/>
        <w:t xml:space="preserve">most (4.6 per cent), followed by S&amp;P BSE Consumer Durables index (4.0 per cent) and S&amp;P BSE FMCG index (3.2 per cent). On the other hand, S&amp;P BSE PSU index fell by 6.5 per cent followed by S&amp;P BSE </w:t>
      </w:r>
      <w:proofErr w:type="spellStart"/>
      <w:r w:rsidRPr="007D38B4">
        <w:rPr>
          <w:rFonts w:ascii="Helvetica" w:eastAsia="Times New Roman" w:hAnsi="Helvetica"/>
          <w:bCs/>
          <w:sz w:val="24"/>
          <w:szCs w:val="24"/>
          <w:lang w:val="en-GB"/>
        </w:rPr>
        <w:t>Teck</w:t>
      </w:r>
      <w:proofErr w:type="spellEnd"/>
      <w:r w:rsidRPr="007D38B4">
        <w:rPr>
          <w:rFonts w:ascii="Helvetica" w:eastAsia="Times New Roman" w:hAnsi="Helvetica"/>
          <w:bCs/>
          <w:sz w:val="24"/>
          <w:szCs w:val="24"/>
          <w:lang w:val="en-GB"/>
        </w:rPr>
        <w:t xml:space="preserve"> index (3.3 per cent) and S&amp;P BSE Capital Goods index (3.0 per cent). As regards NSE indices, Nifty </w:t>
      </w:r>
      <w:proofErr w:type="spellStart"/>
      <w:r w:rsidRPr="007D38B4">
        <w:rPr>
          <w:rFonts w:ascii="Helvetica" w:eastAsia="Times New Roman" w:hAnsi="Helvetica"/>
          <w:bCs/>
          <w:sz w:val="24"/>
          <w:szCs w:val="24"/>
          <w:lang w:val="en-GB"/>
        </w:rPr>
        <w:t>Pharma</w:t>
      </w:r>
      <w:proofErr w:type="spellEnd"/>
      <w:r w:rsidRPr="007D38B4">
        <w:rPr>
          <w:rFonts w:ascii="Helvetica" w:eastAsia="Times New Roman" w:hAnsi="Helvetica"/>
          <w:bCs/>
          <w:sz w:val="24"/>
          <w:szCs w:val="24"/>
          <w:lang w:val="en-GB"/>
        </w:rPr>
        <w:t xml:space="preserve"> index rose the most (6.4 per cent), followed by Nifty FMCG index (3.5 per cent) and Nifty Small 100 index (1.8 per cent), whereas Nifty PSU Bank index fell by 6.0 per cent, followed by Nifty IT index (3.7 per cent) and Nifty Media index (2.7 per cent). Among BSE indices the S&amp;P BSE Consumer Durables index recorded the highest daily volatility (1.6 per cent), followed by BSE Metal index (1.1 per cent) and S&amp;P BSE FMCG index (0.8 per cent) during the month under review. At NSE during the same period, daily volatility of Nifty PSU Bank index was the highest at 1.1 per cent, followed by Nifty IT index (0.9 per cent) and Nifty </w:t>
      </w:r>
      <w:proofErr w:type="spellStart"/>
      <w:r w:rsidRPr="007D38B4">
        <w:rPr>
          <w:rFonts w:ascii="Helvetica" w:eastAsia="Times New Roman" w:hAnsi="Helvetica"/>
          <w:bCs/>
          <w:sz w:val="24"/>
          <w:szCs w:val="24"/>
          <w:lang w:val="en-GB"/>
        </w:rPr>
        <w:t>Pharma</w:t>
      </w:r>
      <w:proofErr w:type="spellEnd"/>
      <w:r w:rsidRPr="007D38B4">
        <w:rPr>
          <w:rFonts w:ascii="Helvetica" w:eastAsia="Times New Roman" w:hAnsi="Helvetica"/>
          <w:bCs/>
          <w:sz w:val="24"/>
          <w:szCs w:val="24"/>
          <w:lang w:val="en-GB"/>
        </w:rPr>
        <w:t xml:space="preserve"> index (1.5 per cent) (</w:t>
      </w:r>
      <w:r w:rsidRPr="007D38B4">
        <w:rPr>
          <w:rFonts w:ascii="Helvetica" w:eastAsia="Times New Roman" w:hAnsi="Helvetica"/>
          <w:b/>
          <w:i/>
          <w:iCs/>
          <w:sz w:val="24"/>
          <w:szCs w:val="24"/>
          <w:lang w:val="en-GB"/>
        </w:rPr>
        <w:t>Exhibit 3</w:t>
      </w:r>
      <w:r w:rsidRPr="007D38B4">
        <w:rPr>
          <w:rFonts w:ascii="Helvetica" w:eastAsia="Times New Roman" w:hAnsi="Helvetica"/>
          <w:bCs/>
          <w:sz w:val="24"/>
          <w:szCs w:val="24"/>
          <w:lang w:val="en-GB"/>
        </w:rPr>
        <w:t>).</w:t>
      </w:r>
    </w:p>
    <w:p w:rsidR="007D38B4" w:rsidRPr="007D38B4" w:rsidRDefault="007D38B4" w:rsidP="007D38B4">
      <w:pPr>
        <w:spacing w:after="0" w:line="240" w:lineRule="auto"/>
        <w:rPr>
          <w:rFonts w:ascii="Helvetica" w:eastAsia="Times New Roman" w:hAnsi="Helvetica"/>
          <w:b/>
          <w:bCs/>
          <w:color w:val="0033CC"/>
          <w:sz w:val="24"/>
          <w:szCs w:val="24"/>
          <w:lang w:val="en-GB"/>
        </w:rPr>
      </w:pPr>
    </w:p>
    <w:p w:rsidR="007D38B4" w:rsidRPr="007D38B4" w:rsidRDefault="007D38B4" w:rsidP="007D38B4">
      <w:pPr>
        <w:spacing w:after="0" w:line="240" w:lineRule="auto"/>
        <w:rPr>
          <w:rFonts w:ascii="Helvetica" w:eastAsia="Times New Roman" w:hAnsi="Helvetica"/>
          <w:b/>
          <w:bCs/>
          <w:color w:val="0033CC"/>
          <w:sz w:val="24"/>
          <w:szCs w:val="24"/>
          <w:lang w:val="en-GB"/>
        </w:rPr>
      </w:pPr>
    </w:p>
    <w:p w:rsidR="007D38B4" w:rsidRPr="007D38B4" w:rsidRDefault="007D38B4" w:rsidP="007D38B4">
      <w:pPr>
        <w:spacing w:after="0" w:line="240" w:lineRule="auto"/>
        <w:jc w:val="both"/>
        <w:rPr>
          <w:rFonts w:ascii="Helvetica" w:hAnsi="Helvetica"/>
          <w:b/>
          <w:sz w:val="24"/>
          <w:szCs w:val="24"/>
          <w:lang w:val="en-GB"/>
        </w:rPr>
      </w:pPr>
      <w:r w:rsidRPr="007D38B4">
        <w:rPr>
          <w:rFonts w:ascii="Helvetica" w:eastAsia="Times New Roman" w:hAnsi="Helvetica"/>
          <w:b/>
          <w:bCs/>
          <w:sz w:val="24"/>
          <w:szCs w:val="24"/>
          <w:lang w:val="en-GB"/>
        </w:rPr>
        <w:t xml:space="preserve">Exhibit </w:t>
      </w:r>
      <w:r w:rsidRPr="007D38B4">
        <w:rPr>
          <w:rFonts w:ascii="Helvetica" w:hAnsi="Helvetica"/>
          <w:b/>
          <w:sz w:val="24"/>
          <w:szCs w:val="24"/>
          <w:lang w:val="en-GB"/>
        </w:rPr>
        <w:t>3: Performance of Indices at BSE and NSE during June 2017 (Per cent)</w:t>
      </w:r>
    </w:p>
    <w:tbl>
      <w:tblPr>
        <w:tblW w:w="9225" w:type="dxa"/>
        <w:tblCellMar>
          <w:left w:w="58" w:type="dxa"/>
          <w:right w:w="58" w:type="dxa"/>
        </w:tblCellMar>
        <w:tblLook w:val="04A0" w:firstRow="1" w:lastRow="0" w:firstColumn="1" w:lastColumn="0" w:noHBand="0" w:noVBand="1"/>
      </w:tblPr>
      <w:tblGrid>
        <w:gridCol w:w="2875"/>
        <w:gridCol w:w="1440"/>
        <w:gridCol w:w="950"/>
        <w:gridCol w:w="1613"/>
        <w:gridCol w:w="1397"/>
        <w:gridCol w:w="950"/>
      </w:tblGrid>
      <w:tr w:rsidR="007D38B4" w:rsidRPr="007D38B4" w:rsidTr="007D38B4">
        <w:trPr>
          <w:trHeight w:val="223"/>
        </w:trPr>
        <w:tc>
          <w:tcPr>
            <w:tcW w:w="5265" w:type="dxa"/>
            <w:gridSpan w:val="3"/>
            <w:tcBorders>
              <w:top w:val="single" w:sz="4" w:space="0" w:color="auto"/>
              <w:left w:val="single" w:sz="4" w:space="0" w:color="auto"/>
              <w:bottom w:val="single" w:sz="4" w:space="0" w:color="auto"/>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BSE</w:t>
            </w:r>
          </w:p>
        </w:tc>
        <w:tc>
          <w:tcPr>
            <w:tcW w:w="3960" w:type="dxa"/>
            <w:gridSpan w:val="3"/>
            <w:tcBorders>
              <w:top w:val="single" w:sz="4" w:space="0" w:color="auto"/>
              <w:left w:val="nil"/>
              <w:bottom w:val="single" w:sz="4" w:space="0" w:color="auto"/>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NSE </w:t>
            </w:r>
          </w:p>
        </w:tc>
      </w:tr>
      <w:tr w:rsidR="007D38B4" w:rsidRPr="007D38B4" w:rsidTr="007D38B4">
        <w:trPr>
          <w:trHeight w:val="747"/>
        </w:trPr>
        <w:tc>
          <w:tcPr>
            <w:tcW w:w="2875" w:type="dxa"/>
            <w:tcBorders>
              <w:top w:val="nil"/>
              <w:left w:val="single" w:sz="4" w:space="0" w:color="auto"/>
              <w:bottom w:val="nil"/>
              <w:right w:val="single" w:sz="4" w:space="0" w:color="auto"/>
            </w:tcBorders>
            <w:shd w:val="clear" w:color="auto" w:fill="B4C6E7"/>
            <w:noWrap/>
            <w:vAlign w:val="bottom"/>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Index</w:t>
            </w:r>
          </w:p>
        </w:tc>
        <w:tc>
          <w:tcPr>
            <w:tcW w:w="1440" w:type="dxa"/>
            <w:tcBorders>
              <w:top w:val="nil"/>
              <w:left w:val="nil"/>
              <w:bottom w:val="nil"/>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 xml:space="preserve"> Change over Previous quarter</w:t>
            </w:r>
          </w:p>
        </w:tc>
        <w:tc>
          <w:tcPr>
            <w:tcW w:w="950" w:type="dxa"/>
            <w:tcBorders>
              <w:top w:val="nil"/>
              <w:left w:val="nil"/>
              <w:bottom w:val="nil"/>
              <w:right w:val="nil"/>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Volatility</w:t>
            </w:r>
          </w:p>
        </w:tc>
        <w:tc>
          <w:tcPr>
            <w:tcW w:w="1613" w:type="dxa"/>
            <w:tcBorders>
              <w:top w:val="nil"/>
              <w:left w:val="single" w:sz="4" w:space="0" w:color="auto"/>
              <w:bottom w:val="nil"/>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Index</w:t>
            </w:r>
          </w:p>
        </w:tc>
        <w:tc>
          <w:tcPr>
            <w:tcW w:w="1397" w:type="dxa"/>
            <w:tcBorders>
              <w:top w:val="nil"/>
              <w:left w:val="nil"/>
              <w:bottom w:val="nil"/>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 xml:space="preserve"> Change over Previous quarter</w:t>
            </w:r>
          </w:p>
        </w:tc>
        <w:tc>
          <w:tcPr>
            <w:tcW w:w="950" w:type="dxa"/>
            <w:tcBorders>
              <w:top w:val="nil"/>
              <w:left w:val="nil"/>
              <w:bottom w:val="nil"/>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color w:val="000000"/>
                <w:sz w:val="20"/>
                <w:szCs w:val="20"/>
                <w:lang w:val="en-GB" w:eastAsia="en-GB"/>
              </w:rPr>
            </w:pPr>
            <w:r w:rsidRPr="007D38B4">
              <w:rPr>
                <w:rFonts w:ascii="Helvetica" w:eastAsia="Times New Roman" w:hAnsi="Helvetica" w:cs="Helvetica"/>
                <w:b/>
                <w:bCs/>
                <w:color w:val="000000"/>
                <w:sz w:val="20"/>
                <w:szCs w:val="20"/>
                <w:lang w:val="en-GB" w:eastAsia="en-GB"/>
              </w:rPr>
              <w:t>Volatility</w:t>
            </w:r>
          </w:p>
        </w:tc>
      </w:tr>
      <w:tr w:rsidR="007D38B4" w:rsidRPr="007D38B4" w:rsidTr="007D38B4">
        <w:trPr>
          <w:trHeight w:val="223"/>
        </w:trPr>
        <w:tc>
          <w:tcPr>
            <w:tcW w:w="2875" w:type="dxa"/>
            <w:tcBorders>
              <w:top w:val="single" w:sz="4" w:space="0" w:color="auto"/>
              <w:left w:val="single" w:sz="4" w:space="0" w:color="auto"/>
              <w:bottom w:val="single" w:sz="4" w:space="0" w:color="auto"/>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color w:val="000000"/>
                <w:sz w:val="20"/>
                <w:szCs w:val="20"/>
                <w:lang w:val="en-GB" w:eastAsia="en-GB"/>
              </w:rPr>
            </w:pPr>
            <w:r w:rsidRPr="007D38B4">
              <w:rPr>
                <w:rFonts w:ascii="Helvetica" w:eastAsia="Times New Roman" w:hAnsi="Helvetica" w:cs="Helvetica"/>
                <w:bCs/>
                <w:i/>
                <w:color w:val="000000"/>
                <w:sz w:val="20"/>
                <w:szCs w:val="20"/>
                <w:lang w:val="en-GB" w:eastAsia="en-GB"/>
              </w:rPr>
              <w:t>1</w:t>
            </w:r>
          </w:p>
        </w:tc>
        <w:tc>
          <w:tcPr>
            <w:tcW w:w="1440" w:type="dxa"/>
            <w:tcBorders>
              <w:top w:val="single" w:sz="4" w:space="0" w:color="auto"/>
              <w:left w:val="nil"/>
              <w:bottom w:val="nil"/>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color w:val="000000"/>
                <w:sz w:val="20"/>
                <w:szCs w:val="20"/>
                <w:lang w:val="en-GB" w:eastAsia="en-GB"/>
              </w:rPr>
            </w:pPr>
            <w:r w:rsidRPr="007D38B4">
              <w:rPr>
                <w:rFonts w:ascii="Helvetica" w:eastAsia="Times New Roman" w:hAnsi="Helvetica" w:cs="Helvetica"/>
                <w:bCs/>
                <w:i/>
                <w:color w:val="000000"/>
                <w:sz w:val="20"/>
                <w:szCs w:val="20"/>
                <w:lang w:val="en-GB" w:eastAsia="en-GB"/>
              </w:rPr>
              <w:t>2</w:t>
            </w:r>
          </w:p>
        </w:tc>
        <w:tc>
          <w:tcPr>
            <w:tcW w:w="950" w:type="dxa"/>
            <w:tcBorders>
              <w:top w:val="single" w:sz="4" w:space="0" w:color="auto"/>
              <w:left w:val="nil"/>
              <w:bottom w:val="nil"/>
              <w:right w:val="nil"/>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color w:val="000000"/>
                <w:sz w:val="20"/>
                <w:szCs w:val="20"/>
                <w:lang w:val="en-GB" w:eastAsia="en-GB"/>
              </w:rPr>
            </w:pPr>
            <w:r w:rsidRPr="007D38B4">
              <w:rPr>
                <w:rFonts w:ascii="Helvetica" w:eastAsia="Times New Roman" w:hAnsi="Helvetica" w:cs="Helvetica"/>
                <w:bCs/>
                <w:i/>
                <w:color w:val="000000"/>
                <w:sz w:val="20"/>
                <w:szCs w:val="20"/>
                <w:lang w:val="en-GB" w:eastAsia="en-GB"/>
              </w:rPr>
              <w:t>3</w:t>
            </w:r>
          </w:p>
        </w:tc>
        <w:tc>
          <w:tcPr>
            <w:tcW w:w="1613" w:type="dxa"/>
            <w:tcBorders>
              <w:top w:val="single" w:sz="4" w:space="0" w:color="auto"/>
              <w:left w:val="single" w:sz="4" w:space="0" w:color="auto"/>
              <w:bottom w:val="single" w:sz="4" w:space="0" w:color="auto"/>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color w:val="000000"/>
                <w:sz w:val="20"/>
                <w:szCs w:val="20"/>
                <w:lang w:val="en-GB" w:eastAsia="en-GB"/>
              </w:rPr>
            </w:pPr>
            <w:r w:rsidRPr="007D38B4">
              <w:rPr>
                <w:rFonts w:ascii="Helvetica" w:eastAsia="Times New Roman" w:hAnsi="Helvetica" w:cs="Helvetica"/>
                <w:bCs/>
                <w:i/>
                <w:color w:val="000000"/>
                <w:sz w:val="20"/>
                <w:szCs w:val="20"/>
                <w:lang w:val="en-GB" w:eastAsia="en-GB"/>
              </w:rPr>
              <w:t>4</w:t>
            </w:r>
          </w:p>
        </w:tc>
        <w:tc>
          <w:tcPr>
            <w:tcW w:w="1397" w:type="dxa"/>
            <w:tcBorders>
              <w:top w:val="single" w:sz="4" w:space="0" w:color="auto"/>
              <w:left w:val="nil"/>
              <w:bottom w:val="nil"/>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color w:val="000000"/>
                <w:sz w:val="20"/>
                <w:szCs w:val="20"/>
                <w:lang w:val="en-GB" w:eastAsia="en-GB"/>
              </w:rPr>
            </w:pPr>
            <w:r w:rsidRPr="007D38B4">
              <w:rPr>
                <w:rFonts w:ascii="Helvetica" w:eastAsia="Times New Roman" w:hAnsi="Helvetica" w:cs="Helvetica"/>
                <w:bCs/>
                <w:i/>
                <w:color w:val="000000"/>
                <w:sz w:val="20"/>
                <w:szCs w:val="20"/>
                <w:lang w:val="en-GB" w:eastAsia="en-GB"/>
              </w:rPr>
              <w:t>5</w:t>
            </w:r>
          </w:p>
        </w:tc>
        <w:tc>
          <w:tcPr>
            <w:tcW w:w="950" w:type="dxa"/>
            <w:tcBorders>
              <w:top w:val="single" w:sz="4" w:space="0" w:color="auto"/>
              <w:left w:val="nil"/>
              <w:bottom w:val="nil"/>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color w:val="000000"/>
                <w:sz w:val="20"/>
                <w:szCs w:val="20"/>
                <w:lang w:val="en-GB" w:eastAsia="en-GB"/>
              </w:rPr>
            </w:pPr>
            <w:r w:rsidRPr="007D38B4">
              <w:rPr>
                <w:rFonts w:ascii="Helvetica" w:eastAsia="Times New Roman" w:hAnsi="Helvetica" w:cs="Helvetica"/>
                <w:bCs/>
                <w:i/>
                <w:color w:val="000000"/>
                <w:sz w:val="20"/>
                <w:szCs w:val="20"/>
                <w:lang w:val="en-GB" w:eastAsia="en-GB"/>
              </w:rPr>
              <w:t>6</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Sensex</w:t>
            </w:r>
          </w:p>
        </w:tc>
        <w:tc>
          <w:tcPr>
            <w:tcW w:w="1440" w:type="dxa"/>
            <w:tcBorders>
              <w:top w:val="single" w:sz="4" w:space="0" w:color="auto"/>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c>
          <w:tcPr>
            <w:tcW w:w="950"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0.3</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50</w:t>
            </w:r>
          </w:p>
        </w:tc>
        <w:tc>
          <w:tcPr>
            <w:tcW w:w="1397" w:type="dxa"/>
            <w:tcBorders>
              <w:top w:val="single" w:sz="4" w:space="0" w:color="auto"/>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-1.0</w:t>
            </w:r>
          </w:p>
        </w:tc>
        <w:tc>
          <w:tcPr>
            <w:tcW w:w="950"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r>
      <w:tr w:rsidR="007D38B4" w:rsidRPr="007D38B4" w:rsidTr="006774B4">
        <w:trPr>
          <w:trHeight w:val="234"/>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100</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-0.8</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Next 50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0.9</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0.5</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200</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100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-0.8</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500</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-0.2</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200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-0.5</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Large Cap</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500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-0.2</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0.4</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Small Cap</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2.2</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Midcap 50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r>
      <w:tr w:rsidR="007D38B4" w:rsidRPr="007D38B4" w:rsidTr="006774B4">
        <w:trPr>
          <w:trHeight w:val="245"/>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Consumer Durables</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4.0</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1.6</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Midcap 100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1.3</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0.6</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Capital Goods</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-3.0</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Small 100</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1.8</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 xml:space="preserve">S&amp;P BSE </w:t>
            </w:r>
            <w:proofErr w:type="spellStart"/>
            <w:r w:rsidRPr="007D38B4">
              <w:rPr>
                <w:rFonts w:ascii="Helvetica" w:eastAsia="Times New Roman" w:hAnsi="Helvetica" w:cs="Helvetica"/>
                <w:color w:val="000000"/>
                <w:sz w:val="20"/>
                <w:szCs w:val="20"/>
                <w:lang w:val="en-GB" w:eastAsia="en-GB"/>
              </w:rPr>
              <w:t>Bankex</w:t>
            </w:r>
            <w:proofErr w:type="spellEnd"/>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-1.0</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0.6</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Bank</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-0.9</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0.6</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 xml:space="preserve">S&amp;P BSE </w:t>
            </w:r>
            <w:proofErr w:type="spellStart"/>
            <w:r w:rsidRPr="007D38B4">
              <w:rPr>
                <w:rFonts w:ascii="Helvetica" w:eastAsia="Times New Roman" w:hAnsi="Helvetica" w:cs="Helvetica"/>
                <w:color w:val="000000"/>
                <w:sz w:val="20"/>
                <w:szCs w:val="20"/>
                <w:lang w:val="en-GB" w:eastAsia="en-GB"/>
              </w:rPr>
              <w:t>Teck</w:t>
            </w:r>
            <w:proofErr w:type="spellEnd"/>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-3.3</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0.7</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IT</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-3.7</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0.9</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FMCG</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3.2</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0.8</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FMCG</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3.5</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0.8</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 xml:space="preserve">S&amp;P BSE Metal </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1.1</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1.1</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 xml:space="preserve">Nifty </w:t>
            </w:r>
            <w:proofErr w:type="spellStart"/>
            <w:r w:rsidRPr="007D38B4">
              <w:rPr>
                <w:rFonts w:ascii="Helvetica" w:eastAsia="Times New Roman" w:hAnsi="Helvetica" w:cs="Helvetica"/>
                <w:color w:val="000000"/>
                <w:sz w:val="20"/>
                <w:szCs w:val="20"/>
                <w:lang w:val="en-GB" w:eastAsia="en-GB"/>
              </w:rPr>
              <w:t>Pharma</w:t>
            </w:r>
            <w:proofErr w:type="spellEnd"/>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6.4</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0.9</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PSU</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-6.5</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0.6</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PSU Bank</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-6.0</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1.1</w:t>
            </w:r>
          </w:p>
        </w:tc>
      </w:tr>
      <w:tr w:rsidR="007D38B4" w:rsidRPr="007D38B4" w:rsidTr="006774B4">
        <w:trPr>
          <w:trHeight w:val="223"/>
        </w:trPr>
        <w:tc>
          <w:tcPr>
            <w:tcW w:w="2875" w:type="dxa"/>
            <w:tcBorders>
              <w:top w:val="nil"/>
              <w:left w:val="single" w:sz="4" w:space="0" w:color="auto"/>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Power</w:t>
            </w:r>
          </w:p>
        </w:tc>
        <w:tc>
          <w:tcPr>
            <w:tcW w:w="1440"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0.2</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0.6</w:t>
            </w:r>
          </w:p>
        </w:tc>
        <w:tc>
          <w:tcPr>
            <w:tcW w:w="1613" w:type="dxa"/>
            <w:tcBorders>
              <w:top w:val="nil"/>
              <w:left w:val="nil"/>
              <w:bottom w:val="nil"/>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Media</w:t>
            </w:r>
          </w:p>
        </w:tc>
        <w:tc>
          <w:tcPr>
            <w:tcW w:w="1397" w:type="dxa"/>
            <w:tcBorders>
              <w:top w:val="nil"/>
              <w:left w:val="single" w:sz="4" w:space="0" w:color="auto"/>
              <w:bottom w:val="nil"/>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-2.7</w:t>
            </w:r>
          </w:p>
        </w:tc>
        <w:tc>
          <w:tcPr>
            <w:tcW w:w="950"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0.9</w:t>
            </w:r>
          </w:p>
        </w:tc>
      </w:tr>
      <w:tr w:rsidR="007D38B4" w:rsidRPr="007D38B4" w:rsidTr="006774B4">
        <w:trPr>
          <w:trHeight w:val="223"/>
        </w:trPr>
        <w:tc>
          <w:tcPr>
            <w:tcW w:w="2875" w:type="dxa"/>
            <w:tcBorders>
              <w:top w:val="nil"/>
              <w:left w:val="single" w:sz="4" w:space="0" w:color="auto"/>
              <w:bottom w:val="single" w:sz="4" w:space="0" w:color="auto"/>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S&amp;P BSE Healthcare</w:t>
            </w:r>
          </w:p>
        </w:tc>
        <w:tc>
          <w:tcPr>
            <w:tcW w:w="1440" w:type="dxa"/>
            <w:tcBorders>
              <w:top w:val="nil"/>
              <w:left w:val="single" w:sz="4" w:space="0" w:color="auto"/>
              <w:bottom w:val="single" w:sz="4" w:space="0" w:color="auto"/>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4.6</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0.8</w:t>
            </w:r>
          </w:p>
        </w:tc>
        <w:tc>
          <w:tcPr>
            <w:tcW w:w="1613" w:type="dxa"/>
            <w:tcBorders>
              <w:top w:val="nil"/>
              <w:left w:val="nil"/>
              <w:bottom w:val="single" w:sz="4" w:space="0" w:color="auto"/>
              <w:right w:val="nil"/>
            </w:tcBorders>
            <w:shd w:val="clear" w:color="auto" w:fill="auto"/>
            <w:vAlign w:val="center"/>
            <w:hideMark/>
          </w:tcPr>
          <w:p w:rsidR="007D38B4" w:rsidRPr="007D38B4" w:rsidRDefault="007D38B4" w:rsidP="007D38B4">
            <w:pPr>
              <w:spacing w:after="0" w:line="240" w:lineRule="auto"/>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Nifty MNC</w:t>
            </w:r>
          </w:p>
        </w:tc>
        <w:tc>
          <w:tcPr>
            <w:tcW w:w="1397" w:type="dxa"/>
            <w:tcBorders>
              <w:top w:val="nil"/>
              <w:left w:val="single" w:sz="4" w:space="0" w:color="auto"/>
              <w:bottom w:val="single" w:sz="4" w:space="0" w:color="auto"/>
              <w:right w:val="nil"/>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1.4</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center"/>
              <w:rPr>
                <w:rFonts w:ascii="Helvetica" w:eastAsia="Times New Roman" w:hAnsi="Helvetica" w:cs="Helvetica"/>
                <w:color w:val="000000"/>
                <w:sz w:val="20"/>
                <w:szCs w:val="20"/>
                <w:lang w:val="en-GB" w:eastAsia="en-GB"/>
              </w:rPr>
            </w:pPr>
            <w:r w:rsidRPr="007D38B4">
              <w:rPr>
                <w:rFonts w:ascii="Helvetica" w:eastAsia="Times New Roman" w:hAnsi="Helvetica" w:cs="Helvetica"/>
                <w:color w:val="000000"/>
                <w:sz w:val="20"/>
                <w:szCs w:val="20"/>
                <w:lang w:val="en-GB" w:eastAsia="en-GB"/>
              </w:rPr>
              <w:t>0.6</w:t>
            </w:r>
          </w:p>
        </w:tc>
      </w:tr>
    </w:tbl>
    <w:p w:rsidR="007D38B4" w:rsidRPr="007D38B4" w:rsidRDefault="007D38B4" w:rsidP="007D38B4">
      <w:pPr>
        <w:spacing w:after="0" w:line="240" w:lineRule="auto"/>
        <w:outlineLvl w:val="0"/>
        <w:rPr>
          <w:rFonts w:ascii="Helvetica" w:hAnsi="Helvetica"/>
          <w:b/>
          <w:i/>
          <w:sz w:val="24"/>
          <w:szCs w:val="24"/>
          <w:lang w:val="en-GB"/>
        </w:rPr>
      </w:pPr>
      <w:r w:rsidRPr="007D38B4">
        <w:rPr>
          <w:rFonts w:ascii="Helvetica" w:hAnsi="Helvetica"/>
          <w:b/>
          <w:i/>
          <w:sz w:val="20"/>
          <w:szCs w:val="20"/>
          <w:lang w:val="en-GB"/>
        </w:rPr>
        <w:t xml:space="preserve">Source: </w:t>
      </w:r>
      <w:r w:rsidRPr="007D38B4">
        <w:rPr>
          <w:rFonts w:ascii="Helvetica" w:hAnsi="Helvetica"/>
          <w:i/>
          <w:sz w:val="20"/>
          <w:szCs w:val="20"/>
          <w:lang w:val="en-GB"/>
        </w:rPr>
        <w:t>BSE and NSE</w:t>
      </w:r>
    </w:p>
    <w:p w:rsidR="007D38B4" w:rsidRPr="007D38B4" w:rsidRDefault="007D38B4" w:rsidP="007D38B4">
      <w:pPr>
        <w:spacing w:after="0" w:line="240" w:lineRule="auto"/>
        <w:jc w:val="both"/>
        <w:rPr>
          <w:rFonts w:ascii="Helvetica" w:eastAsia="Times New Roman" w:hAnsi="Helvetica"/>
          <w:color w:val="0033CC"/>
          <w:sz w:val="24"/>
          <w:szCs w:val="24"/>
          <w:lang w:val="en-IN" w:eastAsia="en-IN"/>
        </w:rPr>
      </w:pPr>
    </w:p>
    <w:p w:rsidR="007D38B4" w:rsidRPr="007D38B4" w:rsidRDefault="007D38B4" w:rsidP="007D38B4">
      <w:pPr>
        <w:spacing w:after="0" w:line="240" w:lineRule="auto"/>
        <w:jc w:val="both"/>
        <w:rPr>
          <w:rFonts w:ascii="Helvetica" w:eastAsia="Times New Roman" w:hAnsi="Helvetica"/>
          <w:sz w:val="24"/>
          <w:szCs w:val="24"/>
          <w:lang w:val="en-IN" w:eastAsia="en-IN"/>
        </w:rPr>
      </w:pPr>
    </w:p>
    <w:p w:rsidR="007D38B4" w:rsidRPr="007D38B4" w:rsidRDefault="007D38B4" w:rsidP="007D38B4">
      <w:pPr>
        <w:spacing w:after="0" w:line="240" w:lineRule="auto"/>
        <w:jc w:val="both"/>
        <w:rPr>
          <w:rFonts w:ascii="Helvetica" w:eastAsia="Times New Roman" w:hAnsi="Helvetica"/>
          <w:sz w:val="24"/>
          <w:szCs w:val="24"/>
          <w:lang w:val="en-IN" w:eastAsia="en-IN"/>
        </w:rPr>
      </w:pPr>
    </w:p>
    <w:p w:rsidR="007D38B4" w:rsidRPr="007D38B4" w:rsidRDefault="007D38B4" w:rsidP="007D38B4">
      <w:pPr>
        <w:widowControl w:val="0"/>
        <w:numPr>
          <w:ilvl w:val="0"/>
          <w:numId w:val="3"/>
        </w:numPr>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 xml:space="preserve">Trends in Depository Accounts </w:t>
      </w:r>
    </w:p>
    <w:p w:rsidR="007D38B4" w:rsidRPr="007D38B4" w:rsidRDefault="007D38B4" w:rsidP="007D38B4">
      <w:pPr>
        <w:widowControl w:val="0"/>
        <w:spacing w:after="0" w:line="240" w:lineRule="auto"/>
        <w:ind w:left="720"/>
        <w:contextualSpacing/>
        <w:jc w:val="both"/>
        <w:rPr>
          <w:rFonts w:ascii="Helvetica" w:hAnsi="Helvetica"/>
          <w:b/>
          <w:sz w:val="24"/>
          <w:szCs w:val="24"/>
          <w:lang w:val="en-GB"/>
        </w:rPr>
      </w:pPr>
    </w:p>
    <w:p w:rsidR="007D38B4" w:rsidRPr="007D38B4" w:rsidRDefault="007D38B4" w:rsidP="007D38B4">
      <w:pPr>
        <w:spacing w:line="240" w:lineRule="auto"/>
        <w:jc w:val="both"/>
        <w:rPr>
          <w:rFonts w:ascii="Helvetica" w:eastAsia="Times New Roman" w:hAnsi="Helvetica"/>
          <w:color w:val="0033CC"/>
          <w:sz w:val="24"/>
          <w:szCs w:val="24"/>
          <w:lang w:val="en-GB"/>
        </w:rPr>
      </w:pPr>
      <w:r w:rsidRPr="007D38B4">
        <w:rPr>
          <w:rFonts w:ascii="Helvetica" w:eastAsia="Times New Roman" w:hAnsi="Helvetica"/>
          <w:sz w:val="24"/>
          <w:szCs w:val="24"/>
          <w:lang w:val="en-GB"/>
        </w:rPr>
        <w:t xml:space="preserve">The total number of investor accounts at the end of May 2017 was 159 lakh at NSDL (an increase of 0.7 per cent over May 2017) and 128 lakh at CDSL (an increase of 1.4 per cent over May 2017). The number of investor accounts increased by 7.6 per cent at NSDL and by 13.6 per cent at CDSL over the number of investor accounts at the respective depositories in June 2016 </w:t>
      </w:r>
      <w:r w:rsidRPr="007D38B4">
        <w:rPr>
          <w:rFonts w:ascii="Helvetica" w:eastAsia="Times New Roman" w:hAnsi="Helvetica"/>
          <w:b/>
          <w:sz w:val="24"/>
          <w:szCs w:val="24"/>
          <w:lang w:val="en-GB"/>
        </w:rPr>
        <w:t>(</w:t>
      </w:r>
      <w:r w:rsidRPr="007D38B4">
        <w:rPr>
          <w:rFonts w:ascii="Helvetica" w:eastAsia="Times New Roman" w:hAnsi="Helvetica"/>
          <w:b/>
          <w:i/>
          <w:iCs/>
          <w:sz w:val="24"/>
          <w:szCs w:val="24"/>
          <w:lang w:val="en-GB"/>
        </w:rPr>
        <w:t>Table 58</w:t>
      </w:r>
      <w:r w:rsidRPr="007D38B4">
        <w:rPr>
          <w:rFonts w:ascii="Helvetica" w:eastAsia="Times New Roman" w:hAnsi="Helvetica"/>
          <w:b/>
          <w:sz w:val="24"/>
          <w:szCs w:val="24"/>
          <w:lang w:val="en-GB"/>
        </w:rPr>
        <w:t>)</w:t>
      </w:r>
      <w:r w:rsidRPr="007D38B4">
        <w:rPr>
          <w:rFonts w:ascii="Helvetica" w:eastAsia="Times New Roman" w:hAnsi="Helvetica"/>
          <w:sz w:val="24"/>
          <w:szCs w:val="24"/>
          <w:lang w:val="en-GB"/>
        </w:rPr>
        <w:t>.</w:t>
      </w:r>
    </w:p>
    <w:p w:rsidR="007D38B4" w:rsidRPr="007D38B4" w:rsidRDefault="007D38B4" w:rsidP="007D38B4">
      <w:pPr>
        <w:spacing w:line="240" w:lineRule="auto"/>
        <w:jc w:val="both"/>
        <w:rPr>
          <w:rFonts w:ascii="Helvetica" w:eastAsia="Times New Roman" w:hAnsi="Helvetica"/>
          <w:color w:val="0033CC"/>
          <w:sz w:val="24"/>
          <w:szCs w:val="24"/>
          <w:lang w:val="en-GB"/>
        </w:rPr>
      </w:pPr>
    </w:p>
    <w:p w:rsidR="00E43ECF" w:rsidRDefault="00E43ECF">
      <w:pPr>
        <w:spacing w:after="0" w:line="240" w:lineRule="auto"/>
        <w:rPr>
          <w:rFonts w:ascii="Helvetica" w:eastAsia="Times New Roman" w:hAnsi="Helvetica"/>
          <w:color w:val="0033CC"/>
          <w:sz w:val="24"/>
          <w:szCs w:val="24"/>
          <w:lang w:val="en-GB"/>
        </w:rPr>
      </w:pPr>
      <w:r>
        <w:rPr>
          <w:rFonts w:ascii="Helvetica" w:eastAsia="Times New Roman" w:hAnsi="Helvetica"/>
          <w:color w:val="0033CC"/>
          <w:sz w:val="24"/>
          <w:szCs w:val="24"/>
          <w:lang w:val="en-GB"/>
        </w:rPr>
        <w:br w:type="page"/>
      </w:r>
    </w:p>
    <w:p w:rsidR="007D38B4" w:rsidRPr="007D38B4" w:rsidRDefault="007D38B4" w:rsidP="007D38B4">
      <w:pPr>
        <w:spacing w:line="240" w:lineRule="auto"/>
        <w:jc w:val="both"/>
        <w:rPr>
          <w:rFonts w:ascii="Helvetica" w:eastAsia="Times New Roman" w:hAnsi="Helvetica"/>
          <w:color w:val="0033CC"/>
          <w:sz w:val="24"/>
          <w:szCs w:val="24"/>
          <w:lang w:val="en-GB"/>
        </w:rPr>
      </w:pPr>
    </w:p>
    <w:p w:rsidR="007D38B4" w:rsidRPr="007D38B4" w:rsidRDefault="007D38B4" w:rsidP="007D38B4">
      <w:pPr>
        <w:widowControl w:val="0"/>
        <w:numPr>
          <w:ilvl w:val="0"/>
          <w:numId w:val="3"/>
        </w:numPr>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Trends in Derivatives Segment</w:t>
      </w:r>
      <w:r w:rsidRPr="007D38B4">
        <w:rPr>
          <w:rFonts w:ascii="Helvetica" w:hAnsi="Helvetica"/>
          <w:b/>
          <w:sz w:val="24"/>
          <w:szCs w:val="24"/>
          <w:lang w:val="en-GB"/>
        </w:rPr>
        <w:tab/>
      </w:r>
    </w:p>
    <w:p w:rsidR="007D38B4" w:rsidRPr="007D38B4" w:rsidRDefault="007D38B4" w:rsidP="007D38B4">
      <w:pPr>
        <w:widowControl w:val="0"/>
        <w:spacing w:after="0" w:line="240" w:lineRule="auto"/>
        <w:jc w:val="both"/>
        <w:rPr>
          <w:rFonts w:ascii="Helvetica" w:eastAsia="Times New Roman" w:hAnsi="Helvetica"/>
          <w:color w:val="0033CC"/>
          <w:sz w:val="24"/>
          <w:szCs w:val="24"/>
          <w:lang w:val="en-GB"/>
        </w:rPr>
      </w:pPr>
    </w:p>
    <w:p w:rsidR="007D38B4" w:rsidRPr="007D38B4" w:rsidRDefault="007D38B4" w:rsidP="007D38B4">
      <w:pPr>
        <w:widowControl w:val="0"/>
        <w:numPr>
          <w:ilvl w:val="0"/>
          <w:numId w:val="40"/>
        </w:numPr>
        <w:spacing w:line="240" w:lineRule="auto"/>
        <w:contextualSpacing/>
        <w:jc w:val="both"/>
        <w:outlineLvl w:val="0"/>
        <w:rPr>
          <w:rFonts w:ascii="Helvetica" w:hAnsi="Helvetica"/>
          <w:b/>
          <w:sz w:val="24"/>
          <w:szCs w:val="24"/>
          <w:lang w:val="en-GB"/>
        </w:rPr>
      </w:pPr>
      <w:r w:rsidRPr="007D38B4">
        <w:rPr>
          <w:rFonts w:ascii="Helvetica" w:hAnsi="Helvetica"/>
          <w:b/>
          <w:sz w:val="24"/>
          <w:szCs w:val="24"/>
          <w:lang w:val="en-GB"/>
        </w:rPr>
        <w:t>Equity Derivatives</w:t>
      </w:r>
    </w:p>
    <w:p w:rsidR="007D38B4" w:rsidRPr="007D38B4" w:rsidRDefault="007D38B4" w:rsidP="007D38B4">
      <w:pPr>
        <w:spacing w:line="240" w:lineRule="auto"/>
        <w:jc w:val="both"/>
        <w:rPr>
          <w:rFonts w:ascii="Helvetica" w:eastAsia="Times New Roman" w:hAnsi="Helvetica"/>
          <w:color w:val="0033CC"/>
          <w:sz w:val="24"/>
          <w:szCs w:val="24"/>
          <w:lang w:val="en-GB"/>
        </w:rPr>
      </w:pPr>
      <w:r w:rsidRPr="007D38B4">
        <w:rPr>
          <w:rFonts w:ascii="Helvetica" w:eastAsia="Times New Roman" w:hAnsi="Helvetica"/>
          <w:sz w:val="24"/>
          <w:szCs w:val="24"/>
          <w:lang w:val="en-GB"/>
        </w:rPr>
        <w:t xml:space="preserve">India is one of the most vibrant markets for exchange traded equity derivatives in the world. The monthly total turnover in equity derivatives market at NSE fell by 3.8 per cent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w:t>
      </w:r>
      <w:proofErr w:type="gramStart"/>
      <w:r w:rsidRPr="007D38B4">
        <w:rPr>
          <w:rFonts w:ascii="Helvetica" w:eastAsia="Times New Roman" w:hAnsi="Helvetica"/>
          <w:sz w:val="24"/>
          <w:szCs w:val="24"/>
        </w:rPr>
        <w:t>,14,32,267</w:t>
      </w:r>
      <w:proofErr w:type="gramEnd"/>
      <w:r w:rsidRPr="007D38B4">
        <w:rPr>
          <w:rFonts w:ascii="Helvetica" w:eastAsia="Times New Roman" w:hAnsi="Helvetica"/>
          <w:sz w:val="24"/>
          <w:szCs w:val="24"/>
        </w:rPr>
        <w:t xml:space="preserve"> crore in June 2017</w:t>
      </w:r>
      <w:r w:rsidRPr="007D38B4">
        <w:rPr>
          <w:rFonts w:ascii="Helvetica" w:eastAsia="Times New Roman" w:hAnsi="Helvetica"/>
          <w:sz w:val="24"/>
          <w:szCs w:val="24"/>
          <w:lang w:val="en-GB"/>
        </w:rPr>
        <w:t xml:space="preserve"> </w:t>
      </w:r>
      <w:r w:rsidRPr="007D38B4">
        <w:rPr>
          <w:rFonts w:ascii="Helvetica" w:eastAsia="Times New Roman" w:hAnsi="Helvetica" w:cs="Garamond"/>
          <w:sz w:val="24"/>
          <w:szCs w:val="24"/>
          <w:lang w:val="en-GB"/>
        </w:rPr>
        <w:t xml:space="preserve">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1,18,81,402 crore in May 2017</w:t>
      </w:r>
      <w:r w:rsidRPr="007D38B4">
        <w:rPr>
          <w:rFonts w:ascii="Helvetica" w:eastAsia="Times New Roman" w:hAnsi="Helvetica"/>
          <w:sz w:val="24"/>
          <w:szCs w:val="24"/>
          <w:lang w:val="en-GB"/>
        </w:rPr>
        <w:t xml:space="preserve"> </w:t>
      </w:r>
      <w:r w:rsidRPr="007D38B4">
        <w:rPr>
          <w:rFonts w:ascii="Helvetica" w:eastAsia="Times New Roman" w:hAnsi="Helvetica" w:cs="Garamond"/>
          <w:sz w:val="24"/>
          <w:szCs w:val="24"/>
          <w:lang w:val="en-GB"/>
        </w:rPr>
        <w:t>(</w:t>
      </w:r>
      <w:r w:rsidRPr="007D38B4">
        <w:rPr>
          <w:rFonts w:ascii="Helvetica" w:eastAsia="Times New Roman" w:hAnsi="Helvetica" w:cs="Garamond"/>
          <w:b/>
          <w:bCs/>
          <w:i/>
          <w:iCs/>
          <w:sz w:val="24"/>
          <w:szCs w:val="24"/>
          <w:lang w:val="en-GB"/>
        </w:rPr>
        <w:t>Figure 4</w:t>
      </w:r>
      <w:r w:rsidRPr="007D38B4">
        <w:rPr>
          <w:rFonts w:ascii="Helvetica" w:eastAsia="Times New Roman" w:hAnsi="Helvetica" w:cs="Garamond"/>
          <w:sz w:val="24"/>
          <w:szCs w:val="24"/>
          <w:lang w:val="en-GB"/>
        </w:rPr>
        <w:t>). During the month under review options on index accounted for about 82 per cent of the total turnover in the F&amp;O segment at NSE.</w:t>
      </w:r>
      <w:r w:rsidRPr="007D38B4">
        <w:rPr>
          <w:rFonts w:ascii="Helvetica" w:eastAsia="Times New Roman" w:hAnsi="Helvetica"/>
          <w:sz w:val="24"/>
          <w:szCs w:val="24"/>
          <w:lang w:val="en-GB"/>
        </w:rPr>
        <w:t xml:space="preserve"> During June </w:t>
      </w:r>
      <w:r w:rsidRPr="007D38B4">
        <w:rPr>
          <w:rFonts w:ascii="Helvetica" w:eastAsia="Times New Roman" w:hAnsi="Helvetica" w:cs="Garamond"/>
          <w:sz w:val="24"/>
          <w:szCs w:val="24"/>
          <w:lang w:val="en-GB"/>
        </w:rPr>
        <w:t>2017</w:t>
      </w:r>
      <w:r w:rsidRPr="007D38B4">
        <w:rPr>
          <w:rFonts w:ascii="Helvetica" w:eastAsia="Times New Roman" w:hAnsi="Helvetica"/>
          <w:sz w:val="24"/>
          <w:szCs w:val="24"/>
          <w:lang w:val="en-GB"/>
        </w:rPr>
        <w:t>, monthly turnover of index futures and stock futures fell by 14.3 per cent and 20.8 per cent, respectively</w:t>
      </w:r>
      <w:r w:rsidRPr="007D38B4">
        <w:rPr>
          <w:rFonts w:ascii="Helvetica" w:eastAsia="Times New Roman" w:hAnsi="Helvetica"/>
          <w:color w:val="0033CC"/>
          <w:sz w:val="24"/>
          <w:szCs w:val="24"/>
          <w:lang w:val="en-GB"/>
        </w:rPr>
        <w:t xml:space="preserve">. </w:t>
      </w:r>
      <w:r w:rsidRPr="007D38B4">
        <w:rPr>
          <w:rFonts w:ascii="Helvetica" w:eastAsia="Times New Roman" w:hAnsi="Helvetica"/>
          <w:sz w:val="24"/>
          <w:szCs w:val="24"/>
          <w:lang w:val="en-GB"/>
        </w:rPr>
        <w:t xml:space="preserve">Monthly turnover of put options on index and fell by 2.4 per cent, whereas, in case of call options on index, it increased by 5.3 per cent. Monthly turnover of put options on stock call options on stock fell by 30.6 per cent and 26.7 per cent, respectively. The open interest in value terms in the equity derivative segment of NSE decreased by 15.8 per cent to </w:t>
      </w:r>
      <w:r w:rsidRPr="007D38B4">
        <w:rPr>
          <w:rFonts w:ascii="Rupee Foradian" w:eastAsia="Times New Roman" w:hAnsi="Rupee Foradian" w:cs="Garamond"/>
          <w:sz w:val="24"/>
          <w:szCs w:val="24"/>
          <w:lang w:val="en-GB"/>
        </w:rPr>
        <w:t>`</w:t>
      </w:r>
      <w:r w:rsidRPr="007D38B4">
        <w:rPr>
          <w:rFonts w:ascii="Helvetica" w:hAnsi="Helvetica"/>
          <w:sz w:val="24"/>
          <w:szCs w:val="24"/>
          <w:lang w:val="en-GB"/>
        </w:rPr>
        <w:t xml:space="preserve"> </w:t>
      </w:r>
      <w:r w:rsidRPr="007D38B4">
        <w:rPr>
          <w:rFonts w:ascii="Helvetica" w:eastAsia="Times New Roman" w:hAnsi="Helvetica" w:cs="Garamond"/>
          <w:sz w:val="24"/>
          <w:szCs w:val="24"/>
          <w:lang w:val="en-GB"/>
        </w:rPr>
        <w:t>2</w:t>
      </w:r>
      <w:proofErr w:type="gramStart"/>
      <w:r w:rsidRPr="007D38B4">
        <w:rPr>
          <w:rFonts w:ascii="Helvetica" w:eastAsia="Times New Roman" w:hAnsi="Helvetica" w:cs="Garamond"/>
          <w:sz w:val="24"/>
          <w:szCs w:val="24"/>
          <w:lang w:val="en-GB"/>
        </w:rPr>
        <w:t>,63,319</w:t>
      </w:r>
      <w:proofErr w:type="gramEnd"/>
      <w:r w:rsidRPr="007D38B4">
        <w:rPr>
          <w:rFonts w:ascii="Helvetica" w:eastAsia="Times New Roman" w:hAnsi="Helvetica" w:cs="Garamond"/>
          <w:sz w:val="24"/>
          <w:szCs w:val="24"/>
          <w:lang w:val="en-GB"/>
        </w:rPr>
        <w:t xml:space="preserve"> crore as on June 30, 2017 from </w:t>
      </w:r>
      <w:r w:rsidRPr="007D38B4">
        <w:rPr>
          <w:rFonts w:ascii="Rupee Foradian" w:eastAsia="Times New Roman" w:hAnsi="Rupee Foradian" w:cs="Garamond"/>
          <w:sz w:val="24"/>
          <w:szCs w:val="24"/>
          <w:lang w:val="en-GB"/>
        </w:rPr>
        <w:t>`</w:t>
      </w:r>
      <w:r w:rsidRPr="007D38B4">
        <w:rPr>
          <w:rFonts w:ascii="Helvetica" w:hAnsi="Helvetica"/>
          <w:sz w:val="24"/>
          <w:szCs w:val="24"/>
          <w:lang w:val="en-GB"/>
        </w:rPr>
        <w:t xml:space="preserve"> </w:t>
      </w:r>
      <w:r w:rsidRPr="007D38B4">
        <w:rPr>
          <w:rFonts w:ascii="Helvetica" w:eastAsia="Times New Roman" w:hAnsi="Helvetica" w:cs="Garamond"/>
          <w:sz w:val="24"/>
          <w:szCs w:val="24"/>
          <w:lang w:val="en-GB"/>
        </w:rPr>
        <w:t>3,12,588 crore as on May 31, 2017</w:t>
      </w:r>
      <w:r w:rsidRPr="007D38B4">
        <w:rPr>
          <w:rFonts w:ascii="Helvetica" w:eastAsia="Times New Roman" w:hAnsi="Helvetica"/>
          <w:sz w:val="24"/>
          <w:szCs w:val="24"/>
          <w:lang w:val="en-GB"/>
        </w:rPr>
        <w:t xml:space="preserve">. </w:t>
      </w:r>
    </w:p>
    <w:p w:rsidR="007D38B4" w:rsidRPr="007D38B4" w:rsidRDefault="007D38B4" w:rsidP="007D38B4">
      <w:pPr>
        <w:spacing w:line="240" w:lineRule="auto"/>
        <w:jc w:val="both"/>
        <w:rPr>
          <w:rFonts w:ascii="Helvetica" w:eastAsia="Times New Roman" w:hAnsi="Helvetica"/>
          <w:color w:val="0033CC"/>
          <w:sz w:val="24"/>
          <w:szCs w:val="24"/>
          <w:lang w:val="en-GB"/>
        </w:rPr>
      </w:pPr>
    </w:p>
    <w:p w:rsidR="007D38B4" w:rsidRPr="007D38B4" w:rsidRDefault="007D38B4" w:rsidP="007D38B4">
      <w:pPr>
        <w:spacing w:line="240" w:lineRule="auto"/>
        <w:jc w:val="center"/>
        <w:outlineLvl w:val="0"/>
        <w:rPr>
          <w:rFonts w:ascii="Helvetica" w:hAnsi="Helvetica"/>
          <w:b/>
          <w:sz w:val="24"/>
          <w:szCs w:val="24"/>
          <w:lang w:val="en-GB"/>
        </w:rPr>
      </w:pPr>
      <w:r w:rsidRPr="007D38B4">
        <w:rPr>
          <w:rFonts w:ascii="Helvetica" w:hAnsi="Helvetica"/>
          <w:b/>
          <w:sz w:val="24"/>
          <w:szCs w:val="24"/>
          <w:lang w:val="en-GB"/>
        </w:rPr>
        <w:t xml:space="preserve">Figure </w:t>
      </w:r>
      <w:r w:rsidRPr="007D38B4">
        <w:rPr>
          <w:rFonts w:ascii="Helvetica" w:hAnsi="Helvetica"/>
          <w:b/>
          <w:sz w:val="24"/>
          <w:szCs w:val="24"/>
          <w:lang w:val="en-GB"/>
        </w:rPr>
        <w:fldChar w:fldCharType="begin"/>
      </w:r>
      <w:r w:rsidRPr="007D38B4">
        <w:rPr>
          <w:rFonts w:ascii="Helvetica" w:hAnsi="Helvetica"/>
          <w:b/>
          <w:sz w:val="24"/>
          <w:szCs w:val="24"/>
          <w:lang w:val="en-GB"/>
        </w:rPr>
        <w:instrText xml:space="preserve"> SEQ Figure \* ARABIC </w:instrText>
      </w:r>
      <w:r w:rsidRPr="007D38B4">
        <w:rPr>
          <w:rFonts w:ascii="Helvetica" w:hAnsi="Helvetica"/>
          <w:b/>
          <w:sz w:val="24"/>
          <w:szCs w:val="24"/>
          <w:lang w:val="en-GB"/>
        </w:rPr>
        <w:fldChar w:fldCharType="separate"/>
      </w:r>
      <w:r w:rsidRPr="007D38B4">
        <w:rPr>
          <w:rFonts w:ascii="Helvetica" w:hAnsi="Helvetica"/>
          <w:b/>
          <w:noProof/>
          <w:sz w:val="24"/>
          <w:szCs w:val="24"/>
          <w:lang w:val="en-GB"/>
        </w:rPr>
        <w:t>4</w:t>
      </w:r>
      <w:r w:rsidRPr="007D38B4">
        <w:rPr>
          <w:rFonts w:ascii="Helvetica" w:hAnsi="Helvetica"/>
          <w:b/>
          <w:sz w:val="24"/>
          <w:szCs w:val="24"/>
          <w:lang w:val="en-GB"/>
        </w:rPr>
        <w:fldChar w:fldCharType="end"/>
      </w:r>
      <w:r w:rsidRPr="007D38B4">
        <w:rPr>
          <w:rFonts w:ascii="Helvetica" w:hAnsi="Helvetica"/>
          <w:b/>
          <w:sz w:val="24"/>
          <w:szCs w:val="24"/>
          <w:lang w:val="en-GB"/>
        </w:rPr>
        <w:t>: Trends of Equity Derivatives Segment at NSE (</w:t>
      </w:r>
      <w:r w:rsidRPr="007D38B4">
        <w:rPr>
          <w:rFonts w:ascii="Rupee Foradian" w:hAnsi="Rupee Foradian" w:cs="Garamond"/>
          <w:b/>
          <w:sz w:val="24"/>
          <w:szCs w:val="24"/>
        </w:rPr>
        <w:t>`</w:t>
      </w:r>
      <w:r w:rsidRPr="007D38B4">
        <w:rPr>
          <w:rFonts w:ascii="Helvetica" w:hAnsi="Helvetica" w:cs="Garamond"/>
          <w:b/>
          <w:sz w:val="24"/>
          <w:szCs w:val="24"/>
        </w:rPr>
        <w:t xml:space="preserve"> </w:t>
      </w:r>
      <w:r w:rsidRPr="007D38B4">
        <w:rPr>
          <w:rFonts w:ascii="Helvetica" w:hAnsi="Helvetica"/>
          <w:b/>
          <w:sz w:val="24"/>
          <w:szCs w:val="24"/>
          <w:lang w:val="en-GB"/>
        </w:rPr>
        <w:t>crore)</w:t>
      </w:r>
    </w:p>
    <w:p w:rsidR="007D38B4" w:rsidRPr="007D38B4" w:rsidRDefault="007D38B4" w:rsidP="007D38B4">
      <w:pPr>
        <w:spacing w:line="240" w:lineRule="auto"/>
        <w:jc w:val="center"/>
        <w:rPr>
          <w:rFonts w:ascii="Helvetica" w:hAnsi="Helvetica"/>
          <w:b/>
          <w:color w:val="0033CC"/>
          <w:sz w:val="24"/>
          <w:szCs w:val="24"/>
          <w:lang w:val="en-GB"/>
        </w:rPr>
      </w:pPr>
      <w:r w:rsidRPr="007D38B4">
        <w:rPr>
          <w:rFonts w:ascii="Helvetica" w:hAnsi="Helvetica"/>
          <w:noProof/>
          <w:sz w:val="24"/>
          <w:szCs w:val="24"/>
        </w:rPr>
        <w:drawing>
          <wp:inline distT="0" distB="0" distL="0" distR="0" wp14:anchorId="19AFFAD7" wp14:editId="0F36DA82">
            <wp:extent cx="5752532" cy="3476625"/>
            <wp:effectExtent l="0" t="0" r="63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8B4" w:rsidRPr="007D38B4" w:rsidRDefault="007D38B4" w:rsidP="007D38B4">
      <w:pPr>
        <w:spacing w:after="0" w:line="240" w:lineRule="auto"/>
        <w:jc w:val="both"/>
        <w:rPr>
          <w:rFonts w:ascii="Helvetica" w:eastAsia="Times New Roman" w:hAnsi="Helvetica"/>
          <w:sz w:val="24"/>
          <w:szCs w:val="24"/>
          <w:lang w:val="en-GB"/>
        </w:rPr>
      </w:pPr>
    </w:p>
    <w:p w:rsidR="007D38B4" w:rsidRPr="007D38B4" w:rsidRDefault="007D38B4" w:rsidP="007D38B4">
      <w:pPr>
        <w:spacing w:after="0" w:line="240" w:lineRule="auto"/>
        <w:jc w:val="both"/>
        <w:rPr>
          <w:rFonts w:ascii="Helvetica" w:eastAsia="Times New Roman" w:hAnsi="Helvetica" w:cs="Calibri"/>
          <w:sz w:val="24"/>
          <w:szCs w:val="24"/>
          <w:lang w:val="en-GB"/>
        </w:rPr>
      </w:pPr>
      <w:r w:rsidRPr="007D38B4">
        <w:rPr>
          <w:rFonts w:ascii="Helvetica" w:eastAsia="Times New Roman" w:hAnsi="Helvetica"/>
          <w:sz w:val="24"/>
          <w:szCs w:val="24"/>
          <w:lang w:val="en-GB"/>
        </w:rPr>
        <w:t xml:space="preserve">The monthly total turnover in equity derivative segment of BSE fell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468 crore in June 2017</w:t>
      </w:r>
      <w:r w:rsidRPr="007D38B4">
        <w:rPr>
          <w:rFonts w:ascii="Helvetica" w:eastAsia="Times New Roman" w:hAnsi="Helvetica" w:cs="Calibri"/>
          <w:sz w:val="24"/>
          <w:szCs w:val="24"/>
          <w:lang w:val="en-GB"/>
        </w:rPr>
        <w:t xml:space="preserve"> from</w:t>
      </w:r>
      <w:r w:rsidRPr="007D38B4">
        <w:rPr>
          <w:rFonts w:ascii="Helvetica" w:eastAsia="Times New Roman" w:hAnsi="Helvetica"/>
          <w:sz w:val="24"/>
          <w:szCs w:val="24"/>
          <w:lang w:val="en-GB"/>
        </w:rPr>
        <w:t xml:space="preserve">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1,086 crore in May 2017</w:t>
      </w:r>
      <w:r w:rsidRPr="007D38B4">
        <w:rPr>
          <w:rFonts w:ascii="Helvetica" w:eastAsia="Times New Roman" w:hAnsi="Helvetica" w:cs="Calibri"/>
          <w:sz w:val="24"/>
          <w:szCs w:val="24"/>
          <w:lang w:val="en-GB"/>
        </w:rPr>
        <w:t xml:space="preserve">. </w:t>
      </w:r>
      <w:r w:rsidRPr="007D38B4">
        <w:rPr>
          <w:rFonts w:ascii="Helvetica" w:eastAsia="Times New Roman" w:hAnsi="Helvetica"/>
          <w:sz w:val="24"/>
          <w:szCs w:val="24"/>
          <w:lang w:val="en-GB"/>
        </w:rPr>
        <w:t xml:space="preserve">The open interest in value terms in equity derivatives segment of BSE decreased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7 crore as on June 30, 2017 </w:t>
      </w:r>
      <w:r w:rsidRPr="007D38B4">
        <w:rPr>
          <w:rFonts w:ascii="Helvetica" w:eastAsia="Times New Roman" w:hAnsi="Helvetica" w:cs="Calibri"/>
          <w:sz w:val="24"/>
          <w:szCs w:val="24"/>
          <w:lang w:val="en-GB"/>
        </w:rPr>
        <w:t xml:space="preserve">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21 crore as on May 31, 2017 </w:t>
      </w:r>
      <w:r w:rsidRPr="007D38B4">
        <w:rPr>
          <w:rFonts w:ascii="Helvetica" w:eastAsia="Times New Roman" w:hAnsi="Helvetica"/>
          <w:sz w:val="24"/>
          <w:szCs w:val="24"/>
          <w:lang w:val="en-GB"/>
        </w:rPr>
        <w:t>(</w:t>
      </w:r>
      <w:r w:rsidRPr="007D38B4">
        <w:rPr>
          <w:rFonts w:ascii="Helvetica" w:eastAsia="Times New Roman" w:hAnsi="Helvetica"/>
          <w:b/>
          <w:bCs/>
          <w:i/>
          <w:iCs/>
          <w:sz w:val="24"/>
          <w:szCs w:val="24"/>
          <w:lang w:val="en-GB"/>
        </w:rPr>
        <w:t>Exhibit 4</w:t>
      </w:r>
      <w:r w:rsidRPr="007D38B4">
        <w:rPr>
          <w:rFonts w:ascii="Helvetica" w:eastAsia="Times New Roman" w:hAnsi="Helvetica"/>
          <w:sz w:val="24"/>
          <w:szCs w:val="24"/>
          <w:lang w:val="en-GB"/>
        </w:rPr>
        <w:t>)</w:t>
      </w:r>
      <w:r w:rsidRPr="007D38B4">
        <w:rPr>
          <w:rFonts w:ascii="Helvetica" w:eastAsia="Times New Roman" w:hAnsi="Helvetica" w:cs="Calibri"/>
          <w:sz w:val="24"/>
          <w:szCs w:val="24"/>
          <w:lang w:val="en-GB"/>
        </w:rPr>
        <w:t>.</w:t>
      </w:r>
    </w:p>
    <w:p w:rsidR="007D38B4" w:rsidRPr="007D38B4" w:rsidRDefault="007D38B4" w:rsidP="007D38B4">
      <w:pPr>
        <w:spacing w:after="0" w:line="240" w:lineRule="auto"/>
        <w:jc w:val="both"/>
        <w:rPr>
          <w:rFonts w:ascii="Helvetica" w:eastAsia="Times New Roman" w:hAnsi="Helvetica" w:cs="Calibri"/>
          <w:color w:val="0033CC"/>
          <w:sz w:val="24"/>
          <w:szCs w:val="24"/>
          <w:lang w:val="en-GB"/>
        </w:rPr>
      </w:pPr>
    </w:p>
    <w:p w:rsidR="007D38B4" w:rsidRPr="007D38B4" w:rsidRDefault="00E43ECF" w:rsidP="007D38B4">
      <w:pPr>
        <w:spacing w:after="0" w:line="240" w:lineRule="auto"/>
        <w:rPr>
          <w:rFonts w:ascii="Helvetica" w:eastAsia="Times New Roman" w:hAnsi="Helvetica"/>
          <w:b/>
          <w:bCs/>
          <w:color w:val="0033CC"/>
          <w:sz w:val="24"/>
          <w:szCs w:val="24"/>
          <w:lang w:val="en-GB"/>
        </w:rPr>
      </w:pPr>
      <w:r>
        <w:rPr>
          <w:rFonts w:ascii="Helvetica" w:eastAsia="Times New Roman" w:hAnsi="Helvetica"/>
          <w:b/>
          <w:bCs/>
          <w:color w:val="0033CC"/>
          <w:sz w:val="24"/>
          <w:szCs w:val="24"/>
          <w:lang w:val="en-GB"/>
        </w:rPr>
        <w:br w:type="page"/>
      </w:r>
    </w:p>
    <w:p w:rsidR="007D38B4" w:rsidRPr="007D38B4" w:rsidRDefault="007D38B4" w:rsidP="007D38B4">
      <w:pPr>
        <w:spacing w:after="0" w:line="240" w:lineRule="auto"/>
        <w:rPr>
          <w:rFonts w:ascii="Helvetica" w:eastAsia="Times New Roman" w:hAnsi="Helvetica"/>
          <w:b/>
          <w:bCs/>
          <w:color w:val="0033CC"/>
          <w:sz w:val="24"/>
          <w:szCs w:val="24"/>
          <w:lang w:val="en-GB"/>
        </w:rPr>
      </w:pPr>
    </w:p>
    <w:p w:rsidR="007D38B4" w:rsidRPr="007D38B4" w:rsidRDefault="007D38B4" w:rsidP="007D38B4">
      <w:pPr>
        <w:spacing w:after="0" w:line="240" w:lineRule="auto"/>
        <w:rPr>
          <w:rFonts w:ascii="Helvetica" w:eastAsia="Times New Roman" w:hAnsi="Helvetica"/>
          <w:b/>
          <w:bCs/>
          <w:color w:val="0033CC"/>
          <w:sz w:val="24"/>
          <w:szCs w:val="24"/>
          <w:lang w:val="en-GB"/>
        </w:rPr>
      </w:pPr>
    </w:p>
    <w:p w:rsidR="007D38B4" w:rsidRPr="007D38B4" w:rsidRDefault="007D38B4" w:rsidP="007D38B4">
      <w:pPr>
        <w:spacing w:after="0" w:line="240" w:lineRule="auto"/>
        <w:jc w:val="both"/>
        <w:outlineLvl w:val="0"/>
        <w:rPr>
          <w:rFonts w:ascii="Helvetica" w:hAnsi="Helvetica"/>
          <w:b/>
          <w:noProof/>
          <w:sz w:val="24"/>
          <w:szCs w:val="24"/>
          <w:lang w:val="en-IN" w:eastAsia="en-IN" w:bidi="hi-IN"/>
        </w:rPr>
      </w:pPr>
      <w:r w:rsidRPr="007D38B4">
        <w:rPr>
          <w:rFonts w:ascii="Helvetica" w:eastAsia="Times New Roman" w:hAnsi="Helvetica"/>
          <w:b/>
          <w:bCs/>
          <w:sz w:val="24"/>
          <w:szCs w:val="24"/>
          <w:lang w:val="en-GB"/>
        </w:rPr>
        <w:t>Exhibit 4: Trends in Equity Derivatives Market</w:t>
      </w:r>
    </w:p>
    <w:tbl>
      <w:tblPr>
        <w:tblW w:w="8748" w:type="dxa"/>
        <w:tblCellMar>
          <w:left w:w="58" w:type="dxa"/>
          <w:right w:w="58" w:type="dxa"/>
        </w:tblCellMar>
        <w:tblLook w:val="04A0" w:firstRow="1" w:lastRow="0" w:firstColumn="1" w:lastColumn="0" w:noHBand="0" w:noVBand="1"/>
      </w:tblPr>
      <w:tblGrid>
        <w:gridCol w:w="1975"/>
        <w:gridCol w:w="1284"/>
        <w:gridCol w:w="1287"/>
        <w:gridCol w:w="1314"/>
        <w:gridCol w:w="812"/>
        <w:gridCol w:w="812"/>
        <w:gridCol w:w="1264"/>
      </w:tblGrid>
      <w:tr w:rsidR="007D38B4" w:rsidRPr="007D38B4" w:rsidTr="007D38B4">
        <w:trPr>
          <w:trHeight w:val="39"/>
        </w:trPr>
        <w:tc>
          <w:tcPr>
            <w:tcW w:w="1975"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Particular</w:t>
            </w:r>
          </w:p>
        </w:tc>
        <w:tc>
          <w:tcPr>
            <w:tcW w:w="3885" w:type="dxa"/>
            <w:gridSpan w:val="3"/>
            <w:tcBorders>
              <w:top w:val="single" w:sz="4" w:space="0" w:color="auto"/>
              <w:left w:val="nil"/>
              <w:bottom w:val="single" w:sz="4" w:space="0" w:color="auto"/>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NSE</w:t>
            </w:r>
          </w:p>
        </w:tc>
        <w:tc>
          <w:tcPr>
            <w:tcW w:w="2888" w:type="dxa"/>
            <w:gridSpan w:val="3"/>
            <w:tcBorders>
              <w:top w:val="single" w:sz="4" w:space="0" w:color="auto"/>
              <w:left w:val="nil"/>
              <w:bottom w:val="single" w:sz="4" w:space="0" w:color="auto"/>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BSE</w:t>
            </w:r>
          </w:p>
        </w:tc>
      </w:tr>
      <w:tr w:rsidR="007D38B4" w:rsidRPr="007D38B4" w:rsidTr="007D38B4">
        <w:trPr>
          <w:trHeight w:val="277"/>
        </w:trPr>
        <w:tc>
          <w:tcPr>
            <w:tcW w:w="1975"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p>
        </w:tc>
        <w:tc>
          <w:tcPr>
            <w:tcW w:w="1284" w:type="dxa"/>
            <w:tcBorders>
              <w:top w:val="nil"/>
              <w:left w:val="nil"/>
              <w:bottom w:val="nil"/>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May-17</w:t>
            </w:r>
          </w:p>
        </w:tc>
        <w:tc>
          <w:tcPr>
            <w:tcW w:w="1287" w:type="dxa"/>
            <w:tcBorders>
              <w:top w:val="nil"/>
              <w:left w:val="nil"/>
              <w:bottom w:val="nil"/>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Jun-17</w:t>
            </w:r>
          </w:p>
        </w:tc>
        <w:tc>
          <w:tcPr>
            <w:tcW w:w="1314" w:type="dxa"/>
            <w:tcBorders>
              <w:top w:val="nil"/>
              <w:left w:val="nil"/>
              <w:bottom w:val="nil"/>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Percentage Change Over Month</w:t>
            </w:r>
          </w:p>
        </w:tc>
        <w:tc>
          <w:tcPr>
            <w:tcW w:w="812" w:type="dxa"/>
            <w:tcBorders>
              <w:top w:val="nil"/>
              <w:left w:val="nil"/>
              <w:bottom w:val="nil"/>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May-17</w:t>
            </w:r>
          </w:p>
        </w:tc>
        <w:tc>
          <w:tcPr>
            <w:tcW w:w="812" w:type="dxa"/>
            <w:tcBorders>
              <w:top w:val="nil"/>
              <w:left w:val="nil"/>
              <w:bottom w:val="nil"/>
              <w:right w:val="single" w:sz="4" w:space="0" w:color="auto"/>
            </w:tcBorders>
            <w:shd w:val="clear" w:color="auto" w:fill="B4C6E7"/>
            <w:noWrap/>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Jun-17</w:t>
            </w:r>
          </w:p>
        </w:tc>
        <w:tc>
          <w:tcPr>
            <w:tcW w:w="1264" w:type="dxa"/>
            <w:tcBorders>
              <w:top w:val="nil"/>
              <w:left w:val="nil"/>
              <w:bottom w:val="nil"/>
              <w:right w:val="single" w:sz="4" w:space="0" w:color="auto"/>
            </w:tcBorders>
            <w:shd w:val="clear" w:color="auto" w:fill="B4C6E7"/>
            <w:vAlign w:val="center"/>
            <w:hideMark/>
          </w:tcPr>
          <w:p w:rsidR="007D38B4" w:rsidRPr="007D38B4" w:rsidRDefault="007D38B4" w:rsidP="007D38B4">
            <w:pPr>
              <w:spacing w:after="0" w:line="240" w:lineRule="auto"/>
              <w:jc w:val="center"/>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Percentage Change Over Month</w:t>
            </w:r>
          </w:p>
        </w:tc>
      </w:tr>
      <w:tr w:rsidR="007D38B4" w:rsidRPr="007D38B4" w:rsidTr="007D38B4">
        <w:trPr>
          <w:trHeight w:val="224"/>
        </w:trPr>
        <w:tc>
          <w:tcPr>
            <w:tcW w:w="1975" w:type="dxa"/>
            <w:tcBorders>
              <w:top w:val="nil"/>
              <w:left w:val="single" w:sz="4" w:space="0" w:color="auto"/>
              <w:bottom w:val="single" w:sz="4" w:space="0" w:color="auto"/>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1</w:t>
            </w:r>
          </w:p>
        </w:tc>
        <w:tc>
          <w:tcPr>
            <w:tcW w:w="1284" w:type="dxa"/>
            <w:tcBorders>
              <w:top w:val="single" w:sz="4" w:space="0" w:color="auto"/>
              <w:left w:val="nil"/>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2</w:t>
            </w:r>
          </w:p>
        </w:tc>
        <w:tc>
          <w:tcPr>
            <w:tcW w:w="1287" w:type="dxa"/>
            <w:tcBorders>
              <w:top w:val="single" w:sz="4" w:space="0" w:color="auto"/>
              <w:left w:val="nil"/>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3</w:t>
            </w:r>
          </w:p>
        </w:tc>
        <w:tc>
          <w:tcPr>
            <w:tcW w:w="1314" w:type="dxa"/>
            <w:tcBorders>
              <w:top w:val="single" w:sz="4" w:space="0" w:color="auto"/>
              <w:left w:val="nil"/>
              <w:bottom w:val="single" w:sz="4" w:space="0" w:color="auto"/>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4</w:t>
            </w:r>
          </w:p>
        </w:tc>
        <w:tc>
          <w:tcPr>
            <w:tcW w:w="812" w:type="dxa"/>
            <w:tcBorders>
              <w:top w:val="single" w:sz="4" w:space="0" w:color="auto"/>
              <w:left w:val="nil"/>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5</w:t>
            </w:r>
          </w:p>
        </w:tc>
        <w:tc>
          <w:tcPr>
            <w:tcW w:w="812" w:type="dxa"/>
            <w:tcBorders>
              <w:top w:val="single" w:sz="4" w:space="0" w:color="auto"/>
              <w:left w:val="nil"/>
              <w:bottom w:val="single" w:sz="4" w:space="0" w:color="auto"/>
              <w:right w:val="single" w:sz="4" w:space="0" w:color="auto"/>
            </w:tcBorders>
            <w:shd w:val="clear" w:color="auto" w:fill="D9E2F3"/>
            <w:noWrap/>
            <w:vAlign w:val="bottom"/>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6</w:t>
            </w:r>
          </w:p>
        </w:tc>
        <w:tc>
          <w:tcPr>
            <w:tcW w:w="1264" w:type="dxa"/>
            <w:tcBorders>
              <w:top w:val="single" w:sz="4" w:space="0" w:color="auto"/>
              <w:left w:val="nil"/>
              <w:bottom w:val="single" w:sz="4" w:space="0" w:color="auto"/>
              <w:right w:val="single" w:sz="4" w:space="0" w:color="auto"/>
            </w:tcBorders>
            <w:shd w:val="clear" w:color="auto" w:fill="D9E2F3"/>
            <w:noWrap/>
            <w:hideMark/>
          </w:tcPr>
          <w:p w:rsidR="007D38B4" w:rsidRPr="007D38B4" w:rsidRDefault="007D38B4" w:rsidP="007D38B4">
            <w:pPr>
              <w:spacing w:after="0" w:line="240" w:lineRule="auto"/>
              <w:jc w:val="center"/>
              <w:rPr>
                <w:rFonts w:ascii="Helvetica" w:eastAsia="Times New Roman" w:hAnsi="Helvetica" w:cs="Helvetica"/>
                <w:bCs/>
                <w:i/>
                <w:sz w:val="20"/>
                <w:szCs w:val="20"/>
                <w:lang w:val="en-GB" w:eastAsia="en-GB"/>
              </w:rPr>
            </w:pPr>
            <w:r w:rsidRPr="007D38B4">
              <w:rPr>
                <w:rFonts w:ascii="Helvetica" w:eastAsia="Times New Roman" w:hAnsi="Helvetica" w:cs="Helvetica"/>
                <w:bCs/>
                <w:i/>
                <w:sz w:val="20"/>
                <w:szCs w:val="20"/>
                <w:lang w:val="en-GB" w:eastAsia="en-GB"/>
              </w:rPr>
              <w:t>7</w:t>
            </w:r>
          </w:p>
        </w:tc>
      </w:tr>
      <w:tr w:rsidR="007D38B4" w:rsidRPr="007D38B4" w:rsidTr="007D38B4">
        <w:trPr>
          <w:trHeight w:val="224"/>
        </w:trPr>
        <w:tc>
          <w:tcPr>
            <w:tcW w:w="8748" w:type="dxa"/>
            <w:gridSpan w:val="7"/>
            <w:tcBorders>
              <w:top w:val="single" w:sz="4" w:space="0" w:color="auto"/>
              <w:left w:val="single" w:sz="4" w:space="0" w:color="auto"/>
              <w:bottom w:val="nil"/>
              <w:right w:val="single" w:sz="4" w:space="0" w:color="000000"/>
            </w:tcBorders>
            <w:shd w:val="clear" w:color="auto" w:fill="FFF2CC"/>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A. Turnover  (</w:t>
            </w:r>
            <w:r w:rsidRPr="007D38B4">
              <w:rPr>
                <w:rFonts w:ascii="Rupee Foradian" w:eastAsia="Times New Roman" w:hAnsi="Rupee Foradian"/>
                <w:b/>
                <w:bCs/>
                <w:sz w:val="20"/>
                <w:szCs w:val="20"/>
                <w:lang w:val="en-GB" w:eastAsia="en-GB"/>
              </w:rPr>
              <w:t>`</w:t>
            </w:r>
            <w:r w:rsidRPr="007D38B4">
              <w:rPr>
                <w:rFonts w:ascii="Helvetica" w:eastAsia="Times New Roman" w:hAnsi="Helvetica" w:cs="Helvetica"/>
                <w:b/>
                <w:bCs/>
                <w:sz w:val="20"/>
                <w:szCs w:val="20"/>
                <w:lang w:val="en-GB" w:eastAsia="en-GB"/>
              </w:rPr>
              <w:t xml:space="preserve"> crore)</w:t>
            </w:r>
          </w:p>
        </w:tc>
      </w:tr>
      <w:tr w:rsidR="007D38B4" w:rsidRPr="007D38B4" w:rsidTr="006774B4">
        <w:trPr>
          <w:trHeight w:val="224"/>
        </w:trPr>
        <w:tc>
          <w:tcPr>
            <w:tcW w:w="1975"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w:t>
            </w:r>
            <w:proofErr w:type="spellStart"/>
            <w:r w:rsidRPr="007D38B4">
              <w:rPr>
                <w:rFonts w:ascii="Helvetica" w:eastAsia="Times New Roman" w:hAnsi="Helvetica" w:cs="Helvetica"/>
                <w:sz w:val="20"/>
                <w:szCs w:val="20"/>
                <w:lang w:val="en-GB" w:eastAsia="en-GB"/>
              </w:rPr>
              <w:t>i</w:t>
            </w:r>
            <w:proofErr w:type="spellEnd"/>
            <w:r w:rsidRPr="007D38B4">
              <w:rPr>
                <w:rFonts w:ascii="Helvetica" w:eastAsia="Times New Roman" w:hAnsi="Helvetica" w:cs="Helvetica"/>
                <w:sz w:val="20"/>
                <w:szCs w:val="20"/>
                <w:lang w:val="en-GB" w:eastAsia="en-GB"/>
              </w:rPr>
              <w:t>) Index  Futures</w:t>
            </w:r>
          </w:p>
        </w:tc>
        <w:tc>
          <w:tcPr>
            <w:tcW w:w="128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3,75,949</w:t>
            </w:r>
          </w:p>
        </w:tc>
        <w:tc>
          <w:tcPr>
            <w:tcW w:w="1287" w:type="dxa"/>
            <w:tcBorders>
              <w:top w:val="single" w:sz="4" w:space="0" w:color="auto"/>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3,22,144</w:t>
            </w:r>
          </w:p>
        </w:tc>
        <w:tc>
          <w:tcPr>
            <w:tcW w:w="1314"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-14.3</w:t>
            </w:r>
          </w:p>
        </w:tc>
        <w:tc>
          <w:tcPr>
            <w:tcW w:w="812"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1,081</w:t>
            </w:r>
          </w:p>
        </w:tc>
        <w:tc>
          <w:tcPr>
            <w:tcW w:w="812" w:type="dxa"/>
            <w:tcBorders>
              <w:top w:val="single" w:sz="4" w:space="0" w:color="auto"/>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468</w:t>
            </w:r>
          </w:p>
        </w:tc>
        <w:tc>
          <w:tcPr>
            <w:tcW w:w="1264"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-56.7</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 Options on Index</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46,30,978</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45,20,107</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-2.4</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46,17,328</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48,63,586</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5.3</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(iii) Stock Futures</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14,02,148</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11,10,362</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-20.8</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-36.6</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(iv) Options on Stock</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2,74,833</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1,90,610</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-30.6</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5,80,167</w:t>
            </w:r>
          </w:p>
        </w:tc>
        <w:tc>
          <w:tcPr>
            <w:tcW w:w="1287"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4,25,459</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-26.7</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7D38B4">
        <w:trPr>
          <w:trHeight w:val="224"/>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xml:space="preserve">         Total</w:t>
            </w:r>
          </w:p>
        </w:tc>
        <w:tc>
          <w:tcPr>
            <w:tcW w:w="1284"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1,18,81,402</w:t>
            </w:r>
          </w:p>
        </w:tc>
        <w:tc>
          <w:tcPr>
            <w:tcW w:w="128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1,14,32,267</w:t>
            </w:r>
          </w:p>
        </w:tc>
        <w:tc>
          <w:tcPr>
            <w:tcW w:w="1314" w:type="dxa"/>
            <w:tcBorders>
              <w:top w:val="single" w:sz="4" w:space="0" w:color="auto"/>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-3.8</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1,086</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471</w:t>
            </w:r>
          </w:p>
        </w:tc>
        <w:tc>
          <w:tcPr>
            <w:tcW w:w="1264"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-56.6</w:t>
            </w:r>
          </w:p>
        </w:tc>
      </w:tr>
      <w:tr w:rsidR="007D38B4" w:rsidRPr="007D38B4" w:rsidTr="007D38B4">
        <w:trPr>
          <w:trHeight w:val="224"/>
        </w:trPr>
        <w:tc>
          <w:tcPr>
            <w:tcW w:w="8748" w:type="dxa"/>
            <w:gridSpan w:val="7"/>
            <w:tcBorders>
              <w:top w:val="nil"/>
              <w:left w:val="single" w:sz="4" w:space="0" w:color="auto"/>
              <w:bottom w:val="nil"/>
              <w:right w:val="single" w:sz="4" w:space="0" w:color="000000"/>
            </w:tcBorders>
            <w:shd w:val="clear" w:color="auto" w:fill="FFF2CC"/>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xml:space="preserve">B. No. of Contracts </w:t>
            </w:r>
          </w:p>
        </w:tc>
      </w:tr>
      <w:tr w:rsidR="007D38B4" w:rsidRPr="007D38B4" w:rsidTr="006774B4">
        <w:trPr>
          <w:trHeight w:val="224"/>
        </w:trPr>
        <w:tc>
          <w:tcPr>
            <w:tcW w:w="1975"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w:t>
            </w:r>
            <w:proofErr w:type="spellStart"/>
            <w:r w:rsidRPr="007D38B4">
              <w:rPr>
                <w:rFonts w:ascii="Helvetica" w:eastAsia="Times New Roman" w:hAnsi="Helvetica" w:cs="Helvetica"/>
                <w:sz w:val="20"/>
                <w:szCs w:val="20"/>
                <w:lang w:val="en-GB" w:eastAsia="en-GB"/>
              </w:rPr>
              <w:t>i</w:t>
            </w:r>
            <w:proofErr w:type="spellEnd"/>
            <w:r w:rsidRPr="007D38B4">
              <w:rPr>
                <w:rFonts w:ascii="Helvetica" w:eastAsia="Times New Roman" w:hAnsi="Helvetica" w:cs="Helvetica"/>
                <w:sz w:val="20"/>
                <w:szCs w:val="20"/>
                <w:lang w:val="en-GB" w:eastAsia="en-GB"/>
              </w:rPr>
              <w:t>) Index  Futures</w:t>
            </w:r>
          </w:p>
        </w:tc>
        <w:tc>
          <w:tcPr>
            <w:tcW w:w="128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48,16,269</w:t>
            </w:r>
          </w:p>
        </w:tc>
        <w:tc>
          <w:tcPr>
            <w:tcW w:w="1287"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40,52,219</w:t>
            </w:r>
          </w:p>
        </w:tc>
        <w:tc>
          <w:tcPr>
            <w:tcW w:w="131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-15.9</w:t>
            </w:r>
          </w:p>
        </w:tc>
        <w:tc>
          <w:tcPr>
            <w:tcW w:w="812"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14,812</w:t>
            </w:r>
          </w:p>
        </w:tc>
        <w:tc>
          <w:tcPr>
            <w:tcW w:w="812" w:type="dxa"/>
            <w:tcBorders>
              <w:top w:val="single" w:sz="4" w:space="0" w:color="auto"/>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6,267</w:t>
            </w:r>
          </w:p>
        </w:tc>
        <w:tc>
          <w:tcPr>
            <w:tcW w:w="1264"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-57.7</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 Options on Index</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5,73,43,652</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5,37,52,489</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-6.3</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5,52,23,511</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5,62,99,371</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1.9</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(iii) Stock Futures</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1,97,24,492</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1,57,18,759</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-20.3</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69</w:t>
            </w:r>
          </w:p>
        </w:tc>
        <w:tc>
          <w:tcPr>
            <w:tcW w:w="812" w:type="dxa"/>
            <w:tcBorders>
              <w:top w:val="nil"/>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43</w:t>
            </w:r>
          </w:p>
        </w:tc>
        <w:tc>
          <w:tcPr>
            <w:tcW w:w="1264"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-37.7</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(iv) Options on Stock</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38,14,715</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26,55,447</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-30.4</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33,15,699</w:t>
            </w:r>
          </w:p>
        </w:tc>
        <w:tc>
          <w:tcPr>
            <w:tcW w:w="1287"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56,27,829</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69.7</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single" w:sz="4" w:space="0" w:color="auto"/>
              <w:right w:val="nil"/>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7D38B4">
        <w:trPr>
          <w:trHeight w:val="224"/>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xml:space="preserve">         Total</w:t>
            </w:r>
          </w:p>
        </w:tc>
        <w:tc>
          <w:tcPr>
            <w:tcW w:w="1284"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14,42,38,338</w:t>
            </w:r>
          </w:p>
        </w:tc>
        <w:tc>
          <w:tcPr>
            <w:tcW w:w="128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13,81,06,114</w:t>
            </w:r>
          </w:p>
        </w:tc>
        <w:tc>
          <w:tcPr>
            <w:tcW w:w="1314" w:type="dxa"/>
            <w:tcBorders>
              <w:top w:val="single" w:sz="4" w:space="0" w:color="auto"/>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-4.3</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14,881</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6,310</w:t>
            </w:r>
          </w:p>
        </w:tc>
        <w:tc>
          <w:tcPr>
            <w:tcW w:w="1264"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-57.6</w:t>
            </w:r>
          </w:p>
        </w:tc>
      </w:tr>
      <w:tr w:rsidR="007D38B4" w:rsidRPr="007D38B4" w:rsidTr="007D38B4">
        <w:trPr>
          <w:trHeight w:val="224"/>
        </w:trPr>
        <w:tc>
          <w:tcPr>
            <w:tcW w:w="8748" w:type="dxa"/>
            <w:gridSpan w:val="7"/>
            <w:tcBorders>
              <w:top w:val="nil"/>
              <w:left w:val="single" w:sz="4" w:space="0" w:color="auto"/>
              <w:bottom w:val="nil"/>
              <w:right w:val="single" w:sz="4" w:space="0" w:color="000000"/>
            </w:tcBorders>
            <w:shd w:val="clear" w:color="auto" w:fill="FFF2CC"/>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C.  Open Interest in terms of Value (</w:t>
            </w:r>
            <w:r w:rsidRPr="007D38B4">
              <w:rPr>
                <w:rFonts w:ascii="Rupee Foradian" w:eastAsia="Times New Roman" w:hAnsi="Rupee Foradian"/>
                <w:b/>
                <w:bCs/>
                <w:sz w:val="20"/>
                <w:szCs w:val="20"/>
                <w:lang w:val="en-GB" w:eastAsia="en-GB"/>
              </w:rPr>
              <w:t>`</w:t>
            </w:r>
            <w:r w:rsidRPr="007D38B4">
              <w:rPr>
                <w:rFonts w:ascii="Helvetica" w:eastAsia="Times New Roman" w:hAnsi="Helvetica" w:cs="Helvetica"/>
                <w:b/>
                <w:bCs/>
                <w:sz w:val="20"/>
                <w:szCs w:val="20"/>
                <w:lang w:val="en-GB" w:eastAsia="en-GB"/>
              </w:rPr>
              <w:t xml:space="preserve"> crore)</w:t>
            </w:r>
          </w:p>
        </w:tc>
      </w:tr>
      <w:tr w:rsidR="007D38B4" w:rsidRPr="007D38B4" w:rsidTr="006774B4">
        <w:trPr>
          <w:trHeight w:val="224"/>
        </w:trPr>
        <w:tc>
          <w:tcPr>
            <w:tcW w:w="1975"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w:t>
            </w:r>
            <w:proofErr w:type="spellStart"/>
            <w:r w:rsidRPr="007D38B4">
              <w:rPr>
                <w:rFonts w:ascii="Helvetica" w:eastAsia="Times New Roman" w:hAnsi="Helvetica" w:cs="Helvetica"/>
                <w:sz w:val="20"/>
                <w:szCs w:val="20"/>
                <w:lang w:val="en-GB" w:eastAsia="en-GB"/>
              </w:rPr>
              <w:t>i</w:t>
            </w:r>
            <w:proofErr w:type="spellEnd"/>
            <w:r w:rsidRPr="007D38B4">
              <w:rPr>
                <w:rFonts w:ascii="Helvetica" w:eastAsia="Times New Roman" w:hAnsi="Helvetica" w:cs="Helvetica"/>
                <w:sz w:val="20"/>
                <w:szCs w:val="20"/>
                <w:lang w:val="en-GB" w:eastAsia="en-GB"/>
              </w:rPr>
              <w:t>) Index  Futures</w:t>
            </w:r>
          </w:p>
        </w:tc>
        <w:tc>
          <w:tcPr>
            <w:tcW w:w="128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30,061</w:t>
            </w:r>
          </w:p>
        </w:tc>
        <w:tc>
          <w:tcPr>
            <w:tcW w:w="1287"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25,575</w:t>
            </w:r>
          </w:p>
        </w:tc>
        <w:tc>
          <w:tcPr>
            <w:tcW w:w="131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-14.9</w:t>
            </w:r>
          </w:p>
        </w:tc>
        <w:tc>
          <w:tcPr>
            <w:tcW w:w="812"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20</w:t>
            </w:r>
          </w:p>
        </w:tc>
        <w:tc>
          <w:tcPr>
            <w:tcW w:w="812"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w:t>
            </w:r>
          </w:p>
        </w:tc>
        <w:tc>
          <w:tcPr>
            <w:tcW w:w="126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384.8</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 Options on Index</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86,819</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68,267</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-21.4</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72,712</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61,149</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-15.9</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(iii) Stock Futures</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99,829</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94,422</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-5.4</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30.0</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(iv) Options on Stock</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8,637</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5,375</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-37.8</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14,531</w:t>
            </w:r>
          </w:p>
        </w:tc>
        <w:tc>
          <w:tcPr>
            <w:tcW w:w="1287"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8,531</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-41.3</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7D38B4">
        <w:trPr>
          <w:trHeight w:val="213"/>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xml:space="preserve">         Total</w:t>
            </w:r>
          </w:p>
        </w:tc>
        <w:tc>
          <w:tcPr>
            <w:tcW w:w="1284"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3,12,588</w:t>
            </w:r>
          </w:p>
        </w:tc>
        <w:tc>
          <w:tcPr>
            <w:tcW w:w="128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2,63,319</w:t>
            </w:r>
          </w:p>
        </w:tc>
        <w:tc>
          <w:tcPr>
            <w:tcW w:w="1314" w:type="dxa"/>
            <w:tcBorders>
              <w:top w:val="single" w:sz="4" w:space="0" w:color="auto"/>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-15.8</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21</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5</w:t>
            </w:r>
          </w:p>
        </w:tc>
        <w:tc>
          <w:tcPr>
            <w:tcW w:w="1264" w:type="dxa"/>
            <w:tcBorders>
              <w:top w:val="single" w:sz="4" w:space="0" w:color="auto"/>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-76.3</w:t>
            </w:r>
          </w:p>
        </w:tc>
      </w:tr>
      <w:tr w:rsidR="007D38B4" w:rsidRPr="007D38B4" w:rsidTr="007D38B4">
        <w:trPr>
          <w:trHeight w:val="213"/>
        </w:trPr>
        <w:tc>
          <w:tcPr>
            <w:tcW w:w="8748" w:type="dxa"/>
            <w:gridSpan w:val="7"/>
            <w:tcBorders>
              <w:top w:val="nil"/>
              <w:left w:val="single" w:sz="4" w:space="0" w:color="auto"/>
              <w:bottom w:val="nil"/>
              <w:right w:val="single" w:sz="4" w:space="0" w:color="000000"/>
            </w:tcBorders>
            <w:shd w:val="clear" w:color="auto" w:fill="FFF2CC"/>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D.  Open Interest in terms of No of Contracts</w:t>
            </w:r>
          </w:p>
        </w:tc>
      </w:tr>
      <w:tr w:rsidR="007D38B4" w:rsidRPr="007D38B4" w:rsidTr="006774B4">
        <w:trPr>
          <w:trHeight w:val="224"/>
        </w:trPr>
        <w:tc>
          <w:tcPr>
            <w:tcW w:w="1975" w:type="dxa"/>
            <w:tcBorders>
              <w:top w:val="single" w:sz="4" w:space="0" w:color="auto"/>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w:t>
            </w:r>
            <w:proofErr w:type="spellStart"/>
            <w:r w:rsidRPr="007D38B4">
              <w:rPr>
                <w:rFonts w:ascii="Helvetica" w:eastAsia="Times New Roman" w:hAnsi="Helvetica" w:cs="Helvetica"/>
                <w:sz w:val="20"/>
                <w:szCs w:val="20"/>
                <w:lang w:val="en-GB" w:eastAsia="en-GB"/>
              </w:rPr>
              <w:t>i</w:t>
            </w:r>
            <w:proofErr w:type="spellEnd"/>
            <w:r w:rsidRPr="007D38B4">
              <w:rPr>
                <w:rFonts w:ascii="Helvetica" w:eastAsia="Times New Roman" w:hAnsi="Helvetica" w:cs="Helvetica"/>
                <w:sz w:val="20"/>
                <w:szCs w:val="20"/>
                <w:lang w:val="en-GB" w:eastAsia="en-GB"/>
              </w:rPr>
              <w:t>) Index  Futures</w:t>
            </w:r>
          </w:p>
        </w:tc>
        <w:tc>
          <w:tcPr>
            <w:tcW w:w="128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3,92,833</w:t>
            </w:r>
          </w:p>
        </w:tc>
        <w:tc>
          <w:tcPr>
            <w:tcW w:w="1287"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3,40,365</w:t>
            </w:r>
          </w:p>
        </w:tc>
        <w:tc>
          <w:tcPr>
            <w:tcW w:w="131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-13.4</w:t>
            </w:r>
          </w:p>
        </w:tc>
        <w:tc>
          <w:tcPr>
            <w:tcW w:w="812"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274</w:t>
            </w:r>
          </w:p>
        </w:tc>
        <w:tc>
          <w:tcPr>
            <w:tcW w:w="812"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57</w:t>
            </w:r>
          </w:p>
        </w:tc>
        <w:tc>
          <w:tcPr>
            <w:tcW w:w="1264" w:type="dxa"/>
            <w:tcBorders>
              <w:top w:val="single" w:sz="4" w:space="0" w:color="auto"/>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380.7</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 Options on Index</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11,15,753</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9,12,966</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-18.2</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9,44,876</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8,15,408</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-13.7</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(iii) Stock Futures</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15,16,297</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14,21,635</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-6.2</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9</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28.6</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(iv) Options on Stock</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 </w:t>
            </w:r>
          </w:p>
        </w:tc>
      </w:tr>
      <w:tr w:rsidR="007D38B4" w:rsidRPr="007D38B4" w:rsidTr="006774B4">
        <w:trPr>
          <w:trHeight w:val="224"/>
        </w:trPr>
        <w:tc>
          <w:tcPr>
            <w:tcW w:w="1975" w:type="dxa"/>
            <w:tcBorders>
              <w:top w:val="nil"/>
              <w:left w:val="single" w:sz="4" w:space="0" w:color="auto"/>
              <w:bottom w:val="nil"/>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Put</w:t>
            </w:r>
          </w:p>
        </w:tc>
        <w:tc>
          <w:tcPr>
            <w:tcW w:w="128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1,25,279</w:t>
            </w:r>
          </w:p>
        </w:tc>
        <w:tc>
          <w:tcPr>
            <w:tcW w:w="1287"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75,896</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-39.4</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6774B4">
        <w:trPr>
          <w:trHeight w:val="22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rPr>
                <w:rFonts w:ascii="Helvetica" w:eastAsia="Times New Roman" w:hAnsi="Helvetica" w:cs="Helvetica"/>
                <w:i/>
                <w:iCs/>
                <w:sz w:val="20"/>
                <w:szCs w:val="20"/>
                <w:lang w:val="en-GB" w:eastAsia="en-GB"/>
              </w:rPr>
            </w:pPr>
            <w:r w:rsidRPr="007D38B4">
              <w:rPr>
                <w:rFonts w:ascii="Helvetica" w:eastAsia="Times New Roman" w:hAnsi="Helvetica" w:cs="Helvetica"/>
                <w:i/>
                <w:iCs/>
                <w:sz w:val="20"/>
                <w:szCs w:val="20"/>
                <w:lang w:val="en-GB" w:eastAsia="en-GB"/>
              </w:rPr>
              <w:t xml:space="preserve">         Call</w:t>
            </w:r>
          </w:p>
        </w:tc>
        <w:tc>
          <w:tcPr>
            <w:tcW w:w="1284"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2,17,334</w:t>
            </w:r>
          </w:p>
        </w:tc>
        <w:tc>
          <w:tcPr>
            <w:tcW w:w="1287"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1,21,585</w:t>
            </w:r>
          </w:p>
        </w:tc>
        <w:tc>
          <w:tcPr>
            <w:tcW w:w="131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-44.1</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812" w:type="dxa"/>
            <w:tcBorders>
              <w:top w:val="nil"/>
              <w:left w:val="nil"/>
              <w:bottom w:val="single" w:sz="4" w:space="0" w:color="auto"/>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0</w:t>
            </w:r>
          </w:p>
        </w:tc>
        <w:tc>
          <w:tcPr>
            <w:tcW w:w="1264" w:type="dxa"/>
            <w:tcBorders>
              <w:top w:val="nil"/>
              <w:left w:val="nil"/>
              <w:bottom w:val="nil"/>
              <w:right w:val="single" w:sz="4" w:space="0" w:color="auto"/>
            </w:tcBorders>
            <w:shd w:val="clear" w:color="auto" w:fill="auto"/>
            <w:noWrap/>
            <w:vAlign w:val="center"/>
            <w:hideMark/>
          </w:tcPr>
          <w:p w:rsidR="007D38B4" w:rsidRPr="007D38B4" w:rsidRDefault="007D38B4" w:rsidP="007D38B4">
            <w:pPr>
              <w:spacing w:after="0" w:line="240" w:lineRule="auto"/>
              <w:jc w:val="right"/>
              <w:rPr>
                <w:rFonts w:ascii="Helvetica" w:eastAsia="Times New Roman" w:hAnsi="Helvetica" w:cs="Helvetica"/>
                <w:sz w:val="20"/>
                <w:szCs w:val="20"/>
                <w:lang w:val="en-GB" w:eastAsia="en-GB"/>
              </w:rPr>
            </w:pPr>
            <w:r w:rsidRPr="007D38B4">
              <w:rPr>
                <w:rFonts w:ascii="Helvetica" w:eastAsia="Times New Roman" w:hAnsi="Helvetica" w:cs="Helvetica"/>
                <w:sz w:val="20"/>
                <w:szCs w:val="20"/>
                <w:lang w:val="en-GB" w:eastAsia="en-GB"/>
              </w:rPr>
              <w:t>NA</w:t>
            </w:r>
          </w:p>
        </w:tc>
      </w:tr>
      <w:tr w:rsidR="007D38B4" w:rsidRPr="007D38B4" w:rsidTr="007D38B4">
        <w:trPr>
          <w:trHeight w:val="201"/>
        </w:trPr>
        <w:tc>
          <w:tcPr>
            <w:tcW w:w="1975" w:type="dxa"/>
            <w:tcBorders>
              <w:top w:val="nil"/>
              <w:left w:val="single" w:sz="4" w:space="0" w:color="auto"/>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 xml:space="preserve">         Total</w:t>
            </w:r>
          </w:p>
        </w:tc>
        <w:tc>
          <w:tcPr>
            <w:tcW w:w="1284"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43,12,372</w:t>
            </w:r>
          </w:p>
        </w:tc>
        <w:tc>
          <w:tcPr>
            <w:tcW w:w="1287"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36,87,855</w:t>
            </w:r>
          </w:p>
        </w:tc>
        <w:tc>
          <w:tcPr>
            <w:tcW w:w="1314" w:type="dxa"/>
            <w:tcBorders>
              <w:top w:val="single" w:sz="4" w:space="0" w:color="auto"/>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-14.5</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281</w:t>
            </w:r>
          </w:p>
        </w:tc>
        <w:tc>
          <w:tcPr>
            <w:tcW w:w="812" w:type="dxa"/>
            <w:tcBorders>
              <w:top w:val="nil"/>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66</w:t>
            </w:r>
          </w:p>
        </w:tc>
        <w:tc>
          <w:tcPr>
            <w:tcW w:w="1264" w:type="dxa"/>
            <w:tcBorders>
              <w:top w:val="single" w:sz="4" w:space="0" w:color="auto"/>
              <w:left w:val="nil"/>
              <w:bottom w:val="single" w:sz="4" w:space="0" w:color="auto"/>
              <w:right w:val="single" w:sz="4" w:space="0" w:color="auto"/>
            </w:tcBorders>
            <w:shd w:val="clear" w:color="auto" w:fill="D9E2F3"/>
            <w:noWrap/>
            <w:vAlign w:val="center"/>
            <w:hideMark/>
          </w:tcPr>
          <w:p w:rsidR="007D38B4" w:rsidRPr="007D38B4" w:rsidRDefault="007D38B4" w:rsidP="007D38B4">
            <w:pPr>
              <w:spacing w:after="0" w:line="240" w:lineRule="auto"/>
              <w:jc w:val="right"/>
              <w:rPr>
                <w:rFonts w:ascii="Helvetica" w:eastAsia="Times New Roman" w:hAnsi="Helvetica" w:cs="Helvetica"/>
                <w:b/>
                <w:bCs/>
                <w:sz w:val="20"/>
                <w:szCs w:val="20"/>
                <w:lang w:val="en-GB" w:eastAsia="en-GB"/>
              </w:rPr>
            </w:pPr>
            <w:r w:rsidRPr="007D38B4">
              <w:rPr>
                <w:rFonts w:ascii="Helvetica" w:eastAsia="Times New Roman" w:hAnsi="Helvetica" w:cs="Helvetica"/>
                <w:b/>
                <w:bCs/>
                <w:sz w:val="20"/>
                <w:szCs w:val="20"/>
                <w:lang w:val="en-GB" w:eastAsia="en-GB"/>
              </w:rPr>
              <w:t>-76.5</w:t>
            </w:r>
          </w:p>
        </w:tc>
      </w:tr>
    </w:tbl>
    <w:p w:rsidR="007D38B4" w:rsidRPr="007D38B4" w:rsidRDefault="007D38B4" w:rsidP="007D38B4">
      <w:pPr>
        <w:widowControl w:val="0"/>
        <w:tabs>
          <w:tab w:val="left" w:pos="0"/>
        </w:tabs>
        <w:spacing w:line="240" w:lineRule="auto"/>
        <w:jc w:val="both"/>
        <w:rPr>
          <w:rFonts w:ascii="Helvetica" w:hAnsi="Helvetica"/>
          <w:b/>
          <w:color w:val="0033CC"/>
          <w:sz w:val="24"/>
          <w:szCs w:val="24"/>
          <w:lang w:val="en-GB"/>
        </w:rPr>
      </w:pPr>
    </w:p>
    <w:p w:rsidR="007D38B4" w:rsidRPr="007D38B4" w:rsidRDefault="007D38B4" w:rsidP="007D38B4">
      <w:pPr>
        <w:widowControl w:val="0"/>
        <w:numPr>
          <w:ilvl w:val="0"/>
          <w:numId w:val="40"/>
        </w:numPr>
        <w:spacing w:line="240" w:lineRule="auto"/>
        <w:contextualSpacing/>
        <w:jc w:val="both"/>
        <w:outlineLvl w:val="0"/>
        <w:rPr>
          <w:rFonts w:ascii="Helvetica" w:hAnsi="Helvetica"/>
          <w:b/>
          <w:sz w:val="24"/>
          <w:szCs w:val="24"/>
          <w:lang w:val="en-GB"/>
        </w:rPr>
      </w:pPr>
      <w:r w:rsidRPr="007D38B4">
        <w:rPr>
          <w:rFonts w:ascii="Helvetica" w:hAnsi="Helvetica"/>
          <w:b/>
          <w:sz w:val="24"/>
          <w:szCs w:val="24"/>
          <w:lang w:val="en-GB"/>
        </w:rPr>
        <w:t>VIX Futures at NSE</w:t>
      </w:r>
    </w:p>
    <w:p w:rsidR="007D38B4" w:rsidRPr="007D38B4" w:rsidRDefault="007D38B4" w:rsidP="007D38B4">
      <w:pPr>
        <w:spacing w:line="240" w:lineRule="auto"/>
        <w:jc w:val="both"/>
        <w:rPr>
          <w:rFonts w:ascii="Helvetica" w:eastAsia="Times New Roman" w:hAnsi="Helvetica"/>
          <w:sz w:val="24"/>
          <w:szCs w:val="24"/>
          <w:lang w:val="en-GB"/>
        </w:rPr>
      </w:pPr>
      <w:r w:rsidRPr="007D38B4">
        <w:rPr>
          <w:rFonts w:ascii="Helvetica" w:eastAsia="Times New Roman" w:hAnsi="Helvetica"/>
          <w:sz w:val="24"/>
          <w:szCs w:val="24"/>
          <w:lang w:val="en-GB"/>
        </w:rPr>
        <w:t xml:space="preserve">NSE introduced futures contracts on India VIX in the Futures &amp; Options segment of NSE </w:t>
      </w:r>
      <w:proofErr w:type="spellStart"/>
      <w:r w:rsidRPr="007D38B4">
        <w:rPr>
          <w:rFonts w:ascii="Helvetica" w:eastAsia="Times New Roman" w:hAnsi="Helvetica"/>
          <w:sz w:val="24"/>
          <w:szCs w:val="24"/>
          <w:lang w:val="en-GB"/>
        </w:rPr>
        <w:t>w.e.f</w:t>
      </w:r>
      <w:proofErr w:type="spellEnd"/>
      <w:r w:rsidRPr="007D38B4">
        <w:rPr>
          <w:rFonts w:ascii="Helvetica" w:eastAsia="Times New Roman" w:hAnsi="Helvetica"/>
          <w:sz w:val="24"/>
          <w:szCs w:val="24"/>
          <w:lang w:val="en-GB"/>
        </w:rPr>
        <w:t xml:space="preserve">.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w:t>
      </w:r>
      <w:r w:rsidRPr="007D38B4">
        <w:rPr>
          <w:rFonts w:ascii="Helvetica" w:eastAsia="Times New Roman" w:hAnsi="Helvetica"/>
          <w:sz w:val="24"/>
          <w:szCs w:val="24"/>
          <w:lang w:val="en-GB"/>
        </w:rPr>
        <w:lastRenderedPageBreak/>
        <w:t xml:space="preserve">futures contracts were made available for trading. The contracts shall expire on every Tuesday. The tick size is 0.25 and lot size is 550. </w:t>
      </w:r>
    </w:p>
    <w:p w:rsidR="007D38B4" w:rsidRPr="007D38B4" w:rsidRDefault="007D38B4" w:rsidP="007D38B4">
      <w:pPr>
        <w:spacing w:line="240" w:lineRule="auto"/>
        <w:jc w:val="both"/>
        <w:rPr>
          <w:rFonts w:ascii="Helvetica" w:eastAsia="Times New Roman" w:hAnsi="Helvetica"/>
          <w:sz w:val="24"/>
          <w:szCs w:val="24"/>
          <w:lang w:val="en-GB"/>
        </w:rPr>
      </w:pPr>
      <w:r w:rsidRPr="007D38B4">
        <w:rPr>
          <w:rFonts w:ascii="Helvetica" w:eastAsia="Times New Roman" w:hAnsi="Helvetica"/>
          <w:sz w:val="24"/>
          <w:szCs w:val="24"/>
          <w:lang w:val="en-GB"/>
        </w:rPr>
        <w:t>India VIX closed at 11.73 at the end of June 2017, lower than 11.76 registered at the end of May 2017</w:t>
      </w:r>
      <w:r w:rsidRPr="007D38B4">
        <w:rPr>
          <w:rFonts w:ascii="Helvetica" w:eastAsia="Times New Roman" w:hAnsi="Helvetica" w:cs="Garamond"/>
          <w:sz w:val="24"/>
          <w:szCs w:val="24"/>
          <w:lang w:val="en-GB"/>
        </w:rPr>
        <w:t xml:space="preserve"> (</w:t>
      </w:r>
      <w:r w:rsidRPr="007D38B4">
        <w:rPr>
          <w:rFonts w:ascii="Helvetica" w:eastAsia="Times New Roman" w:hAnsi="Helvetica" w:cs="Garamond"/>
          <w:b/>
          <w:bCs/>
          <w:i/>
          <w:iCs/>
          <w:sz w:val="24"/>
          <w:szCs w:val="24"/>
          <w:lang w:val="en-GB"/>
        </w:rPr>
        <w:t>Figure 5</w:t>
      </w:r>
      <w:r w:rsidRPr="007D38B4">
        <w:rPr>
          <w:rFonts w:ascii="Helvetica" w:eastAsia="Times New Roman" w:hAnsi="Helvetica" w:cs="Garamond"/>
          <w:sz w:val="24"/>
          <w:szCs w:val="24"/>
          <w:lang w:val="en-GB"/>
        </w:rPr>
        <w:t xml:space="preserve">). </w:t>
      </w:r>
      <w:r w:rsidRPr="007D38B4">
        <w:rPr>
          <w:rFonts w:ascii="Helvetica" w:eastAsia="Times New Roman" w:hAnsi="Helvetica"/>
          <w:sz w:val="24"/>
          <w:szCs w:val="24"/>
          <w:lang w:val="en-GB"/>
        </w:rPr>
        <w:t>During March and April 2017 there was no trade in VIX futures contract</w:t>
      </w:r>
      <w:r w:rsidRPr="007D38B4">
        <w:rPr>
          <w:rFonts w:ascii="Helvetica" w:eastAsia="Times New Roman" w:hAnsi="Helvetica" w:cs="Garamond"/>
          <w:sz w:val="24"/>
          <w:szCs w:val="24"/>
          <w:lang w:val="en-GB"/>
        </w:rPr>
        <w:t>. The open int</w:t>
      </w:r>
      <w:r w:rsidRPr="007D38B4">
        <w:rPr>
          <w:rFonts w:ascii="Helvetica" w:eastAsia="Times New Roman" w:hAnsi="Helvetica"/>
          <w:sz w:val="24"/>
          <w:szCs w:val="24"/>
          <w:lang w:val="en-GB"/>
        </w:rPr>
        <w:t>erest in India VIX contracts was zero at the end of May 2017.</w:t>
      </w:r>
    </w:p>
    <w:p w:rsidR="007D38B4" w:rsidRPr="007D38B4" w:rsidRDefault="007D38B4" w:rsidP="007D38B4">
      <w:pPr>
        <w:spacing w:line="240" w:lineRule="auto"/>
        <w:jc w:val="center"/>
        <w:outlineLvl w:val="0"/>
        <w:rPr>
          <w:rFonts w:ascii="Helvetica" w:hAnsi="Helvetica"/>
          <w:b/>
          <w:sz w:val="24"/>
          <w:szCs w:val="24"/>
          <w:lang w:val="en-GB"/>
        </w:rPr>
      </w:pPr>
      <w:r w:rsidRPr="007D38B4">
        <w:rPr>
          <w:rFonts w:ascii="Helvetica" w:hAnsi="Helvetica"/>
          <w:b/>
          <w:sz w:val="24"/>
          <w:szCs w:val="24"/>
          <w:lang w:val="en-GB"/>
        </w:rPr>
        <w:t xml:space="preserve">Figure </w:t>
      </w:r>
      <w:r w:rsidRPr="007D38B4">
        <w:rPr>
          <w:rFonts w:ascii="Helvetica" w:hAnsi="Helvetica"/>
          <w:b/>
          <w:sz w:val="24"/>
          <w:szCs w:val="24"/>
          <w:lang w:val="en-GB"/>
        </w:rPr>
        <w:fldChar w:fldCharType="begin"/>
      </w:r>
      <w:r w:rsidRPr="007D38B4">
        <w:rPr>
          <w:rFonts w:ascii="Helvetica" w:hAnsi="Helvetica"/>
          <w:b/>
          <w:sz w:val="24"/>
          <w:szCs w:val="24"/>
          <w:lang w:val="en-GB"/>
        </w:rPr>
        <w:instrText xml:space="preserve"> SEQ Figure \* ARABIC </w:instrText>
      </w:r>
      <w:r w:rsidRPr="007D38B4">
        <w:rPr>
          <w:rFonts w:ascii="Helvetica" w:hAnsi="Helvetica"/>
          <w:b/>
          <w:sz w:val="24"/>
          <w:szCs w:val="24"/>
          <w:lang w:val="en-GB"/>
        </w:rPr>
        <w:fldChar w:fldCharType="separate"/>
      </w:r>
      <w:r w:rsidRPr="007D38B4">
        <w:rPr>
          <w:rFonts w:ascii="Helvetica" w:hAnsi="Helvetica"/>
          <w:b/>
          <w:noProof/>
          <w:sz w:val="24"/>
          <w:szCs w:val="24"/>
          <w:lang w:val="en-GB"/>
        </w:rPr>
        <w:t>5</w:t>
      </w:r>
      <w:r w:rsidRPr="007D38B4">
        <w:rPr>
          <w:rFonts w:ascii="Helvetica" w:hAnsi="Helvetica"/>
          <w:b/>
          <w:sz w:val="24"/>
          <w:szCs w:val="24"/>
          <w:lang w:val="en-GB"/>
        </w:rPr>
        <w:fldChar w:fldCharType="end"/>
      </w:r>
      <w:r w:rsidRPr="007D38B4">
        <w:rPr>
          <w:rFonts w:ascii="Helvetica" w:hAnsi="Helvetica"/>
          <w:b/>
          <w:sz w:val="24"/>
          <w:szCs w:val="24"/>
          <w:lang w:val="en-GB"/>
        </w:rPr>
        <w:t>: Trends in VIX futures at NSE</w:t>
      </w:r>
    </w:p>
    <w:p w:rsidR="007D38B4" w:rsidRPr="007D38B4" w:rsidRDefault="007D38B4" w:rsidP="007D38B4">
      <w:pPr>
        <w:spacing w:line="240" w:lineRule="auto"/>
        <w:jc w:val="center"/>
        <w:outlineLvl w:val="0"/>
        <w:rPr>
          <w:rFonts w:ascii="Helvetica" w:hAnsi="Helvetica"/>
          <w:b/>
          <w:color w:val="0033CC"/>
          <w:sz w:val="24"/>
          <w:szCs w:val="24"/>
          <w:lang w:val="en-GB"/>
        </w:rPr>
      </w:pPr>
      <w:r w:rsidRPr="007D38B4">
        <w:rPr>
          <w:rFonts w:ascii="Helvetica" w:hAnsi="Helvetica"/>
          <w:noProof/>
          <w:sz w:val="24"/>
          <w:szCs w:val="24"/>
        </w:rPr>
        <w:drawing>
          <wp:inline distT="0" distB="0" distL="0" distR="0" wp14:anchorId="46695CE2" wp14:editId="531D11A8">
            <wp:extent cx="5763981" cy="2609850"/>
            <wp:effectExtent l="0" t="0" r="825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8B4" w:rsidRPr="007D38B4" w:rsidRDefault="007D38B4" w:rsidP="007D38B4">
      <w:pPr>
        <w:widowControl w:val="0"/>
        <w:spacing w:after="0" w:line="240" w:lineRule="auto"/>
        <w:jc w:val="both"/>
        <w:outlineLvl w:val="0"/>
        <w:rPr>
          <w:rFonts w:ascii="Helvetica" w:hAnsi="Helvetica"/>
          <w:b/>
          <w:sz w:val="24"/>
          <w:szCs w:val="24"/>
          <w:lang w:val="en-GB"/>
        </w:rPr>
      </w:pPr>
    </w:p>
    <w:p w:rsidR="007D38B4" w:rsidRPr="007D38B4" w:rsidRDefault="007D38B4" w:rsidP="007D38B4">
      <w:pPr>
        <w:widowControl w:val="0"/>
        <w:numPr>
          <w:ilvl w:val="0"/>
          <w:numId w:val="40"/>
        </w:numPr>
        <w:spacing w:line="240" w:lineRule="auto"/>
        <w:contextualSpacing/>
        <w:jc w:val="both"/>
        <w:outlineLvl w:val="0"/>
        <w:rPr>
          <w:rFonts w:ascii="Helvetica" w:hAnsi="Helvetica"/>
          <w:b/>
          <w:sz w:val="24"/>
          <w:szCs w:val="24"/>
          <w:lang w:val="en-GB"/>
        </w:rPr>
      </w:pPr>
      <w:r w:rsidRPr="007D38B4">
        <w:rPr>
          <w:rFonts w:ascii="Helvetica" w:hAnsi="Helvetica"/>
          <w:b/>
          <w:sz w:val="24"/>
          <w:szCs w:val="24"/>
          <w:lang w:val="en-GB"/>
        </w:rPr>
        <w:t>Currency Derivatives at NSE, BSE and MSEI</w:t>
      </w:r>
    </w:p>
    <w:p w:rsidR="007D38B4" w:rsidRPr="00E43ECF" w:rsidRDefault="007D38B4" w:rsidP="007D38B4">
      <w:pPr>
        <w:widowControl w:val="0"/>
        <w:tabs>
          <w:tab w:val="left" w:pos="0"/>
        </w:tabs>
        <w:spacing w:line="240" w:lineRule="auto"/>
        <w:jc w:val="both"/>
        <w:rPr>
          <w:rFonts w:ascii="Helvetica" w:eastAsia="Times New Roman" w:hAnsi="Helvetica"/>
          <w:sz w:val="24"/>
          <w:szCs w:val="24"/>
          <w:lang w:val="en-GB"/>
        </w:rPr>
      </w:pPr>
      <w:r w:rsidRPr="007D38B4">
        <w:rPr>
          <w:rFonts w:ascii="Helvetica" w:eastAsia="Times New Roman" w:hAnsi="Helvetica"/>
          <w:sz w:val="24"/>
          <w:szCs w:val="24"/>
          <w:lang w:val="en-GB"/>
        </w:rPr>
        <w:t xml:space="preserve">The monthly turnover of currency derivatives at NSE during June 2017 fell by 17.4 per cent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3</w:t>
      </w:r>
      <w:proofErr w:type="gramStart"/>
      <w:r w:rsidRPr="007D38B4">
        <w:rPr>
          <w:rFonts w:ascii="Helvetica" w:eastAsia="Times New Roman" w:hAnsi="Helvetica"/>
          <w:sz w:val="24"/>
          <w:szCs w:val="24"/>
        </w:rPr>
        <w:t>,24,732</w:t>
      </w:r>
      <w:proofErr w:type="gramEnd"/>
      <w:r w:rsidRPr="007D38B4">
        <w:rPr>
          <w:rFonts w:ascii="Helvetica" w:eastAsia="Times New Roman" w:hAnsi="Helvetica"/>
          <w:sz w:val="24"/>
          <w:szCs w:val="24"/>
        </w:rPr>
        <w:t xml:space="preserve"> crore </w:t>
      </w:r>
      <w:r w:rsidRPr="007D38B4">
        <w:rPr>
          <w:rFonts w:ascii="Helvetica" w:eastAsia="Times New Roman" w:hAnsi="Helvetica" w:cs="Garamond"/>
          <w:sz w:val="24"/>
          <w:szCs w:val="24"/>
          <w:lang w:val="en-GB"/>
        </w:rPr>
        <w:t xml:space="preserve">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3,93,123 crore </w:t>
      </w:r>
      <w:r w:rsidRPr="007D38B4">
        <w:rPr>
          <w:rFonts w:ascii="Helvetica" w:eastAsia="Times New Roman" w:hAnsi="Helvetica" w:cs="Garamond"/>
          <w:sz w:val="24"/>
          <w:szCs w:val="24"/>
          <w:lang w:val="en-GB"/>
        </w:rPr>
        <w:t>in May 2017. During the same time the</w:t>
      </w:r>
      <w:r w:rsidRPr="007D38B4">
        <w:rPr>
          <w:rFonts w:ascii="Helvetica" w:hAnsi="Helvetica"/>
          <w:sz w:val="24"/>
          <w:szCs w:val="24"/>
          <w:lang w:val="en-GB"/>
        </w:rPr>
        <w:t xml:space="preserve"> </w:t>
      </w:r>
      <w:r w:rsidRPr="007D38B4">
        <w:rPr>
          <w:rFonts w:ascii="Helvetica" w:eastAsia="Times New Roman" w:hAnsi="Helvetica" w:cs="Garamond"/>
          <w:sz w:val="24"/>
          <w:szCs w:val="24"/>
          <w:lang w:val="en-GB"/>
        </w:rPr>
        <w:t xml:space="preserve">monthly turnover of currency derivatives at BSE also declined </w:t>
      </w:r>
      <w:r w:rsidRPr="007D38B4">
        <w:rPr>
          <w:rFonts w:ascii="Helvetica" w:eastAsia="Times New Roman" w:hAnsi="Helvetica"/>
          <w:sz w:val="24"/>
          <w:szCs w:val="24"/>
          <w:lang w:val="en-GB"/>
        </w:rPr>
        <w:t xml:space="preserve">by 5.8 per cent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3</w:t>
      </w:r>
      <w:proofErr w:type="gramStart"/>
      <w:r w:rsidRPr="007D38B4">
        <w:rPr>
          <w:rFonts w:ascii="Helvetica" w:eastAsia="Times New Roman" w:hAnsi="Helvetica"/>
          <w:sz w:val="24"/>
          <w:szCs w:val="24"/>
        </w:rPr>
        <w:t>,63,858</w:t>
      </w:r>
      <w:proofErr w:type="gramEnd"/>
      <w:r w:rsidRPr="007D38B4">
        <w:rPr>
          <w:rFonts w:ascii="Helvetica" w:eastAsia="Times New Roman" w:hAnsi="Helvetica"/>
          <w:sz w:val="24"/>
          <w:szCs w:val="24"/>
        </w:rPr>
        <w:t xml:space="preserve"> crore </w:t>
      </w:r>
      <w:r w:rsidRPr="007D38B4">
        <w:rPr>
          <w:rFonts w:ascii="Helvetica" w:eastAsia="Times New Roman" w:hAnsi="Helvetica" w:cs="Garamond"/>
          <w:sz w:val="24"/>
          <w:szCs w:val="24"/>
          <w:lang w:val="en-GB"/>
        </w:rPr>
        <w:t xml:space="preserve">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3,86,288 crore whereas </w:t>
      </w:r>
      <w:r w:rsidRPr="007D38B4">
        <w:rPr>
          <w:rFonts w:ascii="Helvetica" w:eastAsia="Times New Roman" w:hAnsi="Helvetica" w:cs="Garamond"/>
          <w:sz w:val="24"/>
          <w:szCs w:val="24"/>
          <w:lang w:val="en-GB"/>
        </w:rPr>
        <w:t>the monthly turnover of currency derivatives at MSEI increased by 4</w:t>
      </w:r>
      <w:r w:rsidRPr="007D38B4">
        <w:rPr>
          <w:rFonts w:ascii="Helvetica" w:eastAsia="Times New Roman" w:hAnsi="Helvetica"/>
          <w:sz w:val="24"/>
          <w:szCs w:val="24"/>
          <w:lang w:val="en-GB"/>
        </w:rPr>
        <w:t xml:space="preserve">.6 </w:t>
      </w:r>
      <w:r w:rsidRPr="007D38B4">
        <w:rPr>
          <w:rFonts w:ascii="Helvetica" w:eastAsia="Times New Roman" w:hAnsi="Helvetica" w:cs="Garamond"/>
          <w:sz w:val="24"/>
          <w:szCs w:val="24"/>
          <w:lang w:val="en-GB"/>
        </w:rPr>
        <w:t xml:space="preserve">per cent to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w:t>
      </w:r>
      <w:r w:rsidRPr="007D38B4">
        <w:rPr>
          <w:rFonts w:ascii="Helvetica" w:eastAsia="Times New Roman" w:hAnsi="Helvetica" w:cs="Garamond"/>
          <w:sz w:val="24"/>
          <w:szCs w:val="24"/>
          <w:lang w:val="en-GB"/>
        </w:rPr>
        <w:t xml:space="preserve">14,203 crore from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w:t>
      </w:r>
      <w:r w:rsidRPr="007D38B4">
        <w:rPr>
          <w:rFonts w:ascii="Helvetica" w:eastAsia="Times New Roman" w:hAnsi="Helvetica" w:cs="Garamond"/>
          <w:sz w:val="24"/>
          <w:szCs w:val="24"/>
          <w:lang w:val="en-GB"/>
        </w:rPr>
        <w:t>13,582 crore (</w:t>
      </w:r>
      <w:r w:rsidRPr="007D38B4">
        <w:rPr>
          <w:rFonts w:ascii="Helvetica" w:eastAsia="Times New Roman" w:hAnsi="Helvetica" w:cs="Garamond"/>
          <w:b/>
          <w:bCs/>
          <w:i/>
          <w:iCs/>
          <w:sz w:val="24"/>
          <w:szCs w:val="24"/>
          <w:lang w:val="en-GB"/>
        </w:rPr>
        <w:t>Figure 6</w:t>
      </w:r>
      <w:r w:rsidRPr="007D38B4">
        <w:rPr>
          <w:rFonts w:ascii="Helvetica" w:eastAsia="Times New Roman" w:hAnsi="Helvetica" w:cs="Garamond"/>
          <w:b/>
          <w:sz w:val="24"/>
          <w:szCs w:val="24"/>
          <w:lang w:val="en-GB"/>
        </w:rPr>
        <w:t xml:space="preserve"> </w:t>
      </w:r>
      <w:r w:rsidRPr="007D38B4">
        <w:rPr>
          <w:rFonts w:ascii="Helvetica" w:eastAsia="Times New Roman" w:hAnsi="Helvetica" w:cs="Garamond"/>
          <w:b/>
          <w:bCs/>
          <w:i/>
          <w:iCs/>
          <w:sz w:val="24"/>
          <w:szCs w:val="24"/>
          <w:lang w:val="en-GB"/>
        </w:rPr>
        <w:t>and</w:t>
      </w:r>
      <w:r w:rsidRPr="007D38B4">
        <w:rPr>
          <w:rFonts w:ascii="Helvetica" w:eastAsia="Times New Roman" w:hAnsi="Helvetica"/>
          <w:b/>
          <w:i/>
          <w:iCs/>
          <w:sz w:val="24"/>
          <w:szCs w:val="24"/>
          <w:lang w:val="en-GB"/>
        </w:rPr>
        <w:t xml:space="preserve"> Tables 37, 38 and 39</w:t>
      </w:r>
      <w:r w:rsidR="00E43ECF">
        <w:rPr>
          <w:rFonts w:ascii="Helvetica" w:eastAsia="Times New Roman" w:hAnsi="Helvetica"/>
          <w:sz w:val="24"/>
          <w:szCs w:val="24"/>
          <w:lang w:val="en-GB"/>
        </w:rPr>
        <w:t>)</w:t>
      </w:r>
    </w:p>
    <w:p w:rsidR="007D38B4" w:rsidRPr="007D38B4" w:rsidRDefault="007D38B4" w:rsidP="007D38B4">
      <w:pPr>
        <w:keepNext/>
        <w:spacing w:after="0" w:line="240" w:lineRule="auto"/>
        <w:jc w:val="center"/>
        <w:outlineLvl w:val="0"/>
        <w:rPr>
          <w:rFonts w:ascii="Helvetica" w:hAnsi="Helvetica"/>
          <w:b/>
          <w:bCs/>
          <w:sz w:val="24"/>
          <w:szCs w:val="24"/>
          <w:lang w:val="en-GB"/>
        </w:rPr>
      </w:pPr>
      <w:r w:rsidRPr="007D38B4">
        <w:rPr>
          <w:rFonts w:ascii="Helvetica" w:hAnsi="Helvetica"/>
          <w:b/>
          <w:bCs/>
          <w:sz w:val="24"/>
          <w:szCs w:val="24"/>
          <w:lang w:val="en-GB"/>
        </w:rPr>
        <w:t>Figure 6: Trends of Currency Derivatives at NSE, MSEI and BSE (</w:t>
      </w:r>
      <w:r w:rsidRPr="007D38B4">
        <w:rPr>
          <w:rFonts w:ascii="Rupee Foradian" w:eastAsia="Times New Roman" w:hAnsi="Rupee Foradian" w:cs="Helvetica"/>
          <w:b/>
          <w:bCs/>
          <w:sz w:val="24"/>
          <w:szCs w:val="24"/>
        </w:rPr>
        <w:t>`</w:t>
      </w:r>
      <w:r w:rsidRPr="007D38B4">
        <w:rPr>
          <w:rFonts w:ascii="Helvetica" w:eastAsia="Times New Roman" w:hAnsi="Helvetica" w:cs="Helvetica"/>
          <w:b/>
          <w:bCs/>
          <w:sz w:val="24"/>
          <w:szCs w:val="24"/>
        </w:rPr>
        <w:t xml:space="preserve"> crore</w:t>
      </w:r>
      <w:r w:rsidRPr="007D38B4">
        <w:rPr>
          <w:rFonts w:ascii="Helvetica" w:hAnsi="Helvetica"/>
          <w:b/>
          <w:bCs/>
          <w:sz w:val="24"/>
          <w:szCs w:val="24"/>
          <w:lang w:val="en-GB"/>
        </w:rPr>
        <w:t>)</w:t>
      </w:r>
    </w:p>
    <w:p w:rsidR="007D38B4" w:rsidRPr="007D38B4" w:rsidRDefault="007D38B4" w:rsidP="007D38B4">
      <w:pPr>
        <w:spacing w:after="0" w:line="240" w:lineRule="auto"/>
        <w:rPr>
          <w:rFonts w:ascii="Helvetica" w:hAnsi="Helvetica"/>
          <w:sz w:val="24"/>
          <w:szCs w:val="24"/>
          <w:lang w:val="en-GB"/>
        </w:rPr>
      </w:pPr>
    </w:p>
    <w:p w:rsidR="007D38B4" w:rsidRPr="007D38B4" w:rsidRDefault="007D38B4" w:rsidP="007D38B4">
      <w:pPr>
        <w:spacing w:after="0" w:line="240" w:lineRule="auto"/>
        <w:rPr>
          <w:rFonts w:ascii="Helvetica" w:hAnsi="Helvetica"/>
          <w:color w:val="0033CC"/>
          <w:sz w:val="24"/>
          <w:szCs w:val="24"/>
          <w:lang w:val="en-GB"/>
        </w:rPr>
      </w:pPr>
      <w:r w:rsidRPr="007D38B4">
        <w:rPr>
          <w:rFonts w:ascii="Helvetica" w:hAnsi="Helvetica"/>
          <w:noProof/>
          <w:sz w:val="24"/>
          <w:szCs w:val="24"/>
        </w:rPr>
        <w:drawing>
          <wp:inline distT="0" distB="0" distL="0" distR="0" wp14:anchorId="1D3B45C8" wp14:editId="05F0C4C7">
            <wp:extent cx="5989320" cy="2956560"/>
            <wp:effectExtent l="0" t="0" r="11430" b="152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38B4" w:rsidRPr="007D38B4" w:rsidRDefault="007D38B4" w:rsidP="007D38B4">
      <w:pPr>
        <w:spacing w:after="0" w:line="240" w:lineRule="auto"/>
        <w:jc w:val="center"/>
        <w:rPr>
          <w:rFonts w:ascii="Helvetica" w:hAnsi="Helvetica"/>
          <w:color w:val="0033CC"/>
          <w:sz w:val="24"/>
          <w:szCs w:val="24"/>
          <w:lang w:val="en-GB"/>
        </w:rPr>
      </w:pPr>
    </w:p>
    <w:p w:rsidR="007D38B4" w:rsidRPr="007D38B4" w:rsidRDefault="007D38B4" w:rsidP="007D38B4">
      <w:pPr>
        <w:widowControl w:val="0"/>
        <w:numPr>
          <w:ilvl w:val="0"/>
          <w:numId w:val="40"/>
        </w:numPr>
        <w:spacing w:line="240" w:lineRule="auto"/>
        <w:contextualSpacing/>
        <w:jc w:val="both"/>
        <w:outlineLvl w:val="0"/>
        <w:rPr>
          <w:rFonts w:ascii="Helvetica" w:hAnsi="Helvetica"/>
          <w:b/>
          <w:sz w:val="24"/>
          <w:szCs w:val="24"/>
          <w:lang w:val="en-GB"/>
        </w:rPr>
      </w:pPr>
      <w:r w:rsidRPr="007D38B4">
        <w:rPr>
          <w:rFonts w:ascii="Helvetica" w:hAnsi="Helvetica"/>
          <w:b/>
          <w:sz w:val="24"/>
          <w:szCs w:val="24"/>
          <w:lang w:val="en-GB"/>
        </w:rPr>
        <w:t>Interest Rate Futures at NSE, BSE and MSEI</w:t>
      </w:r>
    </w:p>
    <w:p w:rsidR="007D38B4" w:rsidRPr="007D38B4" w:rsidRDefault="007D38B4" w:rsidP="007D38B4">
      <w:pPr>
        <w:keepNext/>
        <w:spacing w:after="0" w:line="240" w:lineRule="auto"/>
        <w:jc w:val="both"/>
        <w:rPr>
          <w:rFonts w:ascii="Helvetica" w:eastAsia="Times New Roman" w:hAnsi="Helvetica"/>
          <w:b/>
          <w:sz w:val="24"/>
          <w:szCs w:val="24"/>
          <w:lang w:val="en-GB"/>
        </w:rPr>
      </w:pPr>
      <w:r w:rsidRPr="007D38B4">
        <w:rPr>
          <w:rFonts w:ascii="Helvetica" w:eastAsia="Times New Roman" w:hAnsi="Helvetica"/>
          <w:sz w:val="24"/>
          <w:szCs w:val="24"/>
          <w:lang w:val="en-GB"/>
        </w:rPr>
        <w:t xml:space="preserve">During June 2017, the monthly turnover of interest rate futures at NSE increased by 20.9 per cent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26,852 crore </w:t>
      </w:r>
      <w:r w:rsidRPr="007D38B4">
        <w:rPr>
          <w:rFonts w:ascii="Helvetica" w:eastAsia="Times New Roman" w:hAnsi="Helvetica" w:cs="Garamond"/>
          <w:sz w:val="24"/>
          <w:szCs w:val="24"/>
          <w:lang w:val="en-GB"/>
        </w:rPr>
        <w:t xml:space="preserve">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22,208 crore </w:t>
      </w:r>
      <w:r w:rsidRPr="007D38B4">
        <w:rPr>
          <w:rFonts w:ascii="Helvetica" w:eastAsia="Times New Roman" w:hAnsi="Helvetica" w:cs="Garamond"/>
          <w:sz w:val="24"/>
          <w:szCs w:val="24"/>
          <w:lang w:val="en-GB"/>
        </w:rPr>
        <w:t>in May 2017. The monthly turnover of interest rate futures at BSE increased</w:t>
      </w:r>
      <w:r w:rsidRPr="007D38B4">
        <w:rPr>
          <w:rFonts w:ascii="Helvetica" w:eastAsia="Times New Roman" w:hAnsi="Helvetica"/>
          <w:sz w:val="24"/>
          <w:szCs w:val="24"/>
          <w:lang w:val="en-GB"/>
        </w:rPr>
        <w:t xml:space="preserve"> by 52.5 per cent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18,657 crore in June 2017 </w:t>
      </w:r>
      <w:r w:rsidRPr="007D38B4">
        <w:rPr>
          <w:rFonts w:ascii="Helvetica" w:eastAsia="Times New Roman" w:hAnsi="Helvetica" w:cs="Garamond"/>
          <w:sz w:val="24"/>
          <w:szCs w:val="24"/>
          <w:lang w:val="en-GB"/>
        </w:rPr>
        <w:t xml:space="preserve">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12,230 crore in May 2017</w:t>
      </w:r>
      <w:r w:rsidRPr="007D38B4">
        <w:rPr>
          <w:rFonts w:ascii="Helvetica" w:eastAsia="Times New Roman" w:hAnsi="Helvetica" w:cs="Garamond"/>
          <w:sz w:val="24"/>
          <w:szCs w:val="24"/>
          <w:lang w:val="en-GB"/>
        </w:rPr>
        <w:t>. At MSEI, there was no trade in interest rate futures in both the months (</w:t>
      </w:r>
      <w:r w:rsidRPr="007D38B4">
        <w:rPr>
          <w:rFonts w:ascii="Helvetica" w:eastAsia="Times New Roman" w:hAnsi="Helvetica" w:cs="Garamond"/>
          <w:b/>
          <w:bCs/>
          <w:i/>
          <w:iCs/>
          <w:sz w:val="24"/>
          <w:szCs w:val="24"/>
          <w:lang w:val="en-GB"/>
        </w:rPr>
        <w:t>Figure 7</w:t>
      </w:r>
      <w:r w:rsidRPr="007D38B4">
        <w:rPr>
          <w:rFonts w:ascii="Helvetica" w:eastAsia="Times New Roman" w:hAnsi="Helvetica" w:cs="Garamond"/>
          <w:b/>
          <w:sz w:val="24"/>
          <w:szCs w:val="24"/>
          <w:lang w:val="en-GB"/>
        </w:rPr>
        <w:t xml:space="preserve"> </w:t>
      </w:r>
      <w:r w:rsidRPr="007D38B4">
        <w:rPr>
          <w:rFonts w:ascii="Helvetica" w:eastAsia="Times New Roman" w:hAnsi="Helvetica" w:cs="Garamond"/>
          <w:b/>
          <w:bCs/>
          <w:i/>
          <w:iCs/>
          <w:sz w:val="24"/>
          <w:szCs w:val="24"/>
          <w:lang w:val="en-GB"/>
        </w:rPr>
        <w:t>and</w:t>
      </w:r>
      <w:r w:rsidRPr="007D38B4">
        <w:rPr>
          <w:rFonts w:ascii="Helvetica" w:eastAsia="Times New Roman" w:hAnsi="Helvetica"/>
          <w:b/>
          <w:i/>
          <w:iCs/>
          <w:sz w:val="24"/>
          <w:szCs w:val="24"/>
          <w:lang w:val="en-GB"/>
        </w:rPr>
        <w:t xml:space="preserve"> Table 47</w:t>
      </w:r>
      <w:r w:rsidRPr="007D38B4">
        <w:rPr>
          <w:rFonts w:ascii="Helvetica" w:eastAsia="Times New Roman" w:hAnsi="Helvetica"/>
          <w:sz w:val="24"/>
          <w:szCs w:val="24"/>
          <w:lang w:val="en-GB"/>
        </w:rPr>
        <w:t>).</w:t>
      </w:r>
    </w:p>
    <w:p w:rsidR="007D38B4" w:rsidRPr="007D38B4" w:rsidRDefault="007D38B4" w:rsidP="007D38B4">
      <w:pPr>
        <w:spacing w:after="0" w:line="240" w:lineRule="auto"/>
        <w:rPr>
          <w:rFonts w:ascii="Helvetica" w:hAnsi="Helvetica"/>
          <w:color w:val="0033CC"/>
          <w:sz w:val="16"/>
          <w:szCs w:val="16"/>
          <w:lang w:val="en-GB"/>
        </w:rPr>
      </w:pPr>
    </w:p>
    <w:p w:rsidR="007D38B4" w:rsidRPr="007D38B4" w:rsidRDefault="007D38B4" w:rsidP="007D38B4">
      <w:pPr>
        <w:spacing w:after="0" w:line="240" w:lineRule="auto"/>
        <w:rPr>
          <w:rFonts w:ascii="Helvetica" w:hAnsi="Helvetica"/>
          <w:color w:val="0033CC"/>
          <w:sz w:val="16"/>
          <w:szCs w:val="16"/>
          <w:lang w:val="en-GB"/>
        </w:rPr>
      </w:pPr>
    </w:p>
    <w:p w:rsidR="007D38B4" w:rsidRPr="007D38B4" w:rsidRDefault="007D38B4" w:rsidP="007D38B4">
      <w:pPr>
        <w:spacing w:after="0" w:line="240" w:lineRule="auto"/>
        <w:jc w:val="center"/>
        <w:outlineLvl w:val="0"/>
        <w:rPr>
          <w:rFonts w:ascii="Helvetica" w:hAnsi="Helvetica"/>
          <w:b/>
          <w:sz w:val="24"/>
          <w:szCs w:val="24"/>
          <w:lang w:val="en-GB"/>
        </w:rPr>
      </w:pPr>
      <w:r w:rsidRPr="007D38B4">
        <w:rPr>
          <w:rFonts w:ascii="Helvetica" w:hAnsi="Helvetica"/>
          <w:b/>
          <w:sz w:val="24"/>
          <w:szCs w:val="24"/>
          <w:lang w:val="en-GB"/>
        </w:rPr>
        <w:t>Figure 7: Trends of Interest Rate Futures at NSE, BSE and MSEI (</w:t>
      </w:r>
      <w:r w:rsidRPr="007D38B4">
        <w:rPr>
          <w:rFonts w:ascii="Rupee Foradian" w:eastAsia="Times New Roman" w:hAnsi="Rupee Foradian"/>
          <w:bCs/>
          <w:sz w:val="24"/>
          <w:szCs w:val="20"/>
          <w:lang w:val="en-GB" w:eastAsia="en-GB" w:bidi="bn-IN"/>
        </w:rPr>
        <w:t xml:space="preserve">` </w:t>
      </w:r>
      <w:r w:rsidRPr="007D38B4">
        <w:rPr>
          <w:rFonts w:ascii="Helvetica" w:hAnsi="Helvetica"/>
          <w:b/>
          <w:sz w:val="24"/>
          <w:szCs w:val="24"/>
          <w:lang w:val="en-GB"/>
        </w:rPr>
        <w:t>crore)</w:t>
      </w:r>
    </w:p>
    <w:p w:rsidR="007D38B4" w:rsidRPr="007D38B4" w:rsidRDefault="007D38B4" w:rsidP="007D38B4">
      <w:pPr>
        <w:spacing w:after="0" w:line="240" w:lineRule="auto"/>
        <w:jc w:val="center"/>
        <w:outlineLvl w:val="0"/>
        <w:rPr>
          <w:rFonts w:ascii="Helvetica" w:hAnsi="Helvetica"/>
          <w:b/>
          <w:color w:val="0033CC"/>
          <w:sz w:val="24"/>
          <w:szCs w:val="24"/>
          <w:lang w:val="en-GB"/>
        </w:rPr>
      </w:pPr>
    </w:p>
    <w:p w:rsidR="007D38B4" w:rsidRPr="007D38B4" w:rsidRDefault="007D38B4" w:rsidP="007D38B4">
      <w:pPr>
        <w:spacing w:after="0" w:line="240" w:lineRule="auto"/>
        <w:jc w:val="center"/>
        <w:rPr>
          <w:rFonts w:ascii="Helvetica" w:hAnsi="Helvetica"/>
          <w:b/>
          <w:color w:val="0033CC"/>
          <w:sz w:val="24"/>
          <w:szCs w:val="24"/>
          <w:lang w:val="en-GB"/>
        </w:rPr>
      </w:pPr>
      <w:r w:rsidRPr="007D38B4">
        <w:rPr>
          <w:rFonts w:ascii="Helvetica" w:hAnsi="Helvetica"/>
          <w:noProof/>
          <w:sz w:val="24"/>
          <w:szCs w:val="24"/>
        </w:rPr>
        <w:drawing>
          <wp:inline distT="0" distB="0" distL="0" distR="0" wp14:anchorId="00B9C5D6" wp14:editId="71E7576A">
            <wp:extent cx="5735320" cy="3080982"/>
            <wp:effectExtent l="0" t="0" r="17780" b="571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38B4" w:rsidRDefault="007D38B4" w:rsidP="007D38B4">
      <w:pPr>
        <w:spacing w:after="0" w:line="240" w:lineRule="auto"/>
        <w:jc w:val="center"/>
        <w:rPr>
          <w:rFonts w:ascii="Helvetica" w:hAnsi="Helvetica"/>
          <w:b/>
          <w:color w:val="0033CC"/>
          <w:sz w:val="24"/>
          <w:szCs w:val="24"/>
          <w:lang w:val="en-GB"/>
        </w:rPr>
      </w:pPr>
    </w:p>
    <w:p w:rsidR="0085211A" w:rsidRDefault="0085211A" w:rsidP="007D38B4">
      <w:pPr>
        <w:spacing w:after="0" w:line="240" w:lineRule="auto"/>
        <w:jc w:val="center"/>
        <w:rPr>
          <w:rFonts w:ascii="Helvetica" w:hAnsi="Helvetica"/>
          <w:b/>
          <w:color w:val="0033CC"/>
          <w:sz w:val="24"/>
          <w:szCs w:val="24"/>
          <w:lang w:val="en-GB"/>
        </w:rPr>
      </w:pPr>
    </w:p>
    <w:p w:rsidR="0085211A" w:rsidRDefault="0085211A" w:rsidP="007D38B4">
      <w:pPr>
        <w:spacing w:after="0" w:line="240" w:lineRule="auto"/>
        <w:jc w:val="center"/>
        <w:rPr>
          <w:rFonts w:ascii="Helvetica" w:hAnsi="Helvetica"/>
          <w:b/>
          <w:color w:val="0033CC"/>
          <w:sz w:val="24"/>
          <w:szCs w:val="24"/>
          <w:lang w:val="en-GB"/>
        </w:rPr>
      </w:pPr>
    </w:p>
    <w:p w:rsidR="0085211A" w:rsidRPr="007D38B4" w:rsidRDefault="0085211A" w:rsidP="007D38B4">
      <w:pPr>
        <w:spacing w:after="0" w:line="240" w:lineRule="auto"/>
        <w:jc w:val="center"/>
        <w:rPr>
          <w:rFonts w:ascii="Helvetica" w:hAnsi="Helvetica"/>
          <w:b/>
          <w:color w:val="0033CC"/>
          <w:sz w:val="24"/>
          <w:szCs w:val="24"/>
          <w:lang w:val="en-GB"/>
        </w:rPr>
      </w:pPr>
    </w:p>
    <w:p w:rsidR="007D38B4" w:rsidRPr="0085211A" w:rsidRDefault="007D38B4" w:rsidP="007D38B4">
      <w:pPr>
        <w:widowControl w:val="0"/>
        <w:numPr>
          <w:ilvl w:val="0"/>
          <w:numId w:val="3"/>
        </w:numPr>
        <w:spacing w:after="0" w:line="240" w:lineRule="auto"/>
        <w:contextualSpacing/>
        <w:jc w:val="both"/>
        <w:rPr>
          <w:rFonts w:ascii="Helvetica" w:eastAsia="Times New Roman" w:hAnsi="Helvetica"/>
          <w:b/>
          <w:sz w:val="24"/>
          <w:szCs w:val="24"/>
          <w:lang w:val="en-GB"/>
        </w:rPr>
      </w:pPr>
      <w:r w:rsidRPr="0085211A">
        <w:rPr>
          <w:rFonts w:ascii="Helvetica" w:hAnsi="Helvetica"/>
          <w:b/>
          <w:sz w:val="24"/>
          <w:szCs w:val="24"/>
          <w:lang w:val="en-GB"/>
        </w:rPr>
        <w:t>Commodities Futures Markets</w:t>
      </w:r>
    </w:p>
    <w:p w:rsidR="0085211A" w:rsidRPr="0085211A" w:rsidRDefault="0085211A" w:rsidP="0085211A">
      <w:pPr>
        <w:widowControl w:val="0"/>
        <w:spacing w:after="0" w:line="240" w:lineRule="auto"/>
        <w:ind w:left="720"/>
        <w:contextualSpacing/>
        <w:jc w:val="both"/>
        <w:rPr>
          <w:rFonts w:ascii="Helvetica" w:eastAsia="Times New Roman" w:hAnsi="Helvetica"/>
          <w:b/>
          <w:sz w:val="24"/>
          <w:szCs w:val="24"/>
          <w:lang w:val="en-GB"/>
        </w:rPr>
      </w:pPr>
    </w:p>
    <w:p w:rsidR="0085211A" w:rsidRPr="002F7F08" w:rsidRDefault="0085211A" w:rsidP="0085211A">
      <w:pPr>
        <w:pStyle w:val="ListParagraph"/>
        <w:spacing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85211A" w:rsidRDefault="0085211A" w:rsidP="0085211A">
      <w:pPr>
        <w:pStyle w:val="ListParagraph"/>
        <w:spacing w:line="240" w:lineRule="auto"/>
        <w:jc w:val="both"/>
        <w:rPr>
          <w:rFonts w:ascii="Garamond" w:eastAsia="Times New Roman" w:hAnsi="Garamond"/>
          <w:b/>
          <w:color w:val="000000"/>
          <w:sz w:val="24"/>
          <w:szCs w:val="24"/>
        </w:rPr>
      </w:pPr>
      <w:r>
        <w:rPr>
          <w:rFonts w:ascii="Garamond" w:eastAsia="Times New Roman" w:hAnsi="Garamond"/>
          <w:color w:val="000000"/>
          <w:sz w:val="24"/>
          <w:szCs w:val="24"/>
        </w:rPr>
        <w:t xml:space="preserve">At the end of June 2017, the composite index MCXCOMDEX sloped downwards to close at 3056.81 whereas Dhaanya index of NCDEX increased to close at 2875.74.  MCXCOMDEX decreased by 1.72 percent while </w:t>
      </w:r>
      <w:r w:rsidRPr="00581A1C">
        <w:rPr>
          <w:rFonts w:ascii="Garamond" w:eastAsia="Times New Roman" w:hAnsi="Garamond"/>
          <w:color w:val="000000"/>
          <w:sz w:val="24"/>
          <w:szCs w:val="24"/>
        </w:rPr>
        <w:t xml:space="preserve">Dhaanya </w:t>
      </w:r>
      <w:r>
        <w:rPr>
          <w:rFonts w:ascii="Garamond" w:eastAsia="Times New Roman" w:hAnsi="Garamond"/>
          <w:color w:val="000000"/>
          <w:sz w:val="24"/>
          <w:szCs w:val="24"/>
        </w:rPr>
        <w:t xml:space="preserve">increased </w:t>
      </w:r>
      <w:r w:rsidRPr="00AC5C7C">
        <w:rPr>
          <w:rFonts w:ascii="Garamond" w:eastAsia="Times New Roman" w:hAnsi="Garamond"/>
          <w:color w:val="000000"/>
          <w:sz w:val="24"/>
          <w:szCs w:val="24"/>
        </w:rPr>
        <w:t xml:space="preserve">by </w:t>
      </w:r>
      <w:r>
        <w:rPr>
          <w:rFonts w:ascii="Garamond" w:eastAsia="Times New Roman" w:hAnsi="Garamond"/>
          <w:color w:val="000000"/>
          <w:sz w:val="24"/>
          <w:szCs w:val="24"/>
        </w:rPr>
        <w:t>2.44</w:t>
      </w:r>
      <w:r w:rsidRPr="00AC5C7C">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over the closing values of previous month.   </w:t>
      </w:r>
      <w:r w:rsidRPr="00AC5C7C">
        <w:rPr>
          <w:rFonts w:ascii="Garamond" w:eastAsia="Times New Roman" w:hAnsi="Garamond"/>
          <w:color w:val="000000"/>
          <w:sz w:val="24"/>
          <w:szCs w:val="24"/>
        </w:rPr>
        <w:t xml:space="preserve">(Figure 8). </w:t>
      </w:r>
      <w:r>
        <w:rPr>
          <w:rFonts w:ascii="Garamond" w:eastAsia="Times New Roman" w:hAnsi="Garamond"/>
          <w:color w:val="000000"/>
          <w:sz w:val="24"/>
          <w:szCs w:val="24"/>
        </w:rPr>
        <w:t>MCXCOMDEX</w:t>
      </w:r>
      <w:r w:rsidRPr="00AC5C7C">
        <w:rPr>
          <w:rFonts w:ascii="Garamond" w:eastAsia="Times New Roman" w:hAnsi="Garamond"/>
          <w:color w:val="000000"/>
          <w:sz w:val="24"/>
          <w:szCs w:val="24"/>
        </w:rPr>
        <w:t xml:space="preserve"> recorded an intraday high of </w:t>
      </w:r>
      <w:r>
        <w:rPr>
          <w:rFonts w:ascii="Garamond" w:eastAsia="Times New Roman" w:hAnsi="Garamond"/>
          <w:color w:val="000000"/>
          <w:sz w:val="24"/>
          <w:szCs w:val="24"/>
        </w:rPr>
        <w:t>3116.85</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June 01, 2017</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2966.02</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June 22, 2017</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 xml:space="preserve">lowest intra-day level during the month. NCDEX Dhaanya recoded an intra-day high of </w:t>
      </w:r>
      <w:r>
        <w:rPr>
          <w:rFonts w:ascii="Garamond" w:eastAsia="Times New Roman" w:hAnsi="Garamond"/>
          <w:color w:val="000000"/>
          <w:sz w:val="24"/>
          <w:szCs w:val="24"/>
        </w:rPr>
        <w:t>2907.61</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June 15, 2017</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2794.83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June 02, 2017</w:t>
      </w:r>
      <w:r w:rsidRPr="00AC5C7C">
        <w:rPr>
          <w:rFonts w:ascii="Garamond" w:eastAsia="Times New Roman" w:hAnsi="Garamond"/>
          <w:color w:val="000000"/>
          <w:sz w:val="24"/>
          <w:szCs w:val="24"/>
        </w:rPr>
        <w:t>.</w:t>
      </w:r>
      <w:r>
        <w:rPr>
          <w:rFonts w:ascii="Garamond" w:eastAsia="Times New Roman" w:hAnsi="Garamond"/>
          <w:color w:val="000000"/>
          <w:sz w:val="24"/>
          <w:szCs w:val="24"/>
        </w:rPr>
        <w:t xml:space="preserve"> T</w:t>
      </w:r>
      <w:r w:rsidRPr="00DA4CA5">
        <w:rPr>
          <w:rFonts w:ascii="Garamond" w:hAnsi="Garamond" w:cs="Arial"/>
          <w:bCs/>
          <w:sz w:val="24"/>
          <w:szCs w:val="24"/>
        </w:rPr>
        <w:t xml:space="preserve">he </w:t>
      </w:r>
      <w:r>
        <w:rPr>
          <w:rFonts w:ascii="Garamond" w:hAnsi="Garamond" w:cs="Arial"/>
          <w:bCs/>
          <w:sz w:val="24"/>
          <w:szCs w:val="24"/>
        </w:rPr>
        <w:t xml:space="preserve">group </w:t>
      </w:r>
      <w:r w:rsidRPr="00DA4CA5">
        <w:rPr>
          <w:rFonts w:ascii="Garamond" w:hAnsi="Garamond" w:cs="Arial"/>
          <w:bCs/>
          <w:sz w:val="24"/>
          <w:szCs w:val="24"/>
        </w:rPr>
        <w:t>indices</w:t>
      </w:r>
      <w:r>
        <w:rPr>
          <w:rFonts w:ascii="Garamond" w:hAnsi="Garamond" w:cs="Arial"/>
          <w:bCs/>
          <w:sz w:val="24"/>
          <w:szCs w:val="24"/>
        </w:rPr>
        <w:t xml:space="preserve"> of </w:t>
      </w:r>
      <w:r>
        <w:rPr>
          <w:rFonts w:ascii="Garamond" w:eastAsia="Times New Roman" w:hAnsi="Garamond"/>
          <w:color w:val="000000"/>
          <w:sz w:val="24"/>
          <w:szCs w:val="24"/>
        </w:rPr>
        <w:t>MCXCOMDEX</w:t>
      </w:r>
      <w:r w:rsidRPr="00DA4CA5">
        <w:rPr>
          <w:rFonts w:ascii="Garamond" w:hAnsi="Garamond" w:cs="Arial"/>
          <w:bCs/>
          <w:sz w:val="24"/>
          <w:szCs w:val="24"/>
        </w:rPr>
        <w:t xml:space="preserve">, </w:t>
      </w:r>
      <w:r>
        <w:rPr>
          <w:rFonts w:ascii="Garamond" w:hAnsi="Garamond" w:cs="Arial"/>
          <w:bCs/>
          <w:sz w:val="24"/>
          <w:szCs w:val="24"/>
        </w:rPr>
        <w:t>namely, MCX Metal increased by 1.30 percent, whereas MCX Energy and MCX Agri. decreased by 4.90 percent and 6.80 percent, respectively.</w:t>
      </w:r>
      <w:r w:rsidRPr="00DA4CA5">
        <w:rPr>
          <w:rFonts w:ascii="Garamond" w:hAnsi="Garamond" w:cs="Arial"/>
          <w:bCs/>
          <w:sz w:val="24"/>
          <w:szCs w:val="24"/>
        </w:rPr>
        <w:t xml:space="preserve"> </w:t>
      </w:r>
      <w:r>
        <w:rPr>
          <w:rFonts w:ascii="Garamond" w:hAnsi="Garamond" w:cs="Arial"/>
          <w:bCs/>
          <w:sz w:val="24"/>
          <w:szCs w:val="24"/>
        </w:rPr>
        <w:t xml:space="preserve"> </w:t>
      </w:r>
      <w:r w:rsidRPr="00253841">
        <w:rPr>
          <w:rFonts w:ascii="Garamond" w:eastAsia="Times New Roman" w:hAnsi="Garamond"/>
          <w:b/>
          <w:color w:val="000000"/>
          <w:sz w:val="24"/>
          <w:szCs w:val="24"/>
        </w:rPr>
        <w:t xml:space="preserve">(Details in </w:t>
      </w:r>
      <w:r w:rsidRPr="00E673B7">
        <w:rPr>
          <w:rFonts w:ascii="Garamond" w:eastAsia="Times New Roman" w:hAnsi="Garamond"/>
          <w:b/>
          <w:color w:val="000000"/>
          <w:sz w:val="24"/>
          <w:szCs w:val="24"/>
        </w:rPr>
        <w:t xml:space="preserve">Table 61 to </w:t>
      </w:r>
      <w:r>
        <w:rPr>
          <w:rFonts w:ascii="Garamond" w:eastAsia="Times New Roman" w:hAnsi="Garamond"/>
          <w:b/>
          <w:color w:val="000000"/>
          <w:sz w:val="24"/>
          <w:szCs w:val="24"/>
        </w:rPr>
        <w:t>69</w:t>
      </w:r>
      <w:r w:rsidRPr="00E673B7">
        <w:rPr>
          <w:rFonts w:ascii="Garamond" w:eastAsia="Times New Roman" w:hAnsi="Garamond"/>
          <w:b/>
          <w:color w:val="000000"/>
          <w:sz w:val="24"/>
          <w:szCs w:val="24"/>
        </w:rPr>
        <w:t>)</w:t>
      </w:r>
      <w:r>
        <w:rPr>
          <w:rFonts w:ascii="Garamond" w:eastAsia="Times New Roman" w:hAnsi="Garamond"/>
          <w:b/>
          <w:color w:val="000000"/>
          <w:sz w:val="24"/>
          <w:szCs w:val="24"/>
        </w:rPr>
        <w:t>.</w:t>
      </w: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r w:rsidRPr="003B4EBE">
        <w:rPr>
          <w:rFonts w:ascii="Garamond" w:hAnsi="Garamond"/>
          <w:b/>
          <w:color w:val="365F91"/>
          <w:sz w:val="24"/>
          <w:szCs w:val="24"/>
        </w:rPr>
        <w:lastRenderedPageBreak/>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Movement of Commodity Futures Market Indices</w:t>
      </w:r>
    </w:p>
    <w:p w:rsidR="0085211A" w:rsidRDefault="0085211A" w:rsidP="0085211A">
      <w:pPr>
        <w:pStyle w:val="ListParagraph"/>
        <w:jc w:val="both"/>
        <w:rPr>
          <w:rFonts w:ascii="Garamond" w:hAnsi="Garamond"/>
          <w:b/>
          <w:color w:val="365F91"/>
          <w:sz w:val="24"/>
          <w:szCs w:val="24"/>
        </w:rPr>
      </w:pPr>
    </w:p>
    <w:p w:rsidR="0085211A" w:rsidRDefault="0085211A" w:rsidP="0085211A">
      <w:pPr>
        <w:pStyle w:val="ListParagraph"/>
        <w:jc w:val="both"/>
        <w:rPr>
          <w:rFonts w:ascii="Garamond" w:hAnsi="Garamond"/>
          <w:b/>
          <w:color w:val="365F91"/>
          <w:sz w:val="24"/>
          <w:szCs w:val="24"/>
        </w:rPr>
      </w:pPr>
      <w:r>
        <w:rPr>
          <w:noProof/>
        </w:rPr>
        <w:drawing>
          <wp:inline distT="0" distB="0" distL="0" distR="0" wp14:anchorId="4961C473" wp14:editId="46BA3C6E">
            <wp:extent cx="5431809" cy="2224405"/>
            <wp:effectExtent l="0" t="0" r="16510" b="444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t xml:space="preserve"> </w:t>
      </w:r>
    </w:p>
    <w:p w:rsidR="0085211A" w:rsidRPr="009B56BA" w:rsidRDefault="0085211A" w:rsidP="0085211A">
      <w:pPr>
        <w:pStyle w:val="ListParagraph"/>
        <w:spacing w:after="0"/>
        <w:ind w:left="1530"/>
        <w:jc w:val="both"/>
        <w:rPr>
          <w:rFonts w:ascii="Garamond" w:hAnsi="Garamond" w:cs="Arial"/>
          <w:bCs/>
          <w:sz w:val="22"/>
          <w:szCs w:val="22"/>
        </w:rPr>
      </w:pPr>
      <w:r w:rsidRPr="009B56BA">
        <w:rPr>
          <w:rFonts w:ascii="Garamond" w:hAnsi="Garamond" w:cs="Arial"/>
          <w:bCs/>
          <w:sz w:val="22"/>
          <w:szCs w:val="22"/>
        </w:rPr>
        <w:t>Source: MCX and NCDEX</w:t>
      </w:r>
    </w:p>
    <w:p w:rsidR="0085211A" w:rsidRDefault="0085211A" w:rsidP="0085211A">
      <w:pPr>
        <w:pStyle w:val="ListParagraph"/>
        <w:spacing w:line="240" w:lineRule="auto"/>
        <w:jc w:val="both"/>
        <w:rPr>
          <w:rFonts w:ascii="Garamond" w:hAnsi="Garamond" w:cs="Arial"/>
          <w:bCs/>
          <w:sz w:val="24"/>
          <w:szCs w:val="24"/>
        </w:rPr>
      </w:pPr>
    </w:p>
    <w:p w:rsidR="0085211A" w:rsidRDefault="0085211A" w:rsidP="0085211A">
      <w:pPr>
        <w:pStyle w:val="ListParagraph"/>
        <w:spacing w:line="240" w:lineRule="auto"/>
        <w:jc w:val="both"/>
        <w:rPr>
          <w:rFonts w:ascii="Garamond" w:hAnsi="Garamond" w:cs="Arial"/>
          <w:bCs/>
          <w:sz w:val="24"/>
          <w:szCs w:val="24"/>
        </w:rPr>
      </w:pPr>
      <w:r>
        <w:rPr>
          <w:rFonts w:ascii="Garamond" w:hAnsi="Garamond" w:cs="Arial"/>
          <w:bCs/>
          <w:sz w:val="24"/>
          <w:szCs w:val="24"/>
        </w:rPr>
        <w:t xml:space="preserve">Daily volatility during June 2017 of MCXCOMDEX and NCDEX Dhaanya indices was recorded at 0.58 percent and 0.64 </w:t>
      </w:r>
      <w:r w:rsidRPr="00151B1F">
        <w:rPr>
          <w:rFonts w:ascii="Garamond" w:hAnsi="Garamond" w:cs="Arial"/>
          <w:bCs/>
          <w:sz w:val="24"/>
          <w:szCs w:val="24"/>
        </w:rPr>
        <w:t>percent</w:t>
      </w:r>
      <w:r>
        <w:rPr>
          <w:rFonts w:ascii="Garamond" w:hAnsi="Garamond" w:cs="Arial"/>
          <w:bCs/>
          <w:sz w:val="24"/>
          <w:szCs w:val="24"/>
        </w:rPr>
        <w:t>,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1.64 percent, followed by MCX Agri. (0.67 percent) and MCX Metal (0.50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return </w:t>
      </w:r>
      <w:r>
        <w:rPr>
          <w:rFonts w:ascii="Garamond" w:hAnsi="Garamond" w:cs="Arial"/>
          <w:bCs/>
          <w:sz w:val="24"/>
          <w:szCs w:val="24"/>
        </w:rPr>
        <w:t xml:space="preserve">over the previous month </w:t>
      </w:r>
      <w:r w:rsidRPr="00151B1F">
        <w:rPr>
          <w:rFonts w:ascii="Garamond" w:hAnsi="Garamond" w:cs="Arial"/>
          <w:bCs/>
          <w:sz w:val="24"/>
          <w:szCs w:val="24"/>
        </w:rPr>
        <w:t xml:space="preserve">of commodity futures market indices is shown in the </w:t>
      </w:r>
      <w:r>
        <w:rPr>
          <w:rFonts w:ascii="Garamond" w:hAnsi="Garamond" w:cs="Arial"/>
          <w:bCs/>
          <w:sz w:val="24"/>
          <w:szCs w:val="24"/>
        </w:rPr>
        <w:t xml:space="preserve">Exhibit </w:t>
      </w:r>
      <w:r w:rsidRPr="00151B1F">
        <w:rPr>
          <w:rFonts w:ascii="Garamond" w:hAnsi="Garamond" w:cs="Arial"/>
          <w:bCs/>
          <w:sz w:val="24"/>
          <w:szCs w:val="24"/>
        </w:rPr>
        <w:t>5 below:</w:t>
      </w:r>
      <w:r>
        <w:rPr>
          <w:rFonts w:ascii="Garamond" w:hAnsi="Garamond" w:cs="Arial"/>
          <w:bCs/>
          <w:sz w:val="24"/>
          <w:szCs w:val="24"/>
        </w:rPr>
        <w:t xml:space="preserve"> </w:t>
      </w:r>
    </w:p>
    <w:p w:rsidR="0085211A" w:rsidRDefault="0085211A" w:rsidP="0085211A">
      <w:pPr>
        <w:pStyle w:val="ListParagraph"/>
        <w:jc w:val="right"/>
        <w:rPr>
          <w:rFonts w:ascii="Garamond" w:hAnsi="Garamond"/>
          <w:b/>
          <w:color w:val="365F91"/>
          <w:sz w:val="24"/>
          <w:szCs w:val="24"/>
        </w:rPr>
      </w:pPr>
    </w:p>
    <w:p w:rsidR="0085211A" w:rsidRPr="00E673B7" w:rsidRDefault="0085211A" w:rsidP="0085211A">
      <w:pPr>
        <w:pStyle w:val="ListParagraph"/>
        <w:jc w:val="right"/>
        <w:rPr>
          <w:rFonts w:ascii="Garamond" w:hAnsi="Garamond"/>
          <w:b/>
          <w:color w:val="365F91"/>
          <w:sz w:val="24"/>
          <w:szCs w:val="24"/>
        </w:rPr>
      </w:pPr>
      <w:r w:rsidRPr="00E673B7">
        <w:rPr>
          <w:rFonts w:ascii="Garamond" w:hAnsi="Garamond"/>
          <w:b/>
          <w:color w:val="365F91"/>
          <w:sz w:val="24"/>
          <w:szCs w:val="24"/>
        </w:rPr>
        <w:t xml:space="preserve">Exhibit 5: Performance of Indices at MCX and NCDEX during </w:t>
      </w:r>
      <w:r>
        <w:rPr>
          <w:rFonts w:ascii="Garamond" w:hAnsi="Garamond"/>
          <w:b/>
          <w:color w:val="365F91"/>
          <w:sz w:val="24"/>
          <w:szCs w:val="24"/>
        </w:rPr>
        <w:t>June</w:t>
      </w:r>
      <w:r w:rsidRPr="00E673B7">
        <w:rPr>
          <w:rFonts w:ascii="Garamond" w:hAnsi="Garamond"/>
          <w:b/>
          <w:color w:val="365F91"/>
          <w:sz w:val="24"/>
          <w:szCs w:val="24"/>
        </w:rPr>
        <w:t xml:space="preserve"> 201</w:t>
      </w:r>
      <w:r>
        <w:rPr>
          <w:rFonts w:ascii="Garamond" w:hAnsi="Garamond"/>
          <w:b/>
          <w:color w:val="365F91"/>
          <w:sz w:val="24"/>
          <w:szCs w:val="24"/>
        </w:rPr>
        <w:t>7</w:t>
      </w:r>
      <w:r w:rsidRPr="00E673B7">
        <w:rPr>
          <w:rFonts w:ascii="Garamond" w:hAnsi="Garamond"/>
          <w:b/>
          <w:color w:val="365F91"/>
          <w:sz w:val="24"/>
          <w:szCs w:val="24"/>
        </w:rPr>
        <w:t xml:space="preserve"> (Percent)</w:t>
      </w:r>
    </w:p>
    <w:tbl>
      <w:tblPr>
        <w:tblW w:w="7918" w:type="dxa"/>
        <w:tblInd w:w="1278" w:type="dxa"/>
        <w:tblLook w:val="04A0" w:firstRow="1" w:lastRow="0" w:firstColumn="1" w:lastColumn="0" w:noHBand="0" w:noVBand="1"/>
      </w:tblPr>
      <w:tblGrid>
        <w:gridCol w:w="1820"/>
        <w:gridCol w:w="1397"/>
        <w:gridCol w:w="1140"/>
        <w:gridCol w:w="970"/>
        <w:gridCol w:w="1529"/>
        <w:gridCol w:w="1062"/>
      </w:tblGrid>
      <w:tr w:rsidR="0085211A" w:rsidRPr="00E673B7" w:rsidTr="000D3F04">
        <w:trPr>
          <w:trHeight w:val="300"/>
        </w:trPr>
        <w:tc>
          <w:tcPr>
            <w:tcW w:w="4357"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MCX</w:t>
            </w:r>
          </w:p>
        </w:tc>
        <w:tc>
          <w:tcPr>
            <w:tcW w:w="3561"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NCDEX</w:t>
            </w:r>
          </w:p>
        </w:tc>
      </w:tr>
      <w:tr w:rsidR="0085211A" w:rsidRPr="00E673B7" w:rsidTr="000D3F04">
        <w:trPr>
          <w:trHeight w:val="755"/>
        </w:trPr>
        <w:tc>
          <w:tcPr>
            <w:tcW w:w="1820" w:type="dxa"/>
            <w:tcBorders>
              <w:top w:val="nil"/>
              <w:left w:val="single" w:sz="4" w:space="0" w:color="auto"/>
              <w:bottom w:val="nil"/>
              <w:right w:val="single" w:sz="4" w:space="0" w:color="auto"/>
            </w:tcBorders>
            <w:shd w:val="clear" w:color="000000" w:fill="C5D9F1"/>
            <w:noWrap/>
            <w:vAlign w:val="center"/>
            <w:hideMark/>
          </w:tcPr>
          <w:p w:rsidR="0085211A" w:rsidRPr="00E673B7" w:rsidRDefault="0085211A" w:rsidP="000D3F04">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Index</w:t>
            </w:r>
          </w:p>
        </w:tc>
        <w:tc>
          <w:tcPr>
            <w:tcW w:w="1397" w:type="dxa"/>
            <w:tcBorders>
              <w:top w:val="nil"/>
              <w:left w:val="nil"/>
              <w:bottom w:val="nil"/>
              <w:right w:val="single" w:sz="4" w:space="0" w:color="auto"/>
            </w:tcBorders>
            <w:shd w:val="clear" w:color="000000" w:fill="C5D9F1"/>
            <w:vAlign w:val="center"/>
            <w:hideMark/>
          </w:tcPr>
          <w:p w:rsidR="0085211A" w:rsidRPr="00E673B7" w:rsidRDefault="0085211A" w:rsidP="000D3F04">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Change over Previous month</w:t>
            </w:r>
          </w:p>
        </w:tc>
        <w:tc>
          <w:tcPr>
            <w:tcW w:w="1140" w:type="dxa"/>
            <w:tcBorders>
              <w:top w:val="nil"/>
              <w:left w:val="nil"/>
              <w:bottom w:val="nil"/>
              <w:right w:val="nil"/>
            </w:tcBorders>
            <w:shd w:val="clear" w:color="000000" w:fill="C5D9F1"/>
            <w:vAlign w:val="center"/>
            <w:hideMark/>
          </w:tcPr>
          <w:p w:rsidR="0085211A" w:rsidRPr="00E673B7" w:rsidRDefault="0085211A" w:rsidP="000D3F04">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Daily Volatility</w:t>
            </w:r>
          </w:p>
        </w:tc>
        <w:tc>
          <w:tcPr>
            <w:tcW w:w="970" w:type="dxa"/>
            <w:tcBorders>
              <w:top w:val="nil"/>
              <w:left w:val="single" w:sz="4" w:space="0" w:color="auto"/>
              <w:bottom w:val="nil"/>
              <w:right w:val="single" w:sz="4" w:space="0" w:color="auto"/>
            </w:tcBorders>
            <w:shd w:val="clear" w:color="000000" w:fill="C5D9F1"/>
            <w:vAlign w:val="center"/>
            <w:hideMark/>
          </w:tcPr>
          <w:p w:rsidR="0085211A" w:rsidRPr="00E673B7" w:rsidRDefault="0085211A" w:rsidP="000D3F04">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Index</w:t>
            </w:r>
          </w:p>
        </w:tc>
        <w:tc>
          <w:tcPr>
            <w:tcW w:w="1529" w:type="dxa"/>
            <w:tcBorders>
              <w:top w:val="nil"/>
              <w:left w:val="nil"/>
              <w:bottom w:val="nil"/>
              <w:right w:val="single" w:sz="4" w:space="0" w:color="auto"/>
            </w:tcBorders>
            <w:shd w:val="clear" w:color="000000" w:fill="C5D9F1"/>
            <w:vAlign w:val="center"/>
            <w:hideMark/>
          </w:tcPr>
          <w:p w:rsidR="0085211A" w:rsidRPr="00E673B7" w:rsidRDefault="0085211A" w:rsidP="000D3F04">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Change over Previous month</w:t>
            </w:r>
          </w:p>
        </w:tc>
        <w:tc>
          <w:tcPr>
            <w:tcW w:w="1062" w:type="dxa"/>
            <w:tcBorders>
              <w:top w:val="nil"/>
              <w:left w:val="nil"/>
              <w:bottom w:val="nil"/>
              <w:right w:val="single" w:sz="4" w:space="0" w:color="auto"/>
            </w:tcBorders>
            <w:shd w:val="clear" w:color="000000" w:fill="C5D9F1"/>
            <w:vAlign w:val="center"/>
            <w:hideMark/>
          </w:tcPr>
          <w:p w:rsidR="0085211A" w:rsidRPr="00E673B7" w:rsidRDefault="0085211A" w:rsidP="000D3F04">
            <w:pPr>
              <w:spacing w:after="0" w:line="240" w:lineRule="auto"/>
              <w:jc w:val="both"/>
              <w:rPr>
                <w:rFonts w:ascii="Garamond" w:eastAsia="Times New Roman" w:hAnsi="Garamond"/>
                <w:b/>
                <w:bCs/>
                <w:color w:val="000000"/>
              </w:rPr>
            </w:pPr>
            <w:r w:rsidRPr="00E673B7">
              <w:rPr>
                <w:rFonts w:ascii="Garamond" w:eastAsia="Times New Roman" w:hAnsi="Garamond"/>
                <w:b/>
                <w:bCs/>
                <w:color w:val="000000"/>
              </w:rPr>
              <w:t>Daily Volatility</w:t>
            </w:r>
          </w:p>
        </w:tc>
      </w:tr>
      <w:tr w:rsidR="0085211A" w:rsidRPr="00E673B7" w:rsidTr="000D3F04">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C5D9F1"/>
            <w:noWrap/>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1</w:t>
            </w:r>
          </w:p>
        </w:tc>
        <w:tc>
          <w:tcPr>
            <w:tcW w:w="1397" w:type="dxa"/>
            <w:tcBorders>
              <w:top w:val="single" w:sz="4" w:space="0" w:color="auto"/>
              <w:left w:val="nil"/>
              <w:bottom w:val="single" w:sz="4" w:space="0" w:color="auto"/>
              <w:right w:val="single" w:sz="4" w:space="0" w:color="auto"/>
            </w:tcBorders>
            <w:shd w:val="clear" w:color="000000" w:fill="C5D9F1"/>
            <w:noWrap/>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2</w:t>
            </w:r>
          </w:p>
        </w:tc>
        <w:tc>
          <w:tcPr>
            <w:tcW w:w="1140" w:type="dxa"/>
            <w:tcBorders>
              <w:top w:val="single" w:sz="4" w:space="0" w:color="auto"/>
              <w:left w:val="nil"/>
              <w:bottom w:val="single" w:sz="4" w:space="0" w:color="auto"/>
              <w:right w:val="nil"/>
            </w:tcBorders>
            <w:shd w:val="clear" w:color="000000" w:fill="C5D9F1"/>
            <w:noWrap/>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3</w:t>
            </w:r>
          </w:p>
        </w:tc>
        <w:tc>
          <w:tcPr>
            <w:tcW w:w="970" w:type="dxa"/>
            <w:tcBorders>
              <w:top w:val="single" w:sz="4" w:space="0" w:color="auto"/>
              <w:left w:val="single" w:sz="4" w:space="0" w:color="auto"/>
              <w:bottom w:val="single" w:sz="4" w:space="0" w:color="auto"/>
              <w:right w:val="single" w:sz="4" w:space="0" w:color="auto"/>
            </w:tcBorders>
            <w:shd w:val="clear" w:color="000000" w:fill="C5D9F1"/>
            <w:noWrap/>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4</w:t>
            </w:r>
          </w:p>
        </w:tc>
        <w:tc>
          <w:tcPr>
            <w:tcW w:w="1529" w:type="dxa"/>
            <w:tcBorders>
              <w:top w:val="single" w:sz="4" w:space="0" w:color="auto"/>
              <w:left w:val="nil"/>
              <w:bottom w:val="single" w:sz="4" w:space="0" w:color="auto"/>
              <w:right w:val="single" w:sz="4" w:space="0" w:color="auto"/>
            </w:tcBorders>
            <w:shd w:val="clear" w:color="000000" w:fill="C5D9F1"/>
            <w:noWrap/>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5</w:t>
            </w:r>
          </w:p>
        </w:tc>
        <w:tc>
          <w:tcPr>
            <w:tcW w:w="1062" w:type="dxa"/>
            <w:tcBorders>
              <w:top w:val="single" w:sz="4" w:space="0" w:color="auto"/>
              <w:left w:val="nil"/>
              <w:bottom w:val="single" w:sz="4" w:space="0" w:color="auto"/>
              <w:right w:val="single" w:sz="4" w:space="0" w:color="auto"/>
            </w:tcBorders>
            <w:shd w:val="clear" w:color="000000" w:fill="C5D9F1"/>
            <w:noWrap/>
            <w:hideMark/>
          </w:tcPr>
          <w:p w:rsidR="0085211A" w:rsidRPr="00E673B7" w:rsidRDefault="0085211A" w:rsidP="000D3F04">
            <w:pPr>
              <w:spacing w:after="0" w:line="240" w:lineRule="auto"/>
              <w:jc w:val="center"/>
              <w:rPr>
                <w:rFonts w:ascii="Garamond" w:eastAsia="Times New Roman" w:hAnsi="Garamond"/>
                <w:b/>
                <w:bCs/>
                <w:color w:val="000000"/>
              </w:rPr>
            </w:pPr>
            <w:r w:rsidRPr="00E673B7">
              <w:rPr>
                <w:rFonts w:ascii="Garamond" w:eastAsia="Times New Roman" w:hAnsi="Garamond"/>
                <w:b/>
                <w:bCs/>
                <w:color w:val="000000"/>
              </w:rPr>
              <w:t>6</w:t>
            </w:r>
          </w:p>
        </w:tc>
      </w:tr>
      <w:tr w:rsidR="0085211A" w:rsidRPr="00E673B7" w:rsidTr="000D3F04">
        <w:trPr>
          <w:trHeight w:val="360"/>
        </w:trPr>
        <w:tc>
          <w:tcPr>
            <w:tcW w:w="1820" w:type="dxa"/>
            <w:tcBorders>
              <w:top w:val="nil"/>
              <w:left w:val="single" w:sz="4" w:space="0" w:color="auto"/>
              <w:bottom w:val="nil"/>
              <w:right w:val="single" w:sz="4" w:space="0" w:color="auto"/>
            </w:tcBorders>
            <w:shd w:val="clear" w:color="000000" w:fill="D8D8D8"/>
            <w:vAlign w:val="center"/>
            <w:hideMark/>
          </w:tcPr>
          <w:p w:rsidR="0085211A" w:rsidRPr="00E673B7" w:rsidRDefault="0085211A" w:rsidP="000D3F04">
            <w:pPr>
              <w:spacing w:after="0" w:line="240" w:lineRule="auto"/>
              <w:jc w:val="both"/>
              <w:rPr>
                <w:rFonts w:ascii="Garamond" w:eastAsia="Times New Roman" w:hAnsi="Garamond"/>
                <w:color w:val="000000"/>
              </w:rPr>
            </w:pPr>
            <w:r>
              <w:rPr>
                <w:rFonts w:ascii="Garamond" w:eastAsia="Times New Roman" w:hAnsi="Garamond"/>
                <w:color w:val="000000"/>
              </w:rPr>
              <w:t>MCXCOMDEX</w:t>
            </w:r>
          </w:p>
        </w:tc>
        <w:tc>
          <w:tcPr>
            <w:tcW w:w="1397"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-1.72</w:t>
            </w:r>
          </w:p>
        </w:tc>
        <w:tc>
          <w:tcPr>
            <w:tcW w:w="1140" w:type="dxa"/>
            <w:tcBorders>
              <w:top w:val="nil"/>
              <w:left w:val="nil"/>
              <w:bottom w:val="nil"/>
              <w:right w:val="single" w:sz="4" w:space="0" w:color="auto"/>
            </w:tcBorders>
            <w:shd w:val="clear" w:color="000000" w:fill="D8D8D8"/>
            <w:noWrap/>
            <w:vAlign w:val="center"/>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0.58</w:t>
            </w:r>
          </w:p>
        </w:tc>
        <w:tc>
          <w:tcPr>
            <w:tcW w:w="970" w:type="dxa"/>
            <w:tcBorders>
              <w:top w:val="nil"/>
              <w:left w:val="nil"/>
              <w:bottom w:val="nil"/>
              <w:right w:val="single" w:sz="4" w:space="0" w:color="auto"/>
            </w:tcBorders>
            <w:shd w:val="clear" w:color="000000" w:fill="D8D8D8"/>
            <w:vAlign w:val="center"/>
            <w:hideMark/>
          </w:tcPr>
          <w:p w:rsidR="0085211A" w:rsidRPr="00E673B7" w:rsidRDefault="0085211A" w:rsidP="000D3F04">
            <w:pPr>
              <w:spacing w:after="0" w:line="240" w:lineRule="auto"/>
              <w:jc w:val="right"/>
              <w:rPr>
                <w:rFonts w:ascii="Garamond" w:eastAsia="Times New Roman" w:hAnsi="Garamond"/>
                <w:color w:val="000000"/>
              </w:rPr>
            </w:pPr>
            <w:r w:rsidRPr="00E673B7">
              <w:rPr>
                <w:rFonts w:ascii="Garamond" w:eastAsia="Times New Roman" w:hAnsi="Garamond"/>
                <w:color w:val="000000"/>
              </w:rPr>
              <w:t>Dhaanya</w:t>
            </w:r>
          </w:p>
        </w:tc>
        <w:tc>
          <w:tcPr>
            <w:tcW w:w="1529"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2.44</w:t>
            </w:r>
          </w:p>
        </w:tc>
        <w:tc>
          <w:tcPr>
            <w:tcW w:w="1062"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0.64</w:t>
            </w:r>
          </w:p>
        </w:tc>
      </w:tr>
      <w:tr w:rsidR="0085211A" w:rsidRPr="00E673B7" w:rsidTr="000D3F04">
        <w:trPr>
          <w:trHeight w:val="360"/>
        </w:trPr>
        <w:tc>
          <w:tcPr>
            <w:tcW w:w="1820" w:type="dxa"/>
            <w:tcBorders>
              <w:top w:val="nil"/>
              <w:left w:val="single" w:sz="4" w:space="0" w:color="auto"/>
              <w:bottom w:val="nil"/>
              <w:right w:val="single" w:sz="4" w:space="0" w:color="auto"/>
            </w:tcBorders>
            <w:shd w:val="clear" w:color="000000" w:fill="D8D8D8"/>
            <w:vAlign w:val="center"/>
            <w:hideMark/>
          </w:tcPr>
          <w:p w:rsidR="0085211A" w:rsidRPr="00E673B7" w:rsidRDefault="0085211A" w:rsidP="000D3F04">
            <w:pPr>
              <w:spacing w:after="0" w:line="240" w:lineRule="auto"/>
              <w:jc w:val="both"/>
              <w:rPr>
                <w:rFonts w:ascii="Garamond" w:eastAsia="Times New Roman" w:hAnsi="Garamond"/>
                <w:color w:val="000000"/>
              </w:rPr>
            </w:pPr>
            <w:r w:rsidRPr="00E673B7">
              <w:rPr>
                <w:rFonts w:ascii="Garamond" w:eastAsia="Times New Roman" w:hAnsi="Garamond"/>
                <w:color w:val="000000"/>
              </w:rPr>
              <w:t>MCX Metal</w:t>
            </w:r>
          </w:p>
        </w:tc>
        <w:tc>
          <w:tcPr>
            <w:tcW w:w="1397"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1.30</w:t>
            </w:r>
          </w:p>
        </w:tc>
        <w:tc>
          <w:tcPr>
            <w:tcW w:w="1140" w:type="dxa"/>
            <w:tcBorders>
              <w:top w:val="nil"/>
              <w:left w:val="nil"/>
              <w:bottom w:val="nil"/>
              <w:right w:val="single" w:sz="4" w:space="0" w:color="auto"/>
            </w:tcBorders>
            <w:shd w:val="clear" w:color="000000" w:fill="D8D8D8"/>
            <w:noWrap/>
            <w:vAlign w:val="center"/>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0.50</w:t>
            </w:r>
          </w:p>
        </w:tc>
        <w:tc>
          <w:tcPr>
            <w:tcW w:w="970" w:type="dxa"/>
            <w:tcBorders>
              <w:top w:val="nil"/>
              <w:left w:val="nil"/>
              <w:bottom w:val="nil"/>
              <w:right w:val="single" w:sz="4" w:space="0" w:color="auto"/>
            </w:tcBorders>
            <w:shd w:val="clear" w:color="000000" w:fill="D8D8D8"/>
            <w:vAlign w:val="center"/>
            <w:hideMark/>
          </w:tcPr>
          <w:p w:rsidR="0085211A" w:rsidRPr="00E673B7" w:rsidRDefault="0085211A" w:rsidP="000D3F04">
            <w:pPr>
              <w:spacing w:after="0" w:line="240" w:lineRule="auto"/>
              <w:jc w:val="right"/>
              <w:rPr>
                <w:rFonts w:ascii="Garamond" w:eastAsia="Times New Roman" w:hAnsi="Garamond"/>
                <w:color w:val="000000"/>
              </w:rPr>
            </w:pPr>
          </w:p>
        </w:tc>
        <w:tc>
          <w:tcPr>
            <w:tcW w:w="1529"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p>
        </w:tc>
        <w:tc>
          <w:tcPr>
            <w:tcW w:w="1062"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p>
        </w:tc>
      </w:tr>
      <w:tr w:rsidR="0085211A" w:rsidRPr="00E673B7" w:rsidTr="000D3F04">
        <w:trPr>
          <w:trHeight w:val="360"/>
        </w:trPr>
        <w:tc>
          <w:tcPr>
            <w:tcW w:w="1820" w:type="dxa"/>
            <w:tcBorders>
              <w:top w:val="nil"/>
              <w:left w:val="single" w:sz="4" w:space="0" w:color="auto"/>
              <w:bottom w:val="nil"/>
              <w:right w:val="single" w:sz="4" w:space="0" w:color="auto"/>
            </w:tcBorders>
            <w:shd w:val="clear" w:color="000000" w:fill="D8D8D8"/>
            <w:vAlign w:val="center"/>
            <w:hideMark/>
          </w:tcPr>
          <w:p w:rsidR="0085211A" w:rsidRPr="00E673B7" w:rsidRDefault="0085211A" w:rsidP="000D3F04">
            <w:pPr>
              <w:spacing w:after="0" w:line="240" w:lineRule="auto"/>
              <w:jc w:val="both"/>
              <w:rPr>
                <w:rFonts w:ascii="Garamond" w:eastAsia="Times New Roman" w:hAnsi="Garamond"/>
                <w:color w:val="000000"/>
              </w:rPr>
            </w:pPr>
            <w:r w:rsidRPr="00E673B7">
              <w:rPr>
                <w:rFonts w:ascii="Garamond" w:eastAsia="Times New Roman" w:hAnsi="Garamond"/>
                <w:color w:val="000000"/>
              </w:rPr>
              <w:t>MCX Energy</w:t>
            </w:r>
          </w:p>
        </w:tc>
        <w:tc>
          <w:tcPr>
            <w:tcW w:w="1397"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-4.90</w:t>
            </w:r>
          </w:p>
        </w:tc>
        <w:tc>
          <w:tcPr>
            <w:tcW w:w="1140" w:type="dxa"/>
            <w:tcBorders>
              <w:top w:val="nil"/>
              <w:left w:val="nil"/>
              <w:bottom w:val="nil"/>
              <w:right w:val="single" w:sz="4" w:space="0" w:color="auto"/>
            </w:tcBorders>
            <w:shd w:val="clear" w:color="000000" w:fill="D8D8D8"/>
            <w:noWrap/>
            <w:vAlign w:val="center"/>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1.64</w:t>
            </w:r>
          </w:p>
        </w:tc>
        <w:tc>
          <w:tcPr>
            <w:tcW w:w="970" w:type="dxa"/>
            <w:tcBorders>
              <w:top w:val="nil"/>
              <w:left w:val="nil"/>
              <w:bottom w:val="nil"/>
              <w:right w:val="single" w:sz="4" w:space="0" w:color="auto"/>
            </w:tcBorders>
            <w:shd w:val="clear" w:color="000000" w:fill="D8D8D8"/>
            <w:vAlign w:val="center"/>
            <w:hideMark/>
          </w:tcPr>
          <w:p w:rsidR="0085211A" w:rsidRPr="00E673B7" w:rsidRDefault="0085211A" w:rsidP="000D3F04">
            <w:pPr>
              <w:spacing w:after="0" w:line="240" w:lineRule="auto"/>
              <w:jc w:val="right"/>
              <w:rPr>
                <w:rFonts w:ascii="Garamond" w:eastAsia="Times New Roman" w:hAnsi="Garamond"/>
                <w:color w:val="000000"/>
              </w:rPr>
            </w:pPr>
          </w:p>
        </w:tc>
        <w:tc>
          <w:tcPr>
            <w:tcW w:w="1529"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p>
        </w:tc>
        <w:tc>
          <w:tcPr>
            <w:tcW w:w="1062" w:type="dxa"/>
            <w:tcBorders>
              <w:top w:val="nil"/>
              <w:left w:val="nil"/>
              <w:bottom w:val="nil"/>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p>
        </w:tc>
      </w:tr>
      <w:tr w:rsidR="0085211A" w:rsidRPr="00E673B7" w:rsidTr="000D3F04">
        <w:trPr>
          <w:trHeight w:val="360"/>
        </w:trPr>
        <w:tc>
          <w:tcPr>
            <w:tcW w:w="1820" w:type="dxa"/>
            <w:tcBorders>
              <w:top w:val="nil"/>
              <w:left w:val="single" w:sz="4" w:space="0" w:color="auto"/>
              <w:bottom w:val="single" w:sz="4" w:space="0" w:color="auto"/>
              <w:right w:val="single" w:sz="4" w:space="0" w:color="auto"/>
            </w:tcBorders>
            <w:shd w:val="clear" w:color="000000" w:fill="D8D8D8"/>
            <w:vAlign w:val="center"/>
            <w:hideMark/>
          </w:tcPr>
          <w:p w:rsidR="0085211A" w:rsidRPr="00E673B7" w:rsidRDefault="0085211A" w:rsidP="000D3F04">
            <w:pPr>
              <w:spacing w:after="0" w:line="240" w:lineRule="auto"/>
              <w:jc w:val="both"/>
              <w:rPr>
                <w:rFonts w:ascii="Garamond" w:eastAsia="Times New Roman" w:hAnsi="Garamond"/>
                <w:color w:val="000000"/>
              </w:rPr>
            </w:pPr>
            <w:r w:rsidRPr="00E673B7">
              <w:rPr>
                <w:rFonts w:ascii="Garamond" w:eastAsia="Times New Roman" w:hAnsi="Garamond"/>
                <w:color w:val="000000"/>
              </w:rPr>
              <w:t>MCX Agri.</w:t>
            </w:r>
          </w:p>
        </w:tc>
        <w:tc>
          <w:tcPr>
            <w:tcW w:w="1397" w:type="dxa"/>
            <w:tcBorders>
              <w:top w:val="nil"/>
              <w:left w:val="nil"/>
              <w:bottom w:val="single" w:sz="4" w:space="0" w:color="auto"/>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-6.80</w:t>
            </w:r>
          </w:p>
        </w:tc>
        <w:tc>
          <w:tcPr>
            <w:tcW w:w="1140" w:type="dxa"/>
            <w:tcBorders>
              <w:top w:val="nil"/>
              <w:left w:val="nil"/>
              <w:bottom w:val="single" w:sz="4" w:space="0" w:color="auto"/>
              <w:right w:val="single" w:sz="4" w:space="0" w:color="auto"/>
            </w:tcBorders>
            <w:shd w:val="clear" w:color="000000" w:fill="D8D8D8"/>
            <w:noWrap/>
            <w:vAlign w:val="center"/>
          </w:tcPr>
          <w:p w:rsidR="0085211A" w:rsidRPr="00E673B7" w:rsidRDefault="0085211A" w:rsidP="000D3F04">
            <w:pPr>
              <w:spacing w:after="0" w:line="240" w:lineRule="auto"/>
              <w:jc w:val="right"/>
              <w:rPr>
                <w:rFonts w:ascii="Garamond" w:eastAsia="Times New Roman" w:hAnsi="Garamond"/>
                <w:color w:val="000000"/>
              </w:rPr>
            </w:pPr>
            <w:r>
              <w:rPr>
                <w:rFonts w:ascii="Garamond" w:eastAsia="Times New Roman" w:hAnsi="Garamond"/>
                <w:color w:val="000000"/>
              </w:rPr>
              <w:t>0.67</w:t>
            </w:r>
          </w:p>
        </w:tc>
        <w:tc>
          <w:tcPr>
            <w:tcW w:w="970" w:type="dxa"/>
            <w:tcBorders>
              <w:top w:val="nil"/>
              <w:left w:val="nil"/>
              <w:bottom w:val="single" w:sz="4" w:space="0" w:color="auto"/>
              <w:right w:val="single" w:sz="4" w:space="0" w:color="auto"/>
            </w:tcBorders>
            <w:shd w:val="clear" w:color="000000" w:fill="D8D8D8"/>
            <w:vAlign w:val="center"/>
            <w:hideMark/>
          </w:tcPr>
          <w:p w:rsidR="0085211A" w:rsidRPr="00E673B7" w:rsidRDefault="0085211A" w:rsidP="000D3F04">
            <w:pPr>
              <w:spacing w:after="0" w:line="240" w:lineRule="auto"/>
              <w:jc w:val="right"/>
              <w:rPr>
                <w:rFonts w:ascii="Garamond" w:eastAsia="Times New Roman" w:hAnsi="Garamond"/>
                <w:color w:val="000000"/>
              </w:rPr>
            </w:pPr>
          </w:p>
        </w:tc>
        <w:tc>
          <w:tcPr>
            <w:tcW w:w="1529" w:type="dxa"/>
            <w:tcBorders>
              <w:top w:val="nil"/>
              <w:left w:val="nil"/>
              <w:bottom w:val="single" w:sz="4" w:space="0" w:color="auto"/>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p>
        </w:tc>
        <w:tc>
          <w:tcPr>
            <w:tcW w:w="1062" w:type="dxa"/>
            <w:tcBorders>
              <w:top w:val="nil"/>
              <w:left w:val="nil"/>
              <w:bottom w:val="single" w:sz="4" w:space="0" w:color="auto"/>
              <w:right w:val="single" w:sz="4" w:space="0" w:color="auto"/>
            </w:tcBorders>
            <w:shd w:val="clear" w:color="000000" w:fill="D8D8D8"/>
            <w:noWrap/>
            <w:vAlign w:val="center"/>
            <w:hideMark/>
          </w:tcPr>
          <w:p w:rsidR="0085211A" w:rsidRPr="00E673B7" w:rsidRDefault="0085211A" w:rsidP="000D3F04">
            <w:pPr>
              <w:spacing w:after="0" w:line="240" w:lineRule="auto"/>
              <w:jc w:val="right"/>
              <w:rPr>
                <w:rFonts w:ascii="Garamond" w:eastAsia="Times New Roman" w:hAnsi="Garamond"/>
                <w:color w:val="000000"/>
              </w:rPr>
            </w:pPr>
          </w:p>
        </w:tc>
      </w:tr>
    </w:tbl>
    <w:p w:rsidR="0085211A" w:rsidRPr="009B56BA" w:rsidRDefault="0085211A" w:rsidP="0085211A">
      <w:pPr>
        <w:pStyle w:val="ListParagraph"/>
        <w:spacing w:after="0"/>
        <w:ind w:left="1530"/>
        <w:jc w:val="both"/>
        <w:rPr>
          <w:rFonts w:ascii="Garamond" w:hAnsi="Garamond" w:cs="Arial"/>
          <w:bCs/>
          <w:sz w:val="22"/>
          <w:szCs w:val="22"/>
        </w:rPr>
      </w:pPr>
      <w:r w:rsidRPr="009B56BA">
        <w:rPr>
          <w:rFonts w:ascii="Garamond" w:hAnsi="Garamond" w:cs="Arial"/>
          <w:bCs/>
          <w:sz w:val="22"/>
          <w:szCs w:val="22"/>
        </w:rPr>
        <w:t>Source: MCX and NCDEX</w:t>
      </w:r>
    </w:p>
    <w:p w:rsidR="0085211A" w:rsidRDefault="0085211A" w:rsidP="0085211A">
      <w:pPr>
        <w:pStyle w:val="ListParagraph"/>
        <w:spacing w:after="0" w:line="240" w:lineRule="auto"/>
        <w:jc w:val="both"/>
        <w:rPr>
          <w:rFonts w:ascii="Garamond" w:hAnsi="Garamond" w:cs="Arial"/>
          <w:bCs/>
          <w:sz w:val="24"/>
          <w:szCs w:val="24"/>
        </w:rPr>
      </w:pPr>
    </w:p>
    <w:p w:rsidR="0085211A" w:rsidRPr="00570F43" w:rsidRDefault="0085211A" w:rsidP="0085211A">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June</w:t>
      </w:r>
      <w:r w:rsidRPr="00E40A27">
        <w:rPr>
          <w:rFonts w:ascii="Garamond" w:hAnsi="Garamond" w:cs="Arial"/>
          <w:bCs/>
          <w:sz w:val="24"/>
          <w:szCs w:val="24"/>
        </w:rPr>
        <w:t xml:space="preserve"> 2017, </w:t>
      </w:r>
      <w:r>
        <w:rPr>
          <w:rFonts w:ascii="Garamond" w:hAnsi="Garamond" w:cs="Arial"/>
          <w:bCs/>
          <w:sz w:val="24"/>
          <w:szCs w:val="24"/>
        </w:rPr>
        <w:t xml:space="preserve">the </w:t>
      </w:r>
      <w:r w:rsidRPr="00E40A27">
        <w:rPr>
          <w:rFonts w:ascii="Garamond" w:hAnsi="Garamond" w:cs="Arial"/>
          <w:bCs/>
          <w:sz w:val="24"/>
          <w:szCs w:val="24"/>
        </w:rPr>
        <w:t>national commodity exchanges</w:t>
      </w:r>
      <w:r>
        <w:rPr>
          <w:rFonts w:ascii="Garamond" w:hAnsi="Garamond" w:cs="Arial"/>
          <w:bCs/>
          <w:sz w:val="24"/>
          <w:szCs w:val="24"/>
        </w:rPr>
        <w:t xml:space="preserve"> namely, </w:t>
      </w:r>
      <w:r w:rsidRPr="00E40A27">
        <w:rPr>
          <w:rFonts w:ascii="Garamond" w:hAnsi="Garamond" w:cs="Arial"/>
          <w:bCs/>
          <w:sz w:val="24"/>
          <w:szCs w:val="24"/>
        </w:rPr>
        <w:t xml:space="preserve">MCX and </w:t>
      </w:r>
      <w:r>
        <w:rPr>
          <w:rFonts w:ascii="Garamond" w:hAnsi="Garamond" w:cs="Arial"/>
          <w:bCs/>
          <w:sz w:val="24"/>
          <w:szCs w:val="24"/>
        </w:rPr>
        <w:t>NCDEX</w:t>
      </w:r>
      <w:r w:rsidRPr="00E40A27">
        <w:rPr>
          <w:rFonts w:ascii="Garamond" w:hAnsi="Garamond" w:cs="Arial"/>
          <w:bCs/>
          <w:sz w:val="24"/>
          <w:szCs w:val="24"/>
        </w:rPr>
        <w:t xml:space="preserve"> </w:t>
      </w:r>
      <w:r>
        <w:rPr>
          <w:rFonts w:ascii="Garamond" w:hAnsi="Garamond" w:cs="Arial"/>
          <w:bCs/>
          <w:sz w:val="24"/>
          <w:szCs w:val="24"/>
        </w:rPr>
        <w:t xml:space="preserve">recorded a decrease in turnover while NMCE recorded an increase in turnover.  The regional stock exchange of Chamber of </w:t>
      </w:r>
      <w:r w:rsidRPr="00570F43">
        <w:rPr>
          <w:rFonts w:ascii="Garamond" w:hAnsi="Garamond" w:cs="Arial"/>
          <w:bCs/>
          <w:sz w:val="24"/>
          <w:szCs w:val="24"/>
        </w:rPr>
        <w:t>Commerce (</w:t>
      </w:r>
      <w:proofErr w:type="spellStart"/>
      <w:r w:rsidRPr="00570F43">
        <w:rPr>
          <w:rFonts w:ascii="Garamond" w:hAnsi="Garamond" w:cs="Arial"/>
          <w:bCs/>
          <w:sz w:val="24"/>
          <w:szCs w:val="24"/>
        </w:rPr>
        <w:t>CoC</w:t>
      </w:r>
      <w:proofErr w:type="spellEnd"/>
      <w:r w:rsidRPr="00570F43">
        <w:rPr>
          <w:rFonts w:ascii="Garamond" w:hAnsi="Garamond" w:cs="Arial"/>
          <w:bCs/>
          <w:sz w:val="24"/>
          <w:szCs w:val="24"/>
        </w:rPr>
        <w:t xml:space="preserve">), Hapur also recorded decrease in turnover over the previous month.  The total turnover at all the three national exchanges stood at </w:t>
      </w:r>
      <w:r w:rsidRPr="00570F43">
        <w:rPr>
          <w:rFonts w:ascii="Rupee Foradian" w:hAnsi="Rupee Foradian" w:cs="Tahoma"/>
          <w:bCs/>
          <w:sz w:val="24"/>
          <w:szCs w:val="24"/>
        </w:rPr>
        <w:t>`</w:t>
      </w:r>
      <w:r w:rsidRPr="00570F43">
        <w:rPr>
          <w:rFonts w:ascii="Garamond" w:hAnsi="Garamond" w:cs="Arial"/>
          <w:bCs/>
          <w:sz w:val="24"/>
          <w:szCs w:val="24"/>
        </w:rPr>
        <w:t>4</w:t>
      </w:r>
      <w:proofErr w:type="gramStart"/>
      <w:r w:rsidRPr="00570F43">
        <w:rPr>
          <w:rFonts w:ascii="Garamond" w:hAnsi="Garamond" w:cs="Arial"/>
          <w:bCs/>
          <w:sz w:val="24"/>
          <w:szCs w:val="24"/>
        </w:rPr>
        <w:t>,57,934</w:t>
      </w:r>
      <w:proofErr w:type="gramEnd"/>
      <w:r w:rsidRPr="00570F43">
        <w:rPr>
          <w:rFonts w:ascii="Garamond" w:hAnsi="Garamond" w:cs="Arial"/>
          <w:bCs/>
          <w:sz w:val="24"/>
          <w:szCs w:val="24"/>
        </w:rPr>
        <w:t xml:space="preserve"> crore. Out of this total turnover, agricultural commodities contributed </w:t>
      </w:r>
      <w:r w:rsidRPr="00570F43">
        <w:rPr>
          <w:rFonts w:ascii="Rupee Foradian" w:hAnsi="Rupee Foradian" w:cs="Arial"/>
          <w:bCs/>
          <w:sz w:val="24"/>
          <w:szCs w:val="24"/>
        </w:rPr>
        <w:t>`</w:t>
      </w:r>
      <w:r w:rsidRPr="00570F43">
        <w:rPr>
          <w:rFonts w:ascii="Garamond" w:hAnsi="Garamond" w:cs="Arial"/>
          <w:bCs/>
          <w:sz w:val="24"/>
          <w:szCs w:val="24"/>
        </w:rPr>
        <w:t xml:space="preserve">49,250 crore (10.8 percent) while that of the non - agricultural commodities contributed </w:t>
      </w:r>
      <w:r w:rsidRPr="00570F43">
        <w:rPr>
          <w:rFonts w:ascii="Rupee Foradian" w:hAnsi="Rupee Foradian" w:cs="Tahoma"/>
          <w:bCs/>
          <w:sz w:val="24"/>
          <w:szCs w:val="24"/>
        </w:rPr>
        <w:t>`</w:t>
      </w:r>
      <w:r w:rsidRPr="00570F43">
        <w:rPr>
          <w:rFonts w:ascii="Garamond" w:hAnsi="Garamond" w:cs="Arial"/>
          <w:bCs/>
          <w:sz w:val="24"/>
          <w:szCs w:val="24"/>
        </w:rPr>
        <w:t>4</w:t>
      </w:r>
      <w:proofErr w:type="gramStart"/>
      <w:r w:rsidRPr="00570F43">
        <w:rPr>
          <w:rFonts w:ascii="Garamond" w:hAnsi="Garamond" w:cs="Arial"/>
          <w:bCs/>
          <w:sz w:val="24"/>
          <w:szCs w:val="24"/>
        </w:rPr>
        <w:t>,08,684</w:t>
      </w:r>
      <w:proofErr w:type="gramEnd"/>
      <w:r w:rsidRPr="00570F43">
        <w:rPr>
          <w:rFonts w:ascii="Garamond" w:hAnsi="Garamond" w:cs="Arial"/>
          <w:bCs/>
          <w:sz w:val="24"/>
          <w:szCs w:val="24"/>
        </w:rPr>
        <w:t xml:space="preserve"> crore (89.2 percent) to the total turnover. Presently, the non-agricultural commodities of Bullion, Metals and Energy segments are traded only at MCX.</w:t>
      </w:r>
    </w:p>
    <w:p w:rsidR="0085211A" w:rsidRPr="00570F43" w:rsidRDefault="0085211A" w:rsidP="0085211A">
      <w:pPr>
        <w:pStyle w:val="ListParagraph"/>
        <w:shd w:val="clear" w:color="auto" w:fill="FFFFFF" w:themeFill="background1"/>
        <w:spacing w:after="0" w:line="240" w:lineRule="auto"/>
        <w:jc w:val="both"/>
        <w:rPr>
          <w:rFonts w:ascii="Garamond" w:hAnsi="Garamond" w:cs="Arial"/>
          <w:bCs/>
          <w:sz w:val="24"/>
          <w:szCs w:val="24"/>
        </w:rPr>
      </w:pPr>
    </w:p>
    <w:p w:rsidR="0085211A" w:rsidRPr="00E40A27" w:rsidRDefault="0085211A" w:rsidP="0085211A">
      <w:pPr>
        <w:pStyle w:val="ListParagraph"/>
        <w:shd w:val="clear" w:color="auto" w:fill="FFFFFF" w:themeFill="background1"/>
        <w:spacing w:after="0" w:line="240" w:lineRule="auto"/>
        <w:jc w:val="both"/>
        <w:rPr>
          <w:rFonts w:ascii="Garamond" w:hAnsi="Garamond" w:cs="Arial"/>
          <w:bCs/>
          <w:sz w:val="24"/>
          <w:szCs w:val="24"/>
        </w:rPr>
      </w:pPr>
      <w:r w:rsidRPr="00570F43">
        <w:rPr>
          <w:rFonts w:ascii="Garamond" w:hAnsi="Garamond" w:cs="Arial"/>
          <w:bCs/>
          <w:sz w:val="24"/>
          <w:szCs w:val="24"/>
        </w:rPr>
        <w:t xml:space="preserve">The turnover at MCX decreased to </w:t>
      </w:r>
      <w:r w:rsidRPr="00570F43">
        <w:rPr>
          <w:rFonts w:ascii="Rupee Foradian" w:hAnsi="Rupee Foradian" w:cs="Arial"/>
          <w:bCs/>
          <w:sz w:val="24"/>
          <w:szCs w:val="24"/>
        </w:rPr>
        <w:t>`</w:t>
      </w:r>
      <w:r w:rsidRPr="00570F43">
        <w:rPr>
          <w:rFonts w:ascii="Garamond" w:hAnsi="Garamond" w:cs="Arial"/>
          <w:bCs/>
          <w:sz w:val="24"/>
          <w:szCs w:val="24"/>
        </w:rPr>
        <w:t>4</w:t>
      </w:r>
      <w:proofErr w:type="gramStart"/>
      <w:r w:rsidRPr="00570F43">
        <w:rPr>
          <w:rFonts w:ascii="Garamond" w:hAnsi="Garamond" w:cs="Arial"/>
          <w:bCs/>
          <w:sz w:val="24"/>
          <w:szCs w:val="24"/>
        </w:rPr>
        <w:t>,15,826</w:t>
      </w:r>
      <w:proofErr w:type="gramEnd"/>
      <w:r w:rsidRPr="00570F43">
        <w:rPr>
          <w:rFonts w:ascii="Garamond" w:hAnsi="Garamond" w:cs="Arial"/>
          <w:bCs/>
          <w:sz w:val="24"/>
          <w:szCs w:val="24"/>
        </w:rPr>
        <w:t xml:space="preserve"> crore in June 2017, a decrease of 1.31 percent over </w:t>
      </w:r>
      <w:r w:rsidRPr="00570F43">
        <w:rPr>
          <w:rFonts w:ascii="Rupee Foradian" w:hAnsi="Rupee Foradian" w:cs="Arial"/>
          <w:bCs/>
          <w:sz w:val="24"/>
          <w:szCs w:val="24"/>
        </w:rPr>
        <w:t>`</w:t>
      </w:r>
      <w:r w:rsidRPr="00570F43">
        <w:rPr>
          <w:rFonts w:ascii="Garamond" w:hAnsi="Garamond" w:cs="Arial"/>
          <w:bCs/>
          <w:sz w:val="24"/>
          <w:szCs w:val="24"/>
        </w:rPr>
        <w:t>4,21,344 crore recorded during May 2017. The contribution to the total turnover at MCX from Metal</w:t>
      </w:r>
      <w:r w:rsidRPr="00E40A27">
        <w:rPr>
          <w:rFonts w:ascii="Garamond" w:hAnsi="Garamond" w:cs="Arial"/>
          <w:bCs/>
          <w:sz w:val="24"/>
          <w:szCs w:val="24"/>
        </w:rPr>
        <w:t xml:space="preserve"> segment was at 3</w:t>
      </w:r>
      <w:r>
        <w:rPr>
          <w:rFonts w:ascii="Garamond" w:hAnsi="Garamond" w:cs="Arial"/>
          <w:bCs/>
          <w:sz w:val="24"/>
          <w:szCs w:val="24"/>
        </w:rPr>
        <w:t>5.01</w:t>
      </w:r>
      <w:r w:rsidRPr="00E40A27">
        <w:rPr>
          <w:rFonts w:ascii="Garamond" w:hAnsi="Garamond" w:cs="Arial"/>
          <w:bCs/>
          <w:sz w:val="24"/>
          <w:szCs w:val="24"/>
        </w:rPr>
        <w:t xml:space="preserve"> percent followed by </w:t>
      </w:r>
      <w:r>
        <w:rPr>
          <w:rFonts w:ascii="Garamond" w:hAnsi="Garamond" w:cs="Arial"/>
          <w:bCs/>
          <w:sz w:val="24"/>
          <w:szCs w:val="24"/>
        </w:rPr>
        <w:t>Energy</w:t>
      </w:r>
      <w:r w:rsidRPr="00E40A27">
        <w:rPr>
          <w:rFonts w:ascii="Garamond" w:hAnsi="Garamond" w:cs="Arial"/>
          <w:bCs/>
          <w:sz w:val="24"/>
          <w:szCs w:val="24"/>
        </w:rPr>
        <w:t xml:space="preserve"> segment at 3</w:t>
      </w:r>
      <w:r>
        <w:rPr>
          <w:rFonts w:ascii="Garamond" w:hAnsi="Garamond" w:cs="Arial"/>
          <w:bCs/>
          <w:sz w:val="24"/>
          <w:szCs w:val="24"/>
        </w:rPr>
        <w:t>4.05</w:t>
      </w:r>
      <w:r w:rsidRPr="00E40A27">
        <w:rPr>
          <w:rFonts w:ascii="Garamond" w:hAnsi="Garamond" w:cs="Arial"/>
          <w:bCs/>
          <w:sz w:val="24"/>
          <w:szCs w:val="24"/>
        </w:rPr>
        <w:t xml:space="preserve"> percent, Bullion segment with 29.</w:t>
      </w:r>
      <w:r>
        <w:rPr>
          <w:rFonts w:ascii="Garamond" w:hAnsi="Garamond" w:cs="Arial"/>
          <w:bCs/>
          <w:sz w:val="24"/>
          <w:szCs w:val="24"/>
        </w:rPr>
        <w:t>21</w:t>
      </w:r>
      <w:r w:rsidRPr="00E40A27">
        <w:rPr>
          <w:rFonts w:ascii="Garamond" w:hAnsi="Garamond" w:cs="Arial"/>
          <w:bCs/>
          <w:sz w:val="24"/>
          <w:szCs w:val="24"/>
        </w:rPr>
        <w:t xml:space="preserve"> percent and agricultural commodities had a share of </w:t>
      </w:r>
      <w:r>
        <w:rPr>
          <w:rFonts w:ascii="Garamond" w:hAnsi="Garamond" w:cs="Arial"/>
          <w:bCs/>
          <w:sz w:val="24"/>
          <w:szCs w:val="24"/>
        </w:rPr>
        <w:t>1.72</w:t>
      </w:r>
      <w:r w:rsidRPr="00E40A27">
        <w:rPr>
          <w:rFonts w:ascii="Garamond" w:hAnsi="Garamond" w:cs="Arial"/>
          <w:bCs/>
          <w:sz w:val="24"/>
          <w:szCs w:val="24"/>
        </w:rPr>
        <w:t xml:space="preserve"> percent.</w:t>
      </w:r>
    </w:p>
    <w:p w:rsidR="0085211A" w:rsidRPr="00E40A27" w:rsidRDefault="0085211A" w:rsidP="0085211A">
      <w:pPr>
        <w:pStyle w:val="ListParagraph"/>
        <w:spacing w:after="0" w:line="240" w:lineRule="auto"/>
        <w:jc w:val="both"/>
        <w:rPr>
          <w:rFonts w:ascii="Garamond" w:hAnsi="Garamond" w:cs="Arial"/>
          <w:bCs/>
          <w:sz w:val="24"/>
          <w:szCs w:val="24"/>
        </w:rPr>
      </w:pPr>
    </w:p>
    <w:p w:rsidR="0085211A" w:rsidRPr="00E40A27" w:rsidRDefault="0085211A" w:rsidP="0085211A">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lastRenderedPageBreak/>
        <w:t xml:space="preserve">The turnover at NCDEX has decreased from </w:t>
      </w:r>
      <w:r w:rsidRPr="00E40A27">
        <w:rPr>
          <w:rFonts w:ascii="Rupee Foradian" w:hAnsi="Rupee Foradian" w:cs="Arial"/>
          <w:bCs/>
          <w:sz w:val="24"/>
          <w:szCs w:val="24"/>
        </w:rPr>
        <w:t>`</w:t>
      </w:r>
      <w:r w:rsidRPr="00E40A27">
        <w:rPr>
          <w:rFonts w:ascii="Garamond" w:hAnsi="Garamond" w:cs="Arial"/>
          <w:bCs/>
          <w:sz w:val="24"/>
          <w:szCs w:val="24"/>
        </w:rPr>
        <w:t>43,</w:t>
      </w:r>
      <w:r>
        <w:rPr>
          <w:rFonts w:ascii="Garamond" w:hAnsi="Garamond" w:cs="Arial"/>
          <w:bCs/>
          <w:sz w:val="24"/>
          <w:szCs w:val="24"/>
        </w:rPr>
        <w:t>263</w:t>
      </w:r>
      <w:r w:rsidRPr="00E40A27">
        <w:rPr>
          <w:rFonts w:ascii="Garamond" w:hAnsi="Garamond" w:cs="Arial"/>
          <w:bCs/>
          <w:sz w:val="24"/>
          <w:szCs w:val="24"/>
        </w:rPr>
        <w:t xml:space="preserve"> crore in </w:t>
      </w:r>
      <w:r>
        <w:rPr>
          <w:rFonts w:ascii="Garamond" w:hAnsi="Garamond" w:cs="Arial"/>
          <w:bCs/>
          <w:sz w:val="24"/>
          <w:szCs w:val="24"/>
        </w:rPr>
        <w:t>May</w:t>
      </w:r>
      <w:r w:rsidRPr="00E40A27">
        <w:rPr>
          <w:rFonts w:ascii="Garamond" w:hAnsi="Garamond" w:cs="Arial"/>
          <w:bCs/>
          <w:sz w:val="24"/>
          <w:szCs w:val="24"/>
        </w:rPr>
        <w:t xml:space="preserve"> 2017 to </w:t>
      </w:r>
      <w:r w:rsidRPr="00E40A27">
        <w:rPr>
          <w:rFonts w:ascii="Rupee Foradian" w:hAnsi="Rupee Foradian" w:cs="Arial"/>
          <w:bCs/>
          <w:sz w:val="24"/>
          <w:szCs w:val="24"/>
        </w:rPr>
        <w:t>`</w:t>
      </w:r>
      <w:r w:rsidRPr="00E40A27">
        <w:rPr>
          <w:rFonts w:ascii="Garamond" w:hAnsi="Garamond" w:cs="Arial"/>
          <w:bCs/>
          <w:sz w:val="24"/>
          <w:szCs w:val="24"/>
        </w:rPr>
        <w:t>3</w:t>
      </w:r>
      <w:r>
        <w:rPr>
          <w:rFonts w:ascii="Garamond" w:hAnsi="Garamond" w:cs="Arial"/>
          <w:bCs/>
          <w:sz w:val="24"/>
          <w:szCs w:val="24"/>
        </w:rPr>
        <w:t>9,094</w:t>
      </w:r>
      <w:r w:rsidRPr="00E40A27">
        <w:rPr>
          <w:rFonts w:ascii="Garamond" w:hAnsi="Garamond" w:cs="Arial"/>
          <w:bCs/>
          <w:sz w:val="24"/>
          <w:szCs w:val="24"/>
        </w:rPr>
        <w:t xml:space="preserve"> crore in </w:t>
      </w:r>
      <w:r>
        <w:rPr>
          <w:rFonts w:ascii="Garamond" w:hAnsi="Garamond" w:cs="Arial"/>
          <w:bCs/>
          <w:sz w:val="24"/>
          <w:szCs w:val="24"/>
        </w:rPr>
        <w:t>June</w:t>
      </w:r>
      <w:r w:rsidRPr="00E40A27">
        <w:rPr>
          <w:rFonts w:ascii="Garamond" w:hAnsi="Garamond" w:cs="Arial"/>
          <w:bCs/>
          <w:sz w:val="24"/>
          <w:szCs w:val="24"/>
        </w:rPr>
        <w:t xml:space="preserve"> 2017, a decrease of </w:t>
      </w:r>
      <w:r>
        <w:rPr>
          <w:rFonts w:ascii="Garamond" w:hAnsi="Garamond" w:cs="Arial"/>
          <w:bCs/>
          <w:sz w:val="24"/>
          <w:szCs w:val="24"/>
        </w:rPr>
        <w:t>9</w:t>
      </w:r>
      <w:r w:rsidRPr="00E40A27">
        <w:rPr>
          <w:rFonts w:ascii="Garamond" w:hAnsi="Garamond" w:cs="Arial"/>
          <w:bCs/>
          <w:sz w:val="24"/>
          <w:szCs w:val="24"/>
        </w:rPr>
        <w:t xml:space="preserve">.6 percent. </w:t>
      </w:r>
    </w:p>
    <w:p w:rsidR="0085211A" w:rsidRPr="00E40A27" w:rsidRDefault="0085211A" w:rsidP="0085211A">
      <w:pPr>
        <w:pStyle w:val="ListParagraph"/>
        <w:spacing w:after="0" w:line="240" w:lineRule="auto"/>
        <w:jc w:val="both"/>
        <w:rPr>
          <w:rFonts w:ascii="Garamond" w:hAnsi="Garamond" w:cs="Arial"/>
          <w:bCs/>
          <w:sz w:val="24"/>
          <w:szCs w:val="24"/>
        </w:rPr>
      </w:pPr>
    </w:p>
    <w:p w:rsidR="0085211A" w:rsidRPr="00E40A27" w:rsidRDefault="0085211A" w:rsidP="0085211A">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total turnover at NMCE has increased from </w:t>
      </w:r>
      <w:r w:rsidRPr="00E40A27">
        <w:rPr>
          <w:rFonts w:ascii="Rupee Foradian" w:hAnsi="Rupee Foradian" w:cs="Arial"/>
          <w:bCs/>
          <w:sz w:val="24"/>
          <w:szCs w:val="24"/>
        </w:rPr>
        <w:t>`</w:t>
      </w:r>
      <w:r w:rsidRPr="00E40A27">
        <w:rPr>
          <w:rFonts w:ascii="Garamond" w:hAnsi="Garamond" w:cs="Arial"/>
          <w:bCs/>
          <w:sz w:val="24"/>
          <w:szCs w:val="24"/>
        </w:rPr>
        <w:t>2,</w:t>
      </w:r>
      <w:r>
        <w:rPr>
          <w:rFonts w:ascii="Garamond" w:hAnsi="Garamond" w:cs="Arial"/>
          <w:bCs/>
          <w:sz w:val="24"/>
          <w:szCs w:val="24"/>
        </w:rPr>
        <w:t>770</w:t>
      </w:r>
      <w:r w:rsidRPr="00E40A27">
        <w:rPr>
          <w:rFonts w:ascii="Garamond" w:hAnsi="Garamond" w:cs="Arial"/>
          <w:bCs/>
          <w:sz w:val="24"/>
          <w:szCs w:val="24"/>
        </w:rPr>
        <w:t xml:space="preserve"> crore in </w:t>
      </w:r>
      <w:r>
        <w:rPr>
          <w:rFonts w:ascii="Garamond" w:hAnsi="Garamond" w:cs="Arial"/>
          <w:bCs/>
          <w:sz w:val="24"/>
          <w:szCs w:val="24"/>
        </w:rPr>
        <w:t>May</w:t>
      </w:r>
      <w:r w:rsidRPr="00E40A27">
        <w:rPr>
          <w:rFonts w:ascii="Garamond" w:hAnsi="Garamond" w:cs="Arial"/>
          <w:bCs/>
          <w:sz w:val="24"/>
          <w:szCs w:val="24"/>
        </w:rPr>
        <w:t xml:space="preserve"> 2017 to </w:t>
      </w:r>
      <w:r w:rsidRPr="00E40A27">
        <w:rPr>
          <w:rFonts w:ascii="Rupee Foradian" w:hAnsi="Rupee Foradian" w:cs="Arial"/>
          <w:bCs/>
          <w:sz w:val="24"/>
          <w:szCs w:val="24"/>
        </w:rPr>
        <w:t>`</w:t>
      </w:r>
      <w:r w:rsidRPr="0077738C">
        <w:rPr>
          <w:rFonts w:ascii="Garamond" w:hAnsi="Garamond" w:cs="Arial"/>
          <w:bCs/>
          <w:sz w:val="24"/>
          <w:szCs w:val="24"/>
        </w:rPr>
        <w:t>3,013</w:t>
      </w:r>
      <w:r w:rsidRPr="00E40A27">
        <w:rPr>
          <w:rFonts w:ascii="Garamond" w:hAnsi="Garamond" w:cs="Arial"/>
          <w:bCs/>
          <w:sz w:val="24"/>
          <w:szCs w:val="24"/>
        </w:rPr>
        <w:t xml:space="preserve"> crore in </w:t>
      </w:r>
      <w:r>
        <w:rPr>
          <w:rFonts w:ascii="Garamond" w:hAnsi="Garamond" w:cs="Arial"/>
          <w:bCs/>
          <w:sz w:val="24"/>
          <w:szCs w:val="24"/>
        </w:rPr>
        <w:t>June</w:t>
      </w:r>
      <w:r w:rsidRPr="00E40A27">
        <w:rPr>
          <w:rFonts w:ascii="Garamond" w:hAnsi="Garamond" w:cs="Arial"/>
          <w:bCs/>
          <w:sz w:val="24"/>
          <w:szCs w:val="24"/>
        </w:rPr>
        <w:t xml:space="preserve"> 2017, an increase of </w:t>
      </w:r>
      <w:r>
        <w:rPr>
          <w:rFonts w:ascii="Garamond" w:hAnsi="Garamond" w:cs="Arial"/>
          <w:bCs/>
          <w:sz w:val="24"/>
          <w:szCs w:val="24"/>
        </w:rPr>
        <w:t>8.8</w:t>
      </w:r>
      <w:r w:rsidRPr="00E40A27">
        <w:rPr>
          <w:rFonts w:ascii="Garamond" w:hAnsi="Garamond" w:cs="Arial"/>
          <w:bCs/>
          <w:sz w:val="24"/>
          <w:szCs w:val="24"/>
        </w:rPr>
        <w:t xml:space="preserve"> percent. The entire turnover at NCDEX and NMCE </w:t>
      </w:r>
      <w:r>
        <w:rPr>
          <w:rFonts w:ascii="Garamond" w:hAnsi="Garamond" w:cs="Arial"/>
          <w:bCs/>
          <w:sz w:val="24"/>
          <w:szCs w:val="24"/>
        </w:rPr>
        <w:t>was</w:t>
      </w:r>
      <w:r w:rsidRPr="00E40A27">
        <w:rPr>
          <w:rFonts w:ascii="Garamond" w:hAnsi="Garamond" w:cs="Arial"/>
          <w:bCs/>
          <w:sz w:val="24"/>
          <w:szCs w:val="24"/>
        </w:rPr>
        <w:t xml:space="preserve"> contributed by the agricultural commodities segment. </w:t>
      </w:r>
    </w:p>
    <w:p w:rsidR="0085211A" w:rsidRDefault="0085211A" w:rsidP="0085211A">
      <w:pPr>
        <w:pStyle w:val="ListParagraph"/>
        <w:spacing w:after="0" w:line="240" w:lineRule="auto"/>
        <w:jc w:val="both"/>
        <w:rPr>
          <w:rFonts w:ascii="Garamond" w:hAnsi="Garamond" w:cs="Arial"/>
          <w:bCs/>
          <w:sz w:val="24"/>
          <w:szCs w:val="24"/>
        </w:rPr>
      </w:pPr>
    </w:p>
    <w:p w:rsidR="0085211A" w:rsidRPr="00E40A27" w:rsidRDefault="0085211A" w:rsidP="0085211A">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Pr="00E40A27">
        <w:rPr>
          <w:rFonts w:ascii="Rupee Foradian" w:hAnsi="Rupee Foradian" w:cs="Arial"/>
          <w:bCs/>
          <w:sz w:val="24"/>
          <w:szCs w:val="24"/>
        </w:rPr>
        <w:t>`</w:t>
      </w:r>
      <w:r w:rsidRPr="00E40A27">
        <w:rPr>
          <w:rFonts w:ascii="Garamond" w:hAnsi="Garamond" w:cs="Arial"/>
          <w:bCs/>
          <w:sz w:val="24"/>
          <w:szCs w:val="24"/>
        </w:rPr>
        <w:t>3</w:t>
      </w:r>
      <w:r>
        <w:rPr>
          <w:rFonts w:ascii="Garamond" w:hAnsi="Garamond" w:cs="Arial"/>
          <w:bCs/>
          <w:sz w:val="24"/>
          <w:szCs w:val="24"/>
        </w:rPr>
        <w:t>9,094</w:t>
      </w:r>
      <w:r w:rsidRPr="00E40A27">
        <w:rPr>
          <w:rFonts w:ascii="Garamond" w:hAnsi="Garamond" w:cs="Arial"/>
          <w:bCs/>
          <w:sz w:val="24"/>
          <w:szCs w:val="24"/>
        </w:rPr>
        <w:t xml:space="preserve"> crore) followed by MCX (</w:t>
      </w:r>
      <w:r w:rsidRPr="00E40A27">
        <w:rPr>
          <w:rFonts w:ascii="Rupee Foradian" w:hAnsi="Rupee Foradian" w:cs="Arial"/>
          <w:bCs/>
          <w:sz w:val="24"/>
          <w:szCs w:val="24"/>
        </w:rPr>
        <w:t>`</w:t>
      </w:r>
      <w:r w:rsidRPr="00507D64">
        <w:rPr>
          <w:rFonts w:ascii="Garamond" w:hAnsi="Garamond" w:cs="Arial"/>
          <w:bCs/>
          <w:sz w:val="24"/>
          <w:szCs w:val="24"/>
        </w:rPr>
        <w:t>7,143</w:t>
      </w:r>
      <w:r w:rsidRPr="00E40A27">
        <w:rPr>
          <w:rFonts w:ascii="Garamond" w:hAnsi="Garamond" w:cs="Arial"/>
          <w:bCs/>
          <w:sz w:val="24"/>
          <w:szCs w:val="24"/>
        </w:rPr>
        <w:t xml:space="preserve"> crore) and NMCE (</w:t>
      </w:r>
      <w:r w:rsidRPr="00E40A27">
        <w:rPr>
          <w:rFonts w:ascii="Rupee Foradian" w:hAnsi="Rupee Foradian" w:cs="Arial"/>
          <w:bCs/>
          <w:sz w:val="24"/>
          <w:szCs w:val="24"/>
        </w:rPr>
        <w:t>`</w:t>
      </w:r>
      <w:r w:rsidRPr="00507D64">
        <w:rPr>
          <w:rFonts w:ascii="Garamond" w:hAnsi="Garamond" w:cs="Arial"/>
          <w:bCs/>
          <w:sz w:val="24"/>
          <w:szCs w:val="24"/>
        </w:rPr>
        <w:t>3,013</w:t>
      </w:r>
      <w:r w:rsidRPr="00E40A27">
        <w:rPr>
          <w:rFonts w:ascii="Garamond" w:hAnsi="Garamond" w:cs="Arial"/>
          <w:bCs/>
          <w:sz w:val="24"/>
          <w:szCs w:val="24"/>
        </w:rPr>
        <w:t xml:space="preserve"> crore)</w:t>
      </w:r>
      <w:r>
        <w:rPr>
          <w:rFonts w:ascii="Garamond" w:hAnsi="Garamond" w:cs="Arial"/>
          <w:bCs/>
          <w:sz w:val="24"/>
          <w:szCs w:val="24"/>
        </w:rPr>
        <w:t xml:space="preserve">. The turnover of agricultural and non- agricultural commodities at national Exchanges is shown in </w:t>
      </w:r>
      <w:r w:rsidRPr="00E40A27">
        <w:rPr>
          <w:rFonts w:ascii="Garamond" w:hAnsi="Garamond" w:cs="Arial"/>
          <w:bCs/>
          <w:sz w:val="24"/>
          <w:szCs w:val="24"/>
        </w:rPr>
        <w:t>Figure 9</w:t>
      </w:r>
      <w:r>
        <w:rPr>
          <w:rFonts w:ascii="Garamond" w:hAnsi="Garamond" w:cs="Arial"/>
          <w:bCs/>
          <w:sz w:val="24"/>
          <w:szCs w:val="24"/>
        </w:rPr>
        <w:t xml:space="preserve"> and Figure 10 and the details in Table 63, 64 and</w:t>
      </w:r>
      <w:r w:rsidRPr="00E40A27">
        <w:rPr>
          <w:rFonts w:ascii="Garamond" w:hAnsi="Garamond" w:cs="Arial"/>
          <w:bCs/>
          <w:sz w:val="24"/>
          <w:szCs w:val="24"/>
        </w:rPr>
        <w:t xml:space="preserve"> 65.</w:t>
      </w:r>
    </w:p>
    <w:p w:rsidR="0085211A" w:rsidRPr="00E40A27" w:rsidRDefault="0085211A" w:rsidP="0085211A">
      <w:pPr>
        <w:pStyle w:val="ListParagraph"/>
        <w:spacing w:after="0" w:line="240" w:lineRule="auto"/>
        <w:jc w:val="both"/>
        <w:rPr>
          <w:rFonts w:ascii="Garamond" w:hAnsi="Garamond" w:cs="Arial"/>
          <w:bCs/>
          <w:sz w:val="24"/>
          <w:szCs w:val="24"/>
        </w:rPr>
      </w:pPr>
    </w:p>
    <w:p w:rsidR="0085211A" w:rsidRDefault="0085211A" w:rsidP="0085211A">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The </w:t>
      </w:r>
      <w:r w:rsidRPr="00E40A27">
        <w:rPr>
          <w:rFonts w:ascii="Garamond" w:hAnsi="Garamond" w:cs="Arial"/>
          <w:bCs/>
          <w:sz w:val="24"/>
          <w:szCs w:val="24"/>
        </w:rPr>
        <w:t>regional commodity exchange, Chamber of Commerce (</w:t>
      </w:r>
      <w:proofErr w:type="spellStart"/>
      <w:r w:rsidRPr="00E40A27">
        <w:rPr>
          <w:rFonts w:ascii="Garamond" w:hAnsi="Garamond" w:cs="Arial"/>
          <w:bCs/>
          <w:sz w:val="24"/>
          <w:szCs w:val="24"/>
        </w:rPr>
        <w:t>CoC</w:t>
      </w:r>
      <w:proofErr w:type="spellEnd"/>
      <w:r w:rsidRPr="00E40A27">
        <w:rPr>
          <w:rFonts w:ascii="Garamond" w:hAnsi="Garamond" w:cs="Arial"/>
          <w:bCs/>
          <w:sz w:val="24"/>
          <w:szCs w:val="24"/>
        </w:rPr>
        <w:t xml:space="preserve">), Hapur, is trading only Mustard Seed contract.  </w:t>
      </w:r>
      <w:proofErr w:type="spellStart"/>
      <w:r w:rsidRPr="00E40A27">
        <w:rPr>
          <w:rFonts w:ascii="Garamond" w:hAnsi="Garamond" w:cs="Arial"/>
          <w:bCs/>
          <w:sz w:val="24"/>
          <w:szCs w:val="24"/>
        </w:rPr>
        <w:t>CoC</w:t>
      </w:r>
      <w:proofErr w:type="spellEnd"/>
      <w:r w:rsidRPr="00E40A27">
        <w:rPr>
          <w:rFonts w:ascii="Garamond" w:hAnsi="Garamond" w:cs="Arial"/>
          <w:bCs/>
          <w:sz w:val="24"/>
          <w:szCs w:val="24"/>
        </w:rPr>
        <w:t xml:space="preserve">, Hapur recorded a turnover of </w:t>
      </w:r>
      <w:r w:rsidRPr="00E40A27">
        <w:rPr>
          <w:rFonts w:ascii="Rupee Foradian" w:hAnsi="Rupee Foradian" w:cs="Arial"/>
          <w:bCs/>
          <w:sz w:val="24"/>
          <w:szCs w:val="24"/>
        </w:rPr>
        <w:t>`</w:t>
      </w:r>
      <w:r w:rsidRPr="00507D64">
        <w:rPr>
          <w:rFonts w:ascii="Garamond" w:hAnsi="Garamond" w:cs="Arial"/>
          <w:bCs/>
          <w:sz w:val="24"/>
          <w:szCs w:val="24"/>
        </w:rPr>
        <w:t>412</w:t>
      </w:r>
      <w:r w:rsidRPr="00E40A27">
        <w:rPr>
          <w:rFonts w:ascii="Garamond" w:hAnsi="Garamond" w:cs="Arial"/>
          <w:bCs/>
          <w:sz w:val="24"/>
          <w:szCs w:val="24"/>
        </w:rPr>
        <w:t xml:space="preserve"> crore during </w:t>
      </w:r>
      <w:r>
        <w:rPr>
          <w:rFonts w:ascii="Garamond" w:hAnsi="Garamond" w:cs="Arial"/>
          <w:bCs/>
          <w:sz w:val="24"/>
          <w:szCs w:val="24"/>
        </w:rPr>
        <w:t>June</w:t>
      </w:r>
      <w:r w:rsidRPr="00E40A27">
        <w:rPr>
          <w:rFonts w:ascii="Garamond" w:hAnsi="Garamond" w:cs="Arial"/>
          <w:bCs/>
          <w:sz w:val="24"/>
          <w:szCs w:val="24"/>
        </w:rPr>
        <w:t xml:space="preserve"> 2017 as against total turnover of </w:t>
      </w:r>
      <w:r w:rsidRPr="00E40A27">
        <w:rPr>
          <w:rFonts w:ascii="Rupee Foradian" w:hAnsi="Rupee Foradian" w:cs="Arial"/>
          <w:bCs/>
          <w:sz w:val="24"/>
          <w:szCs w:val="24"/>
        </w:rPr>
        <w:t>`</w:t>
      </w:r>
      <w:r w:rsidRPr="00E40A27">
        <w:rPr>
          <w:rFonts w:ascii="Garamond" w:hAnsi="Garamond" w:cs="Arial"/>
          <w:bCs/>
          <w:sz w:val="24"/>
          <w:szCs w:val="24"/>
        </w:rPr>
        <w:t>5</w:t>
      </w:r>
      <w:r>
        <w:rPr>
          <w:rFonts w:ascii="Garamond" w:hAnsi="Garamond" w:cs="Arial"/>
          <w:bCs/>
          <w:sz w:val="24"/>
          <w:szCs w:val="24"/>
        </w:rPr>
        <w:t>29</w:t>
      </w:r>
      <w:r w:rsidRPr="00E40A27">
        <w:rPr>
          <w:rFonts w:ascii="Garamond" w:hAnsi="Garamond" w:cs="Arial"/>
          <w:bCs/>
          <w:sz w:val="24"/>
          <w:szCs w:val="24"/>
        </w:rPr>
        <w:t xml:space="preserve"> crore during </w:t>
      </w:r>
      <w:r>
        <w:rPr>
          <w:rFonts w:ascii="Garamond" w:hAnsi="Garamond" w:cs="Arial"/>
          <w:bCs/>
          <w:sz w:val="24"/>
          <w:szCs w:val="24"/>
        </w:rPr>
        <w:t>May</w:t>
      </w:r>
      <w:r w:rsidRPr="00E40A27">
        <w:rPr>
          <w:rFonts w:ascii="Garamond" w:hAnsi="Garamond" w:cs="Arial"/>
          <w:bCs/>
          <w:sz w:val="24"/>
          <w:szCs w:val="24"/>
        </w:rPr>
        <w:t xml:space="preserve"> 2017, a </w:t>
      </w:r>
      <w:r>
        <w:rPr>
          <w:rFonts w:ascii="Garamond" w:hAnsi="Garamond" w:cs="Arial"/>
          <w:bCs/>
          <w:sz w:val="24"/>
          <w:szCs w:val="24"/>
        </w:rPr>
        <w:t>de</w:t>
      </w:r>
      <w:r w:rsidRPr="00E40A27">
        <w:rPr>
          <w:rFonts w:ascii="Garamond" w:hAnsi="Garamond" w:cs="Arial"/>
          <w:bCs/>
          <w:sz w:val="24"/>
          <w:szCs w:val="24"/>
        </w:rPr>
        <w:t xml:space="preserve">crease of </w:t>
      </w:r>
      <w:r>
        <w:rPr>
          <w:rFonts w:ascii="Garamond" w:hAnsi="Garamond" w:cs="Arial"/>
          <w:bCs/>
          <w:sz w:val="24"/>
          <w:szCs w:val="24"/>
        </w:rPr>
        <w:t>22</w:t>
      </w:r>
      <w:r w:rsidRPr="00E40A27">
        <w:rPr>
          <w:rFonts w:ascii="Garamond" w:hAnsi="Garamond" w:cs="Arial"/>
          <w:bCs/>
          <w:sz w:val="24"/>
          <w:szCs w:val="24"/>
        </w:rPr>
        <w:t>.1 percent.</w:t>
      </w:r>
      <w:r>
        <w:rPr>
          <w:rFonts w:ascii="Garamond" w:hAnsi="Garamond" w:cs="Arial"/>
          <w:bCs/>
          <w:sz w:val="24"/>
          <w:szCs w:val="24"/>
        </w:rPr>
        <w:t xml:space="preserve"> </w:t>
      </w:r>
    </w:p>
    <w:p w:rsidR="0085211A" w:rsidRDefault="0085211A" w:rsidP="0085211A">
      <w:pPr>
        <w:pStyle w:val="ListParagraph"/>
        <w:spacing w:after="0" w:line="480" w:lineRule="auto"/>
        <w:jc w:val="both"/>
        <w:rPr>
          <w:rFonts w:ascii="Garamond" w:hAnsi="Garamond" w:cs="Arial"/>
          <w:bCs/>
          <w:sz w:val="24"/>
          <w:szCs w:val="24"/>
        </w:rPr>
      </w:pPr>
    </w:p>
    <w:p w:rsidR="0085211A" w:rsidRDefault="0085211A" w:rsidP="0085211A">
      <w:pPr>
        <w:spacing w:after="0" w:line="240" w:lineRule="auto"/>
        <w:jc w:val="center"/>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9</w:t>
      </w:r>
      <w:r w:rsidRPr="003B4EBE">
        <w:rPr>
          <w:rFonts w:ascii="Garamond" w:hAnsi="Garamond"/>
          <w:b/>
          <w:color w:val="365F91"/>
          <w:sz w:val="24"/>
          <w:szCs w:val="24"/>
        </w:rPr>
        <w:t xml:space="preserve">: </w:t>
      </w:r>
      <w:r w:rsidRPr="00AD314C">
        <w:rPr>
          <w:rFonts w:ascii="Garamond" w:hAnsi="Garamond"/>
          <w:b/>
          <w:color w:val="365F91"/>
          <w:sz w:val="24"/>
          <w:szCs w:val="24"/>
        </w:rPr>
        <w:t xml:space="preserve">Turnover of Agricultural Commodities Futures at </w:t>
      </w:r>
      <w:r>
        <w:rPr>
          <w:rFonts w:ascii="Garamond" w:hAnsi="Garamond"/>
          <w:b/>
          <w:color w:val="365F91"/>
          <w:sz w:val="24"/>
          <w:szCs w:val="24"/>
        </w:rPr>
        <w:t xml:space="preserve">National </w:t>
      </w:r>
      <w:r w:rsidRPr="00AD314C">
        <w:rPr>
          <w:rFonts w:ascii="Garamond" w:hAnsi="Garamond"/>
          <w:b/>
          <w:color w:val="365F91"/>
          <w:sz w:val="24"/>
          <w:szCs w:val="24"/>
        </w:rPr>
        <w:t>Exchanges (</w:t>
      </w:r>
      <w:r w:rsidRPr="00F3327B">
        <w:rPr>
          <w:rFonts w:ascii="Rupee Foradian" w:hAnsi="Rupee Foradian"/>
          <w:b/>
          <w:color w:val="365F91"/>
          <w:sz w:val="24"/>
          <w:szCs w:val="24"/>
        </w:rPr>
        <w:t>`</w:t>
      </w:r>
      <w:r w:rsidRPr="00AD314C">
        <w:rPr>
          <w:rFonts w:ascii="Garamond" w:hAnsi="Garamond"/>
          <w:b/>
          <w:color w:val="365F91"/>
          <w:sz w:val="24"/>
          <w:szCs w:val="24"/>
        </w:rPr>
        <w:t>crore)</w:t>
      </w:r>
    </w:p>
    <w:p w:rsidR="0085211A" w:rsidRDefault="0085211A" w:rsidP="0085211A">
      <w:pPr>
        <w:spacing w:after="0" w:line="240" w:lineRule="auto"/>
        <w:jc w:val="both"/>
        <w:rPr>
          <w:rFonts w:ascii="Garamond" w:hAnsi="Garamond"/>
          <w:b/>
          <w:color w:val="365F91"/>
          <w:sz w:val="24"/>
          <w:szCs w:val="24"/>
        </w:rPr>
      </w:pPr>
    </w:p>
    <w:p w:rsidR="0085211A" w:rsidRDefault="0085211A" w:rsidP="0085211A">
      <w:pPr>
        <w:spacing w:after="0" w:line="240" w:lineRule="auto"/>
        <w:jc w:val="center"/>
        <w:rPr>
          <w:rFonts w:ascii="Garamond" w:hAnsi="Garamond"/>
          <w:b/>
          <w:color w:val="365F91"/>
          <w:sz w:val="24"/>
          <w:szCs w:val="24"/>
        </w:rPr>
      </w:pPr>
      <w:r>
        <w:rPr>
          <w:noProof/>
        </w:rPr>
        <w:drawing>
          <wp:inline distT="0" distB="0" distL="0" distR="0" wp14:anchorId="71AD1AD4" wp14:editId="18EB332D">
            <wp:extent cx="5887085" cy="2305878"/>
            <wp:effectExtent l="0" t="0" r="1841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211A" w:rsidRDefault="0085211A" w:rsidP="0085211A">
      <w:pPr>
        <w:spacing w:after="0" w:line="240" w:lineRule="auto"/>
        <w:jc w:val="both"/>
        <w:rPr>
          <w:rFonts w:ascii="Garamond" w:hAnsi="Garamond"/>
          <w:b/>
          <w:color w:val="365F91"/>
          <w:sz w:val="24"/>
          <w:szCs w:val="24"/>
        </w:rPr>
      </w:pPr>
    </w:p>
    <w:p w:rsidR="0085211A" w:rsidRDefault="0085211A" w:rsidP="0085211A">
      <w:pPr>
        <w:spacing w:after="0" w:line="240" w:lineRule="auto"/>
        <w:jc w:val="both"/>
        <w:rPr>
          <w:rFonts w:ascii="Garamond" w:hAnsi="Garamond"/>
          <w:b/>
          <w:color w:val="365F91"/>
          <w:sz w:val="24"/>
          <w:szCs w:val="24"/>
        </w:rPr>
      </w:pPr>
    </w:p>
    <w:p w:rsidR="0085211A" w:rsidRDefault="0085211A" w:rsidP="0085211A">
      <w:pPr>
        <w:spacing w:after="0" w:line="240" w:lineRule="auto"/>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10</w:t>
      </w:r>
      <w:r w:rsidRPr="003B4EBE">
        <w:rPr>
          <w:rFonts w:ascii="Garamond" w:hAnsi="Garamond"/>
          <w:b/>
          <w:color w:val="365F91"/>
          <w:sz w:val="24"/>
          <w:szCs w:val="24"/>
        </w:rPr>
        <w:t xml:space="preserve">: </w:t>
      </w:r>
      <w:r w:rsidRPr="00AD314C">
        <w:rPr>
          <w:rFonts w:ascii="Garamond" w:hAnsi="Garamond"/>
          <w:b/>
          <w:color w:val="365F91"/>
          <w:sz w:val="24"/>
          <w:szCs w:val="24"/>
        </w:rPr>
        <w:t>Turnover of</w:t>
      </w:r>
      <w:r>
        <w:rPr>
          <w:rFonts w:ascii="Garamond" w:hAnsi="Garamond"/>
          <w:b/>
          <w:color w:val="365F91"/>
          <w:sz w:val="24"/>
          <w:szCs w:val="24"/>
        </w:rPr>
        <w:t xml:space="preserve"> Non-</w:t>
      </w:r>
      <w:r w:rsidRPr="00AD314C">
        <w:rPr>
          <w:rFonts w:ascii="Garamond" w:hAnsi="Garamond"/>
          <w:b/>
          <w:color w:val="365F91"/>
          <w:sz w:val="24"/>
          <w:szCs w:val="24"/>
        </w:rPr>
        <w:t>Agricultural Commodities Futures at Exchanges (</w:t>
      </w:r>
      <w:r w:rsidRPr="00F3327B">
        <w:rPr>
          <w:rFonts w:ascii="Rupee Foradian" w:hAnsi="Rupee Foradian"/>
          <w:b/>
          <w:color w:val="365F91"/>
          <w:sz w:val="24"/>
          <w:szCs w:val="24"/>
        </w:rPr>
        <w:t>`</w:t>
      </w:r>
      <w:r w:rsidRPr="00AD314C">
        <w:rPr>
          <w:rFonts w:ascii="Garamond" w:hAnsi="Garamond"/>
          <w:b/>
          <w:color w:val="365F91"/>
          <w:sz w:val="24"/>
          <w:szCs w:val="24"/>
        </w:rPr>
        <w:t>crore)</w:t>
      </w:r>
      <w:r w:rsidRPr="0085211A">
        <w:rPr>
          <w:noProof/>
          <w:lang w:val="en-IN" w:eastAsia="en-IN" w:bidi="hi-IN"/>
        </w:rPr>
        <w:t xml:space="preserve"> </w:t>
      </w:r>
      <w:r>
        <w:rPr>
          <w:noProof/>
        </w:rPr>
        <w:drawing>
          <wp:inline distT="0" distB="0" distL="0" distR="0" wp14:anchorId="67571023" wp14:editId="1212F718">
            <wp:extent cx="6122504" cy="2631440"/>
            <wp:effectExtent l="0" t="0" r="1206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211A" w:rsidRDefault="0085211A" w:rsidP="0085211A">
      <w:pPr>
        <w:spacing w:after="0" w:line="240" w:lineRule="auto"/>
        <w:jc w:val="both"/>
        <w:rPr>
          <w:shd w:val="clear" w:color="auto" w:fill="FFFFFF"/>
        </w:rPr>
      </w:pPr>
      <w:r>
        <w:rPr>
          <w:shd w:val="clear" w:color="auto" w:fill="FFFFFF"/>
        </w:rPr>
        <w:lastRenderedPageBreak/>
        <w:t xml:space="preserve"> </w:t>
      </w: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r>
        <w:rPr>
          <w:rFonts w:ascii="Garamond" w:hAnsi="Garamond" w:cs="Arial"/>
          <w:b/>
          <w:sz w:val="24"/>
          <w:szCs w:val="24"/>
        </w:rPr>
        <w:t>B. Periodic variation in futures closing prices</w:t>
      </w:r>
    </w:p>
    <w:p w:rsidR="0085211A" w:rsidRDefault="0085211A" w:rsidP="0085211A">
      <w:pPr>
        <w:pStyle w:val="ListParagraph"/>
        <w:spacing w:after="0" w:line="240" w:lineRule="auto"/>
        <w:ind w:left="0"/>
        <w:jc w:val="both"/>
        <w:rPr>
          <w:rFonts w:ascii="Garamond" w:hAnsi="Garamond" w:cs="Arial"/>
          <w:bCs/>
          <w:sz w:val="24"/>
          <w:szCs w:val="24"/>
        </w:rPr>
      </w:pPr>
      <w:r w:rsidRPr="00724EFE">
        <w:rPr>
          <w:rFonts w:ascii="Garamond" w:hAnsi="Garamond" w:cs="Arial"/>
          <w:bCs/>
          <w:sz w:val="24"/>
          <w:szCs w:val="24"/>
        </w:rPr>
        <w:t xml:space="preserve">At the end of </w:t>
      </w:r>
      <w:r>
        <w:rPr>
          <w:rFonts w:ascii="Garamond" w:hAnsi="Garamond" w:cs="Arial"/>
          <w:bCs/>
          <w:sz w:val="24"/>
          <w:szCs w:val="24"/>
        </w:rPr>
        <w:t xml:space="preserve">June </w:t>
      </w:r>
      <w:r w:rsidRPr="00724EFE">
        <w:rPr>
          <w:rFonts w:ascii="Garamond" w:hAnsi="Garamond" w:cs="Arial"/>
          <w:bCs/>
          <w:sz w:val="24"/>
          <w:szCs w:val="24"/>
        </w:rPr>
        <w:t>201</w:t>
      </w:r>
      <w:r>
        <w:rPr>
          <w:rFonts w:ascii="Garamond" w:hAnsi="Garamond" w:cs="Arial"/>
          <w:bCs/>
          <w:sz w:val="24"/>
          <w:szCs w:val="24"/>
        </w:rPr>
        <w:t>7</w:t>
      </w:r>
      <w:r w:rsidRPr="00724EFE">
        <w:rPr>
          <w:rFonts w:ascii="Garamond" w:hAnsi="Garamond" w:cs="Arial"/>
          <w:bCs/>
          <w:sz w:val="24"/>
          <w:szCs w:val="24"/>
        </w:rPr>
        <w:t>, M-o-M returns among the near month contracts of non-agricultural commodities</w:t>
      </w:r>
      <w:r>
        <w:rPr>
          <w:rFonts w:ascii="Garamond" w:hAnsi="Garamond" w:cs="Arial"/>
          <w:bCs/>
          <w:sz w:val="24"/>
          <w:szCs w:val="24"/>
        </w:rPr>
        <w:t xml:space="preserve"> were positive for base metals viz., Copper, Lead, Nickel and Zinc (Exhibit 6). During the month, Lead and Lead Mini futures prices gained by 9.2</w:t>
      </w:r>
      <w:r w:rsidRPr="00724EFE">
        <w:rPr>
          <w:rFonts w:ascii="Garamond" w:hAnsi="Garamond" w:cs="Arial"/>
          <w:bCs/>
          <w:sz w:val="24"/>
          <w:szCs w:val="24"/>
        </w:rPr>
        <w:t xml:space="preserve"> percent</w:t>
      </w:r>
      <w:r>
        <w:rPr>
          <w:rFonts w:ascii="Garamond" w:hAnsi="Garamond" w:cs="Arial"/>
          <w:bCs/>
          <w:sz w:val="24"/>
          <w:szCs w:val="24"/>
        </w:rPr>
        <w:t xml:space="preserve"> each, followed by Copper and Copper Mini (both 5.9 percent), Zinc (5.5 percent), Zinc Mini (5.4 percent), Nickel Mini (2.5 percent) and Nickel (1.8 percent). </w:t>
      </w:r>
      <w:r w:rsidRPr="00724EFE">
        <w:rPr>
          <w:rFonts w:ascii="Garamond" w:hAnsi="Garamond" w:cs="Arial"/>
          <w:bCs/>
          <w:sz w:val="24"/>
          <w:szCs w:val="24"/>
        </w:rPr>
        <w:t xml:space="preserve">M-o-M </w:t>
      </w:r>
      <w:r>
        <w:rPr>
          <w:rFonts w:ascii="Garamond" w:hAnsi="Garamond" w:cs="Arial"/>
          <w:bCs/>
          <w:sz w:val="24"/>
          <w:szCs w:val="24"/>
        </w:rPr>
        <w:t xml:space="preserve">prices of Crude Oil futures </w:t>
      </w:r>
      <w:r w:rsidRPr="00724EFE">
        <w:rPr>
          <w:rFonts w:ascii="Garamond" w:hAnsi="Garamond" w:cs="Arial"/>
          <w:bCs/>
          <w:sz w:val="24"/>
          <w:szCs w:val="24"/>
        </w:rPr>
        <w:t>decline</w:t>
      </w:r>
      <w:r>
        <w:rPr>
          <w:rFonts w:ascii="Garamond" w:hAnsi="Garamond" w:cs="Arial"/>
          <w:bCs/>
          <w:sz w:val="24"/>
          <w:szCs w:val="24"/>
        </w:rPr>
        <w:t>d</w:t>
      </w:r>
      <w:r w:rsidRPr="00724EFE">
        <w:rPr>
          <w:rFonts w:ascii="Garamond" w:hAnsi="Garamond" w:cs="Arial"/>
          <w:bCs/>
          <w:sz w:val="24"/>
          <w:szCs w:val="24"/>
        </w:rPr>
        <w:t xml:space="preserve"> </w:t>
      </w:r>
      <w:r>
        <w:rPr>
          <w:rFonts w:ascii="Garamond" w:hAnsi="Garamond" w:cs="Arial"/>
          <w:bCs/>
          <w:sz w:val="24"/>
          <w:szCs w:val="24"/>
        </w:rPr>
        <w:t xml:space="preserve">the most by -7.3 percent, followed by Natural Gas (-5.0 percent), Silver and its variants (-3.7 percent each), Gold and its variants (-0.4 percent to 1.8 percent), </w:t>
      </w:r>
      <w:proofErr w:type="spellStart"/>
      <w:r>
        <w:rPr>
          <w:rFonts w:ascii="Garamond" w:hAnsi="Garamond" w:cs="Arial"/>
          <w:bCs/>
          <w:sz w:val="24"/>
          <w:szCs w:val="24"/>
        </w:rPr>
        <w:t>Aluminium</w:t>
      </w:r>
      <w:proofErr w:type="spellEnd"/>
      <w:r>
        <w:rPr>
          <w:rFonts w:ascii="Garamond" w:hAnsi="Garamond" w:cs="Arial"/>
          <w:bCs/>
          <w:sz w:val="24"/>
          <w:szCs w:val="24"/>
        </w:rPr>
        <w:t xml:space="preserve"> and </w:t>
      </w:r>
      <w:proofErr w:type="spellStart"/>
      <w:r>
        <w:rPr>
          <w:rFonts w:ascii="Garamond" w:hAnsi="Garamond" w:cs="Arial"/>
          <w:bCs/>
          <w:sz w:val="24"/>
          <w:szCs w:val="24"/>
        </w:rPr>
        <w:t>Aluminium</w:t>
      </w:r>
      <w:proofErr w:type="spellEnd"/>
      <w:r>
        <w:rPr>
          <w:rFonts w:ascii="Garamond" w:hAnsi="Garamond" w:cs="Arial"/>
          <w:bCs/>
          <w:sz w:val="24"/>
          <w:szCs w:val="24"/>
        </w:rPr>
        <w:t xml:space="preserve"> Mini (both -0.3 percent). </w:t>
      </w:r>
    </w:p>
    <w:p w:rsidR="0085211A" w:rsidRDefault="0085211A" w:rsidP="0085211A">
      <w:pPr>
        <w:pStyle w:val="ListParagraph"/>
        <w:spacing w:after="0" w:line="240" w:lineRule="auto"/>
        <w:ind w:left="0"/>
        <w:jc w:val="both"/>
        <w:rPr>
          <w:rFonts w:ascii="Garamond" w:hAnsi="Garamond" w:cs="Arial"/>
          <w:bCs/>
          <w:sz w:val="24"/>
          <w:szCs w:val="24"/>
        </w:rPr>
      </w:pPr>
    </w:p>
    <w:p w:rsidR="0085211A" w:rsidRDefault="0085211A" w:rsidP="0085211A">
      <w:pPr>
        <w:pStyle w:val="ListParagraph"/>
        <w:spacing w:after="0" w:line="240" w:lineRule="auto"/>
        <w:ind w:left="0"/>
        <w:jc w:val="both"/>
        <w:rPr>
          <w:rFonts w:ascii="Garamond" w:hAnsi="Garamond" w:cs="Arial"/>
          <w:bCs/>
          <w:sz w:val="24"/>
          <w:szCs w:val="24"/>
        </w:rPr>
      </w:pPr>
      <w:r>
        <w:rPr>
          <w:rFonts w:ascii="Garamond" w:hAnsi="Garamond" w:cs="Arial"/>
          <w:bCs/>
          <w:sz w:val="24"/>
          <w:szCs w:val="24"/>
        </w:rPr>
        <w:t xml:space="preserve">Among all the agricultural commodities traded at all three national exchanges, most of the contracts generated positive M-o-M returns.  Among the top gainers, Turmeric futures recorded highest gain of 19.7 percent, followed by Maize </w:t>
      </w:r>
      <w:proofErr w:type="spellStart"/>
      <w:r>
        <w:rPr>
          <w:rFonts w:ascii="Garamond" w:hAnsi="Garamond" w:cs="Arial"/>
          <w:bCs/>
          <w:sz w:val="24"/>
          <w:szCs w:val="24"/>
        </w:rPr>
        <w:t>Kharif</w:t>
      </w:r>
      <w:proofErr w:type="spellEnd"/>
      <w:r>
        <w:rPr>
          <w:rFonts w:ascii="Garamond" w:hAnsi="Garamond" w:cs="Arial"/>
          <w:bCs/>
          <w:sz w:val="24"/>
          <w:szCs w:val="24"/>
        </w:rPr>
        <w:t xml:space="preserve"> (15.3 percent), </w:t>
      </w:r>
      <w:proofErr w:type="spellStart"/>
      <w:r>
        <w:rPr>
          <w:rFonts w:ascii="Garamond" w:hAnsi="Garamond" w:cs="Arial"/>
          <w:bCs/>
          <w:sz w:val="24"/>
          <w:szCs w:val="24"/>
        </w:rPr>
        <w:t>Chilli</w:t>
      </w:r>
      <w:proofErr w:type="spellEnd"/>
      <w:r>
        <w:rPr>
          <w:rFonts w:ascii="Garamond" w:hAnsi="Garamond" w:cs="Arial"/>
          <w:bCs/>
          <w:sz w:val="24"/>
          <w:szCs w:val="24"/>
        </w:rPr>
        <w:t xml:space="preserve"> (14.3 percent) and Cardamom (10.3 percent).  Among the top losers in terms of M-o-M prices, V797 </w:t>
      </w:r>
      <w:proofErr w:type="spellStart"/>
      <w:r>
        <w:rPr>
          <w:rFonts w:ascii="Garamond" w:hAnsi="Garamond" w:cs="Arial"/>
          <w:bCs/>
          <w:sz w:val="24"/>
          <w:szCs w:val="24"/>
        </w:rPr>
        <w:t>Kapas</w:t>
      </w:r>
      <w:proofErr w:type="spellEnd"/>
      <w:r>
        <w:rPr>
          <w:rFonts w:ascii="Garamond" w:hAnsi="Garamond" w:cs="Arial"/>
          <w:bCs/>
          <w:sz w:val="24"/>
          <w:szCs w:val="24"/>
        </w:rPr>
        <w:t xml:space="preserve"> declined the most by (-6.4 percent), followed by Cotton (- 5.5 percent), </w:t>
      </w:r>
      <w:proofErr w:type="spellStart"/>
      <w:r>
        <w:rPr>
          <w:rFonts w:ascii="Garamond" w:hAnsi="Garamond" w:cs="Arial"/>
          <w:bCs/>
          <w:sz w:val="24"/>
          <w:szCs w:val="24"/>
        </w:rPr>
        <w:t>Mentha</w:t>
      </w:r>
      <w:proofErr w:type="spellEnd"/>
      <w:r>
        <w:rPr>
          <w:rFonts w:ascii="Garamond" w:hAnsi="Garamond" w:cs="Arial"/>
          <w:bCs/>
          <w:sz w:val="24"/>
          <w:szCs w:val="24"/>
        </w:rPr>
        <w:t xml:space="preserve"> Oil (-4.0 percent), Guar Gum (-3.5 percent), Crude Palm Oil (-2.6 percent) and Sugar (-2.1 percent). </w:t>
      </w:r>
    </w:p>
    <w:p w:rsidR="0085211A" w:rsidRDefault="0085211A" w:rsidP="0085211A">
      <w:pPr>
        <w:pStyle w:val="ListParagraph"/>
        <w:spacing w:after="0" w:line="240" w:lineRule="auto"/>
        <w:ind w:left="0"/>
        <w:jc w:val="both"/>
        <w:rPr>
          <w:rFonts w:ascii="Garamond" w:hAnsi="Garamond" w:cs="Arial"/>
          <w:bCs/>
          <w:sz w:val="24"/>
          <w:szCs w:val="24"/>
        </w:rPr>
      </w:pPr>
    </w:p>
    <w:p w:rsidR="0085211A" w:rsidRDefault="0085211A" w:rsidP="0085211A">
      <w:pPr>
        <w:spacing w:after="0" w:line="240" w:lineRule="auto"/>
        <w:jc w:val="both"/>
        <w:rPr>
          <w:rFonts w:ascii="Garamond" w:hAnsi="Garamond" w:cs="Arial"/>
          <w:bCs/>
          <w:color w:val="000000" w:themeColor="text1"/>
          <w:sz w:val="24"/>
          <w:szCs w:val="24"/>
        </w:rPr>
      </w:pPr>
      <w:r w:rsidRPr="00F03631">
        <w:rPr>
          <w:rFonts w:ascii="Garamond" w:hAnsi="Garamond" w:cs="Arial"/>
          <w:bCs/>
          <w:color w:val="000000" w:themeColor="text1"/>
          <w:sz w:val="24"/>
          <w:szCs w:val="24"/>
        </w:rPr>
        <w:t xml:space="preserve">On Y-o-Y basis, </w:t>
      </w:r>
      <w:r>
        <w:rPr>
          <w:rFonts w:ascii="Garamond" w:hAnsi="Garamond" w:cs="Arial"/>
          <w:bCs/>
          <w:color w:val="000000" w:themeColor="text1"/>
          <w:sz w:val="24"/>
          <w:szCs w:val="24"/>
        </w:rPr>
        <w:t xml:space="preserve">in terms of </w:t>
      </w:r>
      <w:r w:rsidRPr="00F03631">
        <w:rPr>
          <w:rFonts w:ascii="Garamond" w:hAnsi="Garamond" w:cs="Arial"/>
          <w:bCs/>
          <w:color w:val="000000" w:themeColor="text1"/>
          <w:sz w:val="24"/>
          <w:szCs w:val="24"/>
        </w:rPr>
        <w:t xml:space="preserve">futures prices </w:t>
      </w:r>
      <w:r>
        <w:rPr>
          <w:rFonts w:ascii="Garamond" w:hAnsi="Garamond" w:cs="Arial"/>
          <w:bCs/>
          <w:color w:val="000000" w:themeColor="text1"/>
          <w:sz w:val="24"/>
          <w:szCs w:val="24"/>
        </w:rPr>
        <w:t xml:space="preserve">a negative trend is observed among non-agricultural commodities. Among them, Zinc </w:t>
      </w:r>
      <w:r w:rsidRPr="00F03631">
        <w:rPr>
          <w:rFonts w:ascii="Garamond" w:hAnsi="Garamond" w:cs="Arial"/>
          <w:bCs/>
          <w:color w:val="000000" w:themeColor="text1"/>
          <w:sz w:val="24"/>
          <w:szCs w:val="24"/>
        </w:rPr>
        <w:t xml:space="preserve">futures </w:t>
      </w:r>
      <w:r>
        <w:rPr>
          <w:rFonts w:ascii="Garamond" w:hAnsi="Garamond" w:cs="Arial"/>
          <w:bCs/>
          <w:color w:val="000000" w:themeColor="text1"/>
          <w:sz w:val="24"/>
          <w:szCs w:val="24"/>
        </w:rPr>
        <w:t>were</w:t>
      </w:r>
      <w:r w:rsidRPr="00F03631">
        <w:rPr>
          <w:rFonts w:ascii="Garamond" w:hAnsi="Garamond" w:cs="Arial"/>
          <w:bCs/>
          <w:color w:val="000000" w:themeColor="text1"/>
          <w:sz w:val="24"/>
          <w:szCs w:val="24"/>
        </w:rPr>
        <w:t xml:space="preserve"> the top gainer with </w:t>
      </w:r>
      <w:r>
        <w:rPr>
          <w:rFonts w:ascii="Garamond" w:hAnsi="Garamond" w:cs="Arial"/>
          <w:bCs/>
          <w:color w:val="000000" w:themeColor="text1"/>
          <w:sz w:val="24"/>
          <w:szCs w:val="24"/>
        </w:rPr>
        <w:t>25.7</w:t>
      </w:r>
      <w:r w:rsidRPr="00F03631">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xml:space="preserve"> increase, followed by Lead</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22.4</w:t>
      </w:r>
      <w:r w:rsidRPr="00F03631">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xml:space="preserve">, Copper (17.6 percent) and </w:t>
      </w:r>
      <w:proofErr w:type="spellStart"/>
      <w:r>
        <w:rPr>
          <w:rFonts w:ascii="Garamond" w:hAnsi="Garamond" w:cs="Arial"/>
          <w:bCs/>
          <w:color w:val="000000" w:themeColor="text1"/>
          <w:sz w:val="24"/>
          <w:szCs w:val="24"/>
        </w:rPr>
        <w:t>Aluminium</w:t>
      </w:r>
      <w:proofErr w:type="spellEnd"/>
      <w:r>
        <w:rPr>
          <w:rFonts w:ascii="Garamond" w:hAnsi="Garamond" w:cs="Arial"/>
          <w:bCs/>
          <w:color w:val="000000" w:themeColor="text1"/>
          <w:sz w:val="24"/>
          <w:szCs w:val="24"/>
        </w:rPr>
        <w:t xml:space="preserve"> (11.3 percent). Among losers, prices of Silver and its variants declined between (-12.5 percent to -12.6 percent), followed by Crude Oil (-10.2 percent), Gold and its variants in the range of (-6.5 percent to -8.8 percent) and Nickel (-5.6 percent). </w:t>
      </w:r>
    </w:p>
    <w:p w:rsidR="0085211A" w:rsidRPr="00F03631" w:rsidRDefault="0085211A" w:rsidP="0085211A">
      <w:pPr>
        <w:spacing w:after="0" w:line="240" w:lineRule="auto"/>
        <w:jc w:val="both"/>
        <w:rPr>
          <w:rFonts w:ascii="Garamond" w:hAnsi="Garamond" w:cs="Arial"/>
          <w:bCs/>
          <w:color w:val="000000" w:themeColor="text1"/>
          <w:sz w:val="24"/>
          <w:szCs w:val="24"/>
        </w:rPr>
      </w:pPr>
    </w:p>
    <w:p w:rsidR="0085211A" w:rsidRDefault="0085211A" w:rsidP="0085211A">
      <w:pPr>
        <w:spacing w:after="0" w:line="240" w:lineRule="auto"/>
        <w:jc w:val="both"/>
        <w:rPr>
          <w:rFonts w:ascii="Garamond" w:hAnsi="Garamond" w:cs="Arial"/>
          <w:bCs/>
          <w:color w:val="000000" w:themeColor="text1"/>
          <w:sz w:val="24"/>
          <w:szCs w:val="24"/>
        </w:rPr>
      </w:pPr>
      <w:r w:rsidRPr="00F03631">
        <w:rPr>
          <w:rFonts w:ascii="Garamond" w:hAnsi="Garamond" w:cs="Arial"/>
          <w:bCs/>
          <w:color w:val="000000" w:themeColor="text1"/>
          <w:sz w:val="24"/>
          <w:szCs w:val="24"/>
        </w:rPr>
        <w:t xml:space="preserve">Among agricultural commodities, Y-o-Y </w:t>
      </w:r>
      <w:r>
        <w:rPr>
          <w:rFonts w:ascii="Garamond" w:hAnsi="Garamond" w:cs="Arial"/>
          <w:bCs/>
          <w:color w:val="000000" w:themeColor="text1"/>
          <w:sz w:val="24"/>
          <w:szCs w:val="24"/>
        </w:rPr>
        <w:t xml:space="preserve">returns in terms of </w:t>
      </w:r>
      <w:r w:rsidRPr="00F03631">
        <w:rPr>
          <w:rFonts w:ascii="Garamond" w:hAnsi="Garamond" w:cs="Arial"/>
          <w:bCs/>
          <w:color w:val="000000" w:themeColor="text1"/>
          <w:sz w:val="24"/>
          <w:szCs w:val="24"/>
        </w:rPr>
        <w:t xml:space="preserve">futures prices was highest for </w:t>
      </w:r>
      <w:r>
        <w:rPr>
          <w:rFonts w:ascii="Garamond" w:hAnsi="Garamond" w:cs="Arial"/>
          <w:bCs/>
          <w:color w:val="000000" w:themeColor="text1"/>
          <w:sz w:val="24"/>
          <w:szCs w:val="24"/>
        </w:rPr>
        <w:t>Castor Seed contract at NMCE (36.0 percent), followed by Guar Gum</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(25.4 </w:t>
      </w:r>
      <w:r w:rsidRPr="00F03631">
        <w:rPr>
          <w:rFonts w:ascii="Garamond" w:hAnsi="Garamond" w:cs="Arial"/>
          <w:bCs/>
          <w:color w:val="000000" w:themeColor="text1"/>
          <w:sz w:val="24"/>
          <w:szCs w:val="24"/>
        </w:rPr>
        <w:t>percent</w:t>
      </w:r>
      <w:r>
        <w:rPr>
          <w:rFonts w:ascii="Garamond" w:hAnsi="Garamond" w:cs="Arial"/>
          <w:bCs/>
          <w:color w:val="000000" w:themeColor="text1"/>
          <w:sz w:val="24"/>
          <w:szCs w:val="24"/>
        </w:rPr>
        <w:t>)</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Cardamom</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(18.3 </w:t>
      </w:r>
      <w:r w:rsidRPr="00F03631">
        <w:rPr>
          <w:rFonts w:ascii="Garamond" w:hAnsi="Garamond" w:cs="Arial"/>
          <w:bCs/>
          <w:color w:val="000000" w:themeColor="text1"/>
          <w:sz w:val="24"/>
          <w:szCs w:val="24"/>
        </w:rPr>
        <w:t>percent</w:t>
      </w:r>
      <w:r>
        <w:rPr>
          <w:rFonts w:ascii="Garamond" w:hAnsi="Garamond" w:cs="Arial"/>
          <w:bCs/>
          <w:color w:val="000000" w:themeColor="text1"/>
          <w:sz w:val="24"/>
          <w:szCs w:val="24"/>
        </w:rPr>
        <w:t>) and</w:t>
      </w:r>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Maize </w:t>
      </w:r>
      <w:proofErr w:type="spellStart"/>
      <w:r>
        <w:rPr>
          <w:rFonts w:ascii="Garamond" w:hAnsi="Garamond" w:cs="Arial"/>
          <w:bCs/>
          <w:color w:val="000000" w:themeColor="text1"/>
          <w:sz w:val="24"/>
          <w:szCs w:val="24"/>
        </w:rPr>
        <w:t>Kharif</w:t>
      </w:r>
      <w:proofErr w:type="spellEnd"/>
      <w:r w:rsidRPr="00F03631">
        <w:rPr>
          <w:rFonts w:ascii="Garamond" w:hAnsi="Garamond" w:cs="Arial"/>
          <w:bCs/>
          <w:color w:val="000000" w:themeColor="text1"/>
          <w:sz w:val="24"/>
          <w:szCs w:val="24"/>
        </w:rPr>
        <w:t xml:space="preserve"> (</w:t>
      </w:r>
      <w:r>
        <w:rPr>
          <w:rFonts w:ascii="Garamond" w:hAnsi="Garamond" w:cs="Arial"/>
          <w:bCs/>
          <w:color w:val="000000" w:themeColor="text1"/>
          <w:sz w:val="24"/>
          <w:szCs w:val="24"/>
        </w:rPr>
        <w:t>9.0</w:t>
      </w:r>
      <w:r w:rsidRPr="00F03631">
        <w:rPr>
          <w:rFonts w:ascii="Garamond" w:hAnsi="Garamond" w:cs="Arial"/>
          <w:bCs/>
          <w:color w:val="000000" w:themeColor="text1"/>
          <w:sz w:val="24"/>
          <w:szCs w:val="24"/>
        </w:rPr>
        <w:t xml:space="preserve"> percent), On the other hand, Y-o-Y </w:t>
      </w:r>
      <w:r>
        <w:rPr>
          <w:rFonts w:ascii="Garamond" w:hAnsi="Garamond" w:cs="Arial"/>
          <w:bCs/>
          <w:color w:val="000000" w:themeColor="text1"/>
          <w:sz w:val="24"/>
          <w:szCs w:val="24"/>
        </w:rPr>
        <w:t>return on prices</w:t>
      </w:r>
      <w:r w:rsidRPr="00F03631">
        <w:rPr>
          <w:rFonts w:ascii="Garamond" w:hAnsi="Garamond" w:cs="Arial"/>
          <w:bCs/>
          <w:color w:val="000000" w:themeColor="text1"/>
          <w:sz w:val="24"/>
          <w:szCs w:val="24"/>
        </w:rPr>
        <w:t xml:space="preserve"> among agricultural commodities declined </w:t>
      </w:r>
      <w:r>
        <w:rPr>
          <w:rFonts w:ascii="Garamond" w:hAnsi="Garamond" w:cs="Arial"/>
          <w:bCs/>
          <w:color w:val="000000" w:themeColor="text1"/>
          <w:sz w:val="24"/>
          <w:szCs w:val="24"/>
        </w:rPr>
        <w:t xml:space="preserve">the </w:t>
      </w:r>
      <w:r w:rsidRPr="00F03631">
        <w:rPr>
          <w:rFonts w:ascii="Garamond" w:hAnsi="Garamond" w:cs="Arial"/>
          <w:bCs/>
          <w:color w:val="000000" w:themeColor="text1"/>
          <w:sz w:val="24"/>
          <w:szCs w:val="24"/>
        </w:rPr>
        <w:t>most for Chilly (</w:t>
      </w:r>
      <w:r>
        <w:rPr>
          <w:rFonts w:ascii="Garamond" w:hAnsi="Garamond" w:cs="Arial"/>
          <w:bCs/>
          <w:color w:val="000000" w:themeColor="text1"/>
          <w:sz w:val="24"/>
          <w:szCs w:val="24"/>
        </w:rPr>
        <w:t xml:space="preserve">-40.8 </w:t>
      </w:r>
      <w:r w:rsidRPr="00F03631">
        <w:rPr>
          <w:rFonts w:ascii="Garamond" w:hAnsi="Garamond" w:cs="Arial"/>
          <w:bCs/>
          <w:color w:val="000000" w:themeColor="text1"/>
          <w:sz w:val="24"/>
          <w:szCs w:val="24"/>
        </w:rPr>
        <w:t xml:space="preserve">percent), followed by </w:t>
      </w:r>
      <w:r>
        <w:rPr>
          <w:rFonts w:ascii="Garamond" w:hAnsi="Garamond" w:cs="Arial"/>
          <w:bCs/>
          <w:color w:val="000000" w:themeColor="text1"/>
          <w:sz w:val="24"/>
          <w:szCs w:val="24"/>
        </w:rPr>
        <w:t>Raw Jute (-37.3 percent), Cotton Seed Oilcake (-32.1 percent), Coriander (-30.7 percent), Soybean (-23.7 percent) and  Turmeric (-23.1percent).</w:t>
      </w: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Default="0085211A" w:rsidP="0085211A">
      <w:pPr>
        <w:spacing w:line="240" w:lineRule="auto"/>
        <w:jc w:val="both"/>
        <w:rPr>
          <w:rFonts w:ascii="Garamond" w:hAnsi="Garamond" w:cs="Arial"/>
          <w:b/>
          <w:sz w:val="24"/>
          <w:szCs w:val="24"/>
        </w:rPr>
      </w:pPr>
    </w:p>
    <w:p w:rsidR="0085211A" w:rsidRPr="000C6D12" w:rsidRDefault="0085211A" w:rsidP="0085211A">
      <w:pPr>
        <w:spacing w:line="240" w:lineRule="auto"/>
        <w:jc w:val="both"/>
        <w:rPr>
          <w:rFonts w:ascii="Garamond" w:hAnsi="Garamond" w:cs="Arial"/>
          <w:bCs/>
          <w:sz w:val="24"/>
          <w:szCs w:val="24"/>
        </w:rPr>
      </w:pPr>
      <w:r w:rsidRPr="002F766F">
        <w:rPr>
          <w:rFonts w:ascii="Garamond" w:hAnsi="Garamond" w:cs="Arial"/>
          <w:b/>
          <w:sz w:val="24"/>
          <w:szCs w:val="24"/>
        </w:rPr>
        <w:lastRenderedPageBreak/>
        <w:t>Exhibit</w:t>
      </w:r>
      <w:r w:rsidRPr="00FE6E8C">
        <w:rPr>
          <w:b/>
          <w:shd w:val="clear" w:color="auto" w:fill="FFFFFF"/>
        </w:rPr>
        <w:t xml:space="preserve"> 6: </w:t>
      </w:r>
      <w:r w:rsidRPr="002F766F">
        <w:rPr>
          <w:rFonts w:ascii="Garamond" w:hAnsi="Garamond" w:cs="Arial"/>
          <w:b/>
          <w:sz w:val="24"/>
          <w:szCs w:val="24"/>
        </w:rPr>
        <w:t>Periodic variation (M-o-M and Y-o-Y) in futures closing prices for near month contracts of commodities traded at MCX, NCDEX and NMCE</w:t>
      </w:r>
      <w:r w:rsidRPr="000C6D12">
        <w:rPr>
          <w:rFonts w:ascii="Garamond" w:hAnsi="Garamond" w:cs="Arial"/>
          <w:bCs/>
          <w:sz w:val="24"/>
          <w:szCs w:val="24"/>
        </w:rPr>
        <w:fldChar w:fldCharType="begin"/>
      </w:r>
      <w:r w:rsidRPr="000C6D12">
        <w:rPr>
          <w:rFonts w:ascii="Garamond" w:hAnsi="Garamond" w:cs="Arial"/>
          <w:bCs/>
          <w:sz w:val="24"/>
          <w:szCs w:val="24"/>
        </w:rPr>
        <w:instrText xml:space="preserve"> LINK Excel.Sheet.12 "C:\\Users\\1295\\Desktop\\CRD's Inputs for Bulletin\\April 2017\\Returns for Bulletin.xlsx" "Sheet1!R4C37:R33C44" \a \f 4 \h  \* MERGEFORMAT </w:instrText>
      </w:r>
      <w:r w:rsidRPr="000C6D12">
        <w:rPr>
          <w:rFonts w:ascii="Garamond" w:hAnsi="Garamond" w:cs="Arial"/>
          <w:bCs/>
          <w:sz w:val="24"/>
          <w:szCs w:val="24"/>
        </w:rPr>
        <w:fldChar w:fldCharType="separate"/>
      </w:r>
    </w:p>
    <w:tbl>
      <w:tblPr>
        <w:tblW w:w="1034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992"/>
        <w:gridCol w:w="992"/>
        <w:gridCol w:w="1701"/>
        <w:gridCol w:w="1276"/>
        <w:gridCol w:w="992"/>
        <w:gridCol w:w="993"/>
      </w:tblGrid>
      <w:tr w:rsidR="0085211A" w:rsidRPr="000C6D12" w:rsidTr="000D3F04">
        <w:trPr>
          <w:trHeight w:val="450"/>
        </w:trPr>
        <w:tc>
          <w:tcPr>
            <w:tcW w:w="2127" w:type="dxa"/>
            <w:vMerge w:val="restart"/>
            <w:tcBorders>
              <w:top w:val="single" w:sz="8" w:space="0" w:color="auto"/>
              <w:left w:val="single" w:sz="8" w:space="0" w:color="auto"/>
            </w:tcBorders>
            <w:shd w:val="clear" w:color="auto" w:fill="auto"/>
            <w:vAlign w:val="center"/>
            <w:hideMark/>
          </w:tcPr>
          <w:p w:rsidR="0085211A" w:rsidRPr="000C6D12" w:rsidRDefault="0085211A" w:rsidP="000D3F04">
            <w:pPr>
              <w:spacing w:after="0" w:line="240" w:lineRule="auto"/>
              <w:rPr>
                <w:rFonts w:ascii="Garamond" w:hAnsi="Garamond" w:cs="Arial"/>
                <w:bCs/>
                <w:sz w:val="24"/>
                <w:szCs w:val="24"/>
              </w:rPr>
            </w:pPr>
            <w:r w:rsidRPr="000C6D12">
              <w:rPr>
                <w:rFonts w:ascii="Garamond" w:hAnsi="Garamond" w:cs="Arial"/>
                <w:bCs/>
                <w:sz w:val="24"/>
                <w:szCs w:val="24"/>
              </w:rPr>
              <w:t>Commodities traded at MCX</w:t>
            </w:r>
          </w:p>
        </w:tc>
        <w:tc>
          <w:tcPr>
            <w:tcW w:w="1276" w:type="dxa"/>
            <w:vMerge w:val="restart"/>
            <w:tcBorders>
              <w:top w:val="single" w:sz="8" w:space="0" w:color="auto"/>
            </w:tcBorders>
            <w:shd w:val="clear" w:color="auto" w:fill="auto"/>
            <w:vAlign w:val="center"/>
            <w:hideMark/>
          </w:tcPr>
          <w:p w:rsidR="0085211A" w:rsidRPr="000C6D12" w:rsidRDefault="0085211A" w:rsidP="000D3F04">
            <w:pPr>
              <w:spacing w:after="0" w:line="240" w:lineRule="auto"/>
              <w:ind w:left="-108"/>
              <w:jc w:val="center"/>
              <w:rPr>
                <w:rFonts w:ascii="Garamond" w:hAnsi="Garamond" w:cs="Arial"/>
                <w:bCs/>
                <w:sz w:val="24"/>
                <w:szCs w:val="24"/>
              </w:rPr>
            </w:pPr>
            <w:r w:rsidRPr="000C6D12">
              <w:rPr>
                <w:rFonts w:ascii="Garamond" w:hAnsi="Garamond" w:cs="Arial"/>
                <w:bCs/>
                <w:sz w:val="24"/>
                <w:szCs w:val="24"/>
              </w:rPr>
              <w:t xml:space="preserve">Closing value as on </w:t>
            </w:r>
            <w:r>
              <w:rPr>
                <w:rFonts w:ascii="Garamond" w:hAnsi="Garamond" w:cs="Arial"/>
                <w:bCs/>
                <w:sz w:val="24"/>
                <w:szCs w:val="24"/>
              </w:rPr>
              <w:t>30</w:t>
            </w:r>
            <w:r w:rsidRPr="000C6D12">
              <w:rPr>
                <w:rFonts w:ascii="Garamond" w:hAnsi="Garamond" w:cs="Arial"/>
                <w:bCs/>
                <w:sz w:val="24"/>
                <w:szCs w:val="24"/>
              </w:rPr>
              <w:t>/</w:t>
            </w:r>
            <w:r>
              <w:rPr>
                <w:rFonts w:ascii="Garamond" w:hAnsi="Garamond" w:cs="Arial"/>
                <w:bCs/>
                <w:sz w:val="24"/>
                <w:szCs w:val="24"/>
              </w:rPr>
              <w:t>06</w:t>
            </w:r>
            <w:r w:rsidRPr="000C6D12">
              <w:rPr>
                <w:rFonts w:ascii="Garamond" w:hAnsi="Garamond" w:cs="Arial"/>
                <w:bCs/>
                <w:sz w:val="24"/>
                <w:szCs w:val="24"/>
              </w:rPr>
              <w:t>/2017</w:t>
            </w:r>
          </w:p>
        </w:tc>
        <w:tc>
          <w:tcPr>
            <w:tcW w:w="1984" w:type="dxa"/>
            <w:gridSpan w:val="2"/>
            <w:vMerge w:val="restart"/>
            <w:tcBorders>
              <w:top w:val="single" w:sz="8" w:space="0" w:color="auto"/>
            </w:tcBorders>
            <w:shd w:val="clear" w:color="auto" w:fill="auto"/>
            <w:vAlign w:val="center"/>
            <w:hideMark/>
          </w:tcPr>
          <w:p w:rsidR="0085211A" w:rsidRPr="000C6D12" w:rsidRDefault="0085211A" w:rsidP="000D3F04">
            <w:pPr>
              <w:spacing w:after="0" w:line="240" w:lineRule="auto"/>
              <w:jc w:val="center"/>
              <w:rPr>
                <w:rFonts w:ascii="Garamond" w:hAnsi="Garamond" w:cs="Arial"/>
                <w:bCs/>
                <w:sz w:val="24"/>
                <w:szCs w:val="24"/>
              </w:rPr>
            </w:pPr>
            <w:r w:rsidRPr="000C6D12">
              <w:rPr>
                <w:rFonts w:ascii="Garamond" w:hAnsi="Garamond" w:cs="Arial"/>
                <w:bCs/>
                <w:sz w:val="24"/>
                <w:szCs w:val="24"/>
              </w:rPr>
              <w:t xml:space="preserve">Variation in prices as on  </w:t>
            </w:r>
            <w:r>
              <w:rPr>
                <w:rFonts w:ascii="Garamond" w:hAnsi="Garamond" w:cs="Arial"/>
                <w:bCs/>
                <w:sz w:val="24"/>
                <w:szCs w:val="24"/>
              </w:rPr>
              <w:t>30</w:t>
            </w:r>
            <w:r w:rsidRPr="000C6D12">
              <w:rPr>
                <w:rFonts w:ascii="Garamond" w:hAnsi="Garamond" w:cs="Arial"/>
                <w:bCs/>
                <w:sz w:val="24"/>
                <w:szCs w:val="24"/>
              </w:rPr>
              <w:t>/0</w:t>
            </w:r>
            <w:r>
              <w:rPr>
                <w:rFonts w:ascii="Garamond" w:hAnsi="Garamond" w:cs="Arial"/>
                <w:bCs/>
                <w:sz w:val="24"/>
                <w:szCs w:val="24"/>
              </w:rPr>
              <w:t>6</w:t>
            </w:r>
            <w:r w:rsidRPr="000C6D12">
              <w:rPr>
                <w:rFonts w:ascii="Garamond" w:hAnsi="Garamond" w:cs="Arial"/>
                <w:bCs/>
                <w:sz w:val="24"/>
                <w:szCs w:val="24"/>
              </w:rPr>
              <w:t>/2017 (percent)</w:t>
            </w:r>
          </w:p>
        </w:tc>
        <w:tc>
          <w:tcPr>
            <w:tcW w:w="1701" w:type="dxa"/>
            <w:vMerge w:val="restart"/>
            <w:tcBorders>
              <w:top w:val="single" w:sz="8" w:space="0" w:color="auto"/>
            </w:tcBorders>
            <w:shd w:val="clear" w:color="auto" w:fill="auto"/>
            <w:vAlign w:val="center"/>
            <w:hideMark/>
          </w:tcPr>
          <w:p w:rsidR="0085211A" w:rsidRPr="000C6D12" w:rsidRDefault="0085211A" w:rsidP="000D3F04">
            <w:pPr>
              <w:spacing w:after="0" w:line="240" w:lineRule="auto"/>
              <w:jc w:val="center"/>
              <w:rPr>
                <w:rFonts w:ascii="Garamond" w:hAnsi="Garamond" w:cs="Arial"/>
                <w:bCs/>
                <w:sz w:val="24"/>
                <w:szCs w:val="24"/>
              </w:rPr>
            </w:pPr>
            <w:r w:rsidRPr="000C6D12">
              <w:rPr>
                <w:rFonts w:ascii="Garamond" w:hAnsi="Garamond" w:cs="Arial"/>
                <w:bCs/>
                <w:sz w:val="24"/>
                <w:szCs w:val="24"/>
              </w:rPr>
              <w:t>Commodities traded at NCDEX / NMCE</w:t>
            </w:r>
          </w:p>
        </w:tc>
        <w:tc>
          <w:tcPr>
            <w:tcW w:w="1276" w:type="dxa"/>
            <w:vMerge w:val="restart"/>
            <w:tcBorders>
              <w:top w:val="single" w:sz="8" w:space="0" w:color="auto"/>
            </w:tcBorders>
            <w:shd w:val="clear" w:color="auto" w:fill="auto"/>
            <w:vAlign w:val="center"/>
            <w:hideMark/>
          </w:tcPr>
          <w:p w:rsidR="0085211A" w:rsidRPr="000C6D12" w:rsidRDefault="0085211A" w:rsidP="000D3F04">
            <w:pPr>
              <w:spacing w:after="0" w:line="240" w:lineRule="auto"/>
              <w:ind w:left="-108"/>
              <w:jc w:val="center"/>
              <w:rPr>
                <w:rFonts w:ascii="Garamond" w:hAnsi="Garamond" w:cs="Arial"/>
                <w:bCs/>
                <w:sz w:val="24"/>
                <w:szCs w:val="24"/>
              </w:rPr>
            </w:pPr>
            <w:r w:rsidRPr="000C6D12">
              <w:rPr>
                <w:rFonts w:ascii="Garamond" w:hAnsi="Garamond" w:cs="Arial"/>
                <w:bCs/>
                <w:sz w:val="24"/>
                <w:szCs w:val="24"/>
              </w:rPr>
              <w:t xml:space="preserve">Closing value as on </w:t>
            </w:r>
            <w:r>
              <w:rPr>
                <w:rFonts w:ascii="Garamond" w:hAnsi="Garamond" w:cs="Arial"/>
                <w:bCs/>
                <w:sz w:val="24"/>
                <w:szCs w:val="24"/>
              </w:rPr>
              <w:t>30</w:t>
            </w:r>
            <w:r w:rsidRPr="000C6D12">
              <w:rPr>
                <w:rFonts w:ascii="Garamond" w:hAnsi="Garamond" w:cs="Arial"/>
                <w:bCs/>
                <w:sz w:val="24"/>
                <w:szCs w:val="24"/>
              </w:rPr>
              <w:t>/</w:t>
            </w:r>
            <w:r>
              <w:rPr>
                <w:rFonts w:ascii="Garamond" w:hAnsi="Garamond" w:cs="Arial"/>
                <w:bCs/>
                <w:sz w:val="24"/>
                <w:szCs w:val="24"/>
              </w:rPr>
              <w:t>06</w:t>
            </w:r>
            <w:r w:rsidRPr="000C6D12">
              <w:rPr>
                <w:rFonts w:ascii="Garamond" w:hAnsi="Garamond" w:cs="Arial"/>
                <w:bCs/>
                <w:sz w:val="24"/>
                <w:szCs w:val="24"/>
              </w:rPr>
              <w:t>/2017</w:t>
            </w:r>
          </w:p>
        </w:tc>
        <w:tc>
          <w:tcPr>
            <w:tcW w:w="1985" w:type="dxa"/>
            <w:gridSpan w:val="2"/>
            <w:vMerge w:val="restart"/>
            <w:tcBorders>
              <w:top w:val="single" w:sz="8" w:space="0" w:color="auto"/>
              <w:right w:val="single" w:sz="8" w:space="0" w:color="auto"/>
            </w:tcBorders>
            <w:shd w:val="clear" w:color="auto" w:fill="auto"/>
            <w:vAlign w:val="center"/>
            <w:hideMark/>
          </w:tcPr>
          <w:p w:rsidR="0085211A" w:rsidRPr="000C6D12" w:rsidRDefault="0085211A" w:rsidP="000D3F04">
            <w:pPr>
              <w:spacing w:after="0" w:line="240" w:lineRule="auto"/>
              <w:jc w:val="center"/>
              <w:rPr>
                <w:rFonts w:ascii="Garamond" w:hAnsi="Garamond" w:cs="Arial"/>
                <w:bCs/>
                <w:sz w:val="24"/>
                <w:szCs w:val="24"/>
              </w:rPr>
            </w:pPr>
            <w:r w:rsidRPr="000C6D12">
              <w:rPr>
                <w:rFonts w:ascii="Garamond" w:hAnsi="Garamond" w:cs="Arial"/>
                <w:bCs/>
                <w:sz w:val="24"/>
                <w:szCs w:val="24"/>
              </w:rPr>
              <w:t xml:space="preserve">Variation in prices as on  </w:t>
            </w:r>
            <w:r>
              <w:rPr>
                <w:rFonts w:ascii="Garamond" w:hAnsi="Garamond" w:cs="Arial"/>
                <w:bCs/>
                <w:sz w:val="24"/>
                <w:szCs w:val="24"/>
              </w:rPr>
              <w:t>30</w:t>
            </w:r>
            <w:r w:rsidRPr="000C6D12">
              <w:rPr>
                <w:rFonts w:ascii="Garamond" w:hAnsi="Garamond" w:cs="Arial"/>
                <w:bCs/>
                <w:sz w:val="24"/>
                <w:szCs w:val="24"/>
              </w:rPr>
              <w:t>/0</w:t>
            </w:r>
            <w:r>
              <w:rPr>
                <w:rFonts w:ascii="Garamond" w:hAnsi="Garamond" w:cs="Arial"/>
                <w:bCs/>
                <w:sz w:val="24"/>
                <w:szCs w:val="24"/>
              </w:rPr>
              <w:t>6</w:t>
            </w:r>
            <w:r w:rsidRPr="000C6D12">
              <w:rPr>
                <w:rFonts w:ascii="Garamond" w:hAnsi="Garamond" w:cs="Arial"/>
                <w:bCs/>
                <w:sz w:val="24"/>
                <w:szCs w:val="24"/>
              </w:rPr>
              <w:t>/2017 (percent)</w:t>
            </w:r>
          </w:p>
        </w:tc>
      </w:tr>
      <w:tr w:rsidR="0085211A" w:rsidRPr="000C6D12" w:rsidTr="000D3F04">
        <w:trPr>
          <w:trHeight w:val="390"/>
        </w:trPr>
        <w:tc>
          <w:tcPr>
            <w:tcW w:w="2127" w:type="dxa"/>
            <w:vMerge/>
            <w:tcBorders>
              <w:left w:val="single" w:sz="8" w:space="0" w:color="auto"/>
            </w:tcBorders>
            <w:vAlign w:val="center"/>
            <w:hideMark/>
          </w:tcPr>
          <w:p w:rsidR="0085211A" w:rsidRPr="000C6D12" w:rsidRDefault="0085211A" w:rsidP="000D3F04">
            <w:pPr>
              <w:spacing w:after="0" w:line="240" w:lineRule="auto"/>
              <w:rPr>
                <w:rFonts w:ascii="Garamond" w:hAnsi="Garamond" w:cs="Arial"/>
                <w:bCs/>
                <w:sz w:val="24"/>
                <w:szCs w:val="24"/>
              </w:rPr>
            </w:pPr>
          </w:p>
        </w:tc>
        <w:tc>
          <w:tcPr>
            <w:tcW w:w="1276" w:type="dxa"/>
            <w:vMerge/>
            <w:vAlign w:val="center"/>
            <w:hideMark/>
          </w:tcPr>
          <w:p w:rsidR="0085211A" w:rsidRPr="000C6D12" w:rsidRDefault="0085211A" w:rsidP="000D3F04">
            <w:pPr>
              <w:spacing w:after="0" w:line="240" w:lineRule="auto"/>
              <w:rPr>
                <w:rFonts w:ascii="Garamond" w:hAnsi="Garamond" w:cs="Arial"/>
                <w:bCs/>
                <w:sz w:val="24"/>
                <w:szCs w:val="24"/>
              </w:rPr>
            </w:pPr>
          </w:p>
        </w:tc>
        <w:tc>
          <w:tcPr>
            <w:tcW w:w="1984" w:type="dxa"/>
            <w:gridSpan w:val="2"/>
            <w:vMerge/>
            <w:vAlign w:val="center"/>
            <w:hideMark/>
          </w:tcPr>
          <w:p w:rsidR="0085211A" w:rsidRPr="000C6D12" w:rsidRDefault="0085211A" w:rsidP="000D3F04">
            <w:pPr>
              <w:spacing w:after="0" w:line="240" w:lineRule="auto"/>
              <w:rPr>
                <w:rFonts w:ascii="Garamond" w:hAnsi="Garamond" w:cs="Arial"/>
                <w:bCs/>
                <w:sz w:val="24"/>
                <w:szCs w:val="24"/>
              </w:rPr>
            </w:pPr>
          </w:p>
        </w:tc>
        <w:tc>
          <w:tcPr>
            <w:tcW w:w="1701" w:type="dxa"/>
            <w:vMerge/>
            <w:vAlign w:val="center"/>
            <w:hideMark/>
          </w:tcPr>
          <w:p w:rsidR="0085211A" w:rsidRPr="000C6D12" w:rsidRDefault="0085211A" w:rsidP="000D3F04">
            <w:pPr>
              <w:spacing w:after="0" w:line="240" w:lineRule="auto"/>
              <w:rPr>
                <w:rFonts w:ascii="Garamond" w:hAnsi="Garamond" w:cs="Arial"/>
                <w:bCs/>
                <w:sz w:val="24"/>
                <w:szCs w:val="24"/>
              </w:rPr>
            </w:pPr>
          </w:p>
        </w:tc>
        <w:tc>
          <w:tcPr>
            <w:tcW w:w="1276" w:type="dxa"/>
            <w:vMerge/>
            <w:vAlign w:val="center"/>
            <w:hideMark/>
          </w:tcPr>
          <w:p w:rsidR="0085211A" w:rsidRPr="000C6D12" w:rsidRDefault="0085211A" w:rsidP="000D3F04">
            <w:pPr>
              <w:spacing w:after="0" w:line="240" w:lineRule="auto"/>
              <w:rPr>
                <w:rFonts w:ascii="Garamond" w:hAnsi="Garamond" w:cs="Arial"/>
                <w:bCs/>
                <w:sz w:val="24"/>
                <w:szCs w:val="24"/>
              </w:rPr>
            </w:pPr>
          </w:p>
        </w:tc>
        <w:tc>
          <w:tcPr>
            <w:tcW w:w="1985" w:type="dxa"/>
            <w:gridSpan w:val="2"/>
            <w:vMerge/>
            <w:tcBorders>
              <w:right w:val="single" w:sz="8" w:space="0" w:color="auto"/>
            </w:tcBorders>
            <w:vAlign w:val="center"/>
            <w:hideMark/>
          </w:tcPr>
          <w:p w:rsidR="0085211A" w:rsidRPr="000C6D12" w:rsidRDefault="0085211A" w:rsidP="000D3F04">
            <w:pPr>
              <w:spacing w:after="0" w:line="240" w:lineRule="auto"/>
              <w:rPr>
                <w:rFonts w:ascii="Garamond" w:hAnsi="Garamond" w:cs="Arial"/>
                <w:bCs/>
                <w:sz w:val="24"/>
                <w:szCs w:val="24"/>
              </w:rPr>
            </w:pPr>
          </w:p>
        </w:tc>
      </w:tr>
      <w:tr w:rsidR="0085211A" w:rsidRPr="000C6D12" w:rsidTr="000D3F04">
        <w:trPr>
          <w:trHeight w:val="374"/>
        </w:trPr>
        <w:tc>
          <w:tcPr>
            <w:tcW w:w="2127" w:type="dxa"/>
            <w:vMerge/>
            <w:tcBorders>
              <w:left w:val="single" w:sz="8" w:space="0" w:color="auto"/>
              <w:bottom w:val="single" w:sz="8" w:space="0" w:color="auto"/>
            </w:tcBorders>
            <w:vAlign w:val="center"/>
            <w:hideMark/>
          </w:tcPr>
          <w:p w:rsidR="0085211A" w:rsidRPr="000C6D12" w:rsidRDefault="0085211A" w:rsidP="000D3F04">
            <w:pPr>
              <w:spacing w:after="0" w:line="240" w:lineRule="auto"/>
              <w:rPr>
                <w:rFonts w:ascii="Garamond" w:hAnsi="Garamond" w:cs="Arial"/>
                <w:bCs/>
                <w:sz w:val="24"/>
                <w:szCs w:val="24"/>
              </w:rPr>
            </w:pPr>
          </w:p>
        </w:tc>
        <w:tc>
          <w:tcPr>
            <w:tcW w:w="1276" w:type="dxa"/>
            <w:vMerge/>
            <w:tcBorders>
              <w:bottom w:val="single" w:sz="8" w:space="0" w:color="auto"/>
            </w:tcBorders>
            <w:vAlign w:val="center"/>
            <w:hideMark/>
          </w:tcPr>
          <w:p w:rsidR="0085211A" w:rsidRPr="000C6D12" w:rsidRDefault="0085211A" w:rsidP="000D3F04">
            <w:pPr>
              <w:spacing w:after="0" w:line="240" w:lineRule="auto"/>
              <w:rPr>
                <w:rFonts w:ascii="Garamond" w:hAnsi="Garamond" w:cs="Arial"/>
                <w:bCs/>
                <w:sz w:val="24"/>
                <w:szCs w:val="24"/>
              </w:rPr>
            </w:pPr>
          </w:p>
        </w:tc>
        <w:tc>
          <w:tcPr>
            <w:tcW w:w="992" w:type="dxa"/>
            <w:tcBorders>
              <w:bottom w:val="single" w:sz="8" w:space="0" w:color="auto"/>
            </w:tcBorders>
            <w:shd w:val="clear" w:color="auto" w:fill="auto"/>
            <w:noWrap/>
            <w:vAlign w:val="center"/>
            <w:hideMark/>
          </w:tcPr>
          <w:p w:rsidR="0085211A" w:rsidRPr="000C6D12" w:rsidRDefault="0085211A" w:rsidP="000D3F04">
            <w:pPr>
              <w:spacing w:after="0" w:line="240" w:lineRule="auto"/>
              <w:jc w:val="center"/>
              <w:rPr>
                <w:rFonts w:ascii="Garamond" w:hAnsi="Garamond" w:cs="Arial"/>
                <w:bCs/>
                <w:sz w:val="24"/>
                <w:szCs w:val="24"/>
              </w:rPr>
            </w:pPr>
            <w:r w:rsidRPr="000C6D12">
              <w:rPr>
                <w:rFonts w:ascii="Garamond" w:hAnsi="Garamond" w:cs="Arial"/>
                <w:bCs/>
                <w:sz w:val="24"/>
                <w:szCs w:val="24"/>
              </w:rPr>
              <w:t xml:space="preserve">M-o-M </w:t>
            </w:r>
          </w:p>
        </w:tc>
        <w:tc>
          <w:tcPr>
            <w:tcW w:w="992" w:type="dxa"/>
            <w:tcBorders>
              <w:bottom w:val="single" w:sz="8" w:space="0" w:color="auto"/>
            </w:tcBorders>
            <w:shd w:val="clear" w:color="auto" w:fill="auto"/>
            <w:noWrap/>
            <w:vAlign w:val="center"/>
            <w:hideMark/>
          </w:tcPr>
          <w:p w:rsidR="0085211A" w:rsidRPr="000C6D12" w:rsidRDefault="0085211A" w:rsidP="000D3F04">
            <w:pPr>
              <w:spacing w:after="0" w:line="240" w:lineRule="auto"/>
              <w:jc w:val="center"/>
              <w:rPr>
                <w:rFonts w:ascii="Garamond" w:hAnsi="Garamond" w:cs="Arial"/>
                <w:bCs/>
                <w:sz w:val="24"/>
                <w:szCs w:val="24"/>
              </w:rPr>
            </w:pPr>
            <w:r w:rsidRPr="000C6D12">
              <w:rPr>
                <w:rFonts w:ascii="Garamond" w:hAnsi="Garamond" w:cs="Arial"/>
                <w:bCs/>
                <w:sz w:val="24"/>
                <w:szCs w:val="24"/>
              </w:rPr>
              <w:t>Y-o- Y</w:t>
            </w:r>
          </w:p>
        </w:tc>
        <w:tc>
          <w:tcPr>
            <w:tcW w:w="1701" w:type="dxa"/>
            <w:vMerge/>
            <w:tcBorders>
              <w:bottom w:val="single" w:sz="8" w:space="0" w:color="auto"/>
            </w:tcBorders>
            <w:vAlign w:val="center"/>
            <w:hideMark/>
          </w:tcPr>
          <w:p w:rsidR="0085211A" w:rsidRPr="000C6D12" w:rsidRDefault="0085211A" w:rsidP="000D3F04">
            <w:pPr>
              <w:spacing w:after="0" w:line="240" w:lineRule="auto"/>
              <w:rPr>
                <w:rFonts w:ascii="Garamond" w:hAnsi="Garamond" w:cs="Arial"/>
                <w:bCs/>
                <w:sz w:val="24"/>
                <w:szCs w:val="24"/>
              </w:rPr>
            </w:pPr>
          </w:p>
        </w:tc>
        <w:tc>
          <w:tcPr>
            <w:tcW w:w="1276" w:type="dxa"/>
            <w:vMerge/>
            <w:tcBorders>
              <w:bottom w:val="single" w:sz="8" w:space="0" w:color="auto"/>
            </w:tcBorders>
            <w:vAlign w:val="center"/>
            <w:hideMark/>
          </w:tcPr>
          <w:p w:rsidR="0085211A" w:rsidRPr="000C6D12" w:rsidRDefault="0085211A" w:rsidP="000D3F04">
            <w:pPr>
              <w:spacing w:after="0" w:line="240" w:lineRule="auto"/>
              <w:rPr>
                <w:rFonts w:ascii="Garamond" w:hAnsi="Garamond" w:cs="Arial"/>
                <w:bCs/>
                <w:sz w:val="24"/>
                <w:szCs w:val="24"/>
              </w:rPr>
            </w:pPr>
          </w:p>
        </w:tc>
        <w:tc>
          <w:tcPr>
            <w:tcW w:w="992" w:type="dxa"/>
            <w:tcBorders>
              <w:bottom w:val="single" w:sz="8" w:space="0" w:color="auto"/>
            </w:tcBorders>
            <w:shd w:val="clear" w:color="auto" w:fill="auto"/>
            <w:noWrap/>
            <w:vAlign w:val="center"/>
            <w:hideMark/>
          </w:tcPr>
          <w:p w:rsidR="0085211A" w:rsidRPr="000C6D12" w:rsidRDefault="0085211A" w:rsidP="000D3F04">
            <w:pPr>
              <w:spacing w:after="0" w:line="240" w:lineRule="auto"/>
              <w:jc w:val="center"/>
              <w:rPr>
                <w:rFonts w:ascii="Garamond" w:hAnsi="Garamond" w:cs="Arial"/>
                <w:bCs/>
                <w:sz w:val="24"/>
                <w:szCs w:val="24"/>
              </w:rPr>
            </w:pPr>
            <w:r w:rsidRPr="000C6D12">
              <w:rPr>
                <w:rFonts w:ascii="Garamond" w:hAnsi="Garamond" w:cs="Arial"/>
                <w:bCs/>
                <w:sz w:val="24"/>
                <w:szCs w:val="24"/>
              </w:rPr>
              <w:t>M-o-M</w:t>
            </w:r>
          </w:p>
        </w:tc>
        <w:tc>
          <w:tcPr>
            <w:tcW w:w="993" w:type="dxa"/>
            <w:tcBorders>
              <w:bottom w:val="single" w:sz="8" w:space="0" w:color="auto"/>
              <w:right w:val="single" w:sz="8" w:space="0" w:color="auto"/>
            </w:tcBorders>
          </w:tcPr>
          <w:p w:rsidR="0085211A" w:rsidRPr="000C6D12" w:rsidRDefault="0085211A" w:rsidP="000D3F04">
            <w:pPr>
              <w:spacing w:after="0" w:line="240" w:lineRule="auto"/>
              <w:rPr>
                <w:rFonts w:ascii="Garamond" w:hAnsi="Garamond" w:cs="Arial"/>
                <w:bCs/>
                <w:sz w:val="24"/>
                <w:szCs w:val="24"/>
              </w:rPr>
            </w:pPr>
            <w:r>
              <w:rPr>
                <w:rFonts w:ascii="Garamond" w:hAnsi="Garamond" w:cs="Arial"/>
                <w:bCs/>
                <w:sz w:val="24"/>
                <w:szCs w:val="24"/>
              </w:rPr>
              <w:t>Y-o-Y</w:t>
            </w:r>
          </w:p>
        </w:tc>
      </w:tr>
      <w:tr w:rsidR="0085211A" w:rsidRPr="000C6D12" w:rsidTr="000D3F04">
        <w:trPr>
          <w:trHeight w:val="397"/>
        </w:trPr>
        <w:tc>
          <w:tcPr>
            <w:tcW w:w="2127" w:type="dxa"/>
            <w:tcBorders>
              <w:top w:val="single" w:sz="8" w:space="0" w:color="auto"/>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85211A" w:rsidRPr="000C6D12" w:rsidRDefault="0085211A" w:rsidP="000D3F04">
            <w:pPr>
              <w:spacing w:after="0" w:line="240" w:lineRule="auto"/>
              <w:rPr>
                <w:rFonts w:ascii="Garamond" w:hAnsi="Garamond" w:cs="Arial"/>
                <w:bCs/>
                <w:sz w:val="24"/>
                <w:szCs w:val="24"/>
              </w:rPr>
            </w:pPr>
            <w:r w:rsidRPr="000C6D12">
              <w:rPr>
                <w:rFonts w:ascii="Garamond" w:hAnsi="Garamond" w:cs="Arial"/>
                <w:bCs/>
                <w:sz w:val="24"/>
                <w:szCs w:val="24"/>
              </w:rPr>
              <w:t>MCX Comdex</w:t>
            </w:r>
          </w:p>
        </w:tc>
        <w:tc>
          <w:tcPr>
            <w:tcW w:w="1276"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85211A" w:rsidRPr="000C6D12"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3057</w:t>
            </w:r>
          </w:p>
        </w:tc>
        <w:tc>
          <w:tcPr>
            <w:tcW w:w="992"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0C6D12"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-2.4</w:t>
            </w:r>
          </w:p>
        </w:tc>
        <w:tc>
          <w:tcPr>
            <w:tcW w:w="992"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0C6D12"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-2.4</w:t>
            </w:r>
          </w:p>
        </w:tc>
        <w:tc>
          <w:tcPr>
            <w:tcW w:w="1701"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E26B0A"/>
            <w:noWrap/>
            <w:vAlign w:val="center"/>
            <w:hideMark/>
          </w:tcPr>
          <w:p w:rsidR="0085211A" w:rsidRPr="000C6D12" w:rsidRDefault="0085211A" w:rsidP="000D3F04">
            <w:pPr>
              <w:spacing w:after="0" w:line="240" w:lineRule="auto"/>
              <w:rPr>
                <w:rFonts w:ascii="Garamond" w:hAnsi="Garamond" w:cs="Arial"/>
                <w:bCs/>
                <w:sz w:val="24"/>
                <w:szCs w:val="24"/>
              </w:rPr>
            </w:pPr>
            <w:r w:rsidRPr="000C6D12">
              <w:rPr>
                <w:rFonts w:ascii="Garamond" w:hAnsi="Garamond" w:cs="Arial"/>
                <w:bCs/>
                <w:sz w:val="24"/>
                <w:szCs w:val="24"/>
              </w:rPr>
              <w:t>Dhaanya Index</w:t>
            </w:r>
          </w:p>
        </w:tc>
        <w:tc>
          <w:tcPr>
            <w:tcW w:w="1276"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85211A" w:rsidRPr="000C6D12"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2876</w:t>
            </w:r>
          </w:p>
        </w:tc>
        <w:tc>
          <w:tcPr>
            <w:tcW w:w="992"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36C0A" w:themeFill="accent6" w:themeFillShade="BF"/>
            <w:noWrap/>
            <w:vAlign w:val="center"/>
            <w:hideMark/>
          </w:tcPr>
          <w:p w:rsidR="0085211A" w:rsidRPr="000C6D12"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1.8</w:t>
            </w:r>
          </w:p>
        </w:tc>
        <w:tc>
          <w:tcPr>
            <w:tcW w:w="993" w:type="dxa"/>
            <w:tcBorders>
              <w:top w:val="single" w:sz="8" w:space="0" w:color="auto"/>
              <w:left w:val="single" w:sz="2" w:space="0" w:color="A6A6A6" w:themeColor="background1" w:themeShade="A6"/>
              <w:bottom w:val="single" w:sz="2" w:space="0" w:color="A6A6A6" w:themeColor="background1" w:themeShade="A6"/>
              <w:right w:val="single" w:sz="8" w:space="0" w:color="auto"/>
            </w:tcBorders>
            <w:shd w:val="clear" w:color="auto" w:fill="E36C0A" w:themeFill="accent6" w:themeFillShade="BF"/>
            <w:vAlign w:val="center"/>
          </w:tcPr>
          <w:p w:rsidR="0085211A" w:rsidRPr="000A25DC"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-10.3.</w:t>
            </w:r>
          </w:p>
        </w:tc>
      </w:tr>
      <w:tr w:rsidR="0085211A" w:rsidRPr="000C6D12" w:rsidTr="000D3F04">
        <w:trPr>
          <w:trHeight w:val="101"/>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MCX AGRI Index</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2268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-2.2</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Guar seed 1</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3389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-1.2</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5.3</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MCX Metal Index</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4589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1.1</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Guar Gum</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7137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-3.5</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tabs>
                <w:tab w:val="left" w:pos="376"/>
              </w:tabs>
              <w:spacing w:after="0" w:line="240" w:lineRule="auto"/>
              <w:jc w:val="right"/>
              <w:rPr>
                <w:rFonts w:ascii="Garamond" w:hAnsi="Garamond" w:cs="Arial"/>
                <w:bCs/>
                <w:sz w:val="24"/>
                <w:szCs w:val="24"/>
              </w:rPr>
            </w:pPr>
            <w:r>
              <w:rPr>
                <w:rFonts w:ascii="Garamond" w:hAnsi="Garamond" w:cs="Arial"/>
                <w:bCs/>
                <w:sz w:val="24"/>
                <w:szCs w:val="24"/>
              </w:rPr>
              <w:t>25.4</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MCX Energy Index</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2224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-7.1</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-9.1</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Soybean</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2854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5.9</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-23.7</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proofErr w:type="spellStart"/>
            <w:r w:rsidRPr="00DD1159">
              <w:rPr>
                <w:rFonts w:ascii="Garamond" w:hAnsi="Garamond" w:cs="Arial"/>
                <w:bCs/>
                <w:sz w:val="24"/>
                <w:szCs w:val="24"/>
              </w:rPr>
              <w:t>Aluminium</w:t>
            </w:r>
            <w:proofErr w:type="spellEnd"/>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124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-0.3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11.3</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Turmeric</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6378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19.7</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-23.1</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proofErr w:type="spellStart"/>
            <w:r w:rsidRPr="00DD1159">
              <w:rPr>
                <w:rFonts w:ascii="Garamond" w:hAnsi="Garamond" w:cs="Arial"/>
                <w:bCs/>
                <w:sz w:val="24"/>
                <w:szCs w:val="24"/>
              </w:rPr>
              <w:t>Aluminium</w:t>
            </w:r>
            <w:proofErr w:type="spellEnd"/>
            <w:r w:rsidRPr="00DD1159">
              <w:rPr>
                <w:rFonts w:ascii="Garamond" w:hAnsi="Garamond" w:cs="Arial"/>
                <w:bCs/>
                <w:sz w:val="24"/>
                <w:szCs w:val="24"/>
              </w:rPr>
              <w:t xml:space="preserve">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124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w:t>
            </w:r>
            <w:r w:rsidRPr="00DD1159">
              <w:rPr>
                <w:rFonts w:ascii="Garamond" w:hAnsi="Garamond" w:cs="Arial"/>
                <w:bCs/>
                <w:sz w:val="24"/>
                <w:szCs w:val="24"/>
              </w:rPr>
              <w:t>0.3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11.3</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Sugar</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3670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-2.1</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2.4</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Copper</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389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17.6</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RM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3609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3.3</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-24.3</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Copper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389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17.6</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Soy Oil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640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4.1</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0.5</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Crude Oil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2968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 xml:space="preserve">   -7.3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0"/>
                <w:szCs w:val="20"/>
              </w:rPr>
            </w:pPr>
            <w:r w:rsidRPr="00DD1159">
              <w:rPr>
                <w:rFonts w:ascii="Garamond" w:hAnsi="Garamond" w:cs="Arial"/>
                <w:bCs/>
                <w:sz w:val="20"/>
                <w:szCs w:val="20"/>
              </w:rPr>
              <w:t>- 10.2</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 xml:space="preserve">Maize </w:t>
            </w:r>
            <w:proofErr w:type="spellStart"/>
            <w:r w:rsidRPr="00DD1159">
              <w:rPr>
                <w:rFonts w:ascii="Garamond" w:hAnsi="Garamond" w:cs="Arial"/>
                <w:bCs/>
                <w:sz w:val="24"/>
                <w:szCs w:val="24"/>
              </w:rPr>
              <w:t>Kharif</w:t>
            </w:r>
            <w:proofErr w:type="spellEnd"/>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1610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15.3</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9.0</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Gold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28439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-8.8</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Cottonseed oilcake</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1730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-4.0</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-32.1</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Gold Guinea</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23373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-0.5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-6.5</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Wheat</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1605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0.3</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-9.0</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Gold Petal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2906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-0.4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-6.2</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proofErr w:type="spellStart"/>
            <w:r w:rsidRPr="00DD1159">
              <w:rPr>
                <w:rFonts w:ascii="Garamond" w:hAnsi="Garamond" w:cs="Arial"/>
                <w:bCs/>
                <w:sz w:val="24"/>
                <w:szCs w:val="24"/>
              </w:rPr>
              <w:t>Jeera</w:t>
            </w:r>
            <w:proofErr w:type="spellEnd"/>
            <w:r w:rsidRPr="00DD1159">
              <w:rPr>
                <w:rFonts w:ascii="Garamond" w:hAnsi="Garamond" w:cs="Arial"/>
                <w:bCs/>
                <w:sz w:val="24"/>
                <w:szCs w:val="24"/>
              </w:rPr>
              <w:t xml:space="preserve">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18910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7.4</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-4.8</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Gold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28471</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-8.6</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 xml:space="preserve">Coriander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5033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2.2</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-30.7</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Lead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148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9.2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22.4</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 xml:space="preserve">Barley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1439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1.1</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-8.3</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Lead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148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9.2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22.4</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proofErr w:type="spellStart"/>
            <w:r w:rsidRPr="00DD1159">
              <w:rPr>
                <w:rFonts w:ascii="Garamond" w:hAnsi="Garamond" w:cs="Arial"/>
                <w:bCs/>
                <w:sz w:val="24"/>
                <w:szCs w:val="24"/>
              </w:rPr>
              <w:t>Chilli</w:t>
            </w:r>
            <w:proofErr w:type="spellEnd"/>
            <w:r w:rsidRPr="00DD1159">
              <w:rPr>
                <w:rFonts w:ascii="Garamond" w:hAnsi="Garamond" w:cs="Arial"/>
                <w:bCs/>
                <w:sz w:val="24"/>
                <w:szCs w:val="24"/>
              </w:rPr>
              <w:t xml:space="preserve">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7520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14.3</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-40.8</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Natural Gas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194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-1.8</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 xml:space="preserve">V797 </w:t>
            </w:r>
            <w:proofErr w:type="spellStart"/>
            <w:r w:rsidRPr="00DD1159">
              <w:rPr>
                <w:rFonts w:ascii="Garamond" w:hAnsi="Garamond" w:cs="Arial"/>
                <w:bCs/>
                <w:sz w:val="24"/>
                <w:szCs w:val="24"/>
              </w:rPr>
              <w:t>kapas</w:t>
            </w:r>
            <w:proofErr w:type="spellEnd"/>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879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-6.4</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-4.9</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Nickel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607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-5.6</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 xml:space="preserve">Shankar </w:t>
            </w:r>
            <w:proofErr w:type="spellStart"/>
            <w:r w:rsidRPr="00DD1159">
              <w:rPr>
                <w:rFonts w:ascii="Garamond" w:hAnsi="Garamond" w:cs="Arial"/>
                <w:bCs/>
                <w:sz w:val="24"/>
                <w:szCs w:val="24"/>
              </w:rPr>
              <w:t>Kapas</w:t>
            </w:r>
            <w:proofErr w:type="spellEnd"/>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1092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-1.9</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-9.7</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Nickel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607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-5.0</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Castor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4395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1.6</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NA</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Silver</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38783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w:t>
            </w:r>
            <w:r w:rsidRPr="00DD1159">
              <w:rPr>
                <w:rFonts w:ascii="Garamond" w:hAnsi="Garamond" w:cs="Arial"/>
                <w:bCs/>
                <w:sz w:val="20"/>
                <w:szCs w:val="20"/>
              </w:rPr>
              <w:t>12.6</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Maize Rabi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1310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0.8</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15.7</w:t>
            </w:r>
          </w:p>
        </w:tc>
      </w:tr>
      <w:tr w:rsidR="0085211A" w:rsidRPr="000C6D12" w:rsidTr="000D3F04">
        <w:trPr>
          <w:trHeight w:val="98"/>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Silver Micro</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38819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w:t>
            </w:r>
            <w:r w:rsidRPr="00DD1159">
              <w:rPr>
                <w:rFonts w:ascii="Garamond" w:hAnsi="Garamond" w:cs="Arial"/>
                <w:bCs/>
                <w:sz w:val="20"/>
                <w:szCs w:val="20"/>
              </w:rPr>
              <w:t>12.5</w:t>
            </w:r>
          </w:p>
        </w:tc>
        <w:tc>
          <w:tcPr>
            <w:tcW w:w="4962" w:type="dxa"/>
            <w:gridSpan w:val="4"/>
            <w:vMerge w:val="restart"/>
            <w:tcBorders>
              <w:top w:val="single" w:sz="2" w:space="0" w:color="A6A6A6" w:themeColor="background1" w:themeShade="A6"/>
              <w:left w:val="single" w:sz="2" w:space="0" w:color="A6A6A6" w:themeColor="background1" w:themeShade="A6"/>
              <w:right w:val="single" w:sz="8" w:space="0" w:color="auto"/>
            </w:tcBorders>
            <w:shd w:val="clear" w:color="auto" w:fill="FFFFFF" w:themeFill="background1"/>
            <w:noWrap/>
            <w:vAlign w:val="center"/>
          </w:tcPr>
          <w:p w:rsidR="0085211A" w:rsidRPr="00DD1159" w:rsidRDefault="0085211A" w:rsidP="000D3F04">
            <w:pPr>
              <w:spacing w:after="0" w:line="240" w:lineRule="auto"/>
              <w:rPr>
                <w:rFonts w:ascii="Garamond" w:hAnsi="Garamond" w:cs="Arial"/>
                <w:bCs/>
                <w:sz w:val="24"/>
                <w:szCs w:val="24"/>
              </w:rPr>
            </w:pPr>
            <w:r w:rsidRPr="00E63CB5">
              <w:rPr>
                <w:rFonts w:ascii="Garamond" w:hAnsi="Garamond" w:cs="Arial"/>
                <w:b/>
                <w:bCs/>
                <w:sz w:val="24"/>
                <w:szCs w:val="24"/>
              </w:rPr>
              <w:t>NMCE</w:t>
            </w:r>
          </w:p>
        </w:tc>
      </w:tr>
      <w:tr w:rsidR="0085211A" w:rsidRPr="000C6D12" w:rsidTr="000D3F04">
        <w:trPr>
          <w:trHeight w:val="96"/>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Silver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38822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-3.7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w:t>
            </w:r>
            <w:r w:rsidRPr="00DD1159">
              <w:rPr>
                <w:rFonts w:ascii="Garamond" w:hAnsi="Garamond" w:cs="Arial"/>
                <w:bCs/>
                <w:sz w:val="20"/>
                <w:szCs w:val="20"/>
              </w:rPr>
              <w:t>12.5</w:t>
            </w:r>
          </w:p>
        </w:tc>
        <w:tc>
          <w:tcPr>
            <w:tcW w:w="4962" w:type="dxa"/>
            <w:gridSpan w:val="4"/>
            <w:vMerge/>
            <w:tcBorders>
              <w:left w:val="single" w:sz="2" w:space="0" w:color="A6A6A6" w:themeColor="background1" w:themeShade="A6"/>
              <w:bottom w:val="single" w:sz="2" w:space="0" w:color="A6A6A6" w:themeColor="background1" w:themeShade="A6"/>
              <w:right w:val="single" w:sz="8" w:space="0" w:color="auto"/>
            </w:tcBorders>
            <w:shd w:val="clear" w:color="auto" w:fill="FFFFFF" w:themeFill="background1"/>
            <w:noWrap/>
            <w:vAlign w:val="center"/>
          </w:tcPr>
          <w:p w:rsidR="0085211A" w:rsidRPr="007F24A0" w:rsidRDefault="0085211A" w:rsidP="000D3F04">
            <w:pPr>
              <w:spacing w:after="0" w:line="240" w:lineRule="auto"/>
              <w:rPr>
                <w:rFonts w:ascii="Garamond" w:hAnsi="Garamond" w:cs="Arial"/>
                <w:b/>
                <w:bCs/>
                <w:sz w:val="24"/>
                <w:szCs w:val="24"/>
              </w:rPr>
            </w:pPr>
          </w:p>
        </w:tc>
      </w:tr>
      <w:tr w:rsidR="0085211A" w:rsidRPr="000C6D12" w:rsidTr="000D3F04">
        <w:trPr>
          <w:trHeight w:val="36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Zinc</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179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25.7</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r>
              <w:rPr>
                <w:rFonts w:ascii="Garamond" w:hAnsi="Garamond" w:cs="Arial"/>
                <w:bCs/>
                <w:sz w:val="24"/>
                <w:szCs w:val="24"/>
              </w:rPr>
              <w:t>Castor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4420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C95062" w:rsidRDefault="0085211A" w:rsidP="000D3F04">
            <w:pPr>
              <w:spacing w:after="0" w:line="240" w:lineRule="auto"/>
              <w:jc w:val="right"/>
              <w:rPr>
                <w:rFonts w:ascii="Garamond" w:hAnsi="Garamond" w:cs="Arial"/>
                <w:bCs/>
                <w:sz w:val="24"/>
                <w:szCs w:val="24"/>
              </w:rPr>
            </w:pPr>
            <w:r w:rsidRPr="00C95062">
              <w:rPr>
                <w:rFonts w:ascii="Garamond" w:hAnsi="Garamond" w:cs="Arial"/>
                <w:bCs/>
                <w:sz w:val="24"/>
                <w:szCs w:val="24"/>
              </w:rPr>
              <w:t>5.3</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tabs>
                <w:tab w:val="left" w:pos="188"/>
              </w:tabs>
              <w:spacing w:after="0" w:line="240" w:lineRule="auto"/>
              <w:jc w:val="right"/>
              <w:rPr>
                <w:rFonts w:ascii="Garamond" w:hAnsi="Garamond" w:cs="Arial"/>
                <w:bCs/>
                <w:sz w:val="24"/>
                <w:szCs w:val="24"/>
              </w:rPr>
            </w:pPr>
            <w:r>
              <w:rPr>
                <w:rFonts w:ascii="Garamond" w:hAnsi="Garamond" w:cs="Arial"/>
                <w:bCs/>
                <w:sz w:val="24"/>
                <w:szCs w:val="24"/>
              </w:rPr>
              <w:t>36.0</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Zinc Mini</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179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25.7</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r w:rsidRPr="00E63CB5">
              <w:rPr>
                <w:rFonts w:ascii="Garamond" w:hAnsi="Garamond" w:cs="Arial"/>
                <w:bCs/>
                <w:sz w:val="24"/>
                <w:szCs w:val="24"/>
              </w:rPr>
              <w:t>Rubber</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12918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C95062" w:rsidRDefault="0085211A" w:rsidP="000D3F04">
            <w:pPr>
              <w:spacing w:after="0" w:line="240" w:lineRule="auto"/>
              <w:jc w:val="right"/>
              <w:rPr>
                <w:rFonts w:ascii="Garamond" w:hAnsi="Garamond" w:cs="Arial"/>
                <w:bCs/>
                <w:sz w:val="24"/>
                <w:szCs w:val="24"/>
              </w:rPr>
            </w:pPr>
            <w:r w:rsidRPr="00C95062">
              <w:rPr>
                <w:rFonts w:ascii="Garamond" w:hAnsi="Garamond" w:cs="Arial"/>
                <w:bCs/>
                <w:sz w:val="24"/>
                <w:szCs w:val="24"/>
              </w:rPr>
              <w:t>5.6</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-10.5</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hideMark/>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Cardamom</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1034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10.3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18.3</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r w:rsidRPr="00E63CB5">
              <w:rPr>
                <w:rFonts w:ascii="Garamond" w:hAnsi="Garamond" w:cs="Arial"/>
                <w:bCs/>
                <w:sz w:val="24"/>
                <w:szCs w:val="24"/>
              </w:rPr>
              <w:t>Raw Jute</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3702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C95062" w:rsidRDefault="0085211A" w:rsidP="000D3F04">
            <w:pPr>
              <w:spacing w:after="0" w:line="240" w:lineRule="auto"/>
              <w:jc w:val="right"/>
              <w:rPr>
                <w:rFonts w:ascii="Garamond" w:hAnsi="Garamond" w:cs="Arial"/>
                <w:bCs/>
                <w:sz w:val="24"/>
                <w:szCs w:val="24"/>
              </w:rPr>
            </w:pPr>
            <w:r w:rsidRPr="00C95062">
              <w:rPr>
                <w:rFonts w:ascii="Garamond" w:hAnsi="Garamond" w:cs="Arial"/>
                <w:bCs/>
                <w:sz w:val="24"/>
                <w:szCs w:val="24"/>
              </w:rPr>
              <w:t>-1.1</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-37.3</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Cotton</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20010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-5.5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-1.5</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proofErr w:type="spellStart"/>
            <w:r w:rsidRPr="00E63CB5">
              <w:rPr>
                <w:rFonts w:ascii="Garamond" w:hAnsi="Garamond" w:cs="Arial"/>
                <w:bCs/>
                <w:sz w:val="24"/>
                <w:szCs w:val="24"/>
              </w:rPr>
              <w:t>Isabgul</w:t>
            </w:r>
            <w:proofErr w:type="spellEnd"/>
            <w:r w:rsidRPr="00E63CB5">
              <w:rPr>
                <w:rFonts w:ascii="Garamond" w:hAnsi="Garamond" w:cs="Arial"/>
                <w:bCs/>
                <w:sz w:val="24"/>
                <w:szCs w:val="24"/>
              </w:rPr>
              <w:t xml:space="preserve">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11276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C95062" w:rsidRDefault="0085211A" w:rsidP="000D3F04">
            <w:pPr>
              <w:spacing w:after="0" w:line="240" w:lineRule="auto"/>
              <w:jc w:val="right"/>
              <w:rPr>
                <w:rFonts w:ascii="Garamond" w:hAnsi="Garamond" w:cs="Arial"/>
                <w:bCs/>
                <w:sz w:val="24"/>
                <w:szCs w:val="24"/>
              </w:rPr>
            </w:pPr>
            <w:r w:rsidRPr="00C95062">
              <w:rPr>
                <w:rFonts w:ascii="Garamond" w:hAnsi="Garamond" w:cs="Arial"/>
                <w:bCs/>
                <w:sz w:val="24"/>
                <w:szCs w:val="24"/>
              </w:rPr>
              <w:t>-1.3</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-3.0</w:t>
            </w:r>
          </w:p>
        </w:tc>
      </w:tr>
      <w:tr w:rsidR="0085211A" w:rsidRPr="000C6D12" w:rsidTr="000D3F04">
        <w:trPr>
          <w:trHeight w:val="74"/>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sidRPr="00DD1159">
              <w:rPr>
                <w:rFonts w:ascii="Garamond" w:hAnsi="Garamond" w:cs="Arial"/>
                <w:bCs/>
                <w:sz w:val="24"/>
                <w:szCs w:val="24"/>
              </w:rPr>
              <w:t>CPO</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480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-2.6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-4.9</w:t>
            </w:r>
          </w:p>
        </w:tc>
        <w:tc>
          <w:tcPr>
            <w:tcW w:w="1701"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r w:rsidRPr="00E63CB5">
              <w:rPr>
                <w:rFonts w:ascii="Garamond" w:hAnsi="Garamond" w:cs="Arial"/>
                <w:bCs/>
                <w:sz w:val="24"/>
                <w:szCs w:val="24"/>
              </w:rPr>
              <w:t>RM seed</w:t>
            </w:r>
          </w:p>
          <w:p w:rsidR="0085211A" w:rsidRPr="00E63CB5" w:rsidRDefault="0085211A" w:rsidP="000D3F04">
            <w:pPr>
              <w:spacing w:after="0" w:line="240" w:lineRule="auto"/>
              <w:rPr>
                <w:rFonts w:ascii="Garamond" w:hAnsi="Garamond" w:cs="Arial"/>
                <w:bCs/>
                <w:sz w:val="24"/>
                <w:szCs w:val="24"/>
              </w:rPr>
            </w:pPr>
            <w:r w:rsidRPr="00E63CB5">
              <w:rPr>
                <w:rFonts w:ascii="Garamond" w:hAnsi="Garamond" w:cs="Arial"/>
                <w:bCs/>
                <w:sz w:val="24"/>
                <w:szCs w:val="24"/>
              </w:rPr>
              <w:t>Guar Seed</w:t>
            </w:r>
          </w:p>
        </w:tc>
        <w:tc>
          <w:tcPr>
            <w:tcW w:w="1276"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602.5</w:t>
            </w:r>
          </w:p>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3395</w:t>
            </w:r>
          </w:p>
        </w:tc>
        <w:tc>
          <w:tcPr>
            <w:tcW w:w="992"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C95062" w:rsidRDefault="0085211A" w:rsidP="000D3F04">
            <w:pPr>
              <w:spacing w:after="0" w:line="240" w:lineRule="auto"/>
              <w:jc w:val="right"/>
              <w:rPr>
                <w:rFonts w:ascii="Garamond" w:hAnsi="Garamond" w:cs="Arial"/>
                <w:bCs/>
                <w:sz w:val="24"/>
                <w:szCs w:val="24"/>
              </w:rPr>
            </w:pPr>
            <w:r w:rsidRPr="00C95062">
              <w:rPr>
                <w:rFonts w:ascii="Garamond" w:hAnsi="Garamond" w:cs="Arial"/>
                <w:bCs/>
                <w:sz w:val="24"/>
                <w:szCs w:val="24"/>
              </w:rPr>
              <w:t>-1.5</w:t>
            </w:r>
          </w:p>
          <w:p w:rsidR="0085211A" w:rsidRPr="00C95062" w:rsidRDefault="0085211A" w:rsidP="000D3F04">
            <w:pPr>
              <w:spacing w:after="0" w:line="240" w:lineRule="auto"/>
              <w:jc w:val="right"/>
              <w:rPr>
                <w:rFonts w:ascii="Garamond" w:hAnsi="Garamond" w:cs="Arial"/>
                <w:bCs/>
                <w:sz w:val="24"/>
                <w:szCs w:val="24"/>
              </w:rPr>
            </w:pPr>
            <w:r w:rsidRPr="00C95062">
              <w:rPr>
                <w:rFonts w:ascii="Garamond" w:hAnsi="Garamond" w:cs="Arial"/>
                <w:bCs/>
                <w:sz w:val="24"/>
                <w:szCs w:val="24"/>
              </w:rPr>
              <w:t>2.1</w:t>
            </w: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-26.1</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proofErr w:type="spellStart"/>
            <w:r w:rsidRPr="00DD1159">
              <w:rPr>
                <w:rFonts w:ascii="Garamond" w:hAnsi="Garamond" w:cs="Arial"/>
                <w:bCs/>
                <w:sz w:val="24"/>
                <w:szCs w:val="24"/>
              </w:rPr>
              <w:t>Mentha</w:t>
            </w:r>
            <w:proofErr w:type="spellEnd"/>
            <w:r w:rsidRPr="00DD1159">
              <w:rPr>
                <w:rFonts w:ascii="Garamond" w:hAnsi="Garamond" w:cs="Arial"/>
                <w:bCs/>
                <w:sz w:val="24"/>
                <w:szCs w:val="24"/>
              </w:rPr>
              <w:t xml:space="preserve"> Oil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891</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-4.0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85211A" w:rsidRPr="00DD1159" w:rsidRDefault="0085211A" w:rsidP="000D3F04">
            <w:pPr>
              <w:spacing w:after="0" w:line="240" w:lineRule="auto"/>
              <w:jc w:val="right"/>
              <w:rPr>
                <w:rFonts w:ascii="Garamond" w:hAnsi="Garamond" w:cs="Arial"/>
                <w:bCs/>
                <w:sz w:val="24"/>
                <w:szCs w:val="24"/>
              </w:rPr>
            </w:pPr>
            <w:r w:rsidRPr="00DD1159">
              <w:rPr>
                <w:rFonts w:ascii="Garamond" w:hAnsi="Garamond" w:cs="Arial"/>
                <w:bCs/>
                <w:sz w:val="24"/>
                <w:szCs w:val="24"/>
              </w:rPr>
              <w:t>7.0</w:t>
            </w: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p>
        </w:tc>
        <w:tc>
          <w:tcPr>
            <w:tcW w:w="1276"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p>
        </w:tc>
        <w:tc>
          <w:tcPr>
            <w:tcW w:w="992"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85211A" w:rsidRPr="00E63CB5" w:rsidRDefault="0085211A" w:rsidP="000D3F04">
            <w:pPr>
              <w:spacing w:after="0" w:line="240" w:lineRule="auto"/>
              <w:jc w:val="right"/>
              <w:rPr>
                <w:rFonts w:ascii="Garamond" w:hAnsi="Garamond" w:cs="Arial"/>
                <w:bCs/>
                <w:sz w:val="24"/>
                <w:szCs w:val="24"/>
              </w:rPr>
            </w:pPr>
          </w:p>
        </w:tc>
        <w:tc>
          <w:tcPr>
            <w:tcW w:w="9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5.5</w:t>
            </w:r>
          </w:p>
        </w:tc>
      </w:tr>
      <w:tr w:rsidR="0085211A" w:rsidRPr="000C6D12" w:rsidTr="000D3F04">
        <w:trPr>
          <w:trHeight w:val="300"/>
        </w:trPr>
        <w:tc>
          <w:tcPr>
            <w:tcW w:w="2127" w:type="dxa"/>
            <w:tcBorders>
              <w:top w:val="single" w:sz="2" w:space="0" w:color="A6A6A6" w:themeColor="background1" w:themeShade="A6"/>
              <w:left w:val="single" w:sz="8" w:space="0" w:color="auto"/>
              <w:bottom w:val="single" w:sz="8" w:space="0" w:color="auto"/>
              <w:right w:val="single" w:sz="2" w:space="0" w:color="A6A6A6" w:themeColor="background1" w:themeShade="A6"/>
            </w:tcBorders>
            <w:shd w:val="clear" w:color="000000" w:fill="FABF8F"/>
            <w:noWrap/>
            <w:vAlign w:val="center"/>
          </w:tcPr>
          <w:p w:rsidR="0085211A" w:rsidRPr="00DD1159" w:rsidRDefault="0085211A" w:rsidP="000D3F04">
            <w:pPr>
              <w:spacing w:after="0" w:line="240" w:lineRule="auto"/>
              <w:rPr>
                <w:rFonts w:ascii="Garamond" w:hAnsi="Garamond" w:cs="Arial"/>
                <w:bCs/>
                <w:sz w:val="24"/>
                <w:szCs w:val="24"/>
              </w:rPr>
            </w:pPr>
            <w:r>
              <w:rPr>
                <w:rFonts w:ascii="Garamond" w:hAnsi="Garamond" w:cs="Arial"/>
                <w:bCs/>
                <w:sz w:val="24"/>
                <w:szCs w:val="24"/>
              </w:rPr>
              <w:t xml:space="preserve">RBD </w:t>
            </w:r>
            <w:proofErr w:type="spellStart"/>
            <w:r>
              <w:rPr>
                <w:rFonts w:ascii="Garamond" w:hAnsi="Garamond" w:cs="Arial"/>
                <w:bCs/>
                <w:sz w:val="24"/>
                <w:szCs w:val="24"/>
              </w:rPr>
              <w:t>Palmolein</w:t>
            </w:r>
            <w:proofErr w:type="spellEnd"/>
          </w:p>
        </w:tc>
        <w:tc>
          <w:tcPr>
            <w:tcW w:w="1276" w:type="dxa"/>
            <w:tcBorders>
              <w:top w:val="single" w:sz="2" w:space="0" w:color="A6A6A6" w:themeColor="background1" w:themeShade="A6"/>
              <w:left w:val="single" w:sz="2" w:space="0" w:color="A6A6A6" w:themeColor="background1" w:themeShade="A6"/>
              <w:bottom w:val="single" w:sz="8" w:space="0" w:color="auto"/>
              <w:right w:val="single" w:sz="2" w:space="0" w:color="A6A6A6" w:themeColor="background1" w:themeShade="A6"/>
            </w:tcBorders>
            <w:shd w:val="clear" w:color="000000" w:fill="8DB4E2"/>
            <w:noWrap/>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526</w:t>
            </w:r>
          </w:p>
        </w:tc>
        <w:tc>
          <w:tcPr>
            <w:tcW w:w="992" w:type="dxa"/>
            <w:tcBorders>
              <w:top w:val="single" w:sz="2" w:space="0" w:color="A6A6A6" w:themeColor="background1" w:themeShade="A6"/>
              <w:left w:val="single" w:sz="2" w:space="0" w:color="A6A6A6" w:themeColor="background1" w:themeShade="A6"/>
              <w:bottom w:val="single" w:sz="8" w:space="0" w:color="auto"/>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-1.8</w:t>
            </w:r>
          </w:p>
        </w:tc>
        <w:tc>
          <w:tcPr>
            <w:tcW w:w="992" w:type="dxa"/>
            <w:tcBorders>
              <w:top w:val="single" w:sz="2" w:space="0" w:color="A6A6A6" w:themeColor="background1" w:themeShade="A6"/>
              <w:left w:val="single" w:sz="2" w:space="0" w:color="A6A6A6" w:themeColor="background1" w:themeShade="A6"/>
              <w:bottom w:val="single" w:sz="8" w:space="0" w:color="auto"/>
              <w:right w:val="single" w:sz="2" w:space="0" w:color="A6A6A6" w:themeColor="background1" w:themeShade="A6"/>
            </w:tcBorders>
            <w:shd w:val="clear" w:color="000000" w:fill="C4D79B"/>
            <w:noWrap/>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Na</w:t>
            </w:r>
          </w:p>
        </w:tc>
        <w:tc>
          <w:tcPr>
            <w:tcW w:w="1701" w:type="dxa"/>
            <w:tcBorders>
              <w:top w:val="single" w:sz="2" w:space="0" w:color="A6A6A6" w:themeColor="background1" w:themeShade="A6"/>
              <w:left w:val="single" w:sz="2" w:space="0" w:color="A6A6A6" w:themeColor="background1" w:themeShade="A6"/>
              <w:bottom w:val="single" w:sz="8" w:space="0" w:color="auto"/>
              <w:right w:val="single" w:sz="2" w:space="0" w:color="A6A6A6" w:themeColor="background1" w:themeShade="A6"/>
            </w:tcBorders>
            <w:shd w:val="clear" w:color="000000" w:fill="FCD5B4"/>
            <w:noWrap/>
            <w:vAlign w:val="center"/>
          </w:tcPr>
          <w:p w:rsidR="0085211A" w:rsidRPr="00E63CB5" w:rsidRDefault="0085211A" w:rsidP="000D3F04">
            <w:pPr>
              <w:spacing w:after="0" w:line="240" w:lineRule="auto"/>
              <w:rPr>
                <w:rFonts w:ascii="Garamond" w:hAnsi="Garamond" w:cs="Arial"/>
                <w:bCs/>
                <w:sz w:val="24"/>
                <w:szCs w:val="24"/>
              </w:rPr>
            </w:pPr>
            <w:r w:rsidRPr="00E63CB5">
              <w:rPr>
                <w:rFonts w:ascii="Garamond" w:hAnsi="Garamond" w:cs="Arial"/>
                <w:bCs/>
                <w:sz w:val="24"/>
                <w:szCs w:val="24"/>
              </w:rPr>
              <w:t>Pepper</w:t>
            </w:r>
          </w:p>
        </w:tc>
        <w:tc>
          <w:tcPr>
            <w:tcW w:w="1276" w:type="dxa"/>
            <w:tcBorders>
              <w:top w:val="single" w:sz="2" w:space="0" w:color="A6A6A6" w:themeColor="background1" w:themeShade="A6"/>
              <w:left w:val="single" w:sz="2" w:space="0" w:color="A6A6A6" w:themeColor="background1" w:themeShade="A6"/>
              <w:bottom w:val="single" w:sz="8" w:space="0" w:color="auto"/>
              <w:right w:val="single" w:sz="2" w:space="0" w:color="A6A6A6" w:themeColor="background1" w:themeShade="A6"/>
            </w:tcBorders>
            <w:shd w:val="clear" w:color="000000" w:fill="8DB4E2"/>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50269</w:t>
            </w:r>
          </w:p>
        </w:tc>
        <w:tc>
          <w:tcPr>
            <w:tcW w:w="992" w:type="dxa"/>
            <w:tcBorders>
              <w:top w:val="single" w:sz="2" w:space="0" w:color="A6A6A6" w:themeColor="background1" w:themeShade="A6"/>
              <w:left w:val="single" w:sz="2" w:space="0" w:color="A6A6A6" w:themeColor="background1" w:themeShade="A6"/>
              <w:bottom w:val="single" w:sz="8" w:space="0" w:color="auto"/>
              <w:right w:val="single" w:sz="2" w:space="0" w:color="A6A6A6" w:themeColor="background1" w:themeShade="A6"/>
            </w:tcBorders>
            <w:shd w:val="clear" w:color="000000" w:fill="C4D79B"/>
            <w:noWrap/>
            <w:vAlign w:val="center"/>
          </w:tcPr>
          <w:p w:rsidR="0085211A" w:rsidRPr="00E63CB5" w:rsidRDefault="0085211A" w:rsidP="000D3F04">
            <w:pPr>
              <w:spacing w:after="0" w:line="240" w:lineRule="auto"/>
              <w:jc w:val="right"/>
              <w:rPr>
                <w:rFonts w:ascii="Garamond" w:hAnsi="Garamond" w:cs="Arial"/>
                <w:bCs/>
                <w:sz w:val="24"/>
                <w:szCs w:val="24"/>
              </w:rPr>
            </w:pPr>
            <w:r>
              <w:rPr>
                <w:rFonts w:ascii="Garamond" w:hAnsi="Garamond" w:cs="Arial"/>
                <w:bCs/>
                <w:sz w:val="24"/>
                <w:szCs w:val="24"/>
              </w:rPr>
              <w:t>-2.7</w:t>
            </w:r>
          </w:p>
        </w:tc>
        <w:tc>
          <w:tcPr>
            <w:tcW w:w="993" w:type="dxa"/>
            <w:tcBorders>
              <w:top w:val="single" w:sz="2" w:space="0" w:color="A6A6A6" w:themeColor="background1" w:themeShade="A6"/>
              <w:left w:val="single" w:sz="2" w:space="0" w:color="A6A6A6" w:themeColor="background1" w:themeShade="A6"/>
              <w:bottom w:val="single" w:sz="8" w:space="0" w:color="auto"/>
              <w:right w:val="single" w:sz="8" w:space="0" w:color="auto"/>
            </w:tcBorders>
            <w:shd w:val="clear" w:color="000000" w:fill="C4D79B"/>
            <w:vAlign w:val="center"/>
          </w:tcPr>
          <w:p w:rsidR="0085211A" w:rsidRPr="00DD1159" w:rsidRDefault="0085211A" w:rsidP="000D3F04">
            <w:pPr>
              <w:spacing w:after="0" w:line="240" w:lineRule="auto"/>
              <w:jc w:val="right"/>
              <w:rPr>
                <w:rFonts w:ascii="Garamond" w:hAnsi="Garamond" w:cs="Arial"/>
                <w:bCs/>
                <w:sz w:val="24"/>
                <w:szCs w:val="24"/>
              </w:rPr>
            </w:pPr>
            <w:r>
              <w:rPr>
                <w:rFonts w:ascii="Garamond" w:hAnsi="Garamond" w:cs="Arial"/>
                <w:bCs/>
                <w:sz w:val="24"/>
                <w:szCs w:val="24"/>
              </w:rPr>
              <w:t>NA</w:t>
            </w:r>
          </w:p>
        </w:tc>
      </w:tr>
    </w:tbl>
    <w:p w:rsidR="0085211A" w:rsidRDefault="0085211A" w:rsidP="0085211A">
      <w:pPr>
        <w:pStyle w:val="ListParagraph"/>
        <w:spacing w:after="0" w:line="240" w:lineRule="auto"/>
        <w:ind w:left="1134" w:hanging="1134"/>
        <w:jc w:val="both"/>
        <w:rPr>
          <w:rFonts w:ascii="Garamond" w:hAnsi="Garamond" w:cs="Arial"/>
          <w:bCs/>
          <w:sz w:val="24"/>
          <w:szCs w:val="24"/>
        </w:rPr>
      </w:pPr>
      <w:r w:rsidRPr="000C6D12">
        <w:rPr>
          <w:rFonts w:ascii="Garamond" w:hAnsi="Garamond" w:cs="Arial"/>
          <w:bCs/>
          <w:sz w:val="24"/>
          <w:szCs w:val="24"/>
        </w:rPr>
        <w:fldChar w:fldCharType="end"/>
      </w:r>
      <w:r>
        <w:rPr>
          <w:rFonts w:ascii="Garamond" w:hAnsi="Garamond" w:cs="Arial"/>
          <w:bCs/>
          <w:sz w:val="24"/>
          <w:szCs w:val="24"/>
        </w:rPr>
        <w:t xml:space="preserve">Notes  : 1.  </w:t>
      </w:r>
      <w:r w:rsidRPr="00A45C59">
        <w:rPr>
          <w:rFonts w:ascii="Garamond" w:hAnsi="Garamond" w:cs="Arial"/>
          <w:bCs/>
          <w:sz w:val="24"/>
          <w:szCs w:val="24"/>
        </w:rPr>
        <w:t xml:space="preserve">Returns are calculated as percentage change in the closing value of near month contract prices </w:t>
      </w:r>
      <w:r>
        <w:rPr>
          <w:rFonts w:ascii="Garamond" w:hAnsi="Garamond" w:cs="Arial"/>
          <w:bCs/>
          <w:sz w:val="24"/>
          <w:szCs w:val="24"/>
        </w:rPr>
        <w:t xml:space="preserve">last trading day of the month </w:t>
      </w:r>
      <w:r w:rsidRPr="00A45C59">
        <w:rPr>
          <w:rFonts w:ascii="Garamond" w:hAnsi="Garamond" w:cs="Arial"/>
          <w:bCs/>
          <w:sz w:val="24"/>
          <w:szCs w:val="24"/>
        </w:rPr>
        <w:t>over the corresponding trading periods.</w:t>
      </w:r>
    </w:p>
    <w:p w:rsidR="0085211A" w:rsidRPr="00775812" w:rsidRDefault="0085211A" w:rsidP="0085211A">
      <w:pPr>
        <w:spacing w:after="0" w:line="240" w:lineRule="auto"/>
        <w:ind w:firstLine="720"/>
        <w:contextualSpacing/>
        <w:jc w:val="both"/>
        <w:rPr>
          <w:rFonts w:ascii="Garamond" w:hAnsi="Garamond" w:cs="Arial"/>
          <w:bCs/>
          <w:sz w:val="24"/>
          <w:szCs w:val="24"/>
        </w:rPr>
      </w:pPr>
      <w:r>
        <w:rPr>
          <w:rFonts w:ascii="Garamond" w:hAnsi="Garamond" w:cs="Arial"/>
          <w:bCs/>
          <w:sz w:val="24"/>
          <w:szCs w:val="24"/>
        </w:rPr>
        <w:t xml:space="preserve">  2.  </w:t>
      </w:r>
      <w:r w:rsidRPr="00775812">
        <w:rPr>
          <w:rFonts w:ascii="Garamond" w:hAnsi="Garamond" w:cs="Arial"/>
          <w:bCs/>
          <w:sz w:val="24"/>
          <w:szCs w:val="24"/>
        </w:rPr>
        <w:t>If the near month contract is expiring within 10 days, next expiry contract is considered.</w:t>
      </w:r>
    </w:p>
    <w:p w:rsidR="0085211A" w:rsidRPr="00775812" w:rsidRDefault="0085211A" w:rsidP="0085211A">
      <w:pPr>
        <w:spacing w:after="0"/>
        <w:jc w:val="both"/>
        <w:rPr>
          <w:rFonts w:ascii="Garamond" w:hAnsi="Garamond" w:cs="Arial"/>
          <w:bCs/>
          <w:color w:val="000000" w:themeColor="text1"/>
          <w:sz w:val="24"/>
          <w:szCs w:val="24"/>
        </w:rPr>
      </w:pPr>
      <w:proofErr w:type="gramStart"/>
      <w:r w:rsidRPr="00775812">
        <w:rPr>
          <w:rFonts w:ascii="Garamond" w:hAnsi="Garamond" w:cs="Arial"/>
          <w:bCs/>
          <w:color w:val="000000" w:themeColor="text1"/>
          <w:sz w:val="24"/>
          <w:szCs w:val="24"/>
        </w:rPr>
        <w:t>Source</w:t>
      </w:r>
      <w:r>
        <w:rPr>
          <w:rFonts w:ascii="Garamond" w:hAnsi="Garamond" w:cs="Arial"/>
          <w:bCs/>
          <w:color w:val="000000" w:themeColor="text1"/>
          <w:sz w:val="24"/>
          <w:szCs w:val="24"/>
        </w:rPr>
        <w:t xml:space="preserve">  </w:t>
      </w:r>
      <w:r w:rsidRPr="00775812">
        <w:rPr>
          <w:rFonts w:ascii="Garamond" w:hAnsi="Garamond" w:cs="Arial"/>
          <w:bCs/>
          <w:color w:val="000000" w:themeColor="text1"/>
          <w:sz w:val="24"/>
          <w:szCs w:val="24"/>
        </w:rPr>
        <w:t>:</w:t>
      </w:r>
      <w:proofErr w:type="gramEnd"/>
      <w:r w:rsidRPr="00775812">
        <w:rPr>
          <w:rFonts w:ascii="Garamond" w:hAnsi="Garamond" w:cs="Arial"/>
          <w:bCs/>
          <w:color w:val="000000" w:themeColor="text1"/>
          <w:sz w:val="24"/>
          <w:szCs w:val="24"/>
        </w:rPr>
        <w:t xml:space="preserve">  Bloomberg &amp; NMCE </w:t>
      </w:r>
    </w:p>
    <w:p w:rsidR="0085211A" w:rsidRDefault="0085211A" w:rsidP="0085211A">
      <w:pPr>
        <w:pStyle w:val="ListParagraph"/>
        <w:spacing w:after="0" w:line="240" w:lineRule="auto"/>
        <w:ind w:left="0"/>
        <w:jc w:val="both"/>
        <w:rPr>
          <w:rFonts w:ascii="Garamond" w:hAnsi="Garamond" w:cs="Arial"/>
          <w:bCs/>
          <w:sz w:val="24"/>
          <w:szCs w:val="24"/>
        </w:rPr>
      </w:pPr>
    </w:p>
    <w:p w:rsidR="0085211A" w:rsidRDefault="0085211A" w:rsidP="0085211A">
      <w:pPr>
        <w:spacing w:after="0" w:line="240" w:lineRule="auto"/>
        <w:jc w:val="both"/>
        <w:rPr>
          <w:rFonts w:ascii="Garamond" w:hAnsi="Garamond" w:cs="Arial"/>
          <w:bCs/>
          <w:color w:val="000000" w:themeColor="text1"/>
          <w:sz w:val="24"/>
          <w:szCs w:val="24"/>
        </w:rPr>
      </w:pPr>
    </w:p>
    <w:p w:rsidR="0085211A" w:rsidRDefault="0085211A" w:rsidP="0085211A">
      <w:pPr>
        <w:spacing w:after="0" w:line="240" w:lineRule="auto"/>
        <w:jc w:val="both"/>
        <w:rPr>
          <w:rFonts w:ascii="Garamond" w:hAnsi="Garamond" w:cs="Arial"/>
          <w:b/>
          <w:bCs/>
          <w:color w:val="000000" w:themeColor="text1"/>
          <w:sz w:val="24"/>
          <w:szCs w:val="24"/>
        </w:rPr>
      </w:pPr>
      <w:r>
        <w:rPr>
          <w:rFonts w:ascii="Garamond" w:hAnsi="Garamond" w:cs="Arial"/>
          <w:b/>
          <w:bCs/>
          <w:color w:val="000000" w:themeColor="text1"/>
          <w:sz w:val="24"/>
          <w:szCs w:val="24"/>
        </w:rPr>
        <w:t xml:space="preserve">C. Monsoon and </w:t>
      </w:r>
      <w:proofErr w:type="spellStart"/>
      <w:r>
        <w:rPr>
          <w:rFonts w:ascii="Garamond" w:hAnsi="Garamond" w:cs="Arial"/>
          <w:b/>
          <w:bCs/>
          <w:color w:val="000000" w:themeColor="text1"/>
          <w:sz w:val="24"/>
          <w:szCs w:val="24"/>
        </w:rPr>
        <w:t>Kharif</w:t>
      </w:r>
      <w:proofErr w:type="spellEnd"/>
      <w:r>
        <w:rPr>
          <w:rFonts w:ascii="Garamond" w:hAnsi="Garamond" w:cs="Arial"/>
          <w:b/>
          <w:bCs/>
          <w:color w:val="000000" w:themeColor="text1"/>
          <w:sz w:val="24"/>
          <w:szCs w:val="24"/>
        </w:rPr>
        <w:t xml:space="preserve"> </w:t>
      </w:r>
      <w:r w:rsidRPr="00AA2419">
        <w:rPr>
          <w:rFonts w:ascii="Garamond" w:hAnsi="Garamond" w:cs="Arial"/>
          <w:b/>
          <w:bCs/>
          <w:color w:val="000000" w:themeColor="text1"/>
          <w:sz w:val="24"/>
          <w:szCs w:val="24"/>
        </w:rPr>
        <w:t>Crop Sowing Progress</w:t>
      </w:r>
    </w:p>
    <w:p w:rsidR="0085211A" w:rsidRDefault="0085211A" w:rsidP="0085211A">
      <w:pPr>
        <w:spacing w:after="0"/>
        <w:jc w:val="both"/>
        <w:rPr>
          <w:rFonts w:ascii="Arial" w:hAnsi="Arial" w:cs="Arial"/>
          <w:shd w:val="clear" w:color="auto" w:fill="FFFFFF"/>
        </w:rPr>
      </w:pPr>
    </w:p>
    <w:p w:rsidR="0085211A" w:rsidRPr="00423F47" w:rsidRDefault="0085211A" w:rsidP="0085211A">
      <w:pPr>
        <w:spacing w:after="0" w:line="240" w:lineRule="auto"/>
        <w:jc w:val="both"/>
        <w:rPr>
          <w:rFonts w:ascii="Garamond" w:hAnsi="Garamond" w:cs="Arial"/>
          <w:bCs/>
          <w:color w:val="000000" w:themeColor="text1"/>
          <w:sz w:val="24"/>
          <w:szCs w:val="24"/>
        </w:rPr>
      </w:pPr>
      <w:r>
        <w:rPr>
          <w:rFonts w:ascii="Garamond" w:hAnsi="Garamond" w:cs="Arial"/>
          <w:bCs/>
          <w:color w:val="000000" w:themeColor="text1"/>
          <w:sz w:val="24"/>
          <w:szCs w:val="24"/>
        </w:rPr>
        <w:t>As per the Minutes of the Meeting of Crop weather watch Group, Ministry of Agriculture and Farmers Welfare, i</w:t>
      </w:r>
      <w:r w:rsidRPr="00423F47">
        <w:rPr>
          <w:rFonts w:ascii="Garamond" w:hAnsi="Garamond" w:cs="Arial"/>
          <w:bCs/>
          <w:color w:val="000000" w:themeColor="text1"/>
          <w:sz w:val="24"/>
          <w:szCs w:val="24"/>
        </w:rPr>
        <w:t xml:space="preserve">n the monsoon season, at All-India level, </w:t>
      </w:r>
      <w:r>
        <w:rPr>
          <w:rFonts w:ascii="Garamond" w:hAnsi="Garamond" w:cs="Arial"/>
          <w:bCs/>
          <w:color w:val="000000" w:themeColor="text1"/>
          <w:sz w:val="24"/>
          <w:szCs w:val="24"/>
        </w:rPr>
        <w:t>t</w:t>
      </w:r>
      <w:r w:rsidRPr="00423F47">
        <w:rPr>
          <w:rFonts w:ascii="Garamond" w:hAnsi="Garamond" w:cs="Arial"/>
          <w:bCs/>
          <w:color w:val="000000" w:themeColor="text1"/>
          <w:sz w:val="24"/>
          <w:szCs w:val="24"/>
        </w:rPr>
        <w:t xml:space="preserve">he cumulative rainfall during the monsoon season i.e. </w:t>
      </w:r>
      <w:r>
        <w:rPr>
          <w:rFonts w:ascii="Garamond" w:hAnsi="Garamond" w:cs="Arial"/>
          <w:bCs/>
          <w:color w:val="000000" w:themeColor="text1"/>
          <w:sz w:val="24"/>
          <w:szCs w:val="24"/>
        </w:rPr>
        <w:t xml:space="preserve">from </w:t>
      </w:r>
      <w:r w:rsidRPr="00423F47">
        <w:rPr>
          <w:rFonts w:ascii="Garamond" w:hAnsi="Garamond" w:cs="Arial"/>
          <w:bCs/>
          <w:color w:val="000000" w:themeColor="text1"/>
          <w:sz w:val="24"/>
          <w:szCs w:val="24"/>
        </w:rPr>
        <w:t xml:space="preserve"> June</w:t>
      </w:r>
      <w:r>
        <w:rPr>
          <w:rFonts w:ascii="Garamond" w:hAnsi="Garamond" w:cs="Arial"/>
          <w:bCs/>
          <w:color w:val="000000" w:themeColor="text1"/>
          <w:sz w:val="24"/>
          <w:szCs w:val="24"/>
        </w:rPr>
        <w:t xml:space="preserve"> 1- July 5,  2017 has been 5 percent</w:t>
      </w:r>
      <w:r w:rsidRPr="00423F47">
        <w:rPr>
          <w:rFonts w:ascii="Garamond" w:hAnsi="Garamond" w:cs="Arial"/>
          <w:bCs/>
          <w:color w:val="000000" w:themeColor="text1"/>
          <w:sz w:val="24"/>
          <w:szCs w:val="24"/>
        </w:rPr>
        <w:t xml:space="preserve"> higher than Long Period Average (LPA). Rainfall in the four </w:t>
      </w:r>
      <w:r w:rsidRPr="00423F47">
        <w:rPr>
          <w:rFonts w:ascii="Garamond" w:hAnsi="Garamond" w:cs="Arial"/>
          <w:bCs/>
          <w:color w:val="000000" w:themeColor="text1"/>
          <w:sz w:val="24"/>
          <w:szCs w:val="24"/>
        </w:rPr>
        <w:lastRenderedPageBreak/>
        <w:t>broad geographical divisions of the country during the above period have been higher than LPA by 47% in North West India &amp; 5</w:t>
      </w:r>
      <w:r w:rsidRPr="0085211A">
        <w:rPr>
          <w:rFonts w:ascii="Garamond" w:hAnsi="Garamond" w:cs="Arial"/>
          <w:bCs/>
          <w:color w:val="000000" w:themeColor="text1"/>
          <w:sz w:val="24"/>
          <w:szCs w:val="24"/>
        </w:rPr>
        <w:t xml:space="preserve"> </w:t>
      </w:r>
      <w:r>
        <w:rPr>
          <w:rFonts w:ascii="Garamond" w:hAnsi="Garamond" w:cs="Arial"/>
          <w:bCs/>
          <w:color w:val="000000" w:themeColor="text1"/>
          <w:sz w:val="24"/>
          <w:szCs w:val="24"/>
        </w:rPr>
        <w:t>percent</w:t>
      </w:r>
      <w:r w:rsidRPr="00423F47">
        <w:rPr>
          <w:rFonts w:ascii="Garamond" w:hAnsi="Garamond" w:cs="Arial"/>
          <w:bCs/>
          <w:color w:val="000000" w:themeColor="text1"/>
          <w:sz w:val="24"/>
          <w:szCs w:val="24"/>
        </w:rPr>
        <w:t xml:space="preserve"> in Central India but lower than LPA by 9</w:t>
      </w:r>
      <w:r w:rsidRPr="0085211A">
        <w:rPr>
          <w:rFonts w:ascii="Garamond" w:hAnsi="Garamond" w:cs="Arial"/>
          <w:bCs/>
          <w:color w:val="000000" w:themeColor="text1"/>
          <w:sz w:val="24"/>
          <w:szCs w:val="24"/>
        </w:rPr>
        <w:t xml:space="preserve"> </w:t>
      </w:r>
      <w:r>
        <w:rPr>
          <w:rFonts w:ascii="Garamond" w:hAnsi="Garamond" w:cs="Arial"/>
          <w:bCs/>
          <w:color w:val="000000" w:themeColor="text1"/>
          <w:sz w:val="24"/>
          <w:szCs w:val="24"/>
        </w:rPr>
        <w:t>percent</w:t>
      </w:r>
      <w:r w:rsidRPr="00423F47">
        <w:rPr>
          <w:rFonts w:ascii="Garamond" w:hAnsi="Garamond" w:cs="Arial"/>
          <w:bCs/>
          <w:color w:val="000000" w:themeColor="text1"/>
          <w:sz w:val="24"/>
          <w:szCs w:val="24"/>
        </w:rPr>
        <w:t xml:space="preserve"> in East &amp; North East India and 1</w:t>
      </w:r>
      <w:r w:rsidRPr="0085211A">
        <w:rPr>
          <w:rFonts w:ascii="Garamond" w:hAnsi="Garamond" w:cs="Arial"/>
          <w:bCs/>
          <w:color w:val="000000" w:themeColor="text1"/>
          <w:sz w:val="24"/>
          <w:szCs w:val="24"/>
        </w:rPr>
        <w:t xml:space="preserve"> </w:t>
      </w:r>
      <w:r>
        <w:rPr>
          <w:rFonts w:ascii="Garamond" w:hAnsi="Garamond" w:cs="Arial"/>
          <w:bCs/>
          <w:color w:val="000000" w:themeColor="text1"/>
          <w:sz w:val="24"/>
          <w:szCs w:val="24"/>
        </w:rPr>
        <w:t>percent</w:t>
      </w:r>
      <w:r w:rsidRPr="00423F47">
        <w:rPr>
          <w:rFonts w:ascii="Garamond" w:hAnsi="Garamond" w:cs="Arial"/>
          <w:bCs/>
          <w:color w:val="000000" w:themeColor="text1"/>
          <w:sz w:val="24"/>
          <w:szCs w:val="24"/>
        </w:rPr>
        <w:t xml:space="preserve"> in South Peninsula.</w:t>
      </w:r>
    </w:p>
    <w:p w:rsidR="0085211A" w:rsidRPr="00423F47" w:rsidRDefault="0085211A" w:rsidP="0085211A">
      <w:pPr>
        <w:spacing w:after="0" w:line="240" w:lineRule="auto"/>
        <w:jc w:val="both"/>
        <w:rPr>
          <w:rFonts w:ascii="Garamond" w:hAnsi="Garamond" w:cs="Arial"/>
          <w:bCs/>
          <w:color w:val="000000" w:themeColor="text1"/>
          <w:sz w:val="24"/>
          <w:szCs w:val="24"/>
        </w:rPr>
      </w:pPr>
    </w:p>
    <w:p w:rsidR="0085211A" w:rsidRPr="00015918" w:rsidRDefault="0085211A" w:rsidP="0085211A">
      <w:pPr>
        <w:spacing w:after="0" w:line="240" w:lineRule="auto"/>
        <w:jc w:val="both"/>
        <w:rPr>
          <w:rFonts w:ascii="Garamond" w:hAnsi="Garamond" w:cs="Arial"/>
          <w:bCs/>
          <w:color w:val="000000" w:themeColor="text1"/>
          <w:sz w:val="24"/>
          <w:szCs w:val="24"/>
        </w:rPr>
      </w:pPr>
      <w:r w:rsidRPr="00423F47">
        <w:rPr>
          <w:rFonts w:ascii="Garamond" w:hAnsi="Garamond" w:cs="Arial"/>
          <w:bCs/>
          <w:color w:val="000000" w:themeColor="text1"/>
          <w:sz w:val="24"/>
          <w:szCs w:val="24"/>
        </w:rPr>
        <w:t>A</w:t>
      </w:r>
      <w:r w:rsidRPr="00015918">
        <w:rPr>
          <w:rFonts w:ascii="Garamond" w:hAnsi="Garamond" w:cs="Arial"/>
          <w:bCs/>
          <w:color w:val="000000" w:themeColor="text1"/>
          <w:sz w:val="24"/>
          <w:szCs w:val="24"/>
        </w:rPr>
        <w:t xml:space="preserve">s per latest data released by Ministry of Agriculture on sowing of </w:t>
      </w:r>
      <w:proofErr w:type="spellStart"/>
      <w:r w:rsidRPr="00015918">
        <w:rPr>
          <w:rFonts w:ascii="Garamond" w:hAnsi="Garamond" w:cs="Arial"/>
          <w:bCs/>
          <w:color w:val="000000" w:themeColor="text1"/>
          <w:sz w:val="24"/>
          <w:szCs w:val="24"/>
        </w:rPr>
        <w:t>Kharif</w:t>
      </w:r>
      <w:proofErr w:type="spellEnd"/>
      <w:r w:rsidRPr="00015918">
        <w:rPr>
          <w:rFonts w:ascii="Garamond" w:hAnsi="Garamond" w:cs="Arial"/>
          <w:bCs/>
          <w:color w:val="000000" w:themeColor="text1"/>
          <w:sz w:val="24"/>
          <w:szCs w:val="24"/>
        </w:rPr>
        <w:t xml:space="preserve"> crops, </w:t>
      </w:r>
      <w:r w:rsidRPr="00423F47">
        <w:rPr>
          <w:rFonts w:ascii="Garamond" w:hAnsi="Garamond" w:cs="Arial"/>
          <w:bCs/>
          <w:color w:val="000000" w:themeColor="text1"/>
          <w:sz w:val="24"/>
          <w:szCs w:val="24"/>
        </w:rPr>
        <w:t>around 38.1</w:t>
      </w:r>
      <w:r w:rsidRPr="0085211A">
        <w:rPr>
          <w:rFonts w:ascii="Garamond" w:hAnsi="Garamond" w:cs="Arial"/>
          <w:bCs/>
          <w:color w:val="000000" w:themeColor="text1"/>
          <w:sz w:val="24"/>
          <w:szCs w:val="24"/>
        </w:rPr>
        <w:t xml:space="preserve"> </w:t>
      </w:r>
      <w:r>
        <w:rPr>
          <w:rFonts w:ascii="Garamond" w:hAnsi="Garamond" w:cs="Arial"/>
          <w:bCs/>
          <w:color w:val="000000" w:themeColor="text1"/>
          <w:sz w:val="24"/>
          <w:szCs w:val="24"/>
        </w:rPr>
        <w:t>percent</w:t>
      </w:r>
      <w:r w:rsidRPr="00423F47">
        <w:rPr>
          <w:rFonts w:ascii="Garamond" w:hAnsi="Garamond" w:cs="Arial"/>
          <w:bCs/>
          <w:color w:val="000000" w:themeColor="text1"/>
          <w:sz w:val="24"/>
          <w:szCs w:val="24"/>
        </w:rPr>
        <w:t xml:space="preserve"> of the normal area under </w:t>
      </w:r>
      <w:proofErr w:type="spellStart"/>
      <w:r w:rsidRPr="00423F47">
        <w:rPr>
          <w:rFonts w:ascii="Garamond" w:hAnsi="Garamond" w:cs="Arial"/>
          <w:bCs/>
          <w:color w:val="000000" w:themeColor="text1"/>
          <w:sz w:val="24"/>
          <w:szCs w:val="24"/>
        </w:rPr>
        <w:t>Kharif</w:t>
      </w:r>
      <w:proofErr w:type="spellEnd"/>
      <w:r w:rsidRPr="00423F47">
        <w:rPr>
          <w:rFonts w:ascii="Garamond" w:hAnsi="Garamond" w:cs="Arial"/>
          <w:bCs/>
          <w:color w:val="000000" w:themeColor="text1"/>
          <w:sz w:val="24"/>
          <w:szCs w:val="24"/>
        </w:rPr>
        <w:t xml:space="preserve"> crops has been sown </w:t>
      </w:r>
      <w:proofErr w:type="spellStart"/>
      <w:r w:rsidRPr="00423F47">
        <w:rPr>
          <w:rFonts w:ascii="Garamond" w:hAnsi="Garamond" w:cs="Arial"/>
          <w:bCs/>
          <w:color w:val="000000" w:themeColor="text1"/>
          <w:sz w:val="24"/>
          <w:szCs w:val="24"/>
        </w:rPr>
        <w:t>upto</w:t>
      </w:r>
      <w:proofErr w:type="spellEnd"/>
      <w:r w:rsidRPr="00423F47">
        <w:rPr>
          <w:rFonts w:ascii="Garamond" w:hAnsi="Garamond" w:cs="Arial"/>
          <w:bCs/>
          <w:color w:val="000000" w:themeColor="text1"/>
          <w:sz w:val="24"/>
          <w:szCs w:val="24"/>
        </w:rPr>
        <w:t xml:space="preserve"> </w:t>
      </w:r>
      <w:r>
        <w:rPr>
          <w:rFonts w:ascii="Garamond" w:hAnsi="Garamond" w:cs="Arial"/>
          <w:bCs/>
          <w:color w:val="000000" w:themeColor="text1"/>
          <w:sz w:val="24"/>
          <w:szCs w:val="24"/>
        </w:rPr>
        <w:t>July 07</w:t>
      </w:r>
      <w:proofErr w:type="gramStart"/>
      <w:r>
        <w:rPr>
          <w:rFonts w:ascii="Garamond" w:hAnsi="Garamond" w:cs="Arial"/>
          <w:bCs/>
          <w:color w:val="000000" w:themeColor="text1"/>
          <w:sz w:val="24"/>
          <w:szCs w:val="24"/>
        </w:rPr>
        <w:t>,2017</w:t>
      </w:r>
      <w:proofErr w:type="gramEnd"/>
      <w:r w:rsidRPr="00423F47">
        <w:rPr>
          <w:rFonts w:ascii="Garamond" w:hAnsi="Garamond" w:cs="Arial"/>
          <w:bCs/>
          <w:color w:val="000000" w:themeColor="text1"/>
          <w:sz w:val="24"/>
          <w:szCs w:val="24"/>
        </w:rPr>
        <w:t xml:space="preserve">. Area sown under all </w:t>
      </w:r>
      <w:proofErr w:type="spellStart"/>
      <w:r w:rsidRPr="00423F47">
        <w:rPr>
          <w:rFonts w:ascii="Garamond" w:hAnsi="Garamond" w:cs="Arial"/>
          <w:bCs/>
          <w:color w:val="000000" w:themeColor="text1"/>
          <w:sz w:val="24"/>
          <w:szCs w:val="24"/>
        </w:rPr>
        <w:t>Kharif</w:t>
      </w:r>
      <w:proofErr w:type="spellEnd"/>
      <w:r w:rsidRPr="00423F47">
        <w:rPr>
          <w:rFonts w:ascii="Garamond" w:hAnsi="Garamond" w:cs="Arial"/>
          <w:bCs/>
          <w:color w:val="000000" w:themeColor="text1"/>
          <w:sz w:val="24"/>
          <w:szCs w:val="24"/>
        </w:rPr>
        <w:t xml:space="preserve"> crops taken together has been reported to be 404.27 lakh hectares at </w:t>
      </w:r>
      <w:r>
        <w:rPr>
          <w:rFonts w:ascii="Garamond" w:hAnsi="Garamond" w:cs="Arial"/>
          <w:bCs/>
          <w:color w:val="000000" w:themeColor="text1"/>
          <w:sz w:val="24"/>
          <w:szCs w:val="24"/>
        </w:rPr>
        <w:t>all-</w:t>
      </w:r>
      <w:r w:rsidRPr="00423F47">
        <w:rPr>
          <w:rFonts w:ascii="Garamond" w:hAnsi="Garamond" w:cs="Arial"/>
          <w:bCs/>
          <w:color w:val="000000" w:themeColor="text1"/>
          <w:sz w:val="24"/>
          <w:szCs w:val="24"/>
        </w:rPr>
        <w:t xml:space="preserve">India level as compared to 371.39 lakh hectares in the corresponding period of last year. </w:t>
      </w:r>
      <w:r w:rsidRPr="00015918">
        <w:rPr>
          <w:rFonts w:ascii="Garamond" w:hAnsi="Garamond" w:cs="Arial"/>
          <w:bCs/>
          <w:color w:val="000000" w:themeColor="text1"/>
          <w:sz w:val="24"/>
          <w:szCs w:val="24"/>
        </w:rPr>
        <w:t xml:space="preserve"> </w:t>
      </w:r>
    </w:p>
    <w:p w:rsidR="007D38B4" w:rsidRPr="007D38B4" w:rsidRDefault="007D38B4" w:rsidP="007D38B4">
      <w:pPr>
        <w:widowControl w:val="0"/>
        <w:spacing w:after="0" w:line="240" w:lineRule="auto"/>
        <w:ind w:left="720"/>
        <w:contextualSpacing/>
        <w:jc w:val="both"/>
        <w:rPr>
          <w:rFonts w:ascii="Helvetica" w:eastAsia="Times New Roman" w:hAnsi="Helvetica"/>
          <w:b/>
          <w:color w:val="0033CC"/>
          <w:sz w:val="24"/>
          <w:szCs w:val="24"/>
          <w:lang w:val="en-GB"/>
        </w:rPr>
      </w:pPr>
    </w:p>
    <w:p w:rsidR="007D38B4" w:rsidRPr="007D38B4" w:rsidRDefault="007D38B4" w:rsidP="007D38B4">
      <w:pPr>
        <w:widowControl w:val="0"/>
        <w:spacing w:after="0" w:line="240" w:lineRule="auto"/>
        <w:ind w:left="720"/>
        <w:contextualSpacing/>
        <w:jc w:val="both"/>
        <w:rPr>
          <w:rFonts w:ascii="Helvetica" w:eastAsia="Times New Roman" w:hAnsi="Helvetica"/>
          <w:b/>
          <w:sz w:val="24"/>
          <w:szCs w:val="24"/>
          <w:lang w:val="en-GB"/>
        </w:rPr>
      </w:pPr>
    </w:p>
    <w:p w:rsidR="007D38B4" w:rsidRPr="007D38B4" w:rsidRDefault="007D38B4" w:rsidP="007D38B4">
      <w:pPr>
        <w:widowControl w:val="0"/>
        <w:numPr>
          <w:ilvl w:val="0"/>
          <w:numId w:val="3"/>
        </w:numPr>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Trading in Corporate Debt Market</w:t>
      </w:r>
    </w:p>
    <w:p w:rsidR="007D38B4" w:rsidRPr="007D38B4" w:rsidRDefault="007D38B4" w:rsidP="007D38B4">
      <w:pPr>
        <w:widowControl w:val="0"/>
        <w:spacing w:after="0" w:line="240" w:lineRule="auto"/>
        <w:ind w:left="720"/>
        <w:contextualSpacing/>
        <w:jc w:val="both"/>
        <w:rPr>
          <w:rFonts w:ascii="Helvetica" w:eastAsia="Times New Roman" w:hAnsi="Helvetica"/>
          <w:sz w:val="24"/>
          <w:szCs w:val="24"/>
          <w:lang w:val="en-GB"/>
        </w:rPr>
      </w:pPr>
    </w:p>
    <w:p w:rsidR="00EC030F" w:rsidRDefault="007D38B4" w:rsidP="00EC030F">
      <w:pPr>
        <w:spacing w:line="240" w:lineRule="auto"/>
        <w:jc w:val="both"/>
        <w:rPr>
          <w:rFonts w:ascii="Helvetica" w:hAnsi="Helvetica"/>
          <w:b/>
          <w:color w:val="0033CC"/>
          <w:sz w:val="24"/>
          <w:szCs w:val="24"/>
          <w:lang w:val="en-GB"/>
        </w:rPr>
      </w:pPr>
      <w:r w:rsidRPr="007D38B4">
        <w:rPr>
          <w:rFonts w:ascii="Helvetica" w:hAnsi="Helvetica" w:cs="Arial"/>
          <w:bCs/>
          <w:sz w:val="24"/>
          <w:szCs w:val="24"/>
          <w:lang w:val="en-GB"/>
        </w:rPr>
        <w:t xml:space="preserve">During June 2017, BSE recorded 2,290 trades of corporate debt with a traded value of </w:t>
      </w:r>
      <w:r w:rsidRPr="007D38B4">
        <w:rPr>
          <w:rFonts w:ascii="Rupee Foradian" w:hAnsi="Rupee Foradian" w:cs="Arial"/>
          <w:bCs/>
          <w:sz w:val="24"/>
          <w:szCs w:val="24"/>
        </w:rPr>
        <w:t>`</w:t>
      </w:r>
      <w:r w:rsidRPr="007D38B4">
        <w:rPr>
          <w:rFonts w:ascii="Helvetica" w:hAnsi="Helvetica" w:cs="Arial"/>
          <w:bCs/>
          <w:sz w:val="24"/>
          <w:szCs w:val="24"/>
        </w:rPr>
        <w:t xml:space="preserve"> 35,325</w:t>
      </w:r>
      <w:r w:rsidRPr="007D38B4">
        <w:rPr>
          <w:rFonts w:ascii="Helvetica" w:hAnsi="Helvetica" w:cs="Arial"/>
          <w:bCs/>
          <w:sz w:val="24"/>
          <w:szCs w:val="24"/>
          <w:lang w:val="en-GB"/>
        </w:rPr>
        <w:t xml:space="preserve"> crore compared to 2,123 trades with a traded value of </w:t>
      </w:r>
      <w:r w:rsidRPr="007D38B4">
        <w:rPr>
          <w:rFonts w:ascii="Rupee Foradian" w:hAnsi="Rupee Foradian" w:cs="Arial"/>
          <w:bCs/>
          <w:sz w:val="24"/>
          <w:szCs w:val="24"/>
        </w:rPr>
        <w:t>`</w:t>
      </w:r>
      <w:r w:rsidRPr="007D38B4">
        <w:rPr>
          <w:rFonts w:ascii="Helvetica" w:hAnsi="Helvetica" w:cs="Arial"/>
          <w:bCs/>
          <w:sz w:val="24"/>
          <w:szCs w:val="24"/>
        </w:rPr>
        <w:t xml:space="preserve"> 30,365</w:t>
      </w:r>
      <w:r w:rsidRPr="007D38B4">
        <w:rPr>
          <w:rFonts w:ascii="Helvetica" w:hAnsi="Helvetica" w:cs="Arial"/>
          <w:bCs/>
          <w:sz w:val="24"/>
          <w:szCs w:val="24"/>
          <w:lang w:val="en-GB"/>
        </w:rPr>
        <w:t xml:space="preserve"> crore recorded in April 2017. At NSE, 5,948 trades were reported in June 2017 with a traded value of </w:t>
      </w:r>
      <w:r w:rsidRPr="007D38B4">
        <w:rPr>
          <w:rFonts w:ascii="Rupee Foradian" w:eastAsia="Times New Roman" w:hAnsi="Rupee Foradian"/>
          <w:bCs/>
          <w:sz w:val="24"/>
          <w:szCs w:val="20"/>
          <w:lang w:val="en-GB" w:eastAsia="en-GB" w:bidi="bn-IN"/>
        </w:rPr>
        <w:t xml:space="preserve">` </w:t>
      </w:r>
      <w:r w:rsidRPr="007D38B4">
        <w:rPr>
          <w:rFonts w:ascii="Helvetica" w:hAnsi="Helvetica" w:cs="Arial"/>
          <w:bCs/>
          <w:sz w:val="24"/>
          <w:szCs w:val="24"/>
          <w:lang w:val="en-GB"/>
        </w:rPr>
        <w:t>1</w:t>
      </w:r>
      <w:proofErr w:type="gramStart"/>
      <w:r w:rsidRPr="007D38B4">
        <w:rPr>
          <w:rFonts w:ascii="Helvetica" w:hAnsi="Helvetica" w:cs="Arial"/>
          <w:bCs/>
          <w:sz w:val="24"/>
          <w:szCs w:val="24"/>
          <w:lang w:val="en-GB"/>
        </w:rPr>
        <w:t>,34,049</w:t>
      </w:r>
      <w:proofErr w:type="gramEnd"/>
      <w:r w:rsidRPr="007D38B4">
        <w:rPr>
          <w:rFonts w:ascii="Helvetica" w:hAnsi="Helvetica" w:cs="Arial"/>
          <w:bCs/>
          <w:sz w:val="24"/>
          <w:szCs w:val="24"/>
          <w:lang w:val="en-GB"/>
        </w:rPr>
        <w:t xml:space="preserve"> crore compared to 4,942 trades with value of </w:t>
      </w:r>
      <w:r w:rsidRPr="007D38B4">
        <w:rPr>
          <w:rFonts w:ascii="Rupee Foradian" w:eastAsia="Times New Roman" w:hAnsi="Rupee Foradian"/>
          <w:bCs/>
          <w:sz w:val="24"/>
          <w:szCs w:val="20"/>
          <w:lang w:val="en-GB" w:eastAsia="en-GB" w:bidi="bn-IN"/>
        </w:rPr>
        <w:t xml:space="preserve">` </w:t>
      </w:r>
      <w:r w:rsidRPr="007D38B4">
        <w:rPr>
          <w:rFonts w:ascii="Helvetica" w:hAnsi="Helvetica" w:cs="Arial"/>
          <w:bCs/>
          <w:sz w:val="24"/>
          <w:szCs w:val="24"/>
          <w:lang w:val="en-GB"/>
        </w:rPr>
        <w:t>95,578 crore in the previous month</w:t>
      </w:r>
      <w:r w:rsidRPr="007D38B4">
        <w:rPr>
          <w:rFonts w:ascii="Helvetica" w:hAnsi="Helvetica" w:cs="Arial"/>
          <w:b/>
          <w:i/>
          <w:iCs/>
          <w:sz w:val="24"/>
          <w:szCs w:val="24"/>
          <w:lang w:val="en-GB"/>
        </w:rPr>
        <w:t xml:space="preserve"> (Figure 11 and Table</w:t>
      </w:r>
      <w:r w:rsidRPr="007D38B4">
        <w:rPr>
          <w:rFonts w:ascii="Helvetica" w:hAnsi="Helvetica" w:cs="Arial"/>
          <w:b/>
          <w:bCs/>
          <w:i/>
          <w:iCs/>
          <w:sz w:val="24"/>
          <w:szCs w:val="24"/>
          <w:lang w:val="en-GB"/>
        </w:rPr>
        <w:t xml:space="preserve"> 13</w:t>
      </w:r>
      <w:r w:rsidRPr="007D38B4">
        <w:rPr>
          <w:rFonts w:ascii="Helvetica" w:hAnsi="Helvetica" w:cs="Arial"/>
          <w:b/>
          <w:bCs/>
          <w:sz w:val="24"/>
          <w:szCs w:val="24"/>
          <w:lang w:val="en-GB"/>
        </w:rPr>
        <w:t>)</w:t>
      </w:r>
      <w:r w:rsidRPr="007D38B4">
        <w:rPr>
          <w:rFonts w:ascii="Helvetica" w:hAnsi="Helvetica" w:cs="Arial"/>
          <w:bCs/>
          <w:sz w:val="24"/>
          <w:szCs w:val="24"/>
          <w:lang w:val="en-GB"/>
        </w:rPr>
        <w:t>.</w:t>
      </w:r>
    </w:p>
    <w:p w:rsidR="007D38B4" w:rsidRPr="00EC030F" w:rsidRDefault="007D38B4" w:rsidP="00EC030F">
      <w:pPr>
        <w:spacing w:line="240" w:lineRule="auto"/>
        <w:ind w:firstLine="720"/>
        <w:jc w:val="both"/>
        <w:rPr>
          <w:rFonts w:ascii="Helvetica" w:hAnsi="Helvetica" w:cs="Arial"/>
          <w:bCs/>
          <w:color w:val="0033CC"/>
          <w:sz w:val="24"/>
          <w:szCs w:val="24"/>
          <w:lang w:val="en-GB"/>
        </w:rPr>
      </w:pPr>
      <w:r w:rsidRPr="007D38B4">
        <w:rPr>
          <w:rFonts w:ascii="Helvetica" w:hAnsi="Helvetica"/>
          <w:b/>
          <w:sz w:val="24"/>
          <w:szCs w:val="24"/>
          <w:lang w:val="en-GB"/>
        </w:rPr>
        <w:t>Figure 11: Trends in Reported Turnover of Corporate Bonds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w:t>
      </w:r>
      <w:r w:rsidRPr="007D38B4">
        <w:rPr>
          <w:rFonts w:ascii="Helvetica" w:hAnsi="Helvetica"/>
          <w:b/>
          <w:sz w:val="24"/>
          <w:szCs w:val="24"/>
          <w:lang w:val="en-GB"/>
        </w:rPr>
        <w:t>crore)</w:t>
      </w:r>
    </w:p>
    <w:p w:rsidR="007D38B4" w:rsidRPr="007D38B4" w:rsidRDefault="007D38B4" w:rsidP="007D38B4">
      <w:pPr>
        <w:widowControl w:val="0"/>
        <w:spacing w:after="0" w:line="240" w:lineRule="auto"/>
        <w:jc w:val="center"/>
        <w:rPr>
          <w:rFonts w:ascii="Helvetica" w:hAnsi="Helvetica"/>
          <w:b/>
          <w:noProof/>
          <w:color w:val="0033CC"/>
          <w:sz w:val="24"/>
          <w:szCs w:val="24"/>
          <w:lang w:val="en-GB"/>
        </w:rPr>
      </w:pPr>
      <w:r w:rsidRPr="007D38B4">
        <w:rPr>
          <w:rFonts w:ascii="Helvetica" w:hAnsi="Helvetica"/>
          <w:noProof/>
          <w:sz w:val="24"/>
          <w:szCs w:val="24"/>
        </w:rPr>
        <w:drawing>
          <wp:inline distT="0" distB="0" distL="0" distR="0" wp14:anchorId="6804965C" wp14:editId="13093233">
            <wp:extent cx="5852160" cy="2849880"/>
            <wp:effectExtent l="0" t="0" r="15240"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38B4" w:rsidRPr="007D38B4" w:rsidRDefault="007D38B4" w:rsidP="007D38B4">
      <w:pPr>
        <w:widowControl w:val="0"/>
        <w:spacing w:after="0" w:line="240" w:lineRule="auto"/>
        <w:rPr>
          <w:rFonts w:ascii="Helvetica" w:hAnsi="Helvetica"/>
          <w:b/>
          <w:noProof/>
          <w:color w:val="0033CC"/>
          <w:sz w:val="24"/>
          <w:szCs w:val="24"/>
          <w:lang w:val="en-GB"/>
        </w:rPr>
      </w:pPr>
    </w:p>
    <w:p w:rsidR="007D38B4" w:rsidRPr="007D38B4" w:rsidRDefault="007D38B4" w:rsidP="007D38B4">
      <w:pPr>
        <w:widowControl w:val="0"/>
        <w:spacing w:after="0" w:line="240" w:lineRule="auto"/>
        <w:ind w:left="270"/>
        <w:jc w:val="center"/>
        <w:rPr>
          <w:rFonts w:ascii="Helvetica" w:hAnsi="Helvetica"/>
          <w:b/>
          <w:noProof/>
          <w:sz w:val="24"/>
          <w:szCs w:val="24"/>
          <w:lang w:val="en-GB"/>
        </w:rPr>
      </w:pPr>
    </w:p>
    <w:p w:rsidR="007D38B4" w:rsidRPr="007D38B4" w:rsidRDefault="007D38B4" w:rsidP="007D38B4">
      <w:pPr>
        <w:widowControl w:val="0"/>
        <w:numPr>
          <w:ilvl w:val="0"/>
          <w:numId w:val="3"/>
        </w:numPr>
        <w:spacing w:after="0" w:line="240" w:lineRule="auto"/>
        <w:contextualSpacing/>
        <w:jc w:val="both"/>
        <w:rPr>
          <w:rFonts w:ascii="Helvetica" w:hAnsi="Helvetica"/>
          <w:b/>
          <w:sz w:val="24"/>
          <w:szCs w:val="24"/>
          <w:lang w:val="en-GB"/>
        </w:rPr>
      </w:pPr>
      <w:r w:rsidRPr="007D38B4">
        <w:rPr>
          <w:rFonts w:ascii="Helvetica" w:hAnsi="Helvetica"/>
          <w:b/>
          <w:sz w:val="24"/>
          <w:szCs w:val="24"/>
          <w:lang w:val="en-GB"/>
        </w:rPr>
        <w:t>Trends in Institutional Investment</w:t>
      </w:r>
    </w:p>
    <w:p w:rsidR="007D38B4" w:rsidRPr="007D38B4" w:rsidRDefault="007D38B4" w:rsidP="007D38B4">
      <w:pPr>
        <w:widowControl w:val="0"/>
        <w:spacing w:after="0" w:line="240" w:lineRule="auto"/>
        <w:jc w:val="both"/>
        <w:rPr>
          <w:rFonts w:ascii="Helvetica" w:hAnsi="Helvetica"/>
          <w:sz w:val="24"/>
          <w:szCs w:val="24"/>
          <w:lang w:val="en-GB"/>
        </w:rPr>
      </w:pPr>
    </w:p>
    <w:p w:rsidR="007D38B4" w:rsidRPr="007D38B4" w:rsidRDefault="007D38B4" w:rsidP="007D38B4">
      <w:pPr>
        <w:widowControl w:val="0"/>
        <w:numPr>
          <w:ilvl w:val="0"/>
          <w:numId w:val="2"/>
        </w:numPr>
        <w:tabs>
          <w:tab w:val="left" w:pos="0"/>
        </w:tabs>
        <w:spacing w:line="240" w:lineRule="auto"/>
        <w:contextualSpacing/>
        <w:jc w:val="both"/>
        <w:rPr>
          <w:rFonts w:ascii="Helvetica" w:hAnsi="Helvetica"/>
          <w:b/>
          <w:sz w:val="24"/>
          <w:szCs w:val="24"/>
          <w:lang w:val="en-GB"/>
        </w:rPr>
      </w:pPr>
      <w:r w:rsidRPr="007D38B4">
        <w:rPr>
          <w:rFonts w:ascii="Helvetica" w:hAnsi="Helvetica"/>
          <w:b/>
          <w:sz w:val="24"/>
          <w:szCs w:val="24"/>
          <w:lang w:val="en-GB"/>
        </w:rPr>
        <w:t>Trends in Investment by Mutual Funds</w:t>
      </w:r>
    </w:p>
    <w:p w:rsidR="007D38B4" w:rsidRPr="007D38B4" w:rsidRDefault="007D38B4" w:rsidP="007D38B4">
      <w:pPr>
        <w:spacing w:line="240" w:lineRule="auto"/>
        <w:jc w:val="both"/>
        <w:rPr>
          <w:rFonts w:ascii="Helvetica" w:eastAsia="Times New Roman" w:hAnsi="Helvetica"/>
          <w:bCs/>
          <w:sz w:val="24"/>
          <w:szCs w:val="24"/>
          <w:lang w:val="en-GB"/>
        </w:rPr>
      </w:pPr>
      <w:r w:rsidRPr="007D38B4">
        <w:rPr>
          <w:rFonts w:ascii="Helvetica" w:eastAsia="Times New Roman" w:hAnsi="Helvetica"/>
          <w:bCs/>
          <w:sz w:val="24"/>
          <w:szCs w:val="24"/>
          <w:lang w:val="en-GB"/>
        </w:rPr>
        <w:t xml:space="preserve">The total net investment in the secondary market by mutual funds was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bCs/>
          <w:sz w:val="24"/>
          <w:szCs w:val="24"/>
          <w:lang w:val="en-GB"/>
        </w:rPr>
        <w:t xml:space="preserve">21,724 crore in June 2017 out of which </w:t>
      </w:r>
      <w:r w:rsidRPr="007D38B4">
        <w:rPr>
          <w:rFonts w:ascii="Rupee Foradian" w:eastAsia="Times New Roman" w:hAnsi="Rupee Foradian"/>
          <w:bCs/>
          <w:sz w:val="24"/>
          <w:szCs w:val="20"/>
          <w:lang w:val="en-GB" w:eastAsia="en-GB" w:bidi="bn-IN"/>
        </w:rPr>
        <w:t>`</w:t>
      </w:r>
      <w:r w:rsidRPr="007D38B4">
        <w:rPr>
          <w:rFonts w:ascii="Helvetica" w:eastAsia="Times New Roman" w:hAnsi="Helvetica"/>
          <w:bCs/>
          <w:sz w:val="24"/>
          <w:szCs w:val="24"/>
          <w:lang w:val="en-GB"/>
        </w:rPr>
        <w:t xml:space="preserve"> 9,106 crore was invested in equity and </w:t>
      </w:r>
      <w:r w:rsidRPr="007D38B4">
        <w:rPr>
          <w:rFonts w:ascii="Rupee Foradian" w:eastAsia="Times New Roman" w:hAnsi="Rupee Foradian"/>
          <w:bCs/>
          <w:sz w:val="24"/>
          <w:szCs w:val="20"/>
          <w:lang w:val="en-GB" w:eastAsia="en-GB" w:bidi="bn-IN"/>
        </w:rPr>
        <w:t>`</w:t>
      </w:r>
      <w:r w:rsidRPr="007D38B4">
        <w:rPr>
          <w:rFonts w:ascii="Helvetica" w:eastAsia="Times New Roman" w:hAnsi="Helvetica"/>
          <w:bCs/>
          <w:sz w:val="24"/>
          <w:szCs w:val="24"/>
          <w:lang w:val="en-GB"/>
        </w:rPr>
        <w:t xml:space="preserve"> 12,618 crore was invested in debt. This is an increase over total investment of </w:t>
      </w:r>
      <w:r w:rsidRPr="007D38B4">
        <w:rPr>
          <w:rFonts w:ascii="Rupee Foradian" w:eastAsia="Times New Roman" w:hAnsi="Rupee Foradian"/>
          <w:bCs/>
          <w:sz w:val="24"/>
          <w:szCs w:val="20"/>
          <w:lang w:val="en-GB" w:eastAsia="en-GB" w:bidi="bn-IN"/>
        </w:rPr>
        <w:t xml:space="preserve">` </w:t>
      </w:r>
      <w:r w:rsidRPr="007D38B4">
        <w:rPr>
          <w:rFonts w:ascii="Helvetica" w:eastAsia="Times New Roman" w:hAnsi="Helvetica"/>
          <w:bCs/>
          <w:sz w:val="24"/>
          <w:szCs w:val="24"/>
          <w:lang w:val="en-GB"/>
        </w:rPr>
        <w:t xml:space="preserve">18,872 crore in May 2017 out of which </w:t>
      </w:r>
      <w:r w:rsidRPr="007D38B4">
        <w:rPr>
          <w:rFonts w:ascii="Rupee Foradian" w:eastAsia="Times New Roman" w:hAnsi="Rupee Foradian"/>
          <w:bCs/>
          <w:sz w:val="24"/>
          <w:szCs w:val="20"/>
          <w:lang w:val="en-GB" w:eastAsia="en-GB" w:bidi="bn-IN"/>
        </w:rPr>
        <w:t>`</w:t>
      </w:r>
      <w:r w:rsidRPr="007D38B4">
        <w:rPr>
          <w:rFonts w:ascii="Helvetica" w:eastAsia="Times New Roman" w:hAnsi="Helvetica"/>
          <w:bCs/>
          <w:sz w:val="24"/>
          <w:szCs w:val="24"/>
          <w:lang w:val="en-GB"/>
        </w:rPr>
        <w:t xml:space="preserve"> 9,358 crore was invested in equity and </w:t>
      </w:r>
      <w:r w:rsidRPr="007D38B4">
        <w:rPr>
          <w:rFonts w:ascii="Rupee Foradian" w:eastAsia="Times New Roman" w:hAnsi="Rupee Foradian"/>
          <w:bCs/>
          <w:sz w:val="24"/>
          <w:szCs w:val="20"/>
          <w:lang w:val="en-GB" w:eastAsia="en-GB" w:bidi="bn-IN"/>
        </w:rPr>
        <w:t>`</w:t>
      </w:r>
      <w:r w:rsidRPr="007D38B4">
        <w:rPr>
          <w:rFonts w:ascii="Helvetica" w:hAnsi="Helvetica"/>
          <w:sz w:val="24"/>
          <w:szCs w:val="24"/>
          <w:lang w:val="en-GB"/>
        </w:rPr>
        <w:t xml:space="preserve"> </w:t>
      </w:r>
      <w:r w:rsidRPr="007D38B4">
        <w:rPr>
          <w:rFonts w:ascii="Helvetica" w:eastAsia="Times New Roman" w:hAnsi="Helvetica"/>
          <w:bCs/>
          <w:sz w:val="24"/>
          <w:szCs w:val="24"/>
          <w:lang w:val="en-GB"/>
        </w:rPr>
        <w:t>9,514 crore was invested in debt (</w:t>
      </w:r>
      <w:r w:rsidRPr="007D38B4">
        <w:rPr>
          <w:rFonts w:ascii="Helvetica" w:eastAsia="Times New Roman" w:hAnsi="Helvetica"/>
          <w:b/>
          <w:i/>
          <w:iCs/>
          <w:sz w:val="24"/>
          <w:szCs w:val="24"/>
          <w:lang w:val="en-GB"/>
        </w:rPr>
        <w:t>Figure 12</w:t>
      </w:r>
      <w:r w:rsidRPr="007D38B4">
        <w:rPr>
          <w:rFonts w:ascii="Helvetica" w:eastAsia="Times New Roman" w:hAnsi="Helvetica"/>
          <w:bCs/>
          <w:sz w:val="24"/>
          <w:szCs w:val="24"/>
          <w:lang w:val="en-GB"/>
        </w:rPr>
        <w:t>).</w:t>
      </w:r>
    </w:p>
    <w:p w:rsidR="007D38B4" w:rsidRPr="00EC030F" w:rsidRDefault="007D38B4" w:rsidP="00EC030F">
      <w:pPr>
        <w:spacing w:line="240" w:lineRule="auto"/>
        <w:jc w:val="both"/>
        <w:rPr>
          <w:rFonts w:ascii="Helvetica" w:eastAsia="Times New Roman" w:hAnsi="Helvetica"/>
          <w:bCs/>
          <w:sz w:val="24"/>
          <w:szCs w:val="24"/>
          <w:lang w:val="en-GB"/>
        </w:rPr>
      </w:pPr>
      <w:r w:rsidRPr="007D38B4">
        <w:rPr>
          <w:rFonts w:ascii="Helvetica" w:eastAsia="Times New Roman" w:hAnsi="Helvetica"/>
          <w:bCs/>
          <w:sz w:val="24"/>
          <w:szCs w:val="24"/>
          <w:lang w:val="en-GB"/>
        </w:rPr>
        <w:t xml:space="preserve">As on June 30, 2017, there were a total of 2,081 mutual fund schemes in the market, of which 1,468 (70.5 per cent) were income / debt oriented schemes, 490 (23.5 per cent) were growth / equity oriented schemes, 31 (1.5 per cent) were balanced schemes, 63 (3.0 per cent) were exchange traded funds and 29 (1.4 per cent) were fund of funds investing overseas </w:t>
      </w:r>
      <w:r w:rsidRPr="007D38B4">
        <w:rPr>
          <w:rFonts w:ascii="Helvetica" w:eastAsia="Times New Roman" w:hAnsi="Helvetica"/>
          <w:b/>
          <w:bCs/>
          <w:sz w:val="24"/>
          <w:szCs w:val="24"/>
          <w:lang w:val="en-GB"/>
        </w:rPr>
        <w:t>(</w:t>
      </w:r>
      <w:r w:rsidRPr="007D38B4">
        <w:rPr>
          <w:rFonts w:ascii="Helvetica" w:eastAsia="Times New Roman" w:hAnsi="Helvetica"/>
          <w:b/>
          <w:bCs/>
          <w:i/>
          <w:iCs/>
          <w:sz w:val="24"/>
          <w:szCs w:val="24"/>
          <w:lang w:val="en-GB"/>
        </w:rPr>
        <w:t>Tables 55 &amp; 56</w:t>
      </w:r>
      <w:r w:rsidRPr="007D38B4">
        <w:rPr>
          <w:rFonts w:ascii="Helvetica" w:eastAsia="Times New Roman" w:hAnsi="Helvetica"/>
          <w:b/>
          <w:bCs/>
          <w:sz w:val="24"/>
          <w:szCs w:val="24"/>
          <w:lang w:val="en-GB"/>
        </w:rPr>
        <w:t>).</w:t>
      </w:r>
    </w:p>
    <w:p w:rsidR="007D38B4" w:rsidRPr="007D38B4" w:rsidRDefault="007D38B4" w:rsidP="007D38B4">
      <w:pPr>
        <w:spacing w:after="0" w:line="240" w:lineRule="auto"/>
        <w:outlineLvl w:val="0"/>
        <w:rPr>
          <w:rFonts w:ascii="Helvetica" w:hAnsi="Helvetica"/>
          <w:b/>
          <w:sz w:val="24"/>
          <w:szCs w:val="24"/>
          <w:lang w:val="en-GB"/>
        </w:rPr>
      </w:pPr>
      <w:r w:rsidRPr="007D38B4">
        <w:rPr>
          <w:rFonts w:ascii="Helvetica" w:hAnsi="Helvetica"/>
          <w:b/>
          <w:sz w:val="24"/>
          <w:szCs w:val="24"/>
          <w:lang w:val="en-GB"/>
        </w:rPr>
        <w:lastRenderedPageBreak/>
        <w:t>Figure 12: Trends in Mutual Funds Investment (</w:t>
      </w:r>
      <w:r w:rsidRPr="007D38B4">
        <w:rPr>
          <w:rFonts w:ascii="Rupee Foradian" w:eastAsia="Times New Roman" w:hAnsi="Rupee Foradian" w:cs="Garamond"/>
          <w:b/>
          <w:sz w:val="24"/>
          <w:szCs w:val="24"/>
        </w:rPr>
        <w:t>`</w:t>
      </w:r>
      <w:r w:rsidRPr="007D38B4">
        <w:rPr>
          <w:rFonts w:ascii="Helvetica" w:eastAsia="Times New Roman" w:hAnsi="Helvetica" w:cs="Garamond"/>
          <w:b/>
          <w:sz w:val="24"/>
          <w:szCs w:val="24"/>
        </w:rPr>
        <w:t xml:space="preserve"> </w:t>
      </w:r>
      <w:r w:rsidRPr="007D38B4">
        <w:rPr>
          <w:rFonts w:ascii="Helvetica" w:hAnsi="Helvetica"/>
          <w:b/>
          <w:sz w:val="24"/>
          <w:szCs w:val="24"/>
          <w:lang w:val="en-GB"/>
        </w:rPr>
        <w:t>crore)</w:t>
      </w:r>
    </w:p>
    <w:p w:rsidR="00EC030F" w:rsidRDefault="00EC030F" w:rsidP="007D38B4">
      <w:pPr>
        <w:spacing w:after="0" w:line="240" w:lineRule="auto"/>
        <w:jc w:val="center"/>
        <w:rPr>
          <w:rFonts w:ascii="Helvetica" w:hAnsi="Helvetica"/>
          <w:b/>
          <w:color w:val="0033CC"/>
          <w:sz w:val="24"/>
          <w:szCs w:val="24"/>
          <w:lang w:val="en-GB"/>
        </w:rPr>
      </w:pPr>
    </w:p>
    <w:p w:rsidR="00EC030F" w:rsidRDefault="00EC030F" w:rsidP="00EC030F">
      <w:pPr>
        <w:spacing w:after="0" w:line="240" w:lineRule="auto"/>
        <w:jc w:val="center"/>
        <w:rPr>
          <w:rFonts w:ascii="Helvetica" w:hAnsi="Helvetica"/>
          <w:b/>
          <w:color w:val="0033CC"/>
          <w:sz w:val="24"/>
          <w:szCs w:val="24"/>
          <w:lang w:val="en-GB"/>
        </w:rPr>
      </w:pPr>
      <w:r>
        <w:rPr>
          <w:rFonts w:ascii="Helvetica" w:hAnsi="Helvetica"/>
          <w:b/>
          <w:color w:val="0033CC"/>
          <w:sz w:val="24"/>
          <w:szCs w:val="24"/>
          <w:lang w:val="en-GB"/>
        </w:rPr>
        <w:t xml:space="preserve">    </w:t>
      </w:r>
      <w:r w:rsidR="00182799">
        <w:rPr>
          <w:noProof/>
        </w:rPr>
        <w:drawing>
          <wp:inline distT="0" distB="0" distL="0" distR="0" wp14:anchorId="07C254B8" wp14:editId="14133BB4">
            <wp:extent cx="5718812" cy="2916554"/>
            <wp:effectExtent l="0" t="0" r="15240" b="1778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030F" w:rsidRPr="007D38B4" w:rsidRDefault="00EC030F" w:rsidP="007D38B4">
      <w:pPr>
        <w:spacing w:after="0" w:line="240" w:lineRule="auto"/>
        <w:jc w:val="center"/>
        <w:rPr>
          <w:rFonts w:ascii="Helvetica" w:hAnsi="Helvetica"/>
          <w:b/>
          <w:color w:val="0033CC"/>
          <w:sz w:val="24"/>
          <w:szCs w:val="24"/>
          <w:lang w:val="en-GB"/>
        </w:rPr>
      </w:pPr>
    </w:p>
    <w:p w:rsidR="007D38B4" w:rsidRPr="007D38B4" w:rsidRDefault="007D38B4" w:rsidP="007D38B4">
      <w:pPr>
        <w:widowControl w:val="0"/>
        <w:numPr>
          <w:ilvl w:val="0"/>
          <w:numId w:val="2"/>
        </w:numPr>
        <w:tabs>
          <w:tab w:val="left" w:pos="0"/>
        </w:tabs>
        <w:spacing w:before="240" w:after="0" w:line="240" w:lineRule="auto"/>
        <w:contextualSpacing/>
        <w:jc w:val="both"/>
        <w:rPr>
          <w:rFonts w:ascii="Helvetica" w:hAnsi="Helvetica"/>
          <w:b/>
          <w:sz w:val="24"/>
          <w:szCs w:val="24"/>
          <w:lang w:val="en-GB"/>
        </w:rPr>
      </w:pPr>
      <w:r w:rsidRPr="007D38B4">
        <w:rPr>
          <w:rFonts w:ascii="Helvetica" w:hAnsi="Helvetica"/>
          <w:b/>
          <w:sz w:val="24"/>
          <w:szCs w:val="24"/>
          <w:lang w:val="en-GB"/>
        </w:rPr>
        <w:t>Trends in Investment by the Foreign Portfolio Investors (FPIs)</w:t>
      </w:r>
    </w:p>
    <w:p w:rsidR="007D38B4" w:rsidRPr="007D38B4" w:rsidRDefault="007D38B4" w:rsidP="007D38B4">
      <w:pPr>
        <w:widowControl w:val="0"/>
        <w:tabs>
          <w:tab w:val="left" w:pos="0"/>
        </w:tabs>
        <w:spacing w:after="0" w:line="240" w:lineRule="auto"/>
        <w:ind w:left="360"/>
        <w:contextualSpacing/>
        <w:jc w:val="both"/>
        <w:rPr>
          <w:rFonts w:ascii="Helvetica" w:hAnsi="Helvetica"/>
          <w:b/>
          <w:sz w:val="24"/>
          <w:szCs w:val="24"/>
          <w:lang w:val="en-GB"/>
        </w:rPr>
      </w:pPr>
    </w:p>
    <w:p w:rsidR="007D38B4" w:rsidRPr="007D38B4" w:rsidRDefault="007D38B4" w:rsidP="007D38B4">
      <w:pPr>
        <w:widowControl w:val="0"/>
        <w:tabs>
          <w:tab w:val="left" w:pos="0"/>
        </w:tabs>
        <w:spacing w:after="0" w:line="240" w:lineRule="auto"/>
        <w:jc w:val="both"/>
        <w:rPr>
          <w:rFonts w:ascii="Helvetica" w:eastAsia="Times New Roman" w:hAnsi="Helvetica" w:cs="Calibri"/>
          <w:sz w:val="24"/>
          <w:szCs w:val="24"/>
          <w:lang w:val="en-GB"/>
        </w:rPr>
      </w:pPr>
      <w:r w:rsidRPr="007D38B4">
        <w:rPr>
          <w:rFonts w:ascii="Helvetica" w:eastAsia="Times New Roman" w:hAnsi="Helvetica"/>
          <w:sz w:val="24"/>
          <w:szCs w:val="24"/>
          <w:lang w:val="en-GB"/>
        </w:rPr>
        <w:t xml:space="preserve">In June 2017, the FPIs remained net buyers in the Indian securities market to the tune of </w:t>
      </w:r>
      <w:r w:rsidRPr="007D38B4">
        <w:rPr>
          <w:rFonts w:ascii="Rupee Foradian" w:eastAsia="Times New Roman" w:hAnsi="Rupee Foradian"/>
          <w:sz w:val="24"/>
          <w:szCs w:val="24"/>
          <w:lang w:val="en-GB"/>
        </w:rPr>
        <w:t>`</w:t>
      </w:r>
      <w:r w:rsidRPr="007D38B4">
        <w:rPr>
          <w:rFonts w:ascii="Helvetica" w:eastAsia="Times New Roman" w:hAnsi="Helvetica" w:cs="Calibri"/>
          <w:sz w:val="24"/>
          <w:szCs w:val="24"/>
          <w:lang w:val="en-GB"/>
        </w:rPr>
        <w:t xml:space="preserve"> 29,302 crore. There were net inflow of </w:t>
      </w:r>
      <w:r w:rsidRPr="007D38B4">
        <w:rPr>
          <w:rFonts w:ascii="Rupee Foradian" w:eastAsia="Times New Roman" w:hAnsi="Rupee Foradian"/>
          <w:sz w:val="24"/>
          <w:szCs w:val="24"/>
          <w:lang w:val="en-GB"/>
        </w:rPr>
        <w:t xml:space="preserve">` </w:t>
      </w:r>
      <w:r w:rsidRPr="007D38B4">
        <w:rPr>
          <w:rFonts w:ascii="Helvetica" w:eastAsia="Times New Roman" w:hAnsi="Helvetica" w:cs="Calibri"/>
          <w:sz w:val="24"/>
          <w:szCs w:val="24"/>
          <w:lang w:val="en-GB"/>
        </w:rPr>
        <w:t xml:space="preserve">3,617 crore in equity and </w:t>
      </w:r>
      <w:r w:rsidRPr="007D38B4">
        <w:rPr>
          <w:rFonts w:ascii="Rupee Foradian" w:eastAsia="Times New Roman" w:hAnsi="Rupee Foradian" w:cs="Calibri"/>
          <w:sz w:val="24"/>
          <w:szCs w:val="24"/>
        </w:rPr>
        <w:t>`</w:t>
      </w:r>
      <w:r w:rsidRPr="007D38B4">
        <w:rPr>
          <w:rFonts w:ascii="Helvetica" w:eastAsia="Times New Roman" w:hAnsi="Helvetica" w:cs="Calibri"/>
          <w:sz w:val="24"/>
          <w:szCs w:val="24"/>
        </w:rPr>
        <w:t xml:space="preserve"> 25,685 crore in </w:t>
      </w:r>
      <w:r w:rsidRPr="007D38B4">
        <w:rPr>
          <w:rFonts w:ascii="Helvetica" w:eastAsia="Times New Roman" w:hAnsi="Helvetica" w:cs="Calibri"/>
          <w:sz w:val="24"/>
          <w:szCs w:val="24"/>
          <w:lang w:val="en-GB"/>
        </w:rPr>
        <w:t xml:space="preserve">debt </w:t>
      </w:r>
      <w:r w:rsidRPr="007D38B4">
        <w:rPr>
          <w:rFonts w:ascii="Helvetica" w:eastAsia="Times New Roman" w:hAnsi="Helvetica"/>
          <w:sz w:val="24"/>
          <w:szCs w:val="24"/>
          <w:lang w:val="en-GB"/>
        </w:rPr>
        <w:t>(</w:t>
      </w:r>
      <w:r w:rsidRPr="007D38B4">
        <w:rPr>
          <w:rFonts w:ascii="Helvetica" w:eastAsia="Times New Roman" w:hAnsi="Helvetica"/>
          <w:b/>
          <w:bCs/>
          <w:i/>
          <w:iCs/>
          <w:sz w:val="24"/>
          <w:szCs w:val="24"/>
          <w:lang w:val="en-GB"/>
        </w:rPr>
        <w:t>Figure 13</w:t>
      </w:r>
      <w:r w:rsidRPr="007D38B4">
        <w:rPr>
          <w:rFonts w:ascii="Helvetica" w:eastAsia="Times New Roman" w:hAnsi="Helvetica"/>
          <w:sz w:val="24"/>
          <w:szCs w:val="24"/>
          <w:lang w:val="en-GB"/>
        </w:rPr>
        <w:t xml:space="preserve">). </w:t>
      </w:r>
    </w:p>
    <w:p w:rsidR="007D38B4" w:rsidRPr="007D38B4" w:rsidRDefault="007D38B4" w:rsidP="007D38B4">
      <w:pPr>
        <w:widowControl w:val="0"/>
        <w:tabs>
          <w:tab w:val="left" w:pos="0"/>
        </w:tabs>
        <w:spacing w:after="0" w:line="240" w:lineRule="auto"/>
        <w:ind w:left="360"/>
        <w:contextualSpacing/>
        <w:jc w:val="both"/>
        <w:rPr>
          <w:rFonts w:ascii="Helvetica" w:eastAsia="Times New Roman" w:hAnsi="Helvetica" w:cs="Calibri"/>
          <w:color w:val="0033CC"/>
          <w:sz w:val="24"/>
          <w:szCs w:val="24"/>
          <w:lang w:val="en-GB"/>
        </w:rPr>
      </w:pPr>
    </w:p>
    <w:p w:rsidR="007D38B4" w:rsidRDefault="007D38B4" w:rsidP="007D38B4">
      <w:pPr>
        <w:widowControl w:val="0"/>
        <w:tabs>
          <w:tab w:val="left" w:pos="0"/>
        </w:tabs>
        <w:spacing w:after="0" w:line="240" w:lineRule="auto"/>
        <w:jc w:val="both"/>
        <w:rPr>
          <w:rFonts w:ascii="Helvetica" w:eastAsia="Times New Roman" w:hAnsi="Helvetica"/>
          <w:sz w:val="24"/>
          <w:szCs w:val="24"/>
          <w:lang w:val="en-GB"/>
        </w:rPr>
      </w:pPr>
      <w:r w:rsidRPr="007D38B4">
        <w:rPr>
          <w:rFonts w:ascii="Helvetica" w:eastAsia="Times New Roman" w:hAnsi="Helvetica"/>
          <w:sz w:val="24"/>
          <w:szCs w:val="24"/>
          <w:lang w:val="en-GB"/>
        </w:rPr>
        <w:t>The assets of the FPIs in India, as reported by the custodians, at the end of June 2017 was</w:t>
      </w:r>
      <w:r w:rsidRPr="007D38B4">
        <w:rPr>
          <w:rFonts w:ascii="Helvetica" w:hAnsi="Helvetica"/>
          <w:sz w:val="24"/>
          <w:szCs w:val="24"/>
          <w:lang w:val="en-GB"/>
        </w:rPr>
        <w:t xml:space="preserve"> </w:t>
      </w:r>
      <w:r w:rsidRPr="007D38B4">
        <w:rPr>
          <w:rFonts w:ascii="Rupee Foradian" w:hAnsi="Rupee Foradian" w:cs="Garamond"/>
          <w:sz w:val="24"/>
          <w:szCs w:val="24"/>
        </w:rPr>
        <w:t xml:space="preserve">` </w:t>
      </w:r>
      <w:r w:rsidRPr="007D38B4">
        <w:rPr>
          <w:rFonts w:ascii="Helvetica" w:eastAsia="Times New Roman" w:hAnsi="Helvetica" w:cs="Calibri"/>
          <w:sz w:val="24"/>
          <w:szCs w:val="24"/>
          <w:lang w:val="en-GB"/>
        </w:rPr>
        <w:t>28</w:t>
      </w:r>
      <w:proofErr w:type="gramStart"/>
      <w:r w:rsidRPr="007D38B4">
        <w:rPr>
          <w:rFonts w:ascii="Helvetica" w:eastAsia="Times New Roman" w:hAnsi="Helvetica" w:cs="Calibri"/>
          <w:sz w:val="24"/>
          <w:szCs w:val="24"/>
          <w:lang w:val="en-GB"/>
        </w:rPr>
        <w:t>,83,104</w:t>
      </w:r>
      <w:proofErr w:type="gramEnd"/>
      <w:r w:rsidRPr="007D38B4">
        <w:rPr>
          <w:rFonts w:ascii="Helvetica" w:eastAsia="Times New Roman" w:hAnsi="Helvetica" w:cs="Calibri"/>
          <w:sz w:val="24"/>
          <w:szCs w:val="24"/>
          <w:lang w:val="en-GB"/>
        </w:rPr>
        <w:t xml:space="preserve"> crore, out of which the notional value of offshore derivative instruments (including ODIs on derivatives) was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1,32,785</w:t>
      </w:r>
      <w:r w:rsidRPr="007D38B4">
        <w:rPr>
          <w:rFonts w:ascii="Helvetica" w:eastAsia="Times New Roman" w:hAnsi="Helvetica" w:cs="Calibri"/>
          <w:sz w:val="24"/>
          <w:szCs w:val="24"/>
          <w:lang w:val="en-GB"/>
        </w:rPr>
        <w:t xml:space="preserve"> crore, constituting 4.6 per cent of the total assets under custody of F</w:t>
      </w:r>
      <w:r w:rsidRPr="007D38B4">
        <w:rPr>
          <w:rFonts w:ascii="Helvetica" w:eastAsia="Times New Roman" w:hAnsi="Helvetica"/>
          <w:sz w:val="24"/>
          <w:szCs w:val="24"/>
          <w:lang w:val="en-GB"/>
        </w:rPr>
        <w:t>PIs. (</w:t>
      </w:r>
      <w:r w:rsidRPr="007D38B4">
        <w:rPr>
          <w:rFonts w:ascii="Helvetica" w:eastAsia="Times New Roman" w:hAnsi="Helvetica"/>
          <w:b/>
          <w:i/>
          <w:iCs/>
          <w:sz w:val="24"/>
          <w:szCs w:val="24"/>
          <w:lang w:val="en-GB"/>
        </w:rPr>
        <w:t>Tables 49, 50 &amp; 51</w:t>
      </w:r>
      <w:r w:rsidRPr="007D38B4">
        <w:rPr>
          <w:rFonts w:ascii="Helvetica" w:eastAsia="Times New Roman" w:hAnsi="Helvetica"/>
          <w:sz w:val="24"/>
          <w:szCs w:val="24"/>
          <w:lang w:val="en-GB"/>
        </w:rPr>
        <w:t>)</w:t>
      </w:r>
    </w:p>
    <w:p w:rsidR="00EC030F" w:rsidRPr="007D38B4" w:rsidRDefault="00EC030F" w:rsidP="007D38B4">
      <w:pPr>
        <w:widowControl w:val="0"/>
        <w:tabs>
          <w:tab w:val="left" w:pos="0"/>
        </w:tabs>
        <w:spacing w:after="0" w:line="240" w:lineRule="auto"/>
        <w:jc w:val="both"/>
        <w:rPr>
          <w:rFonts w:ascii="Helvetica" w:eastAsia="Times New Roman" w:hAnsi="Helvetica"/>
          <w:sz w:val="24"/>
          <w:szCs w:val="24"/>
          <w:lang w:val="en-GB"/>
        </w:rPr>
      </w:pPr>
    </w:p>
    <w:p w:rsidR="00182799" w:rsidRDefault="007D38B4" w:rsidP="00182799">
      <w:pPr>
        <w:spacing w:after="0" w:line="240" w:lineRule="auto"/>
        <w:ind w:firstLine="720"/>
        <w:outlineLvl w:val="0"/>
        <w:rPr>
          <w:rFonts w:ascii="Helvetica" w:hAnsi="Helvetica"/>
          <w:b/>
          <w:sz w:val="24"/>
          <w:szCs w:val="24"/>
          <w:lang w:val="en-GB"/>
        </w:rPr>
      </w:pPr>
      <w:r w:rsidRPr="007D38B4">
        <w:rPr>
          <w:rFonts w:ascii="Helvetica" w:hAnsi="Helvetica"/>
          <w:b/>
          <w:sz w:val="24"/>
          <w:szCs w:val="24"/>
          <w:lang w:val="en-GB"/>
        </w:rPr>
        <w:t>Figure 13: Trends in FPIs Investment (</w:t>
      </w:r>
      <w:r w:rsidRPr="007D38B4">
        <w:rPr>
          <w:rFonts w:ascii="Rupee Foradian" w:eastAsia="Times New Roman" w:hAnsi="Rupee Foradian" w:cs="Garamond"/>
          <w:b/>
          <w:sz w:val="24"/>
          <w:szCs w:val="24"/>
        </w:rPr>
        <w:t>`</w:t>
      </w:r>
      <w:r w:rsidRPr="007D38B4">
        <w:rPr>
          <w:rFonts w:ascii="Helvetica" w:hAnsi="Helvetica"/>
          <w:b/>
          <w:sz w:val="24"/>
          <w:szCs w:val="24"/>
          <w:lang w:val="en-GB"/>
        </w:rPr>
        <w:t xml:space="preserve"> crore)</w:t>
      </w:r>
    </w:p>
    <w:p w:rsidR="00182799" w:rsidRDefault="00182799" w:rsidP="00182799">
      <w:pPr>
        <w:spacing w:after="0" w:line="240" w:lineRule="auto"/>
        <w:ind w:firstLine="720"/>
        <w:outlineLvl w:val="0"/>
        <w:rPr>
          <w:rFonts w:ascii="Helvetica" w:hAnsi="Helvetica"/>
          <w:b/>
          <w:sz w:val="24"/>
          <w:szCs w:val="24"/>
          <w:lang w:val="en-GB"/>
        </w:rPr>
      </w:pPr>
    </w:p>
    <w:p w:rsidR="00182799" w:rsidRPr="00EC030F" w:rsidRDefault="00182799" w:rsidP="00EC030F">
      <w:pPr>
        <w:spacing w:after="0" w:line="240" w:lineRule="auto"/>
        <w:ind w:firstLine="720"/>
        <w:outlineLvl w:val="0"/>
        <w:rPr>
          <w:rFonts w:ascii="Helvetica" w:hAnsi="Helvetica"/>
          <w:b/>
          <w:sz w:val="24"/>
          <w:szCs w:val="24"/>
          <w:lang w:val="en-GB"/>
        </w:rPr>
      </w:pPr>
      <w:r>
        <w:rPr>
          <w:noProof/>
        </w:rPr>
        <w:drawing>
          <wp:inline distT="0" distB="0" distL="0" distR="0" wp14:anchorId="64893961" wp14:editId="7973BC14">
            <wp:extent cx="5661660" cy="2948940"/>
            <wp:effectExtent l="0" t="0" r="15240" b="381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38B4" w:rsidRPr="007D38B4" w:rsidRDefault="007D38B4" w:rsidP="007D38B4">
      <w:pPr>
        <w:spacing w:after="0" w:line="240" w:lineRule="auto"/>
        <w:jc w:val="center"/>
        <w:rPr>
          <w:rFonts w:ascii="Helvetica" w:hAnsi="Helvetica"/>
          <w:color w:val="0033CC"/>
          <w:sz w:val="24"/>
          <w:szCs w:val="24"/>
          <w:lang w:val="en-GB"/>
        </w:rPr>
      </w:pPr>
    </w:p>
    <w:p w:rsidR="007D38B4" w:rsidRPr="007D38B4" w:rsidRDefault="007D38B4" w:rsidP="007D38B4">
      <w:pPr>
        <w:widowControl w:val="0"/>
        <w:numPr>
          <w:ilvl w:val="0"/>
          <w:numId w:val="3"/>
        </w:numPr>
        <w:spacing w:before="240" w:line="240" w:lineRule="auto"/>
        <w:contextualSpacing/>
        <w:jc w:val="both"/>
        <w:rPr>
          <w:rFonts w:ascii="Helvetica" w:eastAsia="Times New Roman" w:hAnsi="Helvetica"/>
          <w:b/>
          <w:sz w:val="24"/>
          <w:szCs w:val="24"/>
          <w:lang w:val="en-GB"/>
        </w:rPr>
      </w:pPr>
      <w:r w:rsidRPr="007D38B4">
        <w:rPr>
          <w:rFonts w:ascii="Helvetica" w:hAnsi="Helvetica"/>
          <w:b/>
          <w:sz w:val="24"/>
          <w:szCs w:val="24"/>
          <w:lang w:val="en-GB"/>
        </w:rPr>
        <w:t>Trends in Portfolio Management Services</w:t>
      </w:r>
    </w:p>
    <w:p w:rsidR="007D38B4" w:rsidRPr="007D38B4" w:rsidRDefault="007D38B4" w:rsidP="007D38B4">
      <w:pPr>
        <w:widowControl w:val="0"/>
        <w:spacing w:line="240" w:lineRule="auto"/>
        <w:jc w:val="both"/>
        <w:rPr>
          <w:rFonts w:ascii="Helvetica" w:eastAsia="Times New Roman" w:hAnsi="Helvetica" w:cs="Calibri"/>
          <w:sz w:val="24"/>
          <w:szCs w:val="24"/>
          <w:lang w:val="en-GB"/>
        </w:rPr>
      </w:pPr>
      <w:r w:rsidRPr="007D38B4">
        <w:rPr>
          <w:rFonts w:ascii="Helvetica" w:eastAsia="Times New Roman" w:hAnsi="Helvetica"/>
          <w:sz w:val="24"/>
          <w:szCs w:val="24"/>
          <w:lang w:val="en-GB"/>
        </w:rPr>
        <w:t xml:space="preserve">Assets under management (AUM) of discretionary portfolio management services (PMS) increased by 1.4 per cent to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10</w:t>
      </w:r>
      <w:proofErr w:type="gramStart"/>
      <w:r w:rsidRPr="007D38B4">
        <w:rPr>
          <w:rFonts w:ascii="Helvetica" w:eastAsia="Times New Roman" w:hAnsi="Helvetica"/>
          <w:sz w:val="24"/>
          <w:szCs w:val="24"/>
        </w:rPr>
        <w:t>,23,416</w:t>
      </w:r>
      <w:proofErr w:type="gramEnd"/>
      <w:r w:rsidRPr="007D38B4">
        <w:rPr>
          <w:rFonts w:ascii="Helvetica" w:eastAsia="Times New Roman" w:hAnsi="Helvetica"/>
          <w:sz w:val="24"/>
          <w:szCs w:val="24"/>
        </w:rPr>
        <w:t xml:space="preserve"> crore in June 2017</w:t>
      </w:r>
      <w:r w:rsidRPr="007D38B4">
        <w:rPr>
          <w:rFonts w:ascii="Helvetica" w:eastAsia="Times New Roman" w:hAnsi="Helvetica" w:cs="Calibri"/>
          <w:sz w:val="24"/>
          <w:szCs w:val="24"/>
          <w:lang w:val="en-GB"/>
        </w:rPr>
        <w:t xml:space="preserve"> from </w:t>
      </w:r>
      <w:r w:rsidRPr="007D38B4">
        <w:rPr>
          <w:rFonts w:ascii="Rupee Foradian" w:eastAsia="Times New Roman" w:hAnsi="Rupee Foradian"/>
          <w:sz w:val="24"/>
          <w:szCs w:val="24"/>
        </w:rPr>
        <w:t>`</w:t>
      </w:r>
      <w:r w:rsidRPr="007D38B4">
        <w:rPr>
          <w:rFonts w:ascii="Helvetica" w:eastAsia="Times New Roman" w:hAnsi="Helvetica"/>
          <w:sz w:val="24"/>
          <w:szCs w:val="24"/>
        </w:rPr>
        <w:t xml:space="preserve"> 10,09,057 crore in May 2017</w:t>
      </w:r>
      <w:r w:rsidRPr="007D38B4">
        <w:rPr>
          <w:rFonts w:ascii="Helvetica" w:eastAsia="Times New Roman" w:hAnsi="Helvetica" w:cs="Calibri"/>
          <w:sz w:val="24"/>
          <w:szCs w:val="24"/>
          <w:lang w:val="en-GB"/>
        </w:rPr>
        <w:t xml:space="preserve">. However, during the same time the AUM of Non-discretionary PMS marginally rose from </w:t>
      </w:r>
      <w:r w:rsidRPr="007D38B4">
        <w:rPr>
          <w:rFonts w:ascii="Rupee Foradian" w:eastAsia="Times New Roman" w:hAnsi="Rupee Foradian" w:cs="Calibri"/>
          <w:sz w:val="24"/>
          <w:szCs w:val="24"/>
        </w:rPr>
        <w:t>`</w:t>
      </w:r>
      <w:r w:rsidRPr="007D38B4">
        <w:rPr>
          <w:rFonts w:ascii="Helvetica" w:eastAsia="Times New Roman" w:hAnsi="Helvetica" w:cs="Calibri"/>
          <w:sz w:val="24"/>
          <w:szCs w:val="24"/>
        </w:rPr>
        <w:t xml:space="preserve"> 76,518 crore to </w:t>
      </w:r>
      <w:r w:rsidRPr="007D38B4">
        <w:rPr>
          <w:rFonts w:ascii="Rupee Foradian" w:eastAsia="Times New Roman" w:hAnsi="Rupee Foradian" w:cs="Calibri"/>
          <w:sz w:val="24"/>
          <w:szCs w:val="24"/>
        </w:rPr>
        <w:t>`</w:t>
      </w:r>
      <w:r w:rsidRPr="007D38B4">
        <w:rPr>
          <w:rFonts w:ascii="Helvetica" w:eastAsia="Times New Roman" w:hAnsi="Helvetica" w:cs="Calibri"/>
          <w:sz w:val="24"/>
          <w:szCs w:val="24"/>
        </w:rPr>
        <w:t xml:space="preserve"> 76,491 crore. AUM of Advisory services, on the other hand, decreased by 2.9 per cent from </w:t>
      </w:r>
      <w:r w:rsidRPr="007D38B4">
        <w:rPr>
          <w:rFonts w:ascii="Rupee Foradian" w:eastAsia="Times New Roman" w:hAnsi="Rupee Foradian" w:cs="Calibri"/>
          <w:sz w:val="24"/>
          <w:szCs w:val="24"/>
        </w:rPr>
        <w:t>`</w:t>
      </w:r>
      <w:r w:rsidRPr="007D38B4">
        <w:rPr>
          <w:rFonts w:ascii="Helvetica" w:eastAsia="Times New Roman" w:hAnsi="Helvetica" w:cs="Calibri"/>
          <w:sz w:val="24"/>
          <w:szCs w:val="24"/>
        </w:rPr>
        <w:t xml:space="preserve"> 1</w:t>
      </w:r>
      <w:proofErr w:type="gramStart"/>
      <w:r w:rsidRPr="007D38B4">
        <w:rPr>
          <w:rFonts w:ascii="Helvetica" w:eastAsia="Times New Roman" w:hAnsi="Helvetica" w:cs="Calibri"/>
          <w:sz w:val="24"/>
          <w:szCs w:val="24"/>
        </w:rPr>
        <w:t>,88,541</w:t>
      </w:r>
      <w:proofErr w:type="gramEnd"/>
      <w:r w:rsidRPr="007D38B4">
        <w:rPr>
          <w:rFonts w:ascii="Helvetica" w:eastAsia="Times New Roman" w:hAnsi="Helvetica" w:cs="Calibri"/>
          <w:sz w:val="24"/>
          <w:szCs w:val="24"/>
        </w:rPr>
        <w:t xml:space="preserve"> crore to </w:t>
      </w:r>
      <w:r w:rsidRPr="007D38B4">
        <w:rPr>
          <w:rFonts w:ascii="Rupee Foradian" w:eastAsia="Times New Roman" w:hAnsi="Rupee Foradian" w:cs="Calibri"/>
          <w:sz w:val="24"/>
          <w:szCs w:val="24"/>
        </w:rPr>
        <w:t>`</w:t>
      </w:r>
      <w:r w:rsidRPr="007D38B4">
        <w:rPr>
          <w:rFonts w:ascii="Helvetica" w:eastAsia="Times New Roman" w:hAnsi="Helvetica" w:cs="Calibri"/>
          <w:sz w:val="24"/>
          <w:szCs w:val="24"/>
        </w:rPr>
        <w:t xml:space="preserve"> 1,83,172 crore.</w:t>
      </w:r>
    </w:p>
    <w:p w:rsidR="007D38B4" w:rsidRPr="007D38B4" w:rsidRDefault="007D38B4" w:rsidP="007D38B4">
      <w:pPr>
        <w:widowControl w:val="0"/>
        <w:spacing w:line="240" w:lineRule="auto"/>
        <w:jc w:val="both"/>
        <w:rPr>
          <w:rFonts w:ascii="Helvetica" w:eastAsia="Times New Roman" w:hAnsi="Helvetica"/>
          <w:b/>
          <w:bCs/>
          <w:i/>
          <w:iCs/>
          <w:sz w:val="24"/>
          <w:szCs w:val="24"/>
          <w:lang w:val="en-GB"/>
        </w:rPr>
      </w:pPr>
      <w:r w:rsidRPr="007D38B4">
        <w:rPr>
          <w:rFonts w:ascii="Helvetica" w:eastAsia="Times New Roman" w:hAnsi="Helvetica"/>
          <w:sz w:val="24"/>
          <w:szCs w:val="24"/>
          <w:lang w:val="en-GB"/>
        </w:rPr>
        <w:t xml:space="preserve">In terms of number of clients, at the end of June 2017, out of 89,212 clients in PMS industry, discretionary services category leads with total of 82,753 clients, followed by non-discretionary category with 4,903 clients and advisory category with 1,556 clients. </w:t>
      </w:r>
      <w:r w:rsidRPr="007D38B4">
        <w:rPr>
          <w:rFonts w:ascii="Helvetica" w:eastAsia="Times New Roman" w:hAnsi="Helvetica"/>
          <w:b/>
          <w:bCs/>
          <w:i/>
          <w:iCs/>
          <w:sz w:val="24"/>
          <w:szCs w:val="24"/>
          <w:lang w:val="en-GB"/>
        </w:rPr>
        <w:t>(Table 57)</w:t>
      </w:r>
    </w:p>
    <w:p w:rsidR="007D38B4" w:rsidRPr="007D38B4" w:rsidRDefault="007D38B4" w:rsidP="007D38B4">
      <w:pPr>
        <w:widowControl w:val="0"/>
        <w:spacing w:line="240" w:lineRule="auto"/>
        <w:jc w:val="both"/>
        <w:rPr>
          <w:rFonts w:ascii="Helvetica" w:eastAsia="Times New Roman" w:hAnsi="Helvetica"/>
          <w:sz w:val="24"/>
          <w:szCs w:val="24"/>
          <w:lang w:val="en-GB"/>
        </w:rPr>
      </w:pPr>
    </w:p>
    <w:p w:rsidR="007D38B4" w:rsidRPr="007D38B4" w:rsidRDefault="007D38B4" w:rsidP="007D38B4">
      <w:pPr>
        <w:widowControl w:val="0"/>
        <w:numPr>
          <w:ilvl w:val="0"/>
          <w:numId w:val="3"/>
        </w:numPr>
        <w:spacing w:line="240" w:lineRule="auto"/>
        <w:contextualSpacing/>
        <w:jc w:val="both"/>
        <w:rPr>
          <w:rFonts w:ascii="Helvetica" w:hAnsi="Helvetica"/>
          <w:b/>
          <w:sz w:val="24"/>
          <w:szCs w:val="24"/>
          <w:lang w:val="en-GB"/>
        </w:rPr>
      </w:pPr>
      <w:r w:rsidRPr="007D38B4">
        <w:rPr>
          <w:rFonts w:ascii="Helvetica" w:hAnsi="Helvetica"/>
          <w:b/>
          <w:sz w:val="24"/>
          <w:szCs w:val="24"/>
          <w:lang w:val="en-GB"/>
        </w:rPr>
        <w:t>Trends in Substantial Acquisition of Shares and Takeovers</w:t>
      </w:r>
    </w:p>
    <w:p w:rsidR="007D38B4" w:rsidRDefault="007D38B4" w:rsidP="007D38B4">
      <w:pPr>
        <w:spacing w:line="240" w:lineRule="auto"/>
        <w:jc w:val="both"/>
        <w:rPr>
          <w:rFonts w:ascii="Helvetica" w:eastAsia="Times New Roman" w:hAnsi="Helvetica" w:cs="Garamond"/>
          <w:sz w:val="24"/>
          <w:szCs w:val="24"/>
          <w:lang w:val="en-GB"/>
        </w:rPr>
      </w:pPr>
      <w:r w:rsidRPr="007D38B4">
        <w:rPr>
          <w:rFonts w:ascii="Helvetica" w:eastAsia="Times New Roman" w:hAnsi="Helvetica"/>
          <w:sz w:val="24"/>
          <w:szCs w:val="24"/>
          <w:lang w:val="en-GB"/>
        </w:rPr>
        <w:t xml:space="preserve">In June 2017, six open offers with offer value of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w:t>
      </w:r>
      <w:r w:rsidRPr="007D38B4">
        <w:rPr>
          <w:rFonts w:ascii="Helvetica" w:eastAsia="Times New Roman" w:hAnsi="Helvetica" w:cs="Garamond"/>
          <w:sz w:val="24"/>
          <w:szCs w:val="24"/>
          <w:lang w:val="en-GB"/>
        </w:rPr>
        <w:t>75</w:t>
      </w:r>
      <w:r w:rsidRPr="007D38B4">
        <w:rPr>
          <w:rFonts w:ascii="Helvetica" w:eastAsia="Times New Roman" w:hAnsi="Helvetica"/>
          <w:sz w:val="24"/>
          <w:szCs w:val="24"/>
          <w:lang w:val="en-GB"/>
        </w:rPr>
        <w:t xml:space="preserve"> crore</w:t>
      </w:r>
      <w:r w:rsidRPr="007D38B4">
        <w:rPr>
          <w:rFonts w:ascii="Helvetica" w:eastAsia="Times New Roman" w:hAnsi="Helvetica" w:cs="Garamond"/>
          <w:sz w:val="24"/>
          <w:szCs w:val="24"/>
          <w:lang w:val="en-GB"/>
        </w:rPr>
        <w:t xml:space="preserve"> were made to the shareholders as against five </w:t>
      </w:r>
      <w:r w:rsidRPr="007D38B4">
        <w:rPr>
          <w:rFonts w:ascii="Helvetica" w:eastAsia="Times New Roman" w:hAnsi="Helvetica"/>
          <w:sz w:val="24"/>
          <w:szCs w:val="24"/>
          <w:lang w:val="en-GB"/>
        </w:rPr>
        <w:t xml:space="preserve">open offers with offer value of </w:t>
      </w:r>
      <w:r w:rsidRPr="007D38B4">
        <w:rPr>
          <w:rFonts w:ascii="Rupee Foradian" w:eastAsia="Times New Roman" w:hAnsi="Rupee Foradian" w:cs="Garamond"/>
          <w:sz w:val="24"/>
          <w:szCs w:val="24"/>
        </w:rPr>
        <w:t>`</w:t>
      </w:r>
      <w:r w:rsidRPr="007D38B4">
        <w:rPr>
          <w:rFonts w:ascii="Helvetica" w:eastAsia="Times New Roman" w:hAnsi="Helvetica" w:cs="Garamond"/>
          <w:sz w:val="24"/>
          <w:szCs w:val="24"/>
        </w:rPr>
        <w:t xml:space="preserve"> 441</w:t>
      </w:r>
      <w:r w:rsidRPr="007D38B4">
        <w:rPr>
          <w:rFonts w:ascii="Helvetica" w:eastAsia="Times New Roman" w:hAnsi="Helvetica"/>
          <w:sz w:val="24"/>
          <w:szCs w:val="24"/>
          <w:lang w:val="en-GB"/>
        </w:rPr>
        <w:t xml:space="preserve"> crore</w:t>
      </w:r>
      <w:r w:rsidRPr="007D38B4">
        <w:rPr>
          <w:rFonts w:ascii="Helvetica" w:eastAsia="Times New Roman" w:hAnsi="Helvetica" w:cs="Garamond"/>
          <w:sz w:val="24"/>
          <w:szCs w:val="24"/>
          <w:lang w:val="en-GB"/>
        </w:rPr>
        <w:t xml:space="preserve"> in May 2017 </w:t>
      </w:r>
      <w:r w:rsidRPr="007D38B4">
        <w:rPr>
          <w:rFonts w:ascii="Helvetica" w:eastAsia="Times New Roman" w:hAnsi="Helvetica"/>
          <w:sz w:val="24"/>
          <w:szCs w:val="24"/>
          <w:lang w:val="en-GB"/>
        </w:rPr>
        <w:t>(</w:t>
      </w:r>
      <w:r w:rsidRPr="007D38B4">
        <w:rPr>
          <w:rFonts w:ascii="Helvetica" w:eastAsia="Times New Roman" w:hAnsi="Helvetica"/>
          <w:b/>
          <w:bCs/>
          <w:i/>
          <w:iCs/>
          <w:sz w:val="24"/>
          <w:szCs w:val="24"/>
          <w:lang w:val="en-GB"/>
        </w:rPr>
        <w:t>Figure 14</w:t>
      </w:r>
      <w:r w:rsidRPr="007D38B4">
        <w:rPr>
          <w:rFonts w:ascii="Helvetica" w:eastAsia="Times New Roman" w:hAnsi="Helvetica"/>
          <w:sz w:val="24"/>
          <w:szCs w:val="24"/>
          <w:lang w:val="en-GB"/>
        </w:rPr>
        <w:t>)</w:t>
      </w:r>
      <w:r w:rsidRPr="007D38B4">
        <w:rPr>
          <w:rFonts w:ascii="Helvetica" w:eastAsia="Times New Roman" w:hAnsi="Helvetica" w:cs="Garamond"/>
          <w:sz w:val="24"/>
          <w:szCs w:val="24"/>
          <w:lang w:val="en-GB"/>
        </w:rPr>
        <w:t xml:space="preserve">. </w:t>
      </w:r>
    </w:p>
    <w:p w:rsidR="00A82C27" w:rsidRDefault="00A82C27" w:rsidP="007D38B4">
      <w:pPr>
        <w:spacing w:line="240" w:lineRule="auto"/>
        <w:jc w:val="both"/>
        <w:rPr>
          <w:rFonts w:ascii="Helvetica" w:eastAsia="Times New Roman" w:hAnsi="Helvetica" w:cs="Garamond"/>
          <w:sz w:val="24"/>
          <w:szCs w:val="24"/>
          <w:lang w:val="en-GB"/>
        </w:rPr>
      </w:pPr>
    </w:p>
    <w:p w:rsidR="00A82C27" w:rsidRPr="007D38B4" w:rsidRDefault="00A82C27" w:rsidP="007D38B4">
      <w:pPr>
        <w:spacing w:line="240" w:lineRule="auto"/>
        <w:jc w:val="both"/>
        <w:rPr>
          <w:rFonts w:ascii="Helvetica" w:eastAsia="Times New Roman" w:hAnsi="Helvetica" w:cs="Garamond"/>
          <w:sz w:val="24"/>
          <w:szCs w:val="24"/>
          <w:lang w:val="en-GB"/>
        </w:rPr>
      </w:pPr>
    </w:p>
    <w:p w:rsidR="007D38B4" w:rsidRPr="007D38B4" w:rsidRDefault="007D38B4" w:rsidP="007D38B4">
      <w:pPr>
        <w:spacing w:after="0" w:line="240" w:lineRule="auto"/>
        <w:jc w:val="both"/>
        <w:rPr>
          <w:rFonts w:ascii="Helvetica" w:hAnsi="Helvetica"/>
          <w:b/>
          <w:sz w:val="24"/>
          <w:szCs w:val="24"/>
          <w:lang w:val="en-GB"/>
        </w:rPr>
      </w:pPr>
      <w:r w:rsidRPr="007D38B4">
        <w:rPr>
          <w:rFonts w:ascii="Helvetica" w:hAnsi="Helvetica"/>
          <w:b/>
          <w:sz w:val="24"/>
          <w:szCs w:val="24"/>
          <w:lang w:val="en-GB"/>
        </w:rPr>
        <w:t>Figure</w:t>
      </w:r>
      <w:r w:rsidRPr="007D38B4">
        <w:rPr>
          <w:rFonts w:ascii="Helvetica" w:eastAsia="Times New Roman" w:hAnsi="Helvetica" w:cs="Garamond"/>
          <w:b/>
          <w:bCs/>
          <w:sz w:val="24"/>
          <w:szCs w:val="24"/>
          <w:lang w:val="en-GB"/>
        </w:rPr>
        <w:t xml:space="preserve"> 14: Details of Offers Opened under the SEBI (SAST) Regulations </w:t>
      </w:r>
      <w:r w:rsidRPr="007D38B4">
        <w:rPr>
          <w:rFonts w:ascii="Helvetica" w:hAnsi="Helvetica"/>
          <w:b/>
          <w:sz w:val="24"/>
          <w:szCs w:val="24"/>
          <w:lang w:val="en-GB"/>
        </w:rPr>
        <w:t>(</w:t>
      </w:r>
      <w:r w:rsidRPr="007D38B4">
        <w:rPr>
          <w:rFonts w:ascii="Rupee Foradian" w:hAnsi="Rupee Foradian"/>
          <w:b/>
          <w:sz w:val="24"/>
          <w:szCs w:val="24"/>
        </w:rPr>
        <w:t>`</w:t>
      </w:r>
      <w:r w:rsidRPr="007D38B4">
        <w:rPr>
          <w:rFonts w:ascii="Helvetica" w:hAnsi="Helvetica"/>
          <w:b/>
          <w:sz w:val="24"/>
          <w:szCs w:val="24"/>
        </w:rPr>
        <w:t xml:space="preserve"> </w:t>
      </w:r>
      <w:r w:rsidRPr="007D38B4">
        <w:rPr>
          <w:rFonts w:ascii="Helvetica" w:hAnsi="Helvetica"/>
          <w:b/>
          <w:sz w:val="24"/>
          <w:szCs w:val="24"/>
          <w:lang w:val="en-GB"/>
        </w:rPr>
        <w:t>crore)</w:t>
      </w:r>
    </w:p>
    <w:p w:rsidR="007D38B4" w:rsidRPr="007D38B4" w:rsidRDefault="007D38B4" w:rsidP="007D38B4">
      <w:pPr>
        <w:spacing w:after="0" w:line="240" w:lineRule="auto"/>
        <w:jc w:val="both"/>
        <w:rPr>
          <w:rFonts w:ascii="Helvetica" w:hAnsi="Helvetica"/>
          <w:b/>
          <w:color w:val="0033CC"/>
          <w:sz w:val="24"/>
          <w:szCs w:val="24"/>
          <w:lang w:val="en-GB"/>
        </w:rPr>
      </w:pPr>
    </w:p>
    <w:p w:rsidR="007D38B4" w:rsidRPr="007D38B4" w:rsidRDefault="007D38B4" w:rsidP="007D38B4">
      <w:pPr>
        <w:spacing w:after="0" w:line="240" w:lineRule="auto"/>
        <w:jc w:val="both"/>
        <w:rPr>
          <w:rFonts w:ascii="Helvetica" w:hAnsi="Helvetica"/>
          <w:b/>
          <w:color w:val="0033CC"/>
          <w:sz w:val="24"/>
          <w:szCs w:val="24"/>
          <w:lang w:val="en-GB"/>
        </w:rPr>
      </w:pPr>
      <w:r w:rsidRPr="007D38B4">
        <w:rPr>
          <w:rFonts w:ascii="Helvetica" w:hAnsi="Helvetica"/>
          <w:noProof/>
          <w:sz w:val="24"/>
          <w:szCs w:val="24"/>
        </w:rPr>
        <w:drawing>
          <wp:inline distT="0" distB="0" distL="0" distR="0" wp14:anchorId="3A13C4A1" wp14:editId="236B2E7B">
            <wp:extent cx="5738884" cy="3023235"/>
            <wp:effectExtent l="0" t="0" r="14605" b="571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7D38B4" w:rsidRDefault="007D38B4" w:rsidP="00AF62FB">
      <w:pPr>
        <w:spacing w:after="0" w:line="240" w:lineRule="auto"/>
        <w:jc w:val="center"/>
        <w:rPr>
          <w:rFonts w:ascii="Garamond" w:hAnsi="Garamond"/>
          <w:b/>
          <w:color w:val="632423"/>
          <w:sz w:val="24"/>
          <w:szCs w:val="24"/>
        </w:rPr>
      </w:pPr>
    </w:p>
    <w:p w:rsidR="00F50B58" w:rsidRPr="00560465" w:rsidRDefault="00F83EF2" w:rsidP="00AF62FB">
      <w:pPr>
        <w:spacing w:after="0" w:line="240" w:lineRule="auto"/>
        <w:jc w:val="center"/>
        <w:rPr>
          <w:rFonts w:ascii="Garamond" w:eastAsia="Times New Roman" w:hAnsi="Garamond" w:cs="Garamond"/>
          <w:sz w:val="24"/>
          <w:szCs w:val="24"/>
        </w:rPr>
      </w:pPr>
      <w:r w:rsidRPr="00560465">
        <w:rPr>
          <w:rFonts w:ascii="Garamond" w:hAnsi="Garamond"/>
          <w:b/>
          <w:color w:val="632423"/>
          <w:sz w:val="24"/>
          <w:szCs w:val="24"/>
        </w:rPr>
        <w:t>MONTHLY REVIEW OF GLOBAL FINANCIAL MARKETS</w:t>
      </w:r>
      <w:r w:rsidRPr="00560465">
        <w:rPr>
          <w:rFonts w:ascii="Garamond" w:hAnsi="Garamond"/>
          <w:b/>
          <w:color w:val="632423"/>
          <w:sz w:val="24"/>
          <w:szCs w:val="24"/>
          <w:vertAlign w:val="superscript"/>
        </w:rPr>
        <w:footnoteReference w:id="1"/>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717D8C" w:rsidP="00E158C5">
      <w:pPr>
        <w:spacing w:after="0" w:line="20" w:lineRule="atLeast"/>
        <w:ind w:left="6663"/>
        <w:contextualSpacing/>
        <w:jc w:val="both"/>
        <w:rPr>
          <w:rFonts w:ascii="Garamond" w:eastAsiaTheme="minorHAnsi" w:hAnsi="Garamond"/>
          <w:b/>
          <w:color w:val="000000" w:themeColor="text1"/>
          <w:sz w:val="24"/>
          <w:szCs w:val="24"/>
          <w:lang w:val="en-IN"/>
        </w:rPr>
      </w:pPr>
      <w:r w:rsidRPr="00560465">
        <w:rPr>
          <w:rFonts w:ascii="Garamond" w:eastAsiaTheme="minorHAnsi" w:hAnsi="Garamond"/>
          <w:noProof/>
          <w:color w:val="000000" w:themeColor="text1"/>
          <w:sz w:val="24"/>
          <w:szCs w:val="24"/>
        </w:rPr>
        <mc:AlternateContent>
          <mc:Choice Requires="wps">
            <w:drawing>
              <wp:anchor distT="0" distB="0" distL="114300" distR="114300" simplePos="0" relativeHeight="251664384" behindDoc="0" locked="0" layoutInCell="1" allowOverlap="1" wp14:anchorId="3A69A365" wp14:editId="01AE1A5C">
                <wp:simplePos x="0" y="0"/>
                <wp:positionH relativeFrom="page">
                  <wp:posOffset>228600</wp:posOffset>
                </wp:positionH>
                <wp:positionV relativeFrom="paragraph">
                  <wp:posOffset>61595</wp:posOffset>
                </wp:positionV>
                <wp:extent cx="4000500" cy="7856220"/>
                <wp:effectExtent l="0" t="0" r="19050" b="1143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856220"/>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8C7B93" w:rsidRPr="004D2A95" w:rsidRDefault="008C7B93" w:rsidP="00717D8C">
                            <w:pPr>
                              <w:shd w:val="clear" w:color="auto" w:fill="76923C" w:themeFill="accent3" w:themeFillShade="BF"/>
                              <w:spacing w:after="0"/>
                              <w:ind w:right="-129"/>
                              <w:jc w:val="center"/>
                              <w:rPr>
                                <w:rFonts w:ascii="Garamond" w:hAnsi="Garamond"/>
                                <w:b/>
                              </w:rPr>
                            </w:pPr>
                            <w:r w:rsidRPr="00D02436">
                              <w:rPr>
                                <w:rFonts w:ascii="Garamond" w:hAnsi="Garamond"/>
                                <w:b/>
                              </w:rPr>
                              <w:t>Snapshots</w:t>
                            </w:r>
                          </w:p>
                          <w:p w:rsidR="008C7B93" w:rsidRPr="00C1454E" w:rsidRDefault="008C7B93"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States:</w:t>
                            </w:r>
                          </w:p>
                          <w:p w:rsidR="008C7B93" w:rsidRPr="00167118" w:rsidRDefault="008C7B93" w:rsidP="00167118">
                            <w:pPr>
                              <w:spacing w:after="0" w:line="240" w:lineRule="auto"/>
                              <w:jc w:val="both"/>
                              <w:rPr>
                                <w:rFonts w:ascii="Garamond" w:eastAsiaTheme="minorHAnsi" w:hAnsi="Garamond"/>
                                <w:sz w:val="20"/>
                                <w:szCs w:val="20"/>
                                <w:lang w:val="en-GB"/>
                              </w:rPr>
                            </w:pPr>
                            <w:r w:rsidRPr="00167118">
                              <w:rPr>
                                <w:rFonts w:ascii="Garamond" w:eastAsiaTheme="minorHAnsi" w:hAnsi="Garamond"/>
                                <w:sz w:val="20"/>
                                <w:szCs w:val="20"/>
                                <w:lang w:val="en-GB"/>
                              </w:rPr>
                              <w:t xml:space="preserve">GDP expanded by 2.6 percent in Q2 2017 (Y-o-Y) as compared to 1.2 percent in Q1 2017.  CPI inflation was 1.6 percent (Y-o-Y) in June 2017. </w:t>
                            </w:r>
                            <w:r w:rsidRPr="00167118">
                              <w:rPr>
                                <w:rFonts w:ascii="Garamond" w:eastAsiaTheme="minorHAnsi" w:hAnsi="Garamond"/>
                                <w:sz w:val="20"/>
                                <w:szCs w:val="20"/>
                                <w:lang w:val="en-IN"/>
                              </w:rPr>
                              <w:t>Unemployment rate fell to 4.4 percent in June 2017 from 4.3 percent in previous month.</w:t>
                            </w:r>
                          </w:p>
                          <w:p w:rsidR="008C7B93" w:rsidRPr="00C1454E" w:rsidRDefault="008C7B93" w:rsidP="00717D8C">
                            <w:pPr>
                              <w:shd w:val="clear" w:color="auto" w:fill="C2D69B" w:themeFill="accent3" w:themeFillTint="99"/>
                              <w:spacing w:after="0"/>
                              <w:ind w:right="-129"/>
                              <w:contextualSpacing/>
                              <w:rPr>
                                <w:rFonts w:ascii="Garamond" w:hAnsi="Garamond"/>
                                <w:b/>
                                <w:sz w:val="14"/>
                                <w:szCs w:val="20"/>
                              </w:rPr>
                            </w:pPr>
                          </w:p>
                          <w:p w:rsidR="008C7B93" w:rsidRPr="00C1454E" w:rsidRDefault="008C7B93"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8C7B93" w:rsidRPr="00167118" w:rsidRDefault="008C7B93" w:rsidP="00167118">
                            <w:pPr>
                              <w:spacing w:after="0" w:line="240" w:lineRule="auto"/>
                              <w:jc w:val="both"/>
                              <w:rPr>
                                <w:rFonts w:ascii="Garamond" w:eastAsiaTheme="minorHAnsi" w:hAnsi="Garamond"/>
                                <w:sz w:val="20"/>
                                <w:szCs w:val="20"/>
                                <w:lang w:val="en-GB"/>
                              </w:rPr>
                            </w:pPr>
                            <w:r>
                              <w:rPr>
                                <w:rFonts w:ascii="Garamond" w:eastAsiaTheme="minorHAnsi" w:hAnsi="Garamond"/>
                                <w:sz w:val="20"/>
                                <w:szCs w:val="20"/>
                                <w:lang w:val="en-GB"/>
                              </w:rPr>
                              <w:t>Real GDP growth rate came down to 1</w:t>
                            </w:r>
                            <w:r w:rsidRPr="00167118">
                              <w:rPr>
                                <w:rFonts w:ascii="Garamond" w:eastAsiaTheme="minorHAnsi" w:hAnsi="Garamond"/>
                                <w:sz w:val="20"/>
                                <w:szCs w:val="20"/>
                                <w:lang w:val="en-GB"/>
                              </w:rPr>
                              <w:t>.7 percent (Y-o-Y</w:t>
                            </w:r>
                            <w:r>
                              <w:rPr>
                                <w:rFonts w:ascii="Garamond" w:eastAsiaTheme="minorHAnsi" w:hAnsi="Garamond"/>
                                <w:sz w:val="20"/>
                                <w:szCs w:val="20"/>
                                <w:lang w:val="en-GB"/>
                              </w:rPr>
                              <w:t>) in Q2 2017 against 2.0 percent of Q1 2017</w:t>
                            </w:r>
                            <w:r w:rsidRPr="00167118">
                              <w:rPr>
                                <w:rFonts w:ascii="Garamond" w:eastAsiaTheme="minorHAnsi" w:hAnsi="Garamond"/>
                                <w:sz w:val="20"/>
                                <w:szCs w:val="20"/>
                                <w:lang w:val="en-GB"/>
                              </w:rPr>
                              <w:t>. CPI inflation was 2.6 percent (Y-o-Y) in May 2017 as compared to 2.7 in April. Unemployment rate remained at 4.5 percent during the period March to May 2017.</w:t>
                            </w:r>
                          </w:p>
                          <w:p w:rsidR="008C7B93" w:rsidRPr="00C1454E" w:rsidRDefault="008C7B93" w:rsidP="00717D8C">
                            <w:pPr>
                              <w:spacing w:after="0"/>
                              <w:ind w:right="-129"/>
                              <w:textDirection w:val="btLr"/>
                              <w:rPr>
                                <w:rFonts w:ascii="Garamond" w:hAnsi="Garamond"/>
                                <w:sz w:val="14"/>
                                <w:szCs w:val="20"/>
                              </w:rPr>
                            </w:pPr>
                          </w:p>
                          <w:p w:rsidR="008C7B93" w:rsidRPr="008B7887" w:rsidRDefault="008C7B93" w:rsidP="00717D8C">
                            <w:pPr>
                              <w:shd w:val="clear" w:color="auto" w:fill="C2D69B" w:themeFill="accent3" w:themeFillTint="99"/>
                              <w:ind w:right="-129"/>
                              <w:contextualSpacing/>
                              <w:rPr>
                                <w:rFonts w:ascii="Garamond" w:hAnsi="Garamond"/>
                                <w:b/>
                                <w:sz w:val="20"/>
                                <w:szCs w:val="20"/>
                              </w:rPr>
                            </w:pPr>
                            <w:r w:rsidRPr="008B7887">
                              <w:rPr>
                                <w:rFonts w:ascii="Garamond" w:hAnsi="Garamond"/>
                                <w:b/>
                                <w:sz w:val="20"/>
                                <w:szCs w:val="20"/>
                              </w:rPr>
                              <w:t>Japan:</w:t>
                            </w:r>
                          </w:p>
                          <w:p w:rsidR="008C7B93" w:rsidRPr="008B7887" w:rsidRDefault="008C7B93" w:rsidP="00717D8C">
                            <w:pPr>
                              <w:shd w:val="clear" w:color="auto" w:fill="C2D69B" w:themeFill="accent3" w:themeFillTint="99"/>
                              <w:spacing w:after="0"/>
                              <w:ind w:right="-129"/>
                              <w:contextualSpacing/>
                              <w:rPr>
                                <w:rFonts w:ascii="Garamond" w:hAnsi="Garamond"/>
                                <w:b/>
                                <w:sz w:val="20"/>
                                <w:szCs w:val="20"/>
                              </w:rPr>
                            </w:pPr>
                            <w:r w:rsidRPr="008B7887">
                              <w:rPr>
                                <w:rFonts w:ascii="Garamond" w:hAnsi="Garamond"/>
                                <w:sz w:val="20"/>
                                <w:szCs w:val="20"/>
                              </w:rPr>
                              <w:t xml:space="preserve">GDP expanded by 1.3 percent (Y-o-Y) in Q1 2017, as compared to 1.7 percent in Q4. CPI inflation was 0.4 percent (Y-o-Y) in </w:t>
                            </w:r>
                            <w:r>
                              <w:rPr>
                                <w:rFonts w:ascii="Garamond" w:hAnsi="Garamond"/>
                                <w:sz w:val="20"/>
                                <w:szCs w:val="20"/>
                              </w:rPr>
                              <w:t>June 2017. Unemployment rate decreased to 2.8 percent in June 2017 from 3.1</w:t>
                            </w:r>
                            <w:r w:rsidRPr="008B7887">
                              <w:rPr>
                                <w:rFonts w:ascii="Garamond" w:hAnsi="Garamond"/>
                                <w:sz w:val="20"/>
                                <w:szCs w:val="20"/>
                              </w:rPr>
                              <w:t xml:space="preserve"> percent in April 2017.</w:t>
                            </w:r>
                          </w:p>
                          <w:p w:rsidR="008C7B93" w:rsidRPr="00E208F5" w:rsidRDefault="008C7B93" w:rsidP="00717D8C">
                            <w:pPr>
                              <w:shd w:val="clear" w:color="auto" w:fill="C2D69B" w:themeFill="accent3" w:themeFillTint="99"/>
                              <w:spacing w:after="0"/>
                              <w:ind w:right="-129"/>
                              <w:contextualSpacing/>
                              <w:rPr>
                                <w:rFonts w:ascii="Garamond" w:hAnsi="Garamond"/>
                                <w:b/>
                                <w:strike/>
                                <w:sz w:val="14"/>
                                <w:szCs w:val="20"/>
                              </w:rPr>
                            </w:pPr>
                          </w:p>
                          <w:p w:rsidR="008C7B93" w:rsidRPr="007C57AF" w:rsidRDefault="008C7B93" w:rsidP="00717D8C">
                            <w:pPr>
                              <w:shd w:val="clear" w:color="auto" w:fill="C2D69B" w:themeFill="accent3" w:themeFillTint="99"/>
                              <w:spacing w:after="0"/>
                              <w:ind w:right="-129"/>
                              <w:rPr>
                                <w:rFonts w:ascii="Garamond" w:hAnsi="Garamond"/>
                                <w:b/>
                                <w:sz w:val="20"/>
                                <w:szCs w:val="20"/>
                              </w:rPr>
                            </w:pPr>
                            <w:r w:rsidRPr="007C57AF">
                              <w:rPr>
                                <w:rFonts w:ascii="Garamond" w:hAnsi="Garamond"/>
                                <w:b/>
                                <w:sz w:val="20"/>
                                <w:szCs w:val="20"/>
                              </w:rPr>
                              <w:t>Euro Zone (EA19):</w:t>
                            </w:r>
                          </w:p>
                          <w:p w:rsidR="008C7B93" w:rsidRPr="007C57AF" w:rsidRDefault="008C7B93" w:rsidP="00717D8C">
                            <w:pPr>
                              <w:spacing w:after="0"/>
                              <w:ind w:right="-129"/>
                              <w:textDirection w:val="btLr"/>
                              <w:rPr>
                                <w:rFonts w:ascii="Garamond" w:hAnsi="Garamond"/>
                                <w:sz w:val="20"/>
                                <w:szCs w:val="20"/>
                              </w:rPr>
                            </w:pPr>
                            <w:r w:rsidRPr="007C57AF">
                              <w:rPr>
                                <w:rFonts w:ascii="Garamond" w:hAnsi="Garamond"/>
                                <w:sz w:val="20"/>
                                <w:szCs w:val="20"/>
                              </w:rPr>
                              <w:t xml:space="preserve">GDP advanced by </w:t>
                            </w:r>
                            <w:r>
                              <w:rPr>
                                <w:rFonts w:ascii="Garamond" w:hAnsi="Garamond"/>
                                <w:sz w:val="20"/>
                                <w:szCs w:val="20"/>
                              </w:rPr>
                              <w:t>2.1 percent (Y-o-Y) in Q2</w:t>
                            </w:r>
                            <w:r w:rsidRPr="007C57AF">
                              <w:rPr>
                                <w:rFonts w:ascii="Garamond" w:hAnsi="Garamond"/>
                                <w:sz w:val="20"/>
                                <w:szCs w:val="20"/>
                              </w:rPr>
                              <w:t xml:space="preserve"> 2017</w:t>
                            </w:r>
                            <w:r>
                              <w:rPr>
                                <w:rFonts w:ascii="Garamond" w:hAnsi="Garamond"/>
                                <w:sz w:val="20"/>
                                <w:szCs w:val="20"/>
                              </w:rPr>
                              <w:t xml:space="preserve"> from 1.9 percent in Q1 of 2017.CPI inflation decreased to 1.3</w:t>
                            </w:r>
                            <w:r w:rsidRPr="007C57AF">
                              <w:rPr>
                                <w:rFonts w:ascii="Garamond" w:hAnsi="Garamond"/>
                                <w:sz w:val="20"/>
                                <w:szCs w:val="20"/>
                              </w:rPr>
                              <w:t xml:space="preserve"> percent (Y-o-Y) in </w:t>
                            </w:r>
                            <w:r>
                              <w:rPr>
                                <w:rFonts w:ascii="Garamond" w:hAnsi="Garamond"/>
                                <w:sz w:val="20"/>
                                <w:szCs w:val="20"/>
                              </w:rPr>
                              <w:t xml:space="preserve">June 2017 against 1.4 percent in May 2017. Unemployment decreased to </w:t>
                            </w:r>
                            <w:r w:rsidRPr="007C57AF">
                              <w:rPr>
                                <w:rFonts w:ascii="Garamond" w:hAnsi="Garamond"/>
                                <w:sz w:val="20"/>
                                <w:szCs w:val="20"/>
                              </w:rPr>
                              <w:t xml:space="preserve">9.3 percent in </w:t>
                            </w:r>
                            <w:r>
                              <w:rPr>
                                <w:rFonts w:ascii="Garamond" w:hAnsi="Garamond"/>
                                <w:sz w:val="20"/>
                                <w:szCs w:val="20"/>
                              </w:rPr>
                              <w:t>June</w:t>
                            </w:r>
                            <w:r w:rsidRPr="007C57AF">
                              <w:rPr>
                                <w:rFonts w:ascii="Garamond" w:hAnsi="Garamond"/>
                                <w:sz w:val="20"/>
                                <w:szCs w:val="20"/>
                              </w:rPr>
                              <w:t xml:space="preserve"> 2017.</w:t>
                            </w:r>
                          </w:p>
                          <w:p w:rsidR="008C7B93" w:rsidRPr="00E208F5" w:rsidRDefault="008C7B93" w:rsidP="00717D8C">
                            <w:pPr>
                              <w:spacing w:after="0"/>
                              <w:ind w:right="-129"/>
                              <w:textDirection w:val="btLr"/>
                              <w:rPr>
                                <w:rFonts w:ascii="Garamond" w:hAnsi="Garamond"/>
                                <w:strike/>
                                <w:sz w:val="14"/>
                                <w:szCs w:val="20"/>
                              </w:rPr>
                            </w:pPr>
                          </w:p>
                          <w:p w:rsidR="008C7B93" w:rsidRPr="00CC10F1" w:rsidRDefault="008C7B93" w:rsidP="00717D8C">
                            <w:pPr>
                              <w:shd w:val="clear" w:color="auto" w:fill="C2D69B" w:themeFill="accent3" w:themeFillTint="99"/>
                              <w:spacing w:after="0"/>
                              <w:ind w:right="-129"/>
                              <w:rPr>
                                <w:rFonts w:ascii="Garamond" w:hAnsi="Garamond"/>
                                <w:b/>
                                <w:sz w:val="20"/>
                                <w:szCs w:val="20"/>
                              </w:rPr>
                            </w:pPr>
                            <w:r w:rsidRPr="00CC10F1">
                              <w:rPr>
                                <w:rFonts w:ascii="Garamond" w:hAnsi="Garamond"/>
                                <w:b/>
                                <w:sz w:val="20"/>
                                <w:szCs w:val="20"/>
                              </w:rPr>
                              <w:t>BRIC Nations:</w:t>
                            </w:r>
                          </w:p>
                          <w:p w:rsidR="008C7B93" w:rsidRPr="00CC10F1"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CC10F1">
                              <w:rPr>
                                <w:rFonts w:ascii="Garamond" w:hAnsi="Garamond"/>
                                <w:sz w:val="20"/>
                                <w:szCs w:val="20"/>
                              </w:rPr>
                              <w:t>Real GDP of Brazil contracted by 0.4 percent (Y-o-Y) in Q1 2017. CPI inflation came do</w:t>
                            </w:r>
                            <w:r>
                              <w:rPr>
                                <w:rFonts w:ascii="Garamond" w:hAnsi="Garamond"/>
                                <w:sz w:val="20"/>
                                <w:szCs w:val="20"/>
                              </w:rPr>
                              <w:t>wn to 3.0</w:t>
                            </w:r>
                            <w:r w:rsidRPr="00CC10F1">
                              <w:rPr>
                                <w:rFonts w:ascii="Garamond" w:hAnsi="Garamond"/>
                                <w:sz w:val="20"/>
                                <w:szCs w:val="20"/>
                              </w:rPr>
                              <w:t xml:space="preserve"> percent in </w:t>
                            </w:r>
                            <w:r>
                              <w:rPr>
                                <w:rFonts w:ascii="Garamond" w:hAnsi="Garamond"/>
                                <w:sz w:val="20"/>
                                <w:szCs w:val="20"/>
                              </w:rPr>
                              <w:t>June 2017. Unemployment rate decreased to 13.0</w:t>
                            </w:r>
                            <w:r w:rsidRPr="00CC10F1">
                              <w:rPr>
                                <w:rFonts w:ascii="Garamond" w:hAnsi="Garamond"/>
                                <w:sz w:val="20"/>
                                <w:szCs w:val="20"/>
                              </w:rPr>
                              <w:t xml:space="preserve"> percent </w:t>
                            </w:r>
                            <w:r>
                              <w:rPr>
                                <w:rFonts w:ascii="Garamond" w:hAnsi="Garamond"/>
                                <w:sz w:val="20"/>
                                <w:szCs w:val="20"/>
                              </w:rPr>
                              <w:t>June</w:t>
                            </w:r>
                            <w:r w:rsidRPr="00CC10F1">
                              <w:rPr>
                                <w:rFonts w:ascii="Garamond" w:hAnsi="Garamond"/>
                                <w:sz w:val="20"/>
                                <w:szCs w:val="20"/>
                              </w:rPr>
                              <w:t xml:space="preserve"> 2017.</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120741"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120741">
                              <w:rPr>
                                <w:rFonts w:ascii="Garamond" w:hAnsi="Garamond"/>
                                <w:sz w:val="20"/>
                                <w:szCs w:val="20"/>
                              </w:rPr>
                              <w:t>Russia’s GDP advanced by 0.5 percent (Y-o-Y) i</w:t>
                            </w:r>
                            <w:r>
                              <w:rPr>
                                <w:rFonts w:ascii="Garamond" w:hAnsi="Garamond"/>
                                <w:sz w:val="20"/>
                                <w:szCs w:val="20"/>
                              </w:rPr>
                              <w:t>n Q1 2017. CPI inflation was 4.4</w:t>
                            </w:r>
                            <w:r w:rsidRPr="00120741">
                              <w:rPr>
                                <w:rFonts w:ascii="Garamond" w:hAnsi="Garamond"/>
                                <w:sz w:val="20"/>
                                <w:szCs w:val="20"/>
                              </w:rPr>
                              <w:t xml:space="preserve"> percent (Y-o-Y) in </w:t>
                            </w:r>
                            <w:r>
                              <w:rPr>
                                <w:rFonts w:ascii="Garamond" w:hAnsi="Garamond"/>
                                <w:sz w:val="20"/>
                                <w:szCs w:val="20"/>
                              </w:rPr>
                              <w:t>June</w:t>
                            </w:r>
                            <w:r w:rsidRPr="00120741">
                              <w:rPr>
                                <w:rFonts w:ascii="Garamond" w:hAnsi="Garamond"/>
                                <w:sz w:val="20"/>
                                <w:szCs w:val="20"/>
                              </w:rPr>
                              <w:t xml:space="preserve"> 2017. Unemploymen</w:t>
                            </w:r>
                            <w:r>
                              <w:rPr>
                                <w:rFonts w:ascii="Garamond" w:hAnsi="Garamond"/>
                                <w:sz w:val="20"/>
                                <w:szCs w:val="20"/>
                              </w:rPr>
                              <w:t>t rate decreased slightly to 5.1</w:t>
                            </w:r>
                            <w:r w:rsidRPr="00120741">
                              <w:rPr>
                                <w:rFonts w:ascii="Garamond" w:hAnsi="Garamond"/>
                                <w:sz w:val="20"/>
                                <w:szCs w:val="20"/>
                              </w:rPr>
                              <w:t xml:space="preserve"> percent in </w:t>
                            </w:r>
                            <w:r>
                              <w:rPr>
                                <w:rFonts w:ascii="Garamond" w:hAnsi="Garamond"/>
                                <w:sz w:val="20"/>
                                <w:szCs w:val="20"/>
                              </w:rPr>
                              <w:t xml:space="preserve">June </w:t>
                            </w:r>
                            <w:r w:rsidRPr="00120741">
                              <w:rPr>
                                <w:rFonts w:ascii="Garamond" w:hAnsi="Garamond"/>
                                <w:sz w:val="20"/>
                                <w:szCs w:val="20"/>
                              </w:rPr>
                              <w:t>2017.</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AE192F"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AE192F">
                              <w:rPr>
                                <w:rFonts w:ascii="Garamond" w:hAnsi="Garamond"/>
                                <w:sz w:val="20"/>
                                <w:szCs w:val="20"/>
                              </w:rPr>
                              <w:t>India’s real GDP grew by 7.1 percent (Y-o-Y) in Q4 quarter of 2016-17 as compared to 7.0 percent in Q3, FY 2016-17. Consumer</w:t>
                            </w:r>
                            <w:r w:rsidRPr="00AE192F">
                              <w:rPr>
                                <w:rFonts w:ascii="Garamond" w:hAnsi="Garamond"/>
                              </w:rPr>
                              <w:t xml:space="preserve"> </w:t>
                            </w:r>
                            <w:r>
                              <w:rPr>
                                <w:rFonts w:ascii="Garamond" w:hAnsi="Garamond"/>
                                <w:sz w:val="20"/>
                                <w:szCs w:val="20"/>
                              </w:rPr>
                              <w:t>prices in India recorded 1.5</w:t>
                            </w:r>
                            <w:r w:rsidRPr="00AE192F">
                              <w:rPr>
                                <w:rFonts w:ascii="Garamond" w:hAnsi="Garamond"/>
                                <w:sz w:val="20"/>
                                <w:szCs w:val="20"/>
                              </w:rPr>
                              <w:t xml:space="preserve"> percent (Y-o-Y) in </w:t>
                            </w:r>
                            <w:r>
                              <w:rPr>
                                <w:rFonts w:ascii="Garamond" w:hAnsi="Garamond"/>
                                <w:sz w:val="20"/>
                                <w:szCs w:val="20"/>
                              </w:rPr>
                              <w:t>June 2017, decreasing from a 2.2 percent in May</w:t>
                            </w:r>
                            <w:r w:rsidRPr="00AE192F">
                              <w:rPr>
                                <w:rFonts w:ascii="Garamond" w:hAnsi="Garamond"/>
                                <w:sz w:val="20"/>
                                <w:szCs w:val="20"/>
                              </w:rPr>
                              <w:t xml:space="preserve"> 2017. </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06618D"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06618D">
                              <w:rPr>
                                <w:rFonts w:ascii="Garamond" w:hAnsi="Garamond"/>
                                <w:sz w:val="20"/>
                                <w:szCs w:val="20"/>
                              </w:rPr>
                              <w:t xml:space="preserve">GDP of China expanded by 6.9 percent (Y-o-Y) in the </w:t>
                            </w:r>
                            <w:r>
                              <w:rPr>
                                <w:rFonts w:ascii="Garamond" w:hAnsi="Garamond"/>
                                <w:sz w:val="20"/>
                                <w:szCs w:val="20"/>
                              </w:rPr>
                              <w:t>June</w:t>
                            </w:r>
                            <w:r w:rsidRPr="0006618D">
                              <w:rPr>
                                <w:rFonts w:ascii="Garamond" w:hAnsi="Garamond"/>
                                <w:sz w:val="20"/>
                                <w:szCs w:val="20"/>
                              </w:rPr>
                              <w:t xml:space="preserve"> quarter of 2017. Consumer prices in China </w:t>
                            </w:r>
                            <w:r>
                              <w:rPr>
                                <w:rFonts w:ascii="Garamond" w:hAnsi="Garamond"/>
                                <w:sz w:val="20"/>
                                <w:szCs w:val="20"/>
                              </w:rPr>
                              <w:t>remained constant at</w:t>
                            </w:r>
                            <w:r w:rsidRPr="0006618D">
                              <w:rPr>
                                <w:rFonts w:ascii="Garamond" w:hAnsi="Garamond"/>
                                <w:sz w:val="20"/>
                                <w:szCs w:val="20"/>
                              </w:rPr>
                              <w:t xml:space="preserve"> 1.5 percent (Y-o-Y) in </w:t>
                            </w:r>
                            <w:r>
                              <w:rPr>
                                <w:rFonts w:ascii="Garamond" w:hAnsi="Garamond"/>
                                <w:sz w:val="20"/>
                                <w:szCs w:val="20"/>
                              </w:rPr>
                              <w:t xml:space="preserve">June </w:t>
                            </w:r>
                            <w:r w:rsidRPr="0006618D">
                              <w:rPr>
                                <w:rFonts w:ascii="Garamond" w:hAnsi="Garamond"/>
                                <w:sz w:val="20"/>
                                <w:szCs w:val="20"/>
                              </w:rPr>
                              <w:t xml:space="preserve">2017, </w:t>
                            </w:r>
                            <w:r>
                              <w:rPr>
                                <w:rFonts w:ascii="Garamond" w:hAnsi="Garamond"/>
                                <w:sz w:val="20"/>
                                <w:szCs w:val="20"/>
                              </w:rPr>
                              <w:t xml:space="preserve">as </w:t>
                            </w:r>
                            <w:r w:rsidRPr="0006618D">
                              <w:rPr>
                                <w:rFonts w:ascii="Garamond" w:hAnsi="Garamond"/>
                                <w:sz w:val="20"/>
                                <w:szCs w:val="20"/>
                              </w:rPr>
                              <w:t xml:space="preserve">compared to </w:t>
                            </w:r>
                            <w:r>
                              <w:rPr>
                                <w:rFonts w:ascii="Garamond" w:hAnsi="Garamond"/>
                                <w:sz w:val="20"/>
                                <w:szCs w:val="20"/>
                              </w:rPr>
                              <w:t>the previous month</w:t>
                            </w:r>
                            <w:r w:rsidRPr="0006618D">
                              <w:rPr>
                                <w:rFonts w:ascii="Garamond" w:hAnsi="Garamond"/>
                                <w:sz w:val="20"/>
                                <w:szCs w:val="20"/>
                              </w:rPr>
                              <w:t>. Unemplo</w:t>
                            </w:r>
                            <w:r>
                              <w:rPr>
                                <w:rFonts w:ascii="Garamond" w:hAnsi="Garamond"/>
                                <w:sz w:val="20"/>
                                <w:szCs w:val="20"/>
                              </w:rPr>
                              <w:t>yment rate slightly fell to 3.95</w:t>
                            </w:r>
                            <w:r w:rsidRPr="0006618D">
                              <w:rPr>
                                <w:rFonts w:ascii="Garamond" w:hAnsi="Garamond"/>
                                <w:sz w:val="20"/>
                                <w:szCs w:val="20"/>
                              </w:rPr>
                              <w:t xml:space="preserve"> percent in </w:t>
                            </w:r>
                            <w:r>
                              <w:rPr>
                                <w:rFonts w:ascii="Garamond" w:hAnsi="Garamond"/>
                                <w:sz w:val="20"/>
                                <w:szCs w:val="20"/>
                              </w:rPr>
                              <w:t>June</w:t>
                            </w:r>
                            <w:r w:rsidRPr="0006618D">
                              <w:rPr>
                                <w:rFonts w:ascii="Garamond" w:hAnsi="Garamond"/>
                                <w:sz w:val="20"/>
                                <w:szCs w:val="20"/>
                              </w:rPr>
                              <w:t xml:space="preserve"> quarter. </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95206A" w:rsidRDefault="008C7B93" w:rsidP="00717D8C">
                            <w:pPr>
                              <w:numPr>
                                <w:ilvl w:val="0"/>
                                <w:numId w:val="5"/>
                              </w:numPr>
                              <w:shd w:val="clear" w:color="auto" w:fill="C2D69B" w:themeFill="accent3" w:themeFillTint="99"/>
                              <w:ind w:right="-129" w:hanging="180"/>
                              <w:contextualSpacing/>
                              <w:rPr>
                                <w:rFonts w:ascii="Times New Roman" w:eastAsiaTheme="minorHAnsi" w:hAnsi="Times New Roman"/>
                                <w:sz w:val="20"/>
                                <w:szCs w:val="20"/>
                                <w:lang w:val="en-GB"/>
                              </w:rPr>
                            </w:pPr>
                            <w:r w:rsidRPr="0095206A">
                              <w:rPr>
                                <w:rFonts w:ascii="Garamond" w:hAnsi="Garamond"/>
                                <w:sz w:val="20"/>
                                <w:szCs w:val="20"/>
                              </w:rPr>
                              <w:t xml:space="preserve">GDP of South Africa advanced by 1.0 percent, against 0.7 percent in the previous quarter. </w:t>
                            </w:r>
                            <w:r>
                              <w:rPr>
                                <w:rFonts w:ascii="Garamond" w:hAnsi="Garamond"/>
                                <w:sz w:val="20"/>
                                <w:szCs w:val="20"/>
                              </w:rPr>
                              <w:t>Consumer prices increased by 5.1</w:t>
                            </w:r>
                            <w:r w:rsidRPr="0095206A">
                              <w:rPr>
                                <w:rFonts w:ascii="Garamond" w:hAnsi="Garamond"/>
                                <w:sz w:val="20"/>
                                <w:szCs w:val="20"/>
                              </w:rPr>
                              <w:t xml:space="preserve"> percent in </w:t>
                            </w:r>
                            <w:r>
                              <w:rPr>
                                <w:rFonts w:ascii="Garamond" w:hAnsi="Garamond"/>
                                <w:sz w:val="20"/>
                                <w:szCs w:val="20"/>
                              </w:rPr>
                              <w:t xml:space="preserve">June </w:t>
                            </w:r>
                            <w:r w:rsidRPr="0095206A">
                              <w:rPr>
                                <w:rFonts w:ascii="Garamond" w:hAnsi="Garamond"/>
                                <w:sz w:val="20"/>
                                <w:szCs w:val="20"/>
                              </w:rPr>
                              <w:t xml:space="preserve">2017. Unemployment rate in South Africa </w:t>
                            </w:r>
                            <w:r>
                              <w:rPr>
                                <w:rFonts w:ascii="Garamond" w:hAnsi="Garamond"/>
                                <w:sz w:val="20"/>
                                <w:szCs w:val="20"/>
                              </w:rPr>
                              <w:t xml:space="preserve">remained at 27.7 percent in the second </w:t>
                            </w:r>
                            <w:r w:rsidRPr="0095206A">
                              <w:rPr>
                                <w:rFonts w:ascii="Garamond" w:hAnsi="Garamond"/>
                                <w:sz w:val="20"/>
                                <w:szCs w:val="20"/>
                              </w:rPr>
                              <w:t>quarter of 2017.</w:t>
                            </w:r>
                          </w:p>
                          <w:p w:rsidR="008C7B93" w:rsidRPr="002E206A" w:rsidRDefault="008C7B93" w:rsidP="00717D8C">
                            <w:pPr>
                              <w:pStyle w:val="ListParagraph"/>
                              <w:shd w:val="clear" w:color="auto" w:fill="C2D69B" w:themeFill="accent3" w:themeFillTint="99"/>
                              <w:spacing w:after="0"/>
                              <w:ind w:left="0" w:right="-129"/>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69A365" id="Rounded Rectangle 30" o:spid="_x0000_s1026" style="position:absolute;left:0;text-align:left;margin-left:18pt;margin-top:4.85pt;width:315pt;height:618.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" fillcolor="#c3d69b">
                <v:textbox inset="1.44pt,1.44pt,1.44pt,.72pt">
                  <w:txbxContent>
                    <w:p w:rsidR="008C7B93" w:rsidRPr="004D2A95" w:rsidRDefault="008C7B93" w:rsidP="00717D8C">
                      <w:pPr>
                        <w:shd w:val="clear" w:color="auto" w:fill="76923C" w:themeFill="accent3" w:themeFillShade="BF"/>
                        <w:spacing w:after="0"/>
                        <w:ind w:right="-129"/>
                        <w:jc w:val="center"/>
                        <w:rPr>
                          <w:rFonts w:ascii="Garamond" w:hAnsi="Garamond"/>
                          <w:b/>
                        </w:rPr>
                      </w:pPr>
                      <w:r w:rsidRPr="00D02436">
                        <w:rPr>
                          <w:rFonts w:ascii="Garamond" w:hAnsi="Garamond"/>
                          <w:b/>
                        </w:rPr>
                        <w:t>Snapshots</w:t>
                      </w:r>
                    </w:p>
                    <w:p w:rsidR="008C7B93" w:rsidRPr="00C1454E" w:rsidRDefault="008C7B93"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States:</w:t>
                      </w:r>
                    </w:p>
                    <w:p w:rsidR="008C7B93" w:rsidRPr="00167118" w:rsidRDefault="008C7B93" w:rsidP="00167118">
                      <w:pPr>
                        <w:spacing w:after="0" w:line="240" w:lineRule="auto"/>
                        <w:jc w:val="both"/>
                        <w:rPr>
                          <w:rFonts w:ascii="Garamond" w:eastAsiaTheme="minorHAnsi" w:hAnsi="Garamond"/>
                          <w:sz w:val="20"/>
                          <w:szCs w:val="20"/>
                          <w:lang w:val="en-GB"/>
                        </w:rPr>
                      </w:pPr>
                      <w:r w:rsidRPr="00167118">
                        <w:rPr>
                          <w:rFonts w:ascii="Garamond" w:eastAsiaTheme="minorHAnsi" w:hAnsi="Garamond"/>
                          <w:sz w:val="20"/>
                          <w:szCs w:val="20"/>
                          <w:lang w:val="en-GB"/>
                        </w:rPr>
                        <w:t xml:space="preserve">GDP expanded by 2.6 percent in Q2 2017 (Y-o-Y) as compared to 1.2 percent in Q1 2017.  CPI inflation was 1.6 percent (Y-o-Y) in June 2017. </w:t>
                      </w:r>
                      <w:r w:rsidRPr="00167118">
                        <w:rPr>
                          <w:rFonts w:ascii="Garamond" w:eastAsiaTheme="minorHAnsi" w:hAnsi="Garamond"/>
                          <w:sz w:val="20"/>
                          <w:szCs w:val="20"/>
                          <w:lang w:val="en-IN"/>
                        </w:rPr>
                        <w:t>Unemployment rate fell to 4.4 percent in June 2017 from 4.3 percent in previous month.</w:t>
                      </w:r>
                    </w:p>
                    <w:p w:rsidR="008C7B93" w:rsidRPr="00C1454E" w:rsidRDefault="008C7B93" w:rsidP="00717D8C">
                      <w:pPr>
                        <w:shd w:val="clear" w:color="auto" w:fill="C2D69B" w:themeFill="accent3" w:themeFillTint="99"/>
                        <w:spacing w:after="0"/>
                        <w:ind w:right="-129"/>
                        <w:contextualSpacing/>
                        <w:rPr>
                          <w:rFonts w:ascii="Garamond" w:hAnsi="Garamond"/>
                          <w:b/>
                          <w:sz w:val="14"/>
                          <w:szCs w:val="20"/>
                        </w:rPr>
                      </w:pPr>
                    </w:p>
                    <w:p w:rsidR="008C7B93" w:rsidRPr="00C1454E" w:rsidRDefault="008C7B93" w:rsidP="00717D8C">
                      <w:pPr>
                        <w:shd w:val="clear" w:color="auto" w:fill="C2D69B" w:themeFill="accent3" w:themeFillTint="99"/>
                        <w:spacing w:after="0"/>
                        <w:ind w:right="-129"/>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8C7B93" w:rsidRPr="00167118" w:rsidRDefault="008C7B93" w:rsidP="00167118">
                      <w:pPr>
                        <w:spacing w:after="0" w:line="240" w:lineRule="auto"/>
                        <w:jc w:val="both"/>
                        <w:rPr>
                          <w:rFonts w:ascii="Garamond" w:eastAsiaTheme="minorHAnsi" w:hAnsi="Garamond"/>
                          <w:sz w:val="20"/>
                          <w:szCs w:val="20"/>
                          <w:lang w:val="en-GB"/>
                        </w:rPr>
                      </w:pPr>
                      <w:r>
                        <w:rPr>
                          <w:rFonts w:ascii="Garamond" w:eastAsiaTheme="minorHAnsi" w:hAnsi="Garamond"/>
                          <w:sz w:val="20"/>
                          <w:szCs w:val="20"/>
                          <w:lang w:val="en-GB"/>
                        </w:rPr>
                        <w:t>Real GDP growth rate came down to 1</w:t>
                      </w:r>
                      <w:r w:rsidRPr="00167118">
                        <w:rPr>
                          <w:rFonts w:ascii="Garamond" w:eastAsiaTheme="minorHAnsi" w:hAnsi="Garamond"/>
                          <w:sz w:val="20"/>
                          <w:szCs w:val="20"/>
                          <w:lang w:val="en-GB"/>
                        </w:rPr>
                        <w:t>.7 percent (Y-o-Y</w:t>
                      </w:r>
                      <w:r>
                        <w:rPr>
                          <w:rFonts w:ascii="Garamond" w:eastAsiaTheme="minorHAnsi" w:hAnsi="Garamond"/>
                          <w:sz w:val="20"/>
                          <w:szCs w:val="20"/>
                          <w:lang w:val="en-GB"/>
                        </w:rPr>
                        <w:t>) in Q2 2017 against 2.0 percent of Q1 2017</w:t>
                      </w:r>
                      <w:r w:rsidRPr="00167118">
                        <w:rPr>
                          <w:rFonts w:ascii="Garamond" w:eastAsiaTheme="minorHAnsi" w:hAnsi="Garamond"/>
                          <w:sz w:val="20"/>
                          <w:szCs w:val="20"/>
                          <w:lang w:val="en-GB"/>
                        </w:rPr>
                        <w:t>. CPI inflation was 2.6 percent (Y-o-Y) in May 2017 as compared to 2.7 in April. Unemployment rate remained at 4.5 percent during the period March to May 2017.</w:t>
                      </w:r>
                    </w:p>
                    <w:p w:rsidR="008C7B93" w:rsidRPr="00C1454E" w:rsidRDefault="008C7B93" w:rsidP="00717D8C">
                      <w:pPr>
                        <w:spacing w:after="0"/>
                        <w:ind w:right="-129"/>
                        <w:textDirection w:val="btLr"/>
                        <w:rPr>
                          <w:rFonts w:ascii="Garamond" w:hAnsi="Garamond"/>
                          <w:sz w:val="14"/>
                          <w:szCs w:val="20"/>
                        </w:rPr>
                      </w:pPr>
                    </w:p>
                    <w:p w:rsidR="008C7B93" w:rsidRPr="008B7887" w:rsidRDefault="008C7B93" w:rsidP="00717D8C">
                      <w:pPr>
                        <w:shd w:val="clear" w:color="auto" w:fill="C2D69B" w:themeFill="accent3" w:themeFillTint="99"/>
                        <w:ind w:right="-129"/>
                        <w:contextualSpacing/>
                        <w:rPr>
                          <w:rFonts w:ascii="Garamond" w:hAnsi="Garamond"/>
                          <w:b/>
                          <w:sz w:val="20"/>
                          <w:szCs w:val="20"/>
                        </w:rPr>
                      </w:pPr>
                      <w:r w:rsidRPr="008B7887">
                        <w:rPr>
                          <w:rFonts w:ascii="Garamond" w:hAnsi="Garamond"/>
                          <w:b/>
                          <w:sz w:val="20"/>
                          <w:szCs w:val="20"/>
                        </w:rPr>
                        <w:t>Japan:</w:t>
                      </w:r>
                    </w:p>
                    <w:p w:rsidR="008C7B93" w:rsidRPr="008B7887" w:rsidRDefault="008C7B93" w:rsidP="00717D8C">
                      <w:pPr>
                        <w:shd w:val="clear" w:color="auto" w:fill="C2D69B" w:themeFill="accent3" w:themeFillTint="99"/>
                        <w:spacing w:after="0"/>
                        <w:ind w:right="-129"/>
                        <w:contextualSpacing/>
                        <w:rPr>
                          <w:rFonts w:ascii="Garamond" w:hAnsi="Garamond"/>
                          <w:b/>
                          <w:sz w:val="20"/>
                          <w:szCs w:val="20"/>
                        </w:rPr>
                      </w:pPr>
                      <w:r w:rsidRPr="008B7887">
                        <w:rPr>
                          <w:rFonts w:ascii="Garamond" w:hAnsi="Garamond"/>
                          <w:sz w:val="20"/>
                          <w:szCs w:val="20"/>
                        </w:rPr>
                        <w:t xml:space="preserve">GDP expanded by 1.3 percent (Y-o-Y) in Q1 2017, as compared to 1.7 percent in Q4. CPI inflation was 0.4 percent (Y-o-Y) in </w:t>
                      </w:r>
                      <w:r>
                        <w:rPr>
                          <w:rFonts w:ascii="Garamond" w:hAnsi="Garamond"/>
                          <w:sz w:val="20"/>
                          <w:szCs w:val="20"/>
                        </w:rPr>
                        <w:t>June 2017. Unemployment rate decreased to 2.8 percent in June 2017 from 3.1</w:t>
                      </w:r>
                      <w:r w:rsidRPr="008B7887">
                        <w:rPr>
                          <w:rFonts w:ascii="Garamond" w:hAnsi="Garamond"/>
                          <w:sz w:val="20"/>
                          <w:szCs w:val="20"/>
                        </w:rPr>
                        <w:t xml:space="preserve"> percent in April 2017.</w:t>
                      </w:r>
                    </w:p>
                    <w:p w:rsidR="008C7B93" w:rsidRPr="00E208F5" w:rsidRDefault="008C7B93" w:rsidP="00717D8C">
                      <w:pPr>
                        <w:shd w:val="clear" w:color="auto" w:fill="C2D69B" w:themeFill="accent3" w:themeFillTint="99"/>
                        <w:spacing w:after="0"/>
                        <w:ind w:right="-129"/>
                        <w:contextualSpacing/>
                        <w:rPr>
                          <w:rFonts w:ascii="Garamond" w:hAnsi="Garamond"/>
                          <w:b/>
                          <w:strike/>
                          <w:sz w:val="14"/>
                          <w:szCs w:val="20"/>
                        </w:rPr>
                      </w:pPr>
                    </w:p>
                    <w:p w:rsidR="008C7B93" w:rsidRPr="007C57AF" w:rsidRDefault="008C7B93" w:rsidP="00717D8C">
                      <w:pPr>
                        <w:shd w:val="clear" w:color="auto" w:fill="C2D69B" w:themeFill="accent3" w:themeFillTint="99"/>
                        <w:spacing w:after="0"/>
                        <w:ind w:right="-129"/>
                        <w:rPr>
                          <w:rFonts w:ascii="Garamond" w:hAnsi="Garamond"/>
                          <w:b/>
                          <w:sz w:val="20"/>
                          <w:szCs w:val="20"/>
                        </w:rPr>
                      </w:pPr>
                      <w:r w:rsidRPr="007C57AF">
                        <w:rPr>
                          <w:rFonts w:ascii="Garamond" w:hAnsi="Garamond"/>
                          <w:b/>
                          <w:sz w:val="20"/>
                          <w:szCs w:val="20"/>
                        </w:rPr>
                        <w:t>Euro Zone (EA19):</w:t>
                      </w:r>
                    </w:p>
                    <w:p w:rsidR="008C7B93" w:rsidRPr="007C57AF" w:rsidRDefault="008C7B93" w:rsidP="00717D8C">
                      <w:pPr>
                        <w:spacing w:after="0"/>
                        <w:ind w:right="-129"/>
                        <w:textDirection w:val="btLr"/>
                        <w:rPr>
                          <w:rFonts w:ascii="Garamond" w:hAnsi="Garamond"/>
                          <w:sz w:val="20"/>
                          <w:szCs w:val="20"/>
                        </w:rPr>
                      </w:pPr>
                      <w:r w:rsidRPr="007C57AF">
                        <w:rPr>
                          <w:rFonts w:ascii="Garamond" w:hAnsi="Garamond"/>
                          <w:sz w:val="20"/>
                          <w:szCs w:val="20"/>
                        </w:rPr>
                        <w:t xml:space="preserve">GDP advanced by </w:t>
                      </w:r>
                      <w:r>
                        <w:rPr>
                          <w:rFonts w:ascii="Garamond" w:hAnsi="Garamond"/>
                          <w:sz w:val="20"/>
                          <w:szCs w:val="20"/>
                        </w:rPr>
                        <w:t>2.1 percent (Y-o-Y) in Q2</w:t>
                      </w:r>
                      <w:r w:rsidRPr="007C57AF">
                        <w:rPr>
                          <w:rFonts w:ascii="Garamond" w:hAnsi="Garamond"/>
                          <w:sz w:val="20"/>
                          <w:szCs w:val="20"/>
                        </w:rPr>
                        <w:t xml:space="preserve"> 2017</w:t>
                      </w:r>
                      <w:r>
                        <w:rPr>
                          <w:rFonts w:ascii="Garamond" w:hAnsi="Garamond"/>
                          <w:sz w:val="20"/>
                          <w:szCs w:val="20"/>
                        </w:rPr>
                        <w:t xml:space="preserve"> from 1.9 percent in Q1 of 2017.CPI inflation decreased to 1.3</w:t>
                      </w:r>
                      <w:r w:rsidRPr="007C57AF">
                        <w:rPr>
                          <w:rFonts w:ascii="Garamond" w:hAnsi="Garamond"/>
                          <w:sz w:val="20"/>
                          <w:szCs w:val="20"/>
                        </w:rPr>
                        <w:t xml:space="preserve"> percent (Y-o-Y) in </w:t>
                      </w:r>
                      <w:r>
                        <w:rPr>
                          <w:rFonts w:ascii="Garamond" w:hAnsi="Garamond"/>
                          <w:sz w:val="20"/>
                          <w:szCs w:val="20"/>
                        </w:rPr>
                        <w:t xml:space="preserve">June 2017 against 1.4 percent in May 2017. Unemployment decreased to </w:t>
                      </w:r>
                      <w:r w:rsidRPr="007C57AF">
                        <w:rPr>
                          <w:rFonts w:ascii="Garamond" w:hAnsi="Garamond"/>
                          <w:sz w:val="20"/>
                          <w:szCs w:val="20"/>
                        </w:rPr>
                        <w:t xml:space="preserve">9.3 percent in </w:t>
                      </w:r>
                      <w:r>
                        <w:rPr>
                          <w:rFonts w:ascii="Garamond" w:hAnsi="Garamond"/>
                          <w:sz w:val="20"/>
                          <w:szCs w:val="20"/>
                        </w:rPr>
                        <w:t>June</w:t>
                      </w:r>
                      <w:r w:rsidRPr="007C57AF">
                        <w:rPr>
                          <w:rFonts w:ascii="Garamond" w:hAnsi="Garamond"/>
                          <w:sz w:val="20"/>
                          <w:szCs w:val="20"/>
                        </w:rPr>
                        <w:t xml:space="preserve"> 2017.</w:t>
                      </w:r>
                    </w:p>
                    <w:p w:rsidR="008C7B93" w:rsidRPr="00E208F5" w:rsidRDefault="008C7B93" w:rsidP="00717D8C">
                      <w:pPr>
                        <w:spacing w:after="0"/>
                        <w:ind w:right="-129"/>
                        <w:textDirection w:val="btLr"/>
                        <w:rPr>
                          <w:rFonts w:ascii="Garamond" w:hAnsi="Garamond"/>
                          <w:strike/>
                          <w:sz w:val="14"/>
                          <w:szCs w:val="20"/>
                        </w:rPr>
                      </w:pPr>
                    </w:p>
                    <w:p w:rsidR="008C7B93" w:rsidRPr="00CC10F1" w:rsidRDefault="008C7B93" w:rsidP="00717D8C">
                      <w:pPr>
                        <w:shd w:val="clear" w:color="auto" w:fill="C2D69B" w:themeFill="accent3" w:themeFillTint="99"/>
                        <w:spacing w:after="0"/>
                        <w:ind w:right="-129"/>
                        <w:rPr>
                          <w:rFonts w:ascii="Garamond" w:hAnsi="Garamond"/>
                          <w:b/>
                          <w:sz w:val="20"/>
                          <w:szCs w:val="20"/>
                        </w:rPr>
                      </w:pPr>
                      <w:r w:rsidRPr="00CC10F1">
                        <w:rPr>
                          <w:rFonts w:ascii="Garamond" w:hAnsi="Garamond"/>
                          <w:b/>
                          <w:sz w:val="20"/>
                          <w:szCs w:val="20"/>
                        </w:rPr>
                        <w:t>BRIC Nations:</w:t>
                      </w:r>
                    </w:p>
                    <w:p w:rsidR="008C7B93" w:rsidRPr="00CC10F1"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CC10F1">
                        <w:rPr>
                          <w:rFonts w:ascii="Garamond" w:hAnsi="Garamond"/>
                          <w:sz w:val="20"/>
                          <w:szCs w:val="20"/>
                        </w:rPr>
                        <w:t>Real GDP of Brazil contracted by 0.4 percent (Y-o-Y) in Q1 2017. CPI inflation came do</w:t>
                      </w:r>
                      <w:r>
                        <w:rPr>
                          <w:rFonts w:ascii="Garamond" w:hAnsi="Garamond"/>
                          <w:sz w:val="20"/>
                          <w:szCs w:val="20"/>
                        </w:rPr>
                        <w:t>wn to 3.0</w:t>
                      </w:r>
                      <w:r w:rsidRPr="00CC10F1">
                        <w:rPr>
                          <w:rFonts w:ascii="Garamond" w:hAnsi="Garamond"/>
                          <w:sz w:val="20"/>
                          <w:szCs w:val="20"/>
                        </w:rPr>
                        <w:t xml:space="preserve"> percent in </w:t>
                      </w:r>
                      <w:r>
                        <w:rPr>
                          <w:rFonts w:ascii="Garamond" w:hAnsi="Garamond"/>
                          <w:sz w:val="20"/>
                          <w:szCs w:val="20"/>
                        </w:rPr>
                        <w:t>June 2017. Unemployment rate decreased to 13.0</w:t>
                      </w:r>
                      <w:r w:rsidRPr="00CC10F1">
                        <w:rPr>
                          <w:rFonts w:ascii="Garamond" w:hAnsi="Garamond"/>
                          <w:sz w:val="20"/>
                          <w:szCs w:val="20"/>
                        </w:rPr>
                        <w:t xml:space="preserve"> percent </w:t>
                      </w:r>
                      <w:r>
                        <w:rPr>
                          <w:rFonts w:ascii="Garamond" w:hAnsi="Garamond"/>
                          <w:sz w:val="20"/>
                          <w:szCs w:val="20"/>
                        </w:rPr>
                        <w:t>June</w:t>
                      </w:r>
                      <w:r w:rsidRPr="00CC10F1">
                        <w:rPr>
                          <w:rFonts w:ascii="Garamond" w:hAnsi="Garamond"/>
                          <w:sz w:val="20"/>
                          <w:szCs w:val="20"/>
                        </w:rPr>
                        <w:t xml:space="preserve"> 2017.</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120741"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120741">
                        <w:rPr>
                          <w:rFonts w:ascii="Garamond" w:hAnsi="Garamond"/>
                          <w:sz w:val="20"/>
                          <w:szCs w:val="20"/>
                        </w:rPr>
                        <w:t>Russia’s GDP advanced by 0.5 percent (Y-o-Y) i</w:t>
                      </w:r>
                      <w:r>
                        <w:rPr>
                          <w:rFonts w:ascii="Garamond" w:hAnsi="Garamond"/>
                          <w:sz w:val="20"/>
                          <w:szCs w:val="20"/>
                        </w:rPr>
                        <w:t>n Q1 2017. CPI inflation was 4.4</w:t>
                      </w:r>
                      <w:r w:rsidRPr="00120741">
                        <w:rPr>
                          <w:rFonts w:ascii="Garamond" w:hAnsi="Garamond"/>
                          <w:sz w:val="20"/>
                          <w:szCs w:val="20"/>
                        </w:rPr>
                        <w:t xml:space="preserve"> percent (Y-o-Y) in </w:t>
                      </w:r>
                      <w:r>
                        <w:rPr>
                          <w:rFonts w:ascii="Garamond" w:hAnsi="Garamond"/>
                          <w:sz w:val="20"/>
                          <w:szCs w:val="20"/>
                        </w:rPr>
                        <w:t>June</w:t>
                      </w:r>
                      <w:r w:rsidRPr="00120741">
                        <w:rPr>
                          <w:rFonts w:ascii="Garamond" w:hAnsi="Garamond"/>
                          <w:sz w:val="20"/>
                          <w:szCs w:val="20"/>
                        </w:rPr>
                        <w:t xml:space="preserve"> 2017. Unemploymen</w:t>
                      </w:r>
                      <w:r>
                        <w:rPr>
                          <w:rFonts w:ascii="Garamond" w:hAnsi="Garamond"/>
                          <w:sz w:val="20"/>
                          <w:szCs w:val="20"/>
                        </w:rPr>
                        <w:t>t rate decreased slightly to 5.1</w:t>
                      </w:r>
                      <w:r w:rsidRPr="00120741">
                        <w:rPr>
                          <w:rFonts w:ascii="Garamond" w:hAnsi="Garamond"/>
                          <w:sz w:val="20"/>
                          <w:szCs w:val="20"/>
                        </w:rPr>
                        <w:t xml:space="preserve"> percent in </w:t>
                      </w:r>
                      <w:r>
                        <w:rPr>
                          <w:rFonts w:ascii="Garamond" w:hAnsi="Garamond"/>
                          <w:sz w:val="20"/>
                          <w:szCs w:val="20"/>
                        </w:rPr>
                        <w:t xml:space="preserve">June </w:t>
                      </w:r>
                      <w:r w:rsidRPr="00120741">
                        <w:rPr>
                          <w:rFonts w:ascii="Garamond" w:hAnsi="Garamond"/>
                          <w:sz w:val="20"/>
                          <w:szCs w:val="20"/>
                        </w:rPr>
                        <w:t>2017.</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AE192F"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AE192F">
                        <w:rPr>
                          <w:rFonts w:ascii="Garamond" w:hAnsi="Garamond"/>
                          <w:sz w:val="20"/>
                          <w:szCs w:val="20"/>
                        </w:rPr>
                        <w:t>India’s real GDP grew by 7.1 percent (Y-o-Y) in Q4 quarter of 2016-17 as compared to 7.0 percent in Q3, FY 2016-17. Consumer</w:t>
                      </w:r>
                      <w:r w:rsidRPr="00AE192F">
                        <w:rPr>
                          <w:rFonts w:ascii="Garamond" w:hAnsi="Garamond"/>
                        </w:rPr>
                        <w:t xml:space="preserve"> </w:t>
                      </w:r>
                      <w:r>
                        <w:rPr>
                          <w:rFonts w:ascii="Garamond" w:hAnsi="Garamond"/>
                          <w:sz w:val="20"/>
                          <w:szCs w:val="20"/>
                        </w:rPr>
                        <w:t>prices in India recorded 1.5</w:t>
                      </w:r>
                      <w:r w:rsidRPr="00AE192F">
                        <w:rPr>
                          <w:rFonts w:ascii="Garamond" w:hAnsi="Garamond"/>
                          <w:sz w:val="20"/>
                          <w:szCs w:val="20"/>
                        </w:rPr>
                        <w:t xml:space="preserve"> percent (Y-o-Y) in </w:t>
                      </w:r>
                      <w:r>
                        <w:rPr>
                          <w:rFonts w:ascii="Garamond" w:hAnsi="Garamond"/>
                          <w:sz w:val="20"/>
                          <w:szCs w:val="20"/>
                        </w:rPr>
                        <w:t>June 2017, decreasing from a 2.2 percent in May</w:t>
                      </w:r>
                      <w:r w:rsidRPr="00AE192F">
                        <w:rPr>
                          <w:rFonts w:ascii="Garamond" w:hAnsi="Garamond"/>
                          <w:sz w:val="20"/>
                          <w:szCs w:val="20"/>
                        </w:rPr>
                        <w:t xml:space="preserve"> 2017. </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06618D" w:rsidRDefault="008C7B93" w:rsidP="00717D8C">
                      <w:pPr>
                        <w:numPr>
                          <w:ilvl w:val="0"/>
                          <w:numId w:val="5"/>
                        </w:numPr>
                        <w:shd w:val="clear" w:color="auto" w:fill="C2D69B" w:themeFill="accent3" w:themeFillTint="99"/>
                        <w:ind w:right="-129" w:hanging="180"/>
                        <w:contextualSpacing/>
                        <w:rPr>
                          <w:rFonts w:ascii="Garamond" w:hAnsi="Garamond"/>
                          <w:sz w:val="20"/>
                          <w:szCs w:val="20"/>
                        </w:rPr>
                      </w:pPr>
                      <w:r w:rsidRPr="0006618D">
                        <w:rPr>
                          <w:rFonts w:ascii="Garamond" w:hAnsi="Garamond"/>
                          <w:sz w:val="20"/>
                          <w:szCs w:val="20"/>
                        </w:rPr>
                        <w:t xml:space="preserve">GDP of China expanded by 6.9 percent (Y-o-Y) in the </w:t>
                      </w:r>
                      <w:r>
                        <w:rPr>
                          <w:rFonts w:ascii="Garamond" w:hAnsi="Garamond"/>
                          <w:sz w:val="20"/>
                          <w:szCs w:val="20"/>
                        </w:rPr>
                        <w:t>June</w:t>
                      </w:r>
                      <w:r w:rsidRPr="0006618D">
                        <w:rPr>
                          <w:rFonts w:ascii="Garamond" w:hAnsi="Garamond"/>
                          <w:sz w:val="20"/>
                          <w:szCs w:val="20"/>
                        </w:rPr>
                        <w:t xml:space="preserve"> quarter of 2017. Consumer prices in China </w:t>
                      </w:r>
                      <w:r>
                        <w:rPr>
                          <w:rFonts w:ascii="Garamond" w:hAnsi="Garamond"/>
                          <w:sz w:val="20"/>
                          <w:szCs w:val="20"/>
                        </w:rPr>
                        <w:t>remained constant at</w:t>
                      </w:r>
                      <w:r w:rsidRPr="0006618D">
                        <w:rPr>
                          <w:rFonts w:ascii="Garamond" w:hAnsi="Garamond"/>
                          <w:sz w:val="20"/>
                          <w:szCs w:val="20"/>
                        </w:rPr>
                        <w:t xml:space="preserve"> 1.5 percent (Y-o-Y) in </w:t>
                      </w:r>
                      <w:r>
                        <w:rPr>
                          <w:rFonts w:ascii="Garamond" w:hAnsi="Garamond"/>
                          <w:sz w:val="20"/>
                          <w:szCs w:val="20"/>
                        </w:rPr>
                        <w:t xml:space="preserve">June </w:t>
                      </w:r>
                      <w:r w:rsidRPr="0006618D">
                        <w:rPr>
                          <w:rFonts w:ascii="Garamond" w:hAnsi="Garamond"/>
                          <w:sz w:val="20"/>
                          <w:szCs w:val="20"/>
                        </w:rPr>
                        <w:t xml:space="preserve">2017, </w:t>
                      </w:r>
                      <w:r>
                        <w:rPr>
                          <w:rFonts w:ascii="Garamond" w:hAnsi="Garamond"/>
                          <w:sz w:val="20"/>
                          <w:szCs w:val="20"/>
                        </w:rPr>
                        <w:t xml:space="preserve">as </w:t>
                      </w:r>
                      <w:r w:rsidRPr="0006618D">
                        <w:rPr>
                          <w:rFonts w:ascii="Garamond" w:hAnsi="Garamond"/>
                          <w:sz w:val="20"/>
                          <w:szCs w:val="20"/>
                        </w:rPr>
                        <w:t xml:space="preserve">compared to </w:t>
                      </w:r>
                      <w:r>
                        <w:rPr>
                          <w:rFonts w:ascii="Garamond" w:hAnsi="Garamond"/>
                          <w:sz w:val="20"/>
                          <w:szCs w:val="20"/>
                        </w:rPr>
                        <w:t>the previous month</w:t>
                      </w:r>
                      <w:r w:rsidRPr="0006618D">
                        <w:rPr>
                          <w:rFonts w:ascii="Garamond" w:hAnsi="Garamond"/>
                          <w:sz w:val="20"/>
                          <w:szCs w:val="20"/>
                        </w:rPr>
                        <w:t>. Unemplo</w:t>
                      </w:r>
                      <w:r>
                        <w:rPr>
                          <w:rFonts w:ascii="Garamond" w:hAnsi="Garamond"/>
                          <w:sz w:val="20"/>
                          <w:szCs w:val="20"/>
                        </w:rPr>
                        <w:t>yment rate slightly fell to 3.95</w:t>
                      </w:r>
                      <w:r w:rsidRPr="0006618D">
                        <w:rPr>
                          <w:rFonts w:ascii="Garamond" w:hAnsi="Garamond"/>
                          <w:sz w:val="20"/>
                          <w:szCs w:val="20"/>
                        </w:rPr>
                        <w:t xml:space="preserve"> percent in </w:t>
                      </w:r>
                      <w:r>
                        <w:rPr>
                          <w:rFonts w:ascii="Garamond" w:hAnsi="Garamond"/>
                          <w:sz w:val="20"/>
                          <w:szCs w:val="20"/>
                        </w:rPr>
                        <w:t>June</w:t>
                      </w:r>
                      <w:r w:rsidRPr="0006618D">
                        <w:rPr>
                          <w:rFonts w:ascii="Garamond" w:hAnsi="Garamond"/>
                          <w:sz w:val="20"/>
                          <w:szCs w:val="20"/>
                        </w:rPr>
                        <w:t xml:space="preserve"> quarter. </w:t>
                      </w:r>
                    </w:p>
                    <w:p w:rsidR="008C7B93" w:rsidRPr="00E208F5" w:rsidRDefault="008C7B93" w:rsidP="00717D8C">
                      <w:pPr>
                        <w:shd w:val="clear" w:color="auto" w:fill="C2D69B" w:themeFill="accent3" w:themeFillTint="99"/>
                        <w:ind w:left="180" w:right="-129"/>
                        <w:contextualSpacing/>
                        <w:rPr>
                          <w:rFonts w:ascii="Garamond" w:hAnsi="Garamond"/>
                          <w:strike/>
                          <w:sz w:val="10"/>
                          <w:szCs w:val="20"/>
                        </w:rPr>
                      </w:pPr>
                    </w:p>
                    <w:p w:rsidR="008C7B93" w:rsidRPr="0095206A" w:rsidRDefault="008C7B93" w:rsidP="00717D8C">
                      <w:pPr>
                        <w:numPr>
                          <w:ilvl w:val="0"/>
                          <w:numId w:val="5"/>
                        </w:numPr>
                        <w:shd w:val="clear" w:color="auto" w:fill="C2D69B" w:themeFill="accent3" w:themeFillTint="99"/>
                        <w:ind w:right="-129" w:hanging="180"/>
                        <w:contextualSpacing/>
                        <w:rPr>
                          <w:rFonts w:ascii="Times New Roman" w:eastAsiaTheme="minorHAnsi" w:hAnsi="Times New Roman"/>
                          <w:sz w:val="20"/>
                          <w:szCs w:val="20"/>
                          <w:lang w:val="en-GB"/>
                        </w:rPr>
                      </w:pPr>
                      <w:r w:rsidRPr="0095206A">
                        <w:rPr>
                          <w:rFonts w:ascii="Garamond" w:hAnsi="Garamond"/>
                          <w:sz w:val="20"/>
                          <w:szCs w:val="20"/>
                        </w:rPr>
                        <w:t xml:space="preserve">GDP of South Africa advanced by 1.0 percent, against 0.7 percent in the previous quarter. </w:t>
                      </w:r>
                      <w:r>
                        <w:rPr>
                          <w:rFonts w:ascii="Garamond" w:hAnsi="Garamond"/>
                          <w:sz w:val="20"/>
                          <w:szCs w:val="20"/>
                        </w:rPr>
                        <w:t>Consumer prices increased by 5.1</w:t>
                      </w:r>
                      <w:r w:rsidRPr="0095206A">
                        <w:rPr>
                          <w:rFonts w:ascii="Garamond" w:hAnsi="Garamond"/>
                          <w:sz w:val="20"/>
                          <w:szCs w:val="20"/>
                        </w:rPr>
                        <w:t xml:space="preserve"> percent in </w:t>
                      </w:r>
                      <w:r>
                        <w:rPr>
                          <w:rFonts w:ascii="Garamond" w:hAnsi="Garamond"/>
                          <w:sz w:val="20"/>
                          <w:szCs w:val="20"/>
                        </w:rPr>
                        <w:t xml:space="preserve">June </w:t>
                      </w:r>
                      <w:r w:rsidRPr="0095206A">
                        <w:rPr>
                          <w:rFonts w:ascii="Garamond" w:hAnsi="Garamond"/>
                          <w:sz w:val="20"/>
                          <w:szCs w:val="20"/>
                        </w:rPr>
                        <w:t xml:space="preserve">2017. Unemployment rate in South Africa </w:t>
                      </w:r>
                      <w:r>
                        <w:rPr>
                          <w:rFonts w:ascii="Garamond" w:hAnsi="Garamond"/>
                          <w:sz w:val="20"/>
                          <w:szCs w:val="20"/>
                        </w:rPr>
                        <w:t xml:space="preserve">remained at 27.7 percent in the second </w:t>
                      </w:r>
                      <w:r w:rsidRPr="0095206A">
                        <w:rPr>
                          <w:rFonts w:ascii="Garamond" w:hAnsi="Garamond"/>
                          <w:sz w:val="20"/>
                          <w:szCs w:val="20"/>
                        </w:rPr>
                        <w:t>quarter of 2017.</w:t>
                      </w:r>
                    </w:p>
                    <w:p w:rsidR="008C7B93" w:rsidRPr="002E206A" w:rsidRDefault="008C7B93" w:rsidP="00717D8C">
                      <w:pPr>
                        <w:pStyle w:val="ListParagraph"/>
                        <w:shd w:val="clear" w:color="auto" w:fill="C2D69B" w:themeFill="accent3" w:themeFillTint="99"/>
                        <w:spacing w:after="0"/>
                        <w:ind w:left="0" w:right="-129"/>
                      </w:pPr>
                    </w:p>
                  </w:txbxContent>
                </v:textbox>
                <w10:wrap anchorx="page"/>
              </v:roundrect>
            </w:pict>
          </mc:Fallback>
        </mc:AlternateContent>
      </w:r>
    </w:p>
    <w:p w:rsidR="009209E6" w:rsidRPr="006B5DA1" w:rsidRDefault="00265A2B" w:rsidP="00717D8C">
      <w:pPr>
        <w:pStyle w:val="ListParagraph"/>
        <w:numPr>
          <w:ilvl w:val="0"/>
          <w:numId w:val="9"/>
        </w:numPr>
        <w:spacing w:after="0" w:line="20" w:lineRule="atLeast"/>
        <w:ind w:left="6096" w:hanging="270"/>
        <w:jc w:val="both"/>
        <w:rPr>
          <w:rFonts w:ascii="Garamond" w:eastAsiaTheme="minorHAnsi" w:hAnsi="Garamond"/>
          <w:b/>
          <w:color w:val="000000" w:themeColor="text1"/>
          <w:sz w:val="24"/>
          <w:szCs w:val="24"/>
          <w:lang w:val="en-IN"/>
        </w:rPr>
      </w:pPr>
      <w:r w:rsidRPr="006B5DA1">
        <w:rPr>
          <w:rFonts w:ascii="Garamond" w:eastAsiaTheme="minorHAnsi" w:hAnsi="Garamond"/>
          <w:b/>
          <w:color w:val="000000" w:themeColor="text1"/>
          <w:sz w:val="24"/>
          <w:szCs w:val="24"/>
          <w:lang w:val="en-IN"/>
        </w:rPr>
        <w:t>Introduction:</w:t>
      </w:r>
    </w:p>
    <w:p w:rsidR="004D2A95" w:rsidRDefault="006B5DA1" w:rsidP="006B5DA1">
      <w:pPr>
        <w:pStyle w:val="ListParagraph"/>
        <w:numPr>
          <w:ilvl w:val="1"/>
          <w:numId w:val="9"/>
        </w:numPr>
        <w:spacing w:after="0" w:line="20" w:lineRule="atLeast"/>
        <w:ind w:left="6521"/>
        <w:jc w:val="both"/>
        <w:rPr>
          <w:rFonts w:ascii="Garamond" w:eastAsiaTheme="minorHAnsi" w:hAnsi="Garamond"/>
          <w:color w:val="000000" w:themeColor="text1"/>
          <w:sz w:val="24"/>
          <w:szCs w:val="28"/>
          <w:lang w:val="en-GB"/>
        </w:rPr>
      </w:pPr>
      <w:r w:rsidRPr="006B5DA1">
        <w:rPr>
          <w:rFonts w:ascii="Garamond" w:eastAsiaTheme="minorHAnsi" w:hAnsi="Garamond"/>
          <w:color w:val="000000" w:themeColor="text1"/>
          <w:sz w:val="24"/>
          <w:szCs w:val="28"/>
          <w:lang w:val="en-GB"/>
        </w:rPr>
        <w:t>Global economic growth is gradually becoming more balanced. Both advanced nations as well as emerging market economies are witnessing stable recovery with the exceptions of the Brexit-impacted UK and temporary dips in the US and India during the first half of 2017, which are both expected to rebound in the remainder of the year. Eurozone remained a bright spot. Euro-zone continues to show healthy growth trends, confirming the underlying improvements in the region’s economy. Japan’s economy continues to expand albeit at a slow pace, supported by monetary and fiscal stimulus, growth in exports and relatively healthy domestic demand. The Chinese economy has shown stronger growth during the first half of 2017 compared to last year. The present political imbroglio in Brazil is posing as the main impediment to growth, nevertheless, the economy is forecast to recover in two years. The Russian economy is witnessing a modest rebound after two years of deep recession</w:t>
      </w:r>
      <w:r w:rsidR="004D2A95">
        <w:rPr>
          <w:rFonts w:ascii="Garamond" w:eastAsiaTheme="minorHAnsi" w:hAnsi="Garamond"/>
          <w:color w:val="000000" w:themeColor="text1"/>
          <w:sz w:val="24"/>
          <w:szCs w:val="28"/>
          <w:lang w:val="en-GB"/>
        </w:rPr>
        <w:br w:type="page"/>
      </w:r>
    </w:p>
    <w:p w:rsidR="004D2A95" w:rsidRPr="004D2A95" w:rsidRDefault="004D2A95" w:rsidP="004D2A95">
      <w:pPr>
        <w:tabs>
          <w:tab w:val="left" w:pos="720"/>
        </w:tabs>
        <w:spacing w:after="0" w:line="20" w:lineRule="atLeast"/>
        <w:jc w:val="both"/>
        <w:rPr>
          <w:rFonts w:ascii="Garamond" w:eastAsiaTheme="minorHAnsi" w:hAnsi="Garamond"/>
          <w:color w:val="000000" w:themeColor="text1"/>
          <w:sz w:val="24"/>
          <w:szCs w:val="28"/>
          <w:lang w:val="en-GB"/>
        </w:rPr>
      </w:pPr>
    </w:p>
    <w:p w:rsidR="007A2AEA" w:rsidRPr="00560465" w:rsidRDefault="007A2AEA" w:rsidP="00E158C5">
      <w:pPr>
        <w:tabs>
          <w:tab w:val="left" w:pos="720"/>
        </w:tabs>
        <w:spacing w:after="0" w:line="20" w:lineRule="atLeast"/>
        <w:jc w:val="both"/>
        <w:rPr>
          <w:rFonts w:ascii="Garamond" w:eastAsiaTheme="minorHAnsi" w:hAnsi="Garamond"/>
          <w:b/>
          <w:strike/>
          <w:sz w:val="24"/>
          <w:szCs w:val="24"/>
          <w:lang w:val="en-IN"/>
        </w:rPr>
      </w:pPr>
    </w:p>
    <w:p w:rsidR="007A2AEA" w:rsidRPr="00560465" w:rsidRDefault="007A2AEA" w:rsidP="00E158C5">
      <w:pPr>
        <w:tabs>
          <w:tab w:val="left" w:pos="720"/>
        </w:tabs>
        <w:spacing w:after="0" w:line="20" w:lineRule="atLeast"/>
        <w:jc w:val="both"/>
        <w:rPr>
          <w:rFonts w:ascii="Garamond" w:eastAsiaTheme="minorHAnsi" w:hAnsi="Garamond"/>
          <w:b/>
          <w:strike/>
          <w:sz w:val="24"/>
          <w:szCs w:val="24"/>
          <w:lang w:val="en-IN"/>
        </w:rPr>
      </w:pPr>
    </w:p>
    <w:p w:rsidR="007A2AEA" w:rsidRPr="00560465" w:rsidRDefault="007A2AEA" w:rsidP="00E158C5">
      <w:pPr>
        <w:tabs>
          <w:tab w:val="left" w:pos="720"/>
        </w:tabs>
        <w:spacing w:after="0" w:line="20" w:lineRule="atLeast"/>
        <w:jc w:val="both"/>
        <w:rPr>
          <w:rFonts w:ascii="Garamond" w:eastAsiaTheme="minorHAnsi" w:hAnsi="Garamond"/>
          <w:b/>
          <w:strike/>
          <w:sz w:val="24"/>
          <w:szCs w:val="24"/>
          <w:lang w:val="en-IN"/>
        </w:rPr>
      </w:pPr>
    </w:p>
    <w:p w:rsidR="00D05B82" w:rsidRPr="001E654A" w:rsidRDefault="00984931" w:rsidP="001E654A">
      <w:pPr>
        <w:spacing w:after="0" w:line="20" w:lineRule="atLeast"/>
        <w:jc w:val="both"/>
        <w:rPr>
          <w:rFonts w:ascii="Garamond" w:eastAsiaTheme="minorHAnsi" w:hAnsi="Garamond"/>
          <w:b/>
          <w:sz w:val="24"/>
          <w:szCs w:val="24"/>
          <w:lang w:val="en-IN"/>
        </w:rPr>
      </w:pPr>
      <w:r w:rsidRPr="00794ED2">
        <w:rPr>
          <w:rFonts w:ascii="Garamond" w:eastAsiaTheme="minorHAnsi" w:hAnsi="Garamond"/>
          <w:b/>
          <w:sz w:val="24"/>
          <w:szCs w:val="24"/>
          <w:lang w:val="en-IN"/>
        </w:rPr>
        <w:t>The World Economy:</w:t>
      </w:r>
    </w:p>
    <w:p w:rsidR="00D05B82" w:rsidRDefault="00D05B82" w:rsidP="00D05B82">
      <w:pPr>
        <w:pStyle w:val="ListParagraph"/>
        <w:spacing w:after="0" w:line="20" w:lineRule="atLeast"/>
        <w:ind w:left="270"/>
        <w:jc w:val="both"/>
        <w:rPr>
          <w:rFonts w:ascii="Garamond" w:eastAsiaTheme="minorHAnsi" w:hAnsi="Garamond"/>
          <w:b/>
          <w:sz w:val="24"/>
          <w:szCs w:val="24"/>
          <w:lang w:val="en-IN"/>
        </w:rPr>
      </w:pPr>
    </w:p>
    <w:p w:rsidR="00E91881" w:rsidRPr="00E91881" w:rsidRDefault="00794ED2" w:rsidP="00794ED2">
      <w:pPr>
        <w:numPr>
          <w:ilvl w:val="1"/>
          <w:numId w:val="9"/>
        </w:numPr>
        <w:spacing w:after="0" w:line="240" w:lineRule="auto"/>
        <w:ind w:hanging="508"/>
        <w:contextualSpacing/>
        <w:jc w:val="both"/>
        <w:rPr>
          <w:rFonts w:ascii="Garamond" w:hAnsi="Garamond"/>
          <w:bCs/>
          <w:color w:val="000000"/>
          <w:sz w:val="24"/>
          <w:szCs w:val="24"/>
        </w:rPr>
      </w:pPr>
      <w:r w:rsidRPr="00794ED2">
        <w:rPr>
          <w:rFonts w:ascii="Garamond" w:hAnsi="Garamond"/>
          <w:bCs/>
          <w:color w:val="000000"/>
          <w:sz w:val="24"/>
          <w:szCs w:val="24"/>
        </w:rPr>
        <w:t>The International Monetary Fund (IMF) in its World Economic Outlook Update published in July 2017 has estimated the global growth for 2016 at 3.2 per cent. The global growth is projected to be 3.5 per cent in 2017 and 3.6 per cent in 2018. As per the Update, economic activity in both advanced economies and emerging and developing economies would accelerate in 2017. Advanced economies would grow at 2 per cent in 2017 and 1.9 per cent in 2018 while the emerging market and developing economies would grow at 4.6 per cent and 4.8 per cent respectively</w:t>
      </w:r>
      <w:r w:rsidR="00E91881" w:rsidRPr="00E91881">
        <w:rPr>
          <w:rFonts w:ascii="Garamond" w:hAnsi="Garamond"/>
          <w:bCs/>
          <w:color w:val="000000"/>
          <w:sz w:val="24"/>
          <w:szCs w:val="24"/>
        </w:rPr>
        <w:t>.</w:t>
      </w:r>
    </w:p>
    <w:p w:rsidR="00FA6232" w:rsidRDefault="00FA6232" w:rsidP="00FA6232">
      <w:pPr>
        <w:spacing w:after="0" w:line="20" w:lineRule="atLeast"/>
        <w:jc w:val="both"/>
        <w:rPr>
          <w:rFonts w:ascii="Garamond" w:hAnsi="Garamond"/>
          <w:bCs/>
          <w:strike/>
          <w:color w:val="000000"/>
          <w:sz w:val="24"/>
          <w:szCs w:val="24"/>
          <w:lang w:val="en-GB"/>
        </w:rPr>
      </w:pPr>
    </w:p>
    <w:p w:rsidR="00FA6232" w:rsidRPr="00FA6232" w:rsidRDefault="0004006C" w:rsidP="00FA6232">
      <w:pPr>
        <w:spacing w:after="0" w:line="20" w:lineRule="atLeast"/>
        <w:jc w:val="both"/>
        <w:rPr>
          <w:rFonts w:ascii="Garamond" w:hAnsi="Garamond"/>
          <w:b/>
          <w:bCs/>
          <w:color w:val="000000"/>
          <w:sz w:val="24"/>
          <w:szCs w:val="24"/>
        </w:rPr>
      </w:pPr>
      <w:r w:rsidRPr="0004006C">
        <w:rPr>
          <w:rFonts w:ascii="Garamond" w:hAnsi="Garamond"/>
          <w:b/>
          <w:bCs/>
          <w:color w:val="000000"/>
          <w:sz w:val="24"/>
          <w:szCs w:val="24"/>
          <w:lang w:val="en-GB"/>
        </w:rPr>
        <w:t>Exhibit 1: Excerpts from World Economic Outlook Projections by the IMF</w:t>
      </w:r>
    </w:p>
    <w:tbl>
      <w:tblPr>
        <w:tblW w:w="8995" w:type="dxa"/>
        <w:jc w:val="center"/>
        <w:tblCellMar>
          <w:left w:w="58" w:type="dxa"/>
          <w:right w:w="58" w:type="dxa"/>
        </w:tblCellMar>
        <w:tblLook w:val="04A0" w:firstRow="1" w:lastRow="0" w:firstColumn="1" w:lastColumn="0" w:noHBand="0" w:noVBand="1"/>
      </w:tblPr>
      <w:tblGrid>
        <w:gridCol w:w="4585"/>
        <w:gridCol w:w="1170"/>
        <w:gridCol w:w="1080"/>
        <w:gridCol w:w="1170"/>
        <w:gridCol w:w="990"/>
      </w:tblGrid>
      <w:tr w:rsidR="00FA6232" w:rsidRPr="00FA6232" w:rsidTr="004677BD">
        <w:trPr>
          <w:trHeight w:val="245"/>
          <w:jc w:val="center"/>
        </w:trPr>
        <w:tc>
          <w:tcPr>
            <w:tcW w:w="4585" w:type="dxa"/>
            <w:vMerge w:val="restart"/>
            <w:tcBorders>
              <w:top w:val="single" w:sz="4" w:space="0" w:color="auto"/>
              <w:left w:val="single" w:sz="4" w:space="0" w:color="auto"/>
              <w:right w:val="single" w:sz="4" w:space="0" w:color="auto"/>
            </w:tcBorders>
            <w:shd w:val="clear" w:color="auto" w:fill="B4C6E7"/>
            <w:noWrap/>
            <w:vAlign w:val="center"/>
            <w:hideMark/>
          </w:tcPr>
          <w:p w:rsidR="00FA6232" w:rsidRPr="00FA6232" w:rsidRDefault="00FA6232" w:rsidP="004677BD">
            <w:pPr>
              <w:shd w:val="clear" w:color="auto" w:fill="B4C6E7"/>
              <w:spacing w:after="0" w:line="240" w:lineRule="auto"/>
              <w:jc w:val="center"/>
              <w:rPr>
                <w:rFonts w:ascii="Garamond" w:hAnsi="Garamond"/>
                <w:b/>
                <w:sz w:val="20"/>
                <w:szCs w:val="20"/>
                <w:lang w:val="en-GB"/>
              </w:rPr>
            </w:pPr>
            <w:r w:rsidRPr="00FA6232">
              <w:rPr>
                <w:rFonts w:ascii="Garamond" w:hAnsi="Garamond"/>
                <w:b/>
                <w:sz w:val="20"/>
                <w:szCs w:val="20"/>
                <w:lang w:val="en-GB"/>
              </w:rPr>
              <w:t>Region</w:t>
            </w:r>
          </w:p>
        </w:tc>
        <w:tc>
          <w:tcPr>
            <w:tcW w:w="4410" w:type="dxa"/>
            <w:gridSpan w:val="4"/>
            <w:tcBorders>
              <w:top w:val="single" w:sz="4" w:space="0" w:color="auto"/>
              <w:left w:val="nil"/>
              <w:bottom w:val="single" w:sz="4" w:space="0" w:color="auto"/>
              <w:right w:val="single" w:sz="4" w:space="0" w:color="auto"/>
            </w:tcBorders>
            <w:shd w:val="clear" w:color="auto" w:fill="B4C6E7"/>
            <w:vAlign w:val="bottom"/>
            <w:hideMark/>
          </w:tcPr>
          <w:p w:rsidR="00FA6232" w:rsidRPr="00FA6232" w:rsidRDefault="00FA6232" w:rsidP="004677BD">
            <w:pPr>
              <w:shd w:val="clear" w:color="auto" w:fill="B4C6E7"/>
              <w:spacing w:after="0" w:line="240" w:lineRule="auto"/>
              <w:jc w:val="center"/>
              <w:rPr>
                <w:rFonts w:ascii="Garamond" w:hAnsi="Garamond"/>
                <w:b/>
                <w:sz w:val="20"/>
                <w:szCs w:val="20"/>
                <w:lang w:val="en-GB"/>
              </w:rPr>
            </w:pPr>
            <w:r w:rsidRPr="00FA6232">
              <w:rPr>
                <w:rFonts w:ascii="Garamond" w:hAnsi="Garamond"/>
                <w:b/>
                <w:sz w:val="20"/>
                <w:szCs w:val="20"/>
                <w:lang w:val="en-GB"/>
              </w:rPr>
              <w:t>Year over Year</w:t>
            </w:r>
          </w:p>
        </w:tc>
      </w:tr>
      <w:tr w:rsidR="00FA6232" w:rsidRPr="00FA6232" w:rsidTr="004677BD">
        <w:trPr>
          <w:trHeight w:val="245"/>
          <w:jc w:val="center"/>
        </w:trPr>
        <w:tc>
          <w:tcPr>
            <w:tcW w:w="4585" w:type="dxa"/>
            <w:vMerge/>
            <w:tcBorders>
              <w:left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both"/>
              <w:rPr>
                <w:rFonts w:ascii="Garamond" w:hAnsi="Garamond"/>
                <w:b/>
                <w:sz w:val="20"/>
                <w:szCs w:val="20"/>
                <w:lang w:val="en-GB"/>
              </w:rPr>
            </w:pPr>
          </w:p>
        </w:tc>
        <w:tc>
          <w:tcPr>
            <w:tcW w:w="2250" w:type="dxa"/>
            <w:gridSpan w:val="2"/>
            <w:tcBorders>
              <w:top w:val="single" w:sz="4" w:space="0" w:color="auto"/>
              <w:left w:val="nil"/>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center"/>
              <w:rPr>
                <w:rFonts w:ascii="Garamond" w:hAnsi="Garamond"/>
                <w:b/>
                <w:sz w:val="20"/>
                <w:szCs w:val="20"/>
                <w:lang w:val="en-GB"/>
              </w:rPr>
            </w:pPr>
            <w:r w:rsidRPr="00FA6232">
              <w:rPr>
                <w:rFonts w:ascii="Garamond" w:hAnsi="Garamond"/>
                <w:b/>
                <w:sz w:val="20"/>
                <w:szCs w:val="20"/>
                <w:lang w:val="en-GB"/>
              </w:rPr>
              <w:t>Estimate</w:t>
            </w:r>
          </w:p>
        </w:tc>
        <w:tc>
          <w:tcPr>
            <w:tcW w:w="2160" w:type="dxa"/>
            <w:gridSpan w:val="2"/>
            <w:tcBorders>
              <w:top w:val="nil"/>
              <w:left w:val="nil"/>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center"/>
              <w:rPr>
                <w:rFonts w:ascii="Garamond" w:hAnsi="Garamond"/>
                <w:b/>
                <w:sz w:val="20"/>
                <w:szCs w:val="20"/>
                <w:lang w:val="en-GB"/>
              </w:rPr>
            </w:pPr>
            <w:r w:rsidRPr="00FA6232">
              <w:rPr>
                <w:rFonts w:ascii="Garamond" w:hAnsi="Garamond"/>
                <w:b/>
                <w:sz w:val="20"/>
                <w:szCs w:val="20"/>
                <w:lang w:val="en-GB"/>
              </w:rPr>
              <w:t>Projections</w:t>
            </w:r>
          </w:p>
        </w:tc>
      </w:tr>
      <w:tr w:rsidR="00FA6232" w:rsidRPr="00FA6232" w:rsidTr="004677BD">
        <w:trPr>
          <w:trHeight w:val="245"/>
          <w:jc w:val="center"/>
        </w:trPr>
        <w:tc>
          <w:tcPr>
            <w:tcW w:w="4585" w:type="dxa"/>
            <w:vMerge/>
            <w:tcBorders>
              <w:left w:val="single" w:sz="4" w:space="0" w:color="auto"/>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both"/>
              <w:rPr>
                <w:rFonts w:ascii="Garamond" w:hAnsi="Garamond"/>
                <w:b/>
                <w:i/>
                <w:sz w:val="20"/>
                <w:szCs w:val="20"/>
                <w:lang w:val="en-GB"/>
              </w:rPr>
            </w:pPr>
          </w:p>
        </w:tc>
        <w:tc>
          <w:tcPr>
            <w:tcW w:w="1170" w:type="dxa"/>
            <w:tcBorders>
              <w:top w:val="nil"/>
              <w:left w:val="nil"/>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center"/>
              <w:rPr>
                <w:rFonts w:ascii="Garamond" w:hAnsi="Garamond"/>
                <w:sz w:val="20"/>
                <w:szCs w:val="20"/>
                <w:lang w:val="en-GB"/>
              </w:rPr>
            </w:pPr>
            <w:r w:rsidRPr="00FA6232">
              <w:rPr>
                <w:rFonts w:ascii="Garamond" w:hAnsi="Garamond"/>
                <w:sz w:val="20"/>
                <w:szCs w:val="20"/>
                <w:lang w:val="en-GB"/>
              </w:rPr>
              <w:t>2015</w:t>
            </w:r>
          </w:p>
        </w:tc>
        <w:tc>
          <w:tcPr>
            <w:tcW w:w="1080" w:type="dxa"/>
            <w:tcBorders>
              <w:top w:val="nil"/>
              <w:left w:val="nil"/>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center"/>
              <w:rPr>
                <w:rFonts w:ascii="Garamond" w:hAnsi="Garamond"/>
                <w:sz w:val="20"/>
                <w:szCs w:val="20"/>
                <w:lang w:val="en-GB"/>
              </w:rPr>
            </w:pPr>
            <w:r w:rsidRPr="00FA6232">
              <w:rPr>
                <w:rFonts w:ascii="Garamond" w:hAnsi="Garamond"/>
                <w:sz w:val="20"/>
                <w:szCs w:val="20"/>
                <w:lang w:val="en-GB"/>
              </w:rPr>
              <w:t>2016</w:t>
            </w:r>
          </w:p>
        </w:tc>
        <w:tc>
          <w:tcPr>
            <w:tcW w:w="1170" w:type="dxa"/>
            <w:tcBorders>
              <w:top w:val="nil"/>
              <w:left w:val="nil"/>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center"/>
              <w:rPr>
                <w:rFonts w:ascii="Garamond" w:hAnsi="Garamond"/>
                <w:sz w:val="20"/>
                <w:szCs w:val="20"/>
                <w:lang w:val="en-GB"/>
              </w:rPr>
            </w:pPr>
            <w:r w:rsidRPr="00FA6232">
              <w:rPr>
                <w:rFonts w:ascii="Garamond" w:hAnsi="Garamond"/>
                <w:sz w:val="20"/>
                <w:szCs w:val="20"/>
                <w:lang w:val="en-GB"/>
              </w:rPr>
              <w:t>2017</w:t>
            </w:r>
          </w:p>
        </w:tc>
        <w:tc>
          <w:tcPr>
            <w:tcW w:w="990" w:type="dxa"/>
            <w:tcBorders>
              <w:top w:val="nil"/>
              <w:left w:val="nil"/>
              <w:bottom w:val="single" w:sz="4" w:space="0" w:color="auto"/>
              <w:right w:val="single" w:sz="4" w:space="0" w:color="auto"/>
            </w:tcBorders>
            <w:shd w:val="clear" w:color="auto" w:fill="B4C6E7"/>
            <w:noWrap/>
            <w:vAlign w:val="bottom"/>
            <w:hideMark/>
          </w:tcPr>
          <w:p w:rsidR="00FA6232" w:rsidRPr="00FA6232" w:rsidRDefault="00FA6232" w:rsidP="004677BD">
            <w:pPr>
              <w:shd w:val="clear" w:color="auto" w:fill="B4C6E7"/>
              <w:spacing w:after="0" w:line="240" w:lineRule="auto"/>
              <w:jc w:val="center"/>
              <w:rPr>
                <w:rFonts w:ascii="Garamond" w:hAnsi="Garamond"/>
                <w:sz w:val="20"/>
                <w:szCs w:val="20"/>
                <w:lang w:val="en-GB"/>
              </w:rPr>
            </w:pPr>
            <w:r w:rsidRPr="00FA6232">
              <w:rPr>
                <w:rFonts w:ascii="Garamond" w:hAnsi="Garamond"/>
                <w:sz w:val="20"/>
                <w:szCs w:val="20"/>
                <w:lang w:val="en-GB"/>
              </w:rPr>
              <w:t>2018</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jc w:val="both"/>
              <w:rPr>
                <w:rFonts w:ascii="Garamond" w:hAnsi="Garamond"/>
                <w:b/>
                <w:bCs/>
                <w:sz w:val="20"/>
                <w:szCs w:val="20"/>
                <w:lang w:val="en-GB"/>
              </w:rPr>
            </w:pPr>
            <w:r w:rsidRPr="00FA6232">
              <w:rPr>
                <w:rFonts w:ascii="Garamond" w:hAnsi="Garamond"/>
                <w:b/>
                <w:bCs/>
                <w:sz w:val="20"/>
                <w:szCs w:val="20"/>
                <w:lang w:val="en-GB"/>
              </w:rPr>
              <w:t>World Output</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3.4</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3.2</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3.5</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3.6</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jc w:val="both"/>
              <w:rPr>
                <w:rFonts w:ascii="Garamond" w:hAnsi="Garamond"/>
                <w:b/>
                <w:bCs/>
                <w:sz w:val="20"/>
                <w:szCs w:val="20"/>
                <w:lang w:val="en-GB"/>
              </w:rPr>
            </w:pPr>
            <w:r w:rsidRPr="00FA6232">
              <w:rPr>
                <w:rFonts w:ascii="Garamond" w:hAnsi="Garamond"/>
                <w:b/>
                <w:bCs/>
                <w:sz w:val="20"/>
                <w:szCs w:val="20"/>
                <w:lang w:val="en-GB"/>
              </w:rPr>
              <w:t>Advanced Economies</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2.1</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1.7</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2</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1.9</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United States</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2.6</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1.6</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2.1</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2.1</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Euro Area</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1.8</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1.9</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1.7</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567"/>
              <w:jc w:val="both"/>
              <w:rPr>
                <w:rFonts w:ascii="Garamond" w:hAnsi="Garamond"/>
                <w:sz w:val="20"/>
                <w:szCs w:val="20"/>
                <w:lang w:val="en-GB"/>
              </w:rPr>
            </w:pPr>
            <w:r w:rsidRPr="00FA6232">
              <w:rPr>
                <w:rFonts w:ascii="Garamond" w:hAnsi="Garamond"/>
                <w:sz w:val="20"/>
                <w:szCs w:val="20"/>
                <w:lang w:val="en-GB"/>
              </w:rPr>
              <w:t>Germany</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1.5</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1.8</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1.8</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1.6</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567"/>
              <w:jc w:val="both"/>
              <w:rPr>
                <w:rFonts w:ascii="Garamond" w:hAnsi="Garamond"/>
                <w:sz w:val="20"/>
                <w:szCs w:val="20"/>
                <w:lang w:val="en-GB"/>
              </w:rPr>
            </w:pPr>
            <w:r w:rsidRPr="00FA6232">
              <w:rPr>
                <w:rFonts w:ascii="Garamond" w:hAnsi="Garamond"/>
                <w:sz w:val="20"/>
                <w:szCs w:val="20"/>
                <w:lang w:val="en-GB"/>
              </w:rPr>
              <w:t>France</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1.1</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1.2</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1.5</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1.7</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567"/>
              <w:jc w:val="both"/>
              <w:rPr>
                <w:rFonts w:ascii="Garamond" w:hAnsi="Garamond"/>
                <w:sz w:val="20"/>
                <w:szCs w:val="20"/>
                <w:lang w:val="en-GB"/>
              </w:rPr>
            </w:pPr>
            <w:r w:rsidRPr="00FA6232">
              <w:rPr>
                <w:rFonts w:ascii="Garamond" w:hAnsi="Garamond"/>
                <w:sz w:val="20"/>
                <w:szCs w:val="20"/>
                <w:lang w:val="en-GB"/>
              </w:rPr>
              <w:t>Italy</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0.8</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0.9</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1.3</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567"/>
              <w:jc w:val="both"/>
              <w:rPr>
                <w:rFonts w:ascii="Garamond" w:hAnsi="Garamond"/>
                <w:sz w:val="20"/>
                <w:szCs w:val="20"/>
                <w:lang w:val="en-GB"/>
              </w:rPr>
            </w:pPr>
            <w:r w:rsidRPr="00FA6232">
              <w:rPr>
                <w:rFonts w:ascii="Garamond" w:hAnsi="Garamond"/>
                <w:sz w:val="20"/>
                <w:szCs w:val="20"/>
                <w:lang w:val="en-GB"/>
              </w:rPr>
              <w:t>Spain</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3.2</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3.2</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3.1</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2.4</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Japan</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1.1</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1.3</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0.6</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United Kingdom</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2.2</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1.8</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1.7</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1.5</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Canada</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0.9</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1.5</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2.5</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1.9</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jc w:val="both"/>
              <w:rPr>
                <w:rFonts w:ascii="Garamond" w:hAnsi="Garamond"/>
                <w:b/>
                <w:bCs/>
                <w:sz w:val="20"/>
                <w:szCs w:val="20"/>
                <w:lang w:val="en-GB"/>
              </w:rPr>
            </w:pPr>
            <w:r w:rsidRPr="00FA6232">
              <w:rPr>
                <w:rFonts w:ascii="Garamond" w:hAnsi="Garamond"/>
                <w:b/>
                <w:bCs/>
                <w:sz w:val="20"/>
                <w:szCs w:val="20"/>
                <w:lang w:val="en-GB"/>
              </w:rPr>
              <w:t>Emerging Market and Developing Economies</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4.3</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4.3</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4.6</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b/>
                <w:bCs/>
                <w:sz w:val="20"/>
                <w:szCs w:val="20"/>
                <w:lang w:val="en-GB"/>
              </w:rPr>
            </w:pPr>
            <w:r w:rsidRPr="00FA6232">
              <w:rPr>
                <w:rFonts w:ascii="Garamond" w:hAnsi="Garamond"/>
                <w:b/>
                <w:bCs/>
                <w:sz w:val="20"/>
                <w:szCs w:val="20"/>
                <w:lang w:val="en-GB"/>
              </w:rPr>
              <w:t>4.8</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Brazil</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-3.8</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-3.6</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0.3</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1.3</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Russia</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-2.8</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-0.2</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1.4</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1.4</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India</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8</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7.1</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7.2</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7.7</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China</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6.9</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6.7</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6.7</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6.4</w:t>
            </w:r>
          </w:p>
        </w:tc>
      </w:tr>
      <w:tr w:rsidR="00FA6232" w:rsidRPr="00FA6232" w:rsidTr="004677BD">
        <w:trPr>
          <w:trHeight w:val="245"/>
          <w:jc w:val="center"/>
        </w:trPr>
        <w:tc>
          <w:tcPr>
            <w:tcW w:w="4585" w:type="dxa"/>
            <w:tcBorders>
              <w:top w:val="nil"/>
              <w:left w:val="single" w:sz="4" w:space="0" w:color="auto"/>
              <w:bottom w:val="single" w:sz="4" w:space="0" w:color="auto"/>
              <w:right w:val="single" w:sz="4" w:space="0" w:color="auto"/>
            </w:tcBorders>
            <w:shd w:val="clear" w:color="auto" w:fill="D9E2F3"/>
            <w:noWrap/>
            <w:vAlign w:val="bottom"/>
            <w:hideMark/>
          </w:tcPr>
          <w:p w:rsidR="00FA6232" w:rsidRPr="00FA6232" w:rsidRDefault="00FA6232" w:rsidP="004677BD">
            <w:pPr>
              <w:spacing w:after="0" w:line="240" w:lineRule="auto"/>
              <w:ind w:left="207"/>
              <w:jc w:val="both"/>
              <w:rPr>
                <w:rFonts w:ascii="Garamond" w:hAnsi="Garamond"/>
                <w:sz w:val="20"/>
                <w:szCs w:val="20"/>
                <w:lang w:val="en-GB"/>
              </w:rPr>
            </w:pPr>
            <w:r w:rsidRPr="00FA6232">
              <w:rPr>
                <w:rFonts w:ascii="Garamond" w:hAnsi="Garamond"/>
                <w:sz w:val="20"/>
                <w:szCs w:val="20"/>
                <w:lang w:val="en-GB"/>
              </w:rPr>
              <w:t>South Africa</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1.3</w:t>
            </w:r>
          </w:p>
        </w:tc>
        <w:tc>
          <w:tcPr>
            <w:tcW w:w="108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0.3</w:t>
            </w:r>
          </w:p>
        </w:tc>
        <w:tc>
          <w:tcPr>
            <w:tcW w:w="117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w:t>
            </w:r>
          </w:p>
        </w:tc>
        <w:tc>
          <w:tcPr>
            <w:tcW w:w="990" w:type="dxa"/>
            <w:tcBorders>
              <w:top w:val="nil"/>
              <w:left w:val="nil"/>
              <w:bottom w:val="single" w:sz="4" w:space="0" w:color="auto"/>
              <w:right w:val="single" w:sz="4" w:space="0" w:color="auto"/>
            </w:tcBorders>
            <w:shd w:val="clear" w:color="auto" w:fill="auto"/>
            <w:noWrap/>
            <w:vAlign w:val="bottom"/>
            <w:hideMark/>
          </w:tcPr>
          <w:p w:rsidR="00FA6232" w:rsidRPr="00FA6232" w:rsidRDefault="00FA6232" w:rsidP="004677BD">
            <w:pPr>
              <w:spacing w:after="0" w:line="240" w:lineRule="auto"/>
              <w:jc w:val="right"/>
              <w:rPr>
                <w:rFonts w:ascii="Garamond" w:hAnsi="Garamond"/>
                <w:sz w:val="20"/>
                <w:szCs w:val="20"/>
                <w:lang w:val="en-GB"/>
              </w:rPr>
            </w:pPr>
            <w:r w:rsidRPr="00FA6232">
              <w:rPr>
                <w:rFonts w:ascii="Garamond" w:hAnsi="Garamond"/>
                <w:sz w:val="20"/>
                <w:szCs w:val="20"/>
                <w:lang w:val="en-GB"/>
              </w:rPr>
              <w:t>1.2</w:t>
            </w:r>
          </w:p>
        </w:tc>
      </w:tr>
    </w:tbl>
    <w:p w:rsidR="00FA6232" w:rsidRPr="00371364" w:rsidRDefault="00FA6232" w:rsidP="00FA6232">
      <w:pPr>
        <w:spacing w:after="0" w:line="20" w:lineRule="atLeast"/>
        <w:jc w:val="both"/>
        <w:rPr>
          <w:rFonts w:ascii="Garamond" w:hAnsi="Garamond"/>
          <w:b/>
          <w:bCs/>
          <w:color w:val="000000"/>
          <w:sz w:val="24"/>
          <w:szCs w:val="24"/>
          <w:highlight w:val="green"/>
        </w:rPr>
      </w:pPr>
    </w:p>
    <w:p w:rsidR="0004006C" w:rsidRPr="00C557F2" w:rsidRDefault="0004006C" w:rsidP="0004006C">
      <w:pPr>
        <w:spacing w:after="0" w:line="20" w:lineRule="atLeast"/>
        <w:jc w:val="both"/>
        <w:rPr>
          <w:rFonts w:ascii="Garamond" w:hAnsi="Garamond"/>
          <w:b/>
          <w:bCs/>
          <w:color w:val="000000"/>
          <w:sz w:val="20"/>
          <w:szCs w:val="20"/>
          <w:lang w:val="en-GB"/>
        </w:rPr>
      </w:pPr>
      <w:r w:rsidRPr="00C557F2">
        <w:rPr>
          <w:rFonts w:ascii="Garamond" w:hAnsi="Garamond"/>
          <w:b/>
          <w:bCs/>
          <w:color w:val="000000"/>
          <w:sz w:val="20"/>
          <w:szCs w:val="20"/>
          <w:lang w:val="en-GB"/>
        </w:rPr>
        <w:t xml:space="preserve">Notes: </w:t>
      </w:r>
      <w:r w:rsidRPr="00C557F2">
        <w:rPr>
          <w:rFonts w:ascii="Garamond" w:hAnsi="Garamond"/>
          <w:bCs/>
          <w:color w:val="000000"/>
          <w:sz w:val="20"/>
          <w:szCs w:val="20"/>
          <w:lang w:val="en-GB"/>
        </w:rPr>
        <w:t>For India, data and forecasts are presented on a fiscal year basis and GDP from 2011 onward is based on GDP at market prices with FY2011/12 as a base year.</w:t>
      </w:r>
    </w:p>
    <w:p w:rsidR="00FA6232" w:rsidRPr="005B159F" w:rsidRDefault="00FA6232" w:rsidP="0004006C">
      <w:pPr>
        <w:spacing w:after="0" w:line="20" w:lineRule="atLeast"/>
        <w:jc w:val="both"/>
        <w:rPr>
          <w:rFonts w:ascii="Garamond" w:hAnsi="Garamond"/>
          <w:bCs/>
          <w:iCs/>
          <w:color w:val="000000"/>
          <w:lang w:val="en-GB"/>
        </w:rPr>
      </w:pPr>
      <w:r w:rsidRPr="005B159F">
        <w:rPr>
          <w:rFonts w:ascii="Garamond" w:hAnsi="Garamond"/>
          <w:b/>
          <w:bCs/>
          <w:iCs/>
          <w:color w:val="000000"/>
          <w:lang w:val="en-GB"/>
        </w:rPr>
        <w:t xml:space="preserve">Source: </w:t>
      </w:r>
      <w:r w:rsidR="0004006C" w:rsidRPr="0004006C">
        <w:rPr>
          <w:rFonts w:ascii="Garamond" w:hAnsi="Garamond"/>
          <w:bCs/>
          <w:i/>
          <w:color w:val="000000"/>
          <w:lang w:val="en-GB"/>
        </w:rPr>
        <w:t>International Monetary Fund</w:t>
      </w:r>
    </w:p>
    <w:p w:rsidR="00E91881" w:rsidRPr="00E91881" w:rsidRDefault="00E91881" w:rsidP="00E91881">
      <w:pPr>
        <w:spacing w:after="0" w:line="20" w:lineRule="atLeast"/>
        <w:jc w:val="both"/>
        <w:rPr>
          <w:rFonts w:ascii="Garamond" w:hAnsi="Garamond"/>
          <w:bCs/>
          <w:color w:val="000000"/>
          <w:sz w:val="24"/>
          <w:szCs w:val="24"/>
        </w:rPr>
      </w:pPr>
    </w:p>
    <w:p w:rsidR="00E91881" w:rsidRDefault="00794ED2" w:rsidP="00794ED2">
      <w:pPr>
        <w:numPr>
          <w:ilvl w:val="1"/>
          <w:numId w:val="9"/>
        </w:numPr>
        <w:spacing w:after="0" w:line="240" w:lineRule="auto"/>
        <w:ind w:hanging="508"/>
        <w:contextualSpacing/>
        <w:jc w:val="both"/>
        <w:rPr>
          <w:rFonts w:ascii="Garamond" w:hAnsi="Garamond"/>
          <w:bCs/>
          <w:color w:val="000000"/>
          <w:sz w:val="24"/>
          <w:szCs w:val="24"/>
        </w:rPr>
      </w:pPr>
      <w:r w:rsidRPr="00794ED2">
        <w:rPr>
          <w:rFonts w:ascii="Garamond" w:hAnsi="Garamond"/>
          <w:bCs/>
          <w:color w:val="000000"/>
          <w:sz w:val="24"/>
          <w:szCs w:val="24"/>
        </w:rPr>
        <w:t>The inflation remained tamed across the world. As a result of strong inventory levels in the United States and a pickup in supply, the oil prices have receded. Headline inflation also generally softened as the impact of the commodity price rebound of the second half of 2016 faded, and remains at levels well below central bank targets in most advanced economies. Core inflation has remained broadly stable. It has largely been stable in emerging economies as well, with a few, such as Brazil and Russia, witnessing strong declines.</w:t>
      </w:r>
    </w:p>
    <w:p w:rsidR="00794ED2" w:rsidRPr="00E91881" w:rsidRDefault="00794ED2" w:rsidP="00794ED2">
      <w:pPr>
        <w:spacing w:after="0" w:line="20" w:lineRule="atLeast"/>
        <w:jc w:val="both"/>
        <w:rPr>
          <w:rFonts w:ascii="Garamond" w:hAnsi="Garamond"/>
          <w:bCs/>
          <w:color w:val="000000"/>
          <w:sz w:val="24"/>
          <w:szCs w:val="24"/>
        </w:rPr>
      </w:pPr>
    </w:p>
    <w:p w:rsidR="00E91881" w:rsidRPr="00E91881" w:rsidRDefault="00794ED2" w:rsidP="00794ED2">
      <w:pPr>
        <w:numPr>
          <w:ilvl w:val="1"/>
          <w:numId w:val="9"/>
        </w:numPr>
        <w:spacing w:after="0" w:line="240" w:lineRule="auto"/>
        <w:contextualSpacing/>
        <w:jc w:val="both"/>
        <w:rPr>
          <w:rFonts w:ascii="Garamond" w:hAnsi="Garamond"/>
          <w:bCs/>
          <w:color w:val="000000"/>
          <w:sz w:val="24"/>
          <w:szCs w:val="24"/>
        </w:rPr>
      </w:pPr>
      <w:r w:rsidRPr="00794ED2">
        <w:rPr>
          <w:rFonts w:ascii="Garamond" w:eastAsiaTheme="minorHAnsi" w:hAnsi="Garamond"/>
          <w:bCs/>
          <w:color w:val="000000" w:themeColor="text1"/>
          <w:sz w:val="24"/>
          <w:szCs w:val="24"/>
          <w:lang w:val="en-IN"/>
        </w:rPr>
        <w:t xml:space="preserve">The IMF in its Update also assessed the possible risks. While short-term risks remain broadly balanced, medium-term risks are still skewed to the downside. Among the advanced the US, the risk is two sided. On the upside, implementation of a fiscal stimulus could drive U.S. demand and output growth above the baseline forecast, while on the downside, implementation of the expenditure-based consolidation proposed in the Administration’s budget would drive them lower. On the upside, the pickup in activity in the euro area, with buoyant market sentiment and reduced political risks, could be stronger and more durable than currently projected. On the downside, protracted policy </w:t>
      </w:r>
      <w:r w:rsidRPr="00794ED2">
        <w:rPr>
          <w:rFonts w:ascii="Garamond" w:eastAsiaTheme="minorHAnsi" w:hAnsi="Garamond"/>
          <w:bCs/>
          <w:color w:val="000000" w:themeColor="text1"/>
          <w:sz w:val="24"/>
          <w:szCs w:val="24"/>
          <w:lang w:val="en-IN"/>
        </w:rPr>
        <w:lastRenderedPageBreak/>
        <w:t>uncertainty or other shocks could trigger a correction in rich market valuations, especially for equities, and an increase in volatility from current very low levels. In turn, this could dent spending and confidence more generally, especially in countries with high financial vulnerabilities. Lower commodity prices would further exacerbate macroeconomic strains and complicate adjustment needs in many commodity exporters</w:t>
      </w:r>
      <w:r w:rsidR="00E91881" w:rsidRPr="00E91881">
        <w:rPr>
          <w:rFonts w:ascii="Garamond" w:hAnsi="Garamond"/>
          <w:bCs/>
          <w:color w:val="000000"/>
          <w:sz w:val="24"/>
          <w:szCs w:val="24"/>
        </w:rPr>
        <w:t>.</w:t>
      </w:r>
    </w:p>
    <w:p w:rsidR="00B40F0E" w:rsidRDefault="00B40F0E" w:rsidP="00B40F0E">
      <w:pPr>
        <w:spacing w:after="0" w:line="20" w:lineRule="atLeast"/>
        <w:jc w:val="both"/>
        <w:rPr>
          <w:rFonts w:ascii="Garamond" w:hAnsi="Garamond"/>
          <w:bCs/>
          <w:strike/>
          <w:color w:val="000000"/>
          <w:sz w:val="24"/>
          <w:szCs w:val="24"/>
          <w:lang w:val="en-GB"/>
        </w:rPr>
      </w:pPr>
    </w:p>
    <w:p w:rsidR="00FA6232" w:rsidRPr="00FA6232" w:rsidRDefault="00FA6232" w:rsidP="00FA6232">
      <w:pPr>
        <w:ind w:left="851"/>
        <w:jc w:val="both"/>
        <w:rPr>
          <w:rFonts w:ascii="Garamond" w:hAnsi="Garamond"/>
          <w:sz w:val="24"/>
          <w:szCs w:val="24"/>
        </w:rPr>
      </w:pPr>
      <w:r w:rsidRPr="00FA6232">
        <w:rPr>
          <w:rFonts w:ascii="Garamond" w:hAnsi="Garamond"/>
          <w:sz w:val="24"/>
          <w:szCs w:val="24"/>
        </w:rPr>
        <w:t>As per IMF, the following downside risks are threatening the strength and durability of the recovery:</w:t>
      </w:r>
      <w:r w:rsidRPr="00FA6232">
        <w:rPr>
          <w:rFonts w:ascii="Garamond" w:hAnsi="Garamond"/>
          <w:sz w:val="24"/>
          <w:szCs w:val="24"/>
        </w:rPr>
        <w:cr/>
      </w:r>
    </w:p>
    <w:p w:rsidR="00FA6232" w:rsidRPr="00FA6232" w:rsidRDefault="00FA6232" w:rsidP="00FA6232">
      <w:pPr>
        <w:pStyle w:val="ListParagraph"/>
        <w:numPr>
          <w:ilvl w:val="0"/>
          <w:numId w:val="46"/>
        </w:numPr>
        <w:spacing w:after="0" w:line="240" w:lineRule="auto"/>
        <w:ind w:left="1134"/>
        <w:jc w:val="both"/>
        <w:rPr>
          <w:rFonts w:ascii="Garamond" w:hAnsi="Garamond"/>
          <w:sz w:val="24"/>
          <w:szCs w:val="24"/>
        </w:rPr>
      </w:pPr>
      <w:r w:rsidRPr="00FA6232">
        <w:rPr>
          <w:rFonts w:ascii="Garamond" w:hAnsi="Garamond"/>
          <w:b/>
          <w:i/>
          <w:sz w:val="24"/>
          <w:szCs w:val="24"/>
        </w:rPr>
        <w:t>Protracted period of policy uncertainty:</w:t>
      </w:r>
      <w:r w:rsidRPr="00FA6232">
        <w:rPr>
          <w:rFonts w:ascii="Garamond" w:hAnsi="Garamond"/>
          <w:sz w:val="24"/>
          <w:szCs w:val="24"/>
        </w:rPr>
        <w:t xml:space="preserve"> Heightened policy uncertainty across the globe remains a concern. This includes U.S. regulatory and fiscal policies which is quite unpredictable at this moment, negotiations of post-Brexit arrangements, or geopolitical risks. Policy uncertainty could harm confidence, deter private investment, and weaken growth.</w:t>
      </w:r>
    </w:p>
    <w:p w:rsidR="00FA6232" w:rsidRPr="00FA6232" w:rsidRDefault="00FA6232" w:rsidP="00FA6232">
      <w:pPr>
        <w:ind w:left="1134"/>
        <w:jc w:val="both"/>
        <w:rPr>
          <w:rFonts w:ascii="Garamond" w:hAnsi="Garamond"/>
          <w:sz w:val="24"/>
          <w:szCs w:val="24"/>
        </w:rPr>
      </w:pPr>
    </w:p>
    <w:p w:rsidR="00FA6232" w:rsidRDefault="00FA6232" w:rsidP="004677BD">
      <w:pPr>
        <w:pStyle w:val="ListParagraph"/>
        <w:numPr>
          <w:ilvl w:val="0"/>
          <w:numId w:val="46"/>
        </w:numPr>
        <w:spacing w:after="0" w:line="240" w:lineRule="auto"/>
        <w:ind w:left="1134"/>
        <w:jc w:val="both"/>
        <w:rPr>
          <w:rFonts w:ascii="Garamond" w:hAnsi="Garamond"/>
          <w:sz w:val="24"/>
          <w:szCs w:val="24"/>
        </w:rPr>
      </w:pPr>
      <w:r w:rsidRPr="00FA6232">
        <w:rPr>
          <w:rFonts w:ascii="Garamond" w:hAnsi="Garamond"/>
          <w:b/>
          <w:i/>
          <w:sz w:val="24"/>
          <w:szCs w:val="24"/>
        </w:rPr>
        <w:t>Financial tensions:</w:t>
      </w:r>
      <w:r w:rsidRPr="00FA6232">
        <w:rPr>
          <w:rFonts w:ascii="Garamond" w:hAnsi="Garamond"/>
          <w:sz w:val="24"/>
          <w:szCs w:val="24"/>
        </w:rPr>
        <w:t xml:space="preserve"> China may witness abrupt slowdown in its growth as a result of failure to continue the recent focus on addressing financial sector risks and curb excessive credit growth. This may result into adverse spillovers to other countries through trade relations. </w:t>
      </w:r>
    </w:p>
    <w:p w:rsidR="00FA6232" w:rsidRPr="00FA6232" w:rsidRDefault="00FA6232" w:rsidP="00FA6232">
      <w:pPr>
        <w:pStyle w:val="ListParagraph"/>
        <w:rPr>
          <w:rFonts w:ascii="Garamond" w:hAnsi="Garamond"/>
          <w:sz w:val="24"/>
          <w:szCs w:val="24"/>
        </w:rPr>
      </w:pPr>
    </w:p>
    <w:p w:rsidR="00FA6232" w:rsidRPr="00FA6232" w:rsidRDefault="00FA6232" w:rsidP="00FA6232">
      <w:pPr>
        <w:pStyle w:val="ListParagraph"/>
        <w:spacing w:after="0" w:line="240" w:lineRule="auto"/>
        <w:ind w:left="1134"/>
        <w:jc w:val="both"/>
        <w:rPr>
          <w:rFonts w:ascii="Garamond" w:hAnsi="Garamond"/>
          <w:sz w:val="24"/>
          <w:szCs w:val="24"/>
        </w:rPr>
      </w:pPr>
      <w:r w:rsidRPr="00FA6232">
        <w:rPr>
          <w:rFonts w:ascii="Garamond" w:hAnsi="Garamond"/>
          <w:sz w:val="24"/>
          <w:szCs w:val="24"/>
        </w:rPr>
        <w:t xml:space="preserve">Faster monetary policy tightening in the US could trigger reversals in capital flows to emerging economies. Besides, the recent U.S. dollar appreciation would affect emerging economies with large leverage, U.S. dollar pegs, or balance sheet mismatches. On a positive note, due to a brighter outlook of the U.S., its trading partners would benefit from positive demand spillovers. </w:t>
      </w:r>
    </w:p>
    <w:p w:rsidR="00FA6232" w:rsidRDefault="00FA6232" w:rsidP="00FA6232">
      <w:pPr>
        <w:pStyle w:val="ListParagraph"/>
        <w:spacing w:after="0" w:line="240" w:lineRule="auto"/>
        <w:ind w:left="1134"/>
        <w:jc w:val="both"/>
        <w:rPr>
          <w:rFonts w:ascii="Garamond" w:hAnsi="Garamond"/>
          <w:sz w:val="24"/>
          <w:szCs w:val="24"/>
        </w:rPr>
      </w:pPr>
    </w:p>
    <w:p w:rsidR="00FA6232" w:rsidRPr="00FA6232" w:rsidRDefault="00FA6232" w:rsidP="00FA6232">
      <w:pPr>
        <w:pStyle w:val="ListParagraph"/>
        <w:spacing w:after="0" w:line="240" w:lineRule="auto"/>
        <w:ind w:left="1134"/>
        <w:jc w:val="both"/>
        <w:rPr>
          <w:rFonts w:ascii="Garamond" w:hAnsi="Garamond"/>
          <w:sz w:val="24"/>
          <w:szCs w:val="24"/>
        </w:rPr>
      </w:pPr>
      <w:r w:rsidRPr="00FA6232">
        <w:rPr>
          <w:rFonts w:ascii="Garamond" w:hAnsi="Garamond"/>
          <w:sz w:val="24"/>
          <w:szCs w:val="24"/>
        </w:rPr>
        <w:t xml:space="preserve">In the Eurozone, financial stability concerns might reignite as a result of weak bank balance sheets in some countries and an unfavorable profitability outlook coupled with higher political risks. Further, a rise in long-term interest rates would worsen public debt dynamics. Finally, a broad rollback of the strengthening of financial regulation and oversight achieved since the crisis—both nationally and internationally—could lower capital and liquidity buffers or weaken supervisory effectiveness, with negative repercussions for global financial stability. </w:t>
      </w:r>
    </w:p>
    <w:p w:rsidR="00FA6232" w:rsidRPr="00FA6232" w:rsidRDefault="00FA6232" w:rsidP="004677BD">
      <w:pPr>
        <w:spacing w:after="0" w:line="240" w:lineRule="auto"/>
        <w:ind w:left="1134"/>
        <w:jc w:val="both"/>
        <w:rPr>
          <w:rFonts w:ascii="Garamond" w:hAnsi="Garamond"/>
          <w:sz w:val="24"/>
          <w:szCs w:val="24"/>
        </w:rPr>
      </w:pPr>
    </w:p>
    <w:p w:rsidR="00FA6232" w:rsidRPr="00FA6232" w:rsidRDefault="00FA6232" w:rsidP="00FA6232">
      <w:pPr>
        <w:pStyle w:val="ListParagraph"/>
        <w:numPr>
          <w:ilvl w:val="0"/>
          <w:numId w:val="46"/>
        </w:numPr>
        <w:spacing w:after="0" w:line="240" w:lineRule="auto"/>
        <w:ind w:left="1134"/>
        <w:jc w:val="both"/>
        <w:rPr>
          <w:rFonts w:ascii="Garamond" w:hAnsi="Garamond"/>
          <w:sz w:val="24"/>
          <w:szCs w:val="24"/>
        </w:rPr>
      </w:pPr>
      <w:r w:rsidRPr="00FA6232">
        <w:rPr>
          <w:rFonts w:ascii="Garamond" w:hAnsi="Garamond"/>
          <w:b/>
          <w:i/>
          <w:sz w:val="24"/>
          <w:szCs w:val="24"/>
        </w:rPr>
        <w:t>Inward-looking policies:</w:t>
      </w:r>
      <w:r w:rsidRPr="00FA6232">
        <w:rPr>
          <w:rFonts w:ascii="Garamond" w:hAnsi="Garamond"/>
          <w:sz w:val="24"/>
          <w:szCs w:val="24"/>
        </w:rPr>
        <w:t xml:space="preserve"> Over the longer term, failure to lift potential growth and make growth more inclusive could fuel protectionism and hinder market-friendly reforms. The results could include disrupted global supply chains, lower global productivity, and less affordable tradable consumer goods, which harm low income households disproportionately.</w:t>
      </w:r>
    </w:p>
    <w:p w:rsidR="00FA6232" w:rsidRPr="00FA6232" w:rsidRDefault="00FA6232" w:rsidP="004677BD">
      <w:pPr>
        <w:spacing w:after="0" w:line="240" w:lineRule="auto"/>
        <w:ind w:left="1134"/>
        <w:jc w:val="both"/>
        <w:rPr>
          <w:rFonts w:ascii="Garamond" w:hAnsi="Garamond"/>
          <w:sz w:val="24"/>
          <w:szCs w:val="24"/>
        </w:rPr>
      </w:pPr>
    </w:p>
    <w:p w:rsidR="00FA6232" w:rsidRPr="00FA6232" w:rsidRDefault="00FA6232" w:rsidP="00FA6232">
      <w:pPr>
        <w:spacing w:after="0" w:line="20" w:lineRule="atLeast"/>
        <w:ind w:left="1134"/>
        <w:jc w:val="both"/>
        <w:rPr>
          <w:rFonts w:ascii="Garamond" w:hAnsi="Garamond"/>
          <w:bCs/>
          <w:strike/>
          <w:color w:val="000000"/>
          <w:sz w:val="24"/>
          <w:szCs w:val="24"/>
          <w:lang w:val="en-GB"/>
        </w:rPr>
      </w:pPr>
      <w:r w:rsidRPr="00FA6232">
        <w:rPr>
          <w:rFonts w:ascii="Garamond" w:hAnsi="Garamond"/>
          <w:b/>
          <w:i/>
          <w:sz w:val="24"/>
          <w:szCs w:val="24"/>
        </w:rPr>
        <w:t xml:space="preserve">Noneconomic factors. </w:t>
      </w:r>
      <w:r w:rsidRPr="00FA6232">
        <w:rPr>
          <w:rFonts w:ascii="Garamond" w:hAnsi="Garamond"/>
          <w:sz w:val="24"/>
          <w:szCs w:val="24"/>
        </w:rPr>
        <w:t>Rising geopolitical tensions, domestic political discord, and shocks arising from weak governance and corruption can all weigh on economic activity.</w:t>
      </w: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8162CB">
        <w:rPr>
          <w:rFonts w:ascii="Garamond" w:eastAsiaTheme="minorHAnsi" w:hAnsi="Garamond"/>
          <w:b/>
          <w:color w:val="1F497D" w:themeColor="text2"/>
          <w:sz w:val="24"/>
          <w:szCs w:val="24"/>
          <w:lang w:val="en-GB"/>
        </w:rPr>
        <w:t>The Organisation for Economic Co-operation and Development (OECD)</w:t>
      </w:r>
      <w:r w:rsidRPr="008162CB">
        <w:rPr>
          <w:rFonts w:ascii="Garamond" w:eastAsiaTheme="minorHAnsi" w:hAnsi="Garamond"/>
          <w:b/>
          <w:color w:val="1F497D" w:themeColor="text2"/>
          <w:sz w:val="24"/>
          <w:szCs w:val="24"/>
          <w:vertAlign w:val="superscript"/>
          <w:lang w:val="en-GB"/>
        </w:rPr>
        <w:footnoteReference w:id="2"/>
      </w:r>
      <w:r w:rsidRPr="008162CB">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8162CB" w:rsidRPr="008162CB" w:rsidRDefault="008162CB" w:rsidP="004677BD">
      <w:pPr>
        <w:numPr>
          <w:ilvl w:val="1"/>
          <w:numId w:val="9"/>
        </w:numPr>
        <w:spacing w:after="0" w:line="240" w:lineRule="auto"/>
        <w:contextualSpacing/>
        <w:jc w:val="both"/>
        <w:rPr>
          <w:rFonts w:ascii="Garamond" w:hAnsi="Garamond"/>
          <w:bCs/>
          <w:color w:val="000000"/>
          <w:sz w:val="24"/>
          <w:szCs w:val="24"/>
          <w:lang w:val="en-GB"/>
        </w:rPr>
      </w:pPr>
      <w:r w:rsidRPr="008162CB">
        <w:rPr>
          <w:rFonts w:ascii="Garamond" w:hAnsi="Garamond"/>
          <w:bCs/>
          <w:color w:val="000000"/>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8162CB" w:rsidRPr="008162CB" w:rsidRDefault="008162CB" w:rsidP="008162CB">
      <w:pPr>
        <w:spacing w:after="0" w:line="240" w:lineRule="auto"/>
        <w:contextualSpacing/>
        <w:jc w:val="both"/>
        <w:rPr>
          <w:rFonts w:ascii="Garamond" w:hAnsi="Garamond"/>
          <w:bCs/>
          <w:color w:val="000000"/>
          <w:sz w:val="24"/>
          <w:szCs w:val="24"/>
          <w:lang w:val="en-GB"/>
        </w:rPr>
      </w:pPr>
    </w:p>
    <w:p w:rsidR="008162CB" w:rsidRPr="008162CB" w:rsidRDefault="008162CB" w:rsidP="004677BD">
      <w:pPr>
        <w:numPr>
          <w:ilvl w:val="1"/>
          <w:numId w:val="9"/>
        </w:numPr>
        <w:spacing w:after="0" w:line="240" w:lineRule="auto"/>
        <w:contextualSpacing/>
        <w:jc w:val="both"/>
        <w:rPr>
          <w:rFonts w:ascii="Garamond" w:hAnsi="Garamond"/>
          <w:bCs/>
          <w:color w:val="000000"/>
          <w:sz w:val="24"/>
          <w:szCs w:val="24"/>
          <w:lang w:val="en-GB"/>
        </w:rPr>
      </w:pPr>
      <w:r w:rsidRPr="008162CB">
        <w:rPr>
          <w:rFonts w:ascii="Garamond" w:hAnsi="Garamond"/>
          <w:bCs/>
          <w:color w:val="000000"/>
          <w:sz w:val="24"/>
          <w:szCs w:val="24"/>
          <w:lang w:val="en-GB"/>
        </w:rPr>
        <w:lastRenderedPageBreak/>
        <w:t xml:space="preserve">As per the provisional estimates, real GDP in the OECD area increased by 0.5 per cent quarter-on-quarter (Q-o-Q) in the first quarter of 2017, compared with 0.7 per cent in the previous quarter, mainly reflecting reduced contributions from private consumption  and investment.  Net exports also has some contribution to overall GDP growth. Year-on-year (Y-o-Y) GDP growth for the OECD area was stable at 2.0 per cent in the first quarter of 2017. </w:t>
      </w:r>
    </w:p>
    <w:p w:rsidR="008162CB" w:rsidRPr="008162CB" w:rsidRDefault="008162CB" w:rsidP="008162CB">
      <w:pPr>
        <w:spacing w:after="0" w:line="240" w:lineRule="auto"/>
        <w:contextualSpacing/>
        <w:jc w:val="both"/>
        <w:rPr>
          <w:rFonts w:ascii="Garamond" w:hAnsi="Garamond"/>
          <w:bCs/>
          <w:color w:val="000000"/>
          <w:sz w:val="24"/>
          <w:szCs w:val="24"/>
          <w:lang w:val="en-GB"/>
        </w:rPr>
      </w:pPr>
    </w:p>
    <w:p w:rsidR="008162CB" w:rsidRPr="008162CB" w:rsidRDefault="008162CB" w:rsidP="004677BD">
      <w:pPr>
        <w:numPr>
          <w:ilvl w:val="1"/>
          <w:numId w:val="9"/>
        </w:numPr>
        <w:spacing w:after="0" w:line="240" w:lineRule="auto"/>
        <w:contextualSpacing/>
        <w:jc w:val="both"/>
        <w:rPr>
          <w:rFonts w:ascii="Garamond" w:hAnsi="Garamond"/>
          <w:bCs/>
          <w:color w:val="000000"/>
          <w:sz w:val="24"/>
          <w:szCs w:val="24"/>
          <w:lang w:val="en-GB"/>
        </w:rPr>
      </w:pPr>
      <w:r w:rsidRPr="008162CB">
        <w:rPr>
          <w:rFonts w:ascii="Garamond" w:hAnsi="Garamond"/>
          <w:bCs/>
          <w:color w:val="000000"/>
          <w:sz w:val="24"/>
          <w:szCs w:val="24"/>
          <w:lang w:val="en-GB"/>
        </w:rPr>
        <w:t>According to provisional estimates, the real GDP in the G20 area grew at 0.9 per cent, in the first quarter of 2017. On a Y-o-Y basis, GDP growth for the G20 area increased to 3.4 per cent in the first quarter of 2017 from 3.3 per cent in the previous quarter.</w:t>
      </w:r>
    </w:p>
    <w:p w:rsidR="008162CB" w:rsidRPr="008162CB" w:rsidRDefault="008162CB" w:rsidP="008162CB">
      <w:pPr>
        <w:spacing w:after="0" w:line="240" w:lineRule="auto"/>
        <w:contextualSpacing/>
        <w:jc w:val="both"/>
        <w:rPr>
          <w:rFonts w:ascii="Garamond" w:hAnsi="Garamond"/>
          <w:bCs/>
          <w:color w:val="000000"/>
          <w:sz w:val="24"/>
          <w:szCs w:val="24"/>
          <w:lang w:val="en-GB"/>
        </w:rPr>
      </w:pPr>
    </w:p>
    <w:p w:rsidR="008162CB" w:rsidRPr="008162CB" w:rsidRDefault="008162CB" w:rsidP="004677BD">
      <w:pPr>
        <w:numPr>
          <w:ilvl w:val="1"/>
          <w:numId w:val="9"/>
        </w:numPr>
        <w:spacing w:after="0" w:line="240" w:lineRule="auto"/>
        <w:contextualSpacing/>
        <w:jc w:val="both"/>
        <w:rPr>
          <w:rFonts w:ascii="Garamond" w:hAnsi="Garamond"/>
          <w:bCs/>
          <w:color w:val="000000"/>
          <w:sz w:val="24"/>
          <w:szCs w:val="24"/>
          <w:lang w:val="en-GB"/>
        </w:rPr>
      </w:pPr>
      <w:r w:rsidRPr="008162CB">
        <w:rPr>
          <w:rFonts w:ascii="Garamond" w:hAnsi="Garamond"/>
          <w:bCs/>
          <w:color w:val="000000"/>
          <w:sz w:val="24"/>
          <w:szCs w:val="24"/>
          <w:lang w:val="en-GB"/>
        </w:rPr>
        <w:t>Annual inflation in the OECD area slowed to 1.9 per cent in June 2017, compared with 2.1 per cent in May 2017, reflecting a continued slowdown in energy price inflation. Energy prices rose by 3.0 per cent in the year to June compared with 5.5 per cent in May. Food price inflation marginally increased to 1.6 per cent in June, compared with 1.5 per cent in May. Excluding food and energy, inflation in the OECD area was stable at 1.8 per cent in June. The OECD unemployment rate was stable at 5.9 per cent in May 2017, the same reading compared to the previous month.</w:t>
      </w:r>
    </w:p>
    <w:p w:rsidR="000C5B09" w:rsidRPr="000C5B09" w:rsidRDefault="000C5B09" w:rsidP="000C5B09">
      <w:pPr>
        <w:spacing w:after="0" w:line="240" w:lineRule="auto"/>
        <w:contextualSpacing/>
        <w:jc w:val="both"/>
        <w:rPr>
          <w:rFonts w:ascii="Garamond" w:hAnsi="Garamond"/>
          <w:bCs/>
          <w:color w:val="000000"/>
          <w:sz w:val="24"/>
          <w:szCs w:val="24"/>
          <w:lang w:val="en-GB"/>
        </w:rPr>
      </w:pPr>
    </w:p>
    <w:p w:rsidR="00984931" w:rsidRPr="00B40F0E" w:rsidRDefault="00984931" w:rsidP="00B40F0E">
      <w:pPr>
        <w:spacing w:after="0" w:line="20" w:lineRule="atLeast"/>
        <w:jc w:val="both"/>
        <w:rPr>
          <w:rFonts w:ascii="Garamond" w:eastAsiaTheme="minorHAnsi" w:hAnsi="Garamond"/>
          <w:color w:val="000000" w:themeColor="text1"/>
          <w:sz w:val="24"/>
          <w:szCs w:val="24"/>
          <w:lang w:val="en-GB"/>
        </w:rPr>
      </w:pPr>
      <w:r w:rsidRPr="00856554">
        <w:rPr>
          <w:rFonts w:ascii="Garamond" w:eastAsiaTheme="minorHAnsi" w:hAnsi="Garamond"/>
          <w:b/>
          <w:color w:val="000000" w:themeColor="text1"/>
          <w:sz w:val="24"/>
          <w:szCs w:val="24"/>
          <w:lang w:val="en-GB"/>
        </w:rPr>
        <w:t>Exhibit 2: Major Macroeconomic Indicators</w:t>
      </w:r>
    </w:p>
    <w:tbl>
      <w:tblPr>
        <w:tblW w:w="9857" w:type="dxa"/>
        <w:tblInd w:w="-10" w:type="dxa"/>
        <w:tblLook w:val="04A0" w:firstRow="1" w:lastRow="0" w:firstColumn="1" w:lastColumn="0" w:noHBand="0" w:noVBand="1"/>
      </w:tblPr>
      <w:tblGrid>
        <w:gridCol w:w="755"/>
        <w:gridCol w:w="1530"/>
        <w:gridCol w:w="741"/>
        <w:gridCol w:w="762"/>
        <w:gridCol w:w="862"/>
        <w:gridCol w:w="763"/>
        <w:gridCol w:w="677"/>
        <w:gridCol w:w="775"/>
        <w:gridCol w:w="660"/>
        <w:gridCol w:w="1150"/>
        <w:gridCol w:w="1182"/>
      </w:tblGrid>
      <w:tr w:rsidR="00413D85" w:rsidRPr="00413D85" w:rsidTr="000C5B09">
        <w:trPr>
          <w:trHeight w:val="387"/>
        </w:trPr>
        <w:tc>
          <w:tcPr>
            <w:tcW w:w="755"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902CD6" w:rsidRPr="00E41CAC" w:rsidRDefault="00413D85" w:rsidP="00902CD6">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00902CD6" w:rsidRPr="00E41CAC">
              <w:rPr>
                <w:rFonts w:ascii="Garamond" w:eastAsia="Times New Roman" w:hAnsi="Garamond" w:cs="Calibri"/>
                <w:b/>
                <w:bCs/>
                <w:color w:val="000000"/>
                <w:lang w:eastAsia="en-GB"/>
              </w:rPr>
              <w:t xml:space="preserve">Developed </w:t>
            </w:r>
          </w:p>
          <w:p w:rsidR="00413D85" w:rsidRPr="00413D85" w:rsidRDefault="00902CD6" w:rsidP="00902CD6">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28"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452" w:type="dxa"/>
            <w:gridSpan w:val="2"/>
            <w:tcBorders>
              <w:top w:val="single" w:sz="8" w:space="0" w:color="auto"/>
              <w:left w:val="nil"/>
              <w:bottom w:val="single" w:sz="8" w:space="0" w:color="auto"/>
              <w:right w:val="single" w:sz="8" w:space="0" w:color="000000"/>
            </w:tcBorders>
            <w:shd w:val="clear" w:color="000000" w:fill="95B3D7"/>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810"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413D85" w:rsidRPr="00413D85" w:rsidTr="000C5B09">
        <w:trPr>
          <w:trHeight w:val="225"/>
        </w:trPr>
        <w:tc>
          <w:tcPr>
            <w:tcW w:w="755"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741"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7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862"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3"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7"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775"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6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50" w:type="dxa"/>
            <w:tcBorders>
              <w:top w:val="nil"/>
              <w:left w:val="nil"/>
              <w:bottom w:val="single" w:sz="8" w:space="0" w:color="auto"/>
              <w:right w:val="single" w:sz="8" w:space="0" w:color="auto"/>
            </w:tcBorders>
            <w:shd w:val="clear" w:color="000000" w:fill="95B3D7"/>
            <w:noWrap/>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r>
      <w:tr w:rsidR="00413D85" w:rsidRPr="00413D85" w:rsidTr="000C5B09">
        <w:trPr>
          <w:trHeight w:val="37"/>
        </w:trPr>
        <w:tc>
          <w:tcPr>
            <w:tcW w:w="755" w:type="dxa"/>
            <w:vMerge/>
            <w:tcBorders>
              <w:left w:val="single" w:sz="8" w:space="0" w:color="auto"/>
              <w:right w:val="single" w:sz="8" w:space="0" w:color="auto"/>
            </w:tcBorders>
            <w:shd w:val="clear" w:color="000000" w:fill="95B3D7"/>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19311D"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2.10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326B5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1.6</w:t>
            </w:r>
            <w:r w:rsidR="00D05103" w:rsidRPr="00D05103">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326B53"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Jun</w:t>
            </w:r>
            <w:r w:rsidR="00413D85"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4.4</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6314C9"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1.25</w:t>
            </w:r>
          </w:p>
        </w:tc>
      </w:tr>
      <w:tr w:rsidR="00413D85" w:rsidRPr="00413D85" w:rsidTr="000C5B09">
        <w:trPr>
          <w:trHeight w:val="74"/>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1.70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0.3</w:t>
            </w:r>
            <w:r w:rsidR="00413D85" w:rsidRPr="00413D85">
              <w:rPr>
                <w:rFonts w:ascii="Garamond" w:eastAsia="Times New Roman" w:hAnsi="Garamond" w:cs="Calibri"/>
                <w:color w:val="000000"/>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2.6</w:t>
            </w:r>
            <w:r w:rsidR="00413D85" w:rsidRPr="00413D85">
              <w:rPr>
                <w:rFonts w:ascii="Garamond" w:eastAsia="Times New Roman" w:hAnsi="Garamond" w:cs="Calibri"/>
                <w:color w:val="000000"/>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B604D5" w:rsidP="00413D85">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4.5</w:t>
            </w:r>
            <w:r w:rsidR="00413D85" w:rsidRPr="00413D85">
              <w:rPr>
                <w:rFonts w:ascii="Garamond" w:eastAsia="Times New Roman" w:hAnsi="Garamond" w:cs="Calibri"/>
                <w:color w:val="000000"/>
                <w:sz w:val="20"/>
                <w:lang w:eastAsia="en-GB"/>
              </w:rPr>
              <w:t>0</w:t>
            </w:r>
          </w:p>
        </w:tc>
        <w:tc>
          <w:tcPr>
            <w:tcW w:w="1150" w:type="dxa"/>
            <w:tcBorders>
              <w:top w:val="nil"/>
              <w:left w:val="nil"/>
              <w:bottom w:val="nil"/>
              <w:right w:val="single" w:sz="8" w:space="0" w:color="auto"/>
            </w:tcBorders>
            <w:shd w:val="clear" w:color="auto" w:fill="auto"/>
            <w:vAlign w:val="center"/>
            <w:hideMark/>
          </w:tcPr>
          <w:p w:rsidR="00413D85" w:rsidRPr="00413D85" w:rsidRDefault="00B604D5" w:rsidP="00413D85">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May</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0.25</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9.1</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09288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1.70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0.60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1.6</w:t>
            </w:r>
            <w:r w:rsidR="004637D9">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3.8</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15"/>
        </w:trPr>
        <w:tc>
          <w:tcPr>
            <w:tcW w:w="755" w:type="dxa"/>
            <w:vMerge/>
            <w:tcBorders>
              <w:left w:val="single" w:sz="8" w:space="0" w:color="auto"/>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auto" w:fill="auto"/>
            <w:noWrap/>
            <w:vAlign w:val="center"/>
            <w:hideMark/>
          </w:tcPr>
          <w:p w:rsidR="00413D85" w:rsidRPr="00413D85" w:rsidRDefault="00413D85" w:rsidP="00413D85">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41" w:type="dxa"/>
            <w:tcBorders>
              <w:top w:val="nil"/>
              <w:left w:val="single" w:sz="8" w:space="0" w:color="auto"/>
              <w:bottom w:val="nil"/>
              <w:right w:val="single" w:sz="8" w:space="0" w:color="auto"/>
            </w:tcBorders>
            <w:shd w:val="clear" w:color="auto" w:fill="auto"/>
            <w:noWrap/>
            <w:vAlign w:val="center"/>
            <w:hideMark/>
          </w:tcPr>
          <w:p w:rsidR="00413D85" w:rsidRPr="00413D85" w:rsidRDefault="00CA1350" w:rsidP="00A82C27">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w:t>
            </w:r>
            <w:r w:rsidR="00A82C27">
              <w:rPr>
                <w:rFonts w:ascii="Garamond" w:eastAsia="Times New Roman" w:hAnsi="Garamond" w:cs="Calibri"/>
                <w:sz w:val="20"/>
                <w:lang w:eastAsia="en-GB"/>
              </w:rPr>
              <w:t>80</w:t>
            </w:r>
          </w:p>
        </w:tc>
        <w:tc>
          <w:tcPr>
            <w:tcW w:w="762" w:type="dxa"/>
            <w:tcBorders>
              <w:top w:val="nil"/>
              <w:left w:val="nil"/>
              <w:bottom w:val="nil"/>
              <w:right w:val="single" w:sz="8" w:space="0" w:color="auto"/>
            </w:tcBorders>
            <w:shd w:val="clear" w:color="auto" w:fill="auto"/>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auto" w:fill="auto"/>
            <w:noWrap/>
            <w:vAlign w:val="center"/>
            <w:hideMark/>
          </w:tcPr>
          <w:p w:rsidR="00413D85" w:rsidRPr="00413D85" w:rsidRDefault="00CA1350"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00413D85" w:rsidRPr="00413D85">
              <w:rPr>
                <w:rFonts w:ascii="Garamond" w:eastAsia="Times New Roman" w:hAnsi="Garamond" w:cs="Calibri"/>
                <w:sz w:val="20"/>
                <w:lang w:eastAsia="en-GB"/>
              </w:rPr>
              <w:t>0</w:t>
            </w:r>
          </w:p>
        </w:tc>
        <w:tc>
          <w:tcPr>
            <w:tcW w:w="763" w:type="dxa"/>
            <w:tcBorders>
              <w:top w:val="nil"/>
              <w:left w:val="nil"/>
              <w:bottom w:val="nil"/>
              <w:right w:val="single" w:sz="8" w:space="0" w:color="auto"/>
            </w:tcBorders>
            <w:shd w:val="clear" w:color="auto" w:fill="auto"/>
            <w:noWrap/>
            <w:vAlign w:val="center"/>
            <w:hideMark/>
          </w:tcPr>
          <w:p w:rsidR="00413D85" w:rsidRPr="00413D85" w:rsidRDefault="0035585C"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0.7</w:t>
            </w:r>
            <w:r w:rsidR="004637D9">
              <w:rPr>
                <w:rFonts w:ascii="Garamond" w:eastAsia="Times New Roman" w:hAnsi="Garamond" w:cs="Calibri"/>
                <w:sz w:val="20"/>
                <w:lang w:eastAsia="en-GB"/>
              </w:rPr>
              <w:t>0</w:t>
            </w:r>
          </w:p>
        </w:tc>
        <w:tc>
          <w:tcPr>
            <w:tcW w:w="775" w:type="dxa"/>
            <w:tcBorders>
              <w:top w:val="nil"/>
              <w:left w:val="nil"/>
              <w:bottom w:val="nil"/>
              <w:right w:val="single" w:sz="8" w:space="0" w:color="auto"/>
            </w:tcBorders>
            <w:shd w:val="clear" w:color="auto" w:fill="auto"/>
            <w:noWrap/>
            <w:vAlign w:val="center"/>
            <w:hideMark/>
          </w:tcPr>
          <w:p w:rsidR="00413D85" w:rsidRPr="00413D85" w:rsidRDefault="008B3F9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9.60</w:t>
            </w:r>
          </w:p>
        </w:tc>
        <w:tc>
          <w:tcPr>
            <w:tcW w:w="1150"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413D85" w:rsidRPr="00413D85" w:rsidTr="000C5B09">
        <w:trPr>
          <w:trHeight w:val="225"/>
        </w:trPr>
        <w:tc>
          <w:tcPr>
            <w:tcW w:w="755" w:type="dxa"/>
            <w:vMerge/>
            <w:tcBorders>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4" w:space="0" w:color="auto"/>
              <w:right w:val="nil"/>
            </w:tcBorders>
            <w:shd w:val="clear" w:color="auto" w:fill="auto"/>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41" w:type="dxa"/>
            <w:tcBorders>
              <w:top w:val="nil"/>
              <w:left w:val="single" w:sz="8" w:space="0" w:color="auto"/>
              <w:bottom w:val="single" w:sz="4" w:space="0" w:color="auto"/>
              <w:right w:val="single" w:sz="8" w:space="0" w:color="auto"/>
            </w:tcBorders>
            <w:shd w:val="clear" w:color="auto" w:fill="auto"/>
            <w:noWrap/>
            <w:vAlign w:val="center"/>
            <w:hideMark/>
          </w:tcPr>
          <w:p w:rsidR="00413D85" w:rsidRPr="00413D85" w:rsidRDefault="00B70D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w:t>
            </w:r>
            <w:r w:rsidR="00413D85" w:rsidRPr="00413D85">
              <w:rPr>
                <w:rFonts w:ascii="Garamond" w:eastAsia="Times New Roman" w:hAnsi="Garamond" w:cs="Calibri"/>
                <w:sz w:val="20"/>
                <w:lang w:eastAsia="en-GB"/>
              </w:rPr>
              <w:t>0</w:t>
            </w:r>
          </w:p>
        </w:tc>
        <w:tc>
          <w:tcPr>
            <w:tcW w:w="762"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single" w:sz="4" w:space="0" w:color="auto"/>
              <w:right w:val="single" w:sz="8" w:space="0" w:color="auto"/>
            </w:tcBorders>
            <w:shd w:val="clear" w:color="auto" w:fill="auto"/>
            <w:noWrap/>
            <w:vAlign w:val="center"/>
            <w:hideMark/>
          </w:tcPr>
          <w:p w:rsidR="00413D85" w:rsidRPr="00413D85" w:rsidRDefault="00B70D3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0.3</w:t>
            </w:r>
            <w:r w:rsidR="00413D85" w:rsidRPr="00413D85">
              <w:rPr>
                <w:rFonts w:ascii="Garamond" w:eastAsia="Times New Roman" w:hAnsi="Garamond" w:cs="Calibri"/>
                <w:sz w:val="20"/>
                <w:lang w:eastAsia="en-GB"/>
              </w:rPr>
              <w:t>0</w:t>
            </w:r>
          </w:p>
        </w:tc>
        <w:tc>
          <w:tcPr>
            <w:tcW w:w="763"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0.40</w:t>
            </w:r>
          </w:p>
        </w:tc>
        <w:tc>
          <w:tcPr>
            <w:tcW w:w="775" w:type="dxa"/>
            <w:tcBorders>
              <w:top w:val="nil"/>
              <w:left w:val="nil"/>
              <w:bottom w:val="single" w:sz="4" w:space="0" w:color="auto"/>
              <w:right w:val="single" w:sz="8" w:space="0" w:color="auto"/>
            </w:tcBorders>
            <w:shd w:val="clear" w:color="auto" w:fill="auto"/>
            <w:noWrap/>
            <w:vAlign w:val="center"/>
            <w:hideMark/>
          </w:tcPr>
          <w:p w:rsidR="00413D85" w:rsidRPr="00413D85" w:rsidRDefault="005A056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single" w:sz="4" w:space="0" w:color="auto"/>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2.80</w:t>
            </w:r>
          </w:p>
        </w:tc>
        <w:tc>
          <w:tcPr>
            <w:tcW w:w="1150" w:type="dxa"/>
            <w:tcBorders>
              <w:top w:val="nil"/>
              <w:left w:val="nil"/>
              <w:bottom w:val="single" w:sz="4" w:space="0" w:color="auto"/>
              <w:right w:val="single" w:sz="8" w:space="0" w:color="auto"/>
            </w:tcBorders>
            <w:shd w:val="clear" w:color="auto" w:fill="auto"/>
            <w:noWrap/>
            <w:vAlign w:val="center"/>
            <w:hideMark/>
          </w:tcPr>
          <w:p w:rsidR="00413D85" w:rsidRPr="00413D85" w:rsidRDefault="00FA5821" w:rsidP="00413D85">
            <w:pPr>
              <w:spacing w:after="0" w:line="240" w:lineRule="auto"/>
              <w:ind w:left="-18" w:right="-18"/>
              <w:jc w:val="center"/>
              <w:rPr>
                <w:rFonts w:ascii="Garamond" w:eastAsia="Times New Roman" w:hAnsi="Garamond" w:cs="Calibri"/>
                <w:b/>
                <w:bCs/>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single" w:sz="4" w:space="0" w:color="auto"/>
              <w:right w:val="single" w:sz="8" w:space="0" w:color="auto"/>
            </w:tcBorders>
            <w:shd w:val="clear" w:color="auto" w:fill="auto"/>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sidR="00DE5983">
              <w:rPr>
                <w:rFonts w:ascii="Garamond" w:eastAsia="Times New Roman" w:hAnsi="Garamond" w:cs="Calibri"/>
                <w:b/>
                <w:bCs/>
                <w:color w:val="000000"/>
                <w:sz w:val="20"/>
                <w:lang w:eastAsia="en-GB"/>
              </w:rPr>
              <w:t>S</w:t>
            </w:r>
          </w:p>
        </w:tc>
        <w:tc>
          <w:tcPr>
            <w:tcW w:w="1530" w:type="dxa"/>
            <w:tcBorders>
              <w:top w:val="single" w:sz="4" w:space="0" w:color="auto"/>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41" w:type="dxa"/>
            <w:tcBorders>
              <w:top w:val="single" w:sz="4" w:space="0" w:color="auto"/>
              <w:left w:val="single" w:sz="8" w:space="0" w:color="auto"/>
              <w:bottom w:val="nil"/>
              <w:right w:val="single" w:sz="8" w:space="0" w:color="auto"/>
            </w:tcBorders>
            <w:shd w:val="clear" w:color="000000" w:fill="C6E0B4"/>
            <w:noWrap/>
            <w:vAlign w:val="center"/>
            <w:hideMark/>
          </w:tcPr>
          <w:p w:rsidR="00413D85" w:rsidRPr="00413D85" w:rsidRDefault="00413D85" w:rsidP="00A82C27">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w:t>
            </w:r>
            <w:r w:rsidR="00A82C27">
              <w:rPr>
                <w:rFonts w:ascii="Garamond" w:eastAsia="Times New Roman" w:hAnsi="Garamond" w:cs="Calibri"/>
                <w:sz w:val="20"/>
                <w:lang w:eastAsia="en-GB"/>
              </w:rPr>
              <w:t>35</w:t>
            </w:r>
          </w:p>
        </w:tc>
        <w:tc>
          <w:tcPr>
            <w:tcW w:w="762"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Q1</w:t>
            </w:r>
          </w:p>
        </w:tc>
        <w:tc>
          <w:tcPr>
            <w:tcW w:w="862"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1.00</w:t>
            </w:r>
          </w:p>
        </w:tc>
        <w:tc>
          <w:tcPr>
            <w:tcW w:w="763" w:type="dxa"/>
            <w:tcBorders>
              <w:top w:val="single" w:sz="4" w:space="0" w:color="auto"/>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Q1</w:t>
            </w:r>
          </w:p>
        </w:tc>
        <w:tc>
          <w:tcPr>
            <w:tcW w:w="677" w:type="dxa"/>
            <w:tcBorders>
              <w:top w:val="single" w:sz="4" w:space="0" w:color="auto"/>
              <w:left w:val="nil"/>
              <w:bottom w:val="nil"/>
              <w:right w:val="single" w:sz="8" w:space="0" w:color="auto"/>
            </w:tcBorders>
            <w:shd w:val="clear" w:color="000000" w:fill="C6E0B4"/>
            <w:noWrap/>
            <w:vAlign w:val="center"/>
            <w:hideMark/>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3.0</w:t>
            </w:r>
            <w:r w:rsidR="004637D9">
              <w:rPr>
                <w:rFonts w:ascii="Garamond" w:eastAsia="Times New Roman" w:hAnsi="Garamond" w:cs="Calibri"/>
                <w:sz w:val="20"/>
                <w:lang w:eastAsia="en-GB"/>
              </w:rPr>
              <w:t>0</w:t>
            </w:r>
          </w:p>
        </w:tc>
        <w:tc>
          <w:tcPr>
            <w:tcW w:w="775" w:type="dxa"/>
            <w:tcBorders>
              <w:top w:val="single" w:sz="4" w:space="0" w:color="auto"/>
              <w:left w:val="nil"/>
              <w:bottom w:val="nil"/>
              <w:right w:val="single" w:sz="8" w:space="0" w:color="auto"/>
            </w:tcBorders>
            <w:shd w:val="clear" w:color="000000" w:fill="C6E0B4"/>
            <w:noWrap/>
            <w:vAlign w:val="center"/>
            <w:hideMark/>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single" w:sz="4" w:space="0" w:color="auto"/>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13.0</w:t>
            </w:r>
            <w:r w:rsidR="00413D85" w:rsidRPr="00413D85">
              <w:rPr>
                <w:rFonts w:ascii="Garamond" w:eastAsia="Times New Roman" w:hAnsi="Garamond" w:cs="Calibri"/>
                <w:sz w:val="20"/>
                <w:lang w:eastAsia="en-GB"/>
              </w:rPr>
              <w:t>0</w:t>
            </w:r>
          </w:p>
        </w:tc>
        <w:tc>
          <w:tcPr>
            <w:tcW w:w="1150" w:type="dxa"/>
            <w:tcBorders>
              <w:top w:val="single" w:sz="4" w:space="0" w:color="auto"/>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single" w:sz="4" w:space="0" w:color="auto"/>
              <w:left w:val="nil"/>
              <w:bottom w:val="nil"/>
              <w:right w:val="single" w:sz="8" w:space="0" w:color="auto"/>
            </w:tcBorders>
            <w:shd w:val="clear" w:color="000000" w:fill="C6E0B4"/>
            <w:noWrap/>
            <w:vAlign w:val="center"/>
            <w:hideMark/>
          </w:tcPr>
          <w:p w:rsidR="00413D85" w:rsidRPr="00413D85" w:rsidRDefault="00EE086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w:t>
            </w:r>
            <w:r w:rsidR="00413D85" w:rsidRPr="00413D85">
              <w:rPr>
                <w:rFonts w:ascii="Garamond" w:eastAsia="Times New Roman" w:hAnsi="Garamond" w:cs="Calibri"/>
                <w:sz w:val="20"/>
                <w:lang w:eastAsia="en-GB"/>
              </w:rPr>
              <w:t>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41" w:type="dxa"/>
            <w:tcBorders>
              <w:top w:val="nil"/>
              <w:left w:val="single" w:sz="8" w:space="0" w:color="auto"/>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0.50</w:t>
            </w:r>
          </w:p>
        </w:tc>
        <w:tc>
          <w:tcPr>
            <w:tcW w:w="762"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763" w:type="dxa"/>
            <w:tcBorders>
              <w:top w:val="nil"/>
              <w:left w:val="nil"/>
              <w:bottom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 xml:space="preserve">       -</w:t>
            </w:r>
          </w:p>
        </w:tc>
        <w:tc>
          <w:tcPr>
            <w:tcW w:w="677" w:type="dxa"/>
            <w:tcBorders>
              <w:top w:val="nil"/>
              <w:left w:val="nil"/>
              <w:bottom w:val="nil"/>
              <w:right w:val="single" w:sz="8" w:space="0" w:color="auto"/>
            </w:tcBorders>
            <w:shd w:val="clear" w:color="000000" w:fill="C6E0B4"/>
            <w:noWrap/>
            <w:vAlign w:val="center"/>
            <w:hideMark/>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4.4</w:t>
            </w:r>
            <w:r w:rsidR="00413D85" w:rsidRPr="00413D85">
              <w:rPr>
                <w:rFonts w:ascii="Garamond" w:eastAsia="Times New Roman" w:hAnsi="Garamond" w:cs="Calibri"/>
                <w:sz w:val="20"/>
                <w:lang w:val="en-GB" w:eastAsia="en-GB"/>
              </w:rPr>
              <w:t>0</w:t>
            </w:r>
          </w:p>
        </w:tc>
        <w:tc>
          <w:tcPr>
            <w:tcW w:w="775" w:type="dxa"/>
            <w:tcBorders>
              <w:top w:val="nil"/>
              <w:left w:val="nil"/>
              <w:bottom w:val="nil"/>
              <w:right w:val="single" w:sz="8" w:space="0" w:color="auto"/>
            </w:tcBorders>
            <w:shd w:val="clear" w:color="000000" w:fill="C6E0B4"/>
            <w:noWrap/>
            <w:vAlign w:val="center"/>
            <w:hideMark/>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5.1</w:t>
            </w:r>
            <w:r w:rsidR="00413D85" w:rsidRPr="00413D85">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000000" w:fill="C6E0B4"/>
            <w:noWrap/>
            <w:vAlign w:val="center"/>
            <w:hideMark/>
          </w:tcPr>
          <w:p w:rsidR="00413D85" w:rsidRPr="00413D85" w:rsidRDefault="00AB1FAE"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C6E0B4"/>
            <w:noWrap/>
            <w:vAlign w:val="center"/>
            <w:hideMark/>
          </w:tcPr>
          <w:p w:rsidR="00413D85" w:rsidRPr="00413D85" w:rsidRDefault="0068254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9.00</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India</w:t>
            </w:r>
          </w:p>
        </w:tc>
        <w:tc>
          <w:tcPr>
            <w:tcW w:w="741" w:type="dxa"/>
            <w:tcBorders>
              <w:top w:val="nil"/>
              <w:left w:val="single" w:sz="8" w:space="0" w:color="auto"/>
              <w:right w:val="single" w:sz="8" w:space="0" w:color="auto"/>
            </w:tcBorders>
            <w:shd w:val="clear" w:color="000000" w:fill="C6E0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6.12</w:t>
            </w:r>
          </w:p>
        </w:tc>
        <w:tc>
          <w:tcPr>
            <w:tcW w:w="762"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right w:val="single" w:sz="8" w:space="0" w:color="auto"/>
            </w:tcBorders>
            <w:shd w:val="clear" w:color="000000" w:fill="C6E0B4"/>
            <w:noWrap/>
            <w:vAlign w:val="center"/>
            <w:hideMark/>
          </w:tcPr>
          <w:p w:rsidR="00413D85" w:rsidRPr="00413D85" w:rsidRDefault="00FB757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w:t>
            </w:r>
            <w:r w:rsidR="00413D85" w:rsidRPr="00413D85">
              <w:rPr>
                <w:rFonts w:ascii="Garamond" w:eastAsia="Times New Roman" w:hAnsi="Garamond" w:cs="Calibri"/>
                <w:sz w:val="20"/>
                <w:lang w:eastAsia="en-GB"/>
              </w:rPr>
              <w:t>0</w:t>
            </w:r>
          </w:p>
        </w:tc>
        <w:tc>
          <w:tcPr>
            <w:tcW w:w="763" w:type="dxa"/>
            <w:tcBorders>
              <w:top w:val="nil"/>
              <w:left w:val="nil"/>
              <w:right w:val="single" w:sz="8" w:space="0" w:color="auto"/>
            </w:tcBorders>
            <w:shd w:val="clear" w:color="000000" w:fill="C6E0B4"/>
            <w:noWrap/>
            <w:vAlign w:val="center"/>
            <w:hideMark/>
          </w:tcPr>
          <w:p w:rsidR="00413D85" w:rsidRPr="00413D85" w:rsidRDefault="00FB757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right w:val="single" w:sz="8" w:space="0" w:color="auto"/>
            </w:tcBorders>
            <w:shd w:val="clear" w:color="000000" w:fill="C6E0B4"/>
            <w:noWrap/>
            <w:vAlign w:val="center"/>
            <w:hideMark/>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1.54</w:t>
            </w:r>
          </w:p>
        </w:tc>
        <w:tc>
          <w:tcPr>
            <w:tcW w:w="775" w:type="dxa"/>
            <w:tcBorders>
              <w:top w:val="nil"/>
              <w:left w:val="nil"/>
              <w:right w:val="single" w:sz="8" w:space="0" w:color="auto"/>
            </w:tcBorders>
            <w:shd w:val="clear" w:color="000000" w:fill="C6E0B4"/>
            <w:noWrap/>
            <w:vAlign w:val="center"/>
            <w:hideMark/>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50" w:type="dxa"/>
            <w:tcBorders>
              <w:top w:val="nil"/>
              <w:left w:val="nil"/>
              <w:right w:val="single" w:sz="8" w:space="0" w:color="auto"/>
            </w:tcBorders>
            <w:shd w:val="clear" w:color="000000" w:fill="C6E0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w:t>
            </w:r>
          </w:p>
        </w:tc>
        <w:tc>
          <w:tcPr>
            <w:tcW w:w="1182" w:type="dxa"/>
            <w:tcBorders>
              <w:top w:val="nil"/>
              <w:left w:val="nil"/>
              <w:right w:val="single" w:sz="8" w:space="0" w:color="auto"/>
            </w:tcBorders>
            <w:shd w:val="clear" w:color="000000" w:fill="C6E0B4"/>
            <w:noWrap/>
            <w:vAlign w:val="center"/>
            <w:hideMark/>
          </w:tcPr>
          <w:p w:rsidR="00413D85" w:rsidRPr="00413D85" w:rsidRDefault="00EE0866" w:rsidP="00EE086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6.00</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41" w:type="dxa"/>
            <w:tcBorders>
              <w:top w:val="nil"/>
              <w:left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6.90</w:t>
            </w:r>
          </w:p>
        </w:tc>
        <w:tc>
          <w:tcPr>
            <w:tcW w:w="762" w:type="dxa"/>
            <w:tcBorders>
              <w:top w:val="nil"/>
              <w:left w:val="nil"/>
              <w:right w:val="single" w:sz="8" w:space="0" w:color="auto"/>
            </w:tcBorders>
            <w:shd w:val="clear" w:color="000000" w:fill="C6E0B4"/>
            <w:noWrap/>
            <w:vAlign w:val="center"/>
          </w:tcPr>
          <w:p w:rsidR="00413D85" w:rsidRPr="00413D85" w:rsidRDefault="00A82C27"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Q2</w:t>
            </w:r>
          </w:p>
        </w:tc>
        <w:tc>
          <w:tcPr>
            <w:tcW w:w="862" w:type="dxa"/>
            <w:tcBorders>
              <w:top w:val="nil"/>
              <w:left w:val="nil"/>
              <w:right w:val="single" w:sz="8" w:space="0" w:color="auto"/>
            </w:tcBorders>
            <w:shd w:val="clear" w:color="000000" w:fill="C6E0B4"/>
            <w:noWrap/>
            <w:vAlign w:val="center"/>
          </w:tcPr>
          <w:p w:rsidR="00413D85" w:rsidRPr="00413D85" w:rsidRDefault="00610C48"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00413D85" w:rsidRPr="00413D85">
              <w:rPr>
                <w:rFonts w:ascii="Garamond" w:eastAsia="Times New Roman" w:hAnsi="Garamond" w:cs="Calibri"/>
                <w:sz w:val="20"/>
                <w:lang w:eastAsia="en-GB"/>
              </w:rPr>
              <w:t>0</w:t>
            </w:r>
          </w:p>
        </w:tc>
        <w:tc>
          <w:tcPr>
            <w:tcW w:w="763" w:type="dxa"/>
            <w:tcBorders>
              <w:top w:val="nil"/>
              <w:left w:val="nil"/>
              <w:right w:val="single" w:sz="8" w:space="0" w:color="auto"/>
            </w:tcBorders>
            <w:shd w:val="clear" w:color="000000" w:fill="C6E0B4"/>
            <w:noWrap/>
            <w:vAlign w:val="center"/>
          </w:tcPr>
          <w:p w:rsidR="00413D85" w:rsidRPr="00413D85" w:rsidRDefault="00610C48"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color w:val="000000"/>
                <w:sz w:val="20"/>
                <w:lang w:eastAsia="en-GB"/>
              </w:rPr>
              <w:t>Q2</w:t>
            </w:r>
          </w:p>
        </w:tc>
        <w:tc>
          <w:tcPr>
            <w:tcW w:w="677" w:type="dxa"/>
            <w:tcBorders>
              <w:top w:val="nil"/>
              <w:left w:val="nil"/>
              <w:right w:val="single" w:sz="8" w:space="0" w:color="auto"/>
            </w:tcBorders>
            <w:shd w:val="clear" w:color="000000" w:fill="C6E0B4"/>
            <w:noWrap/>
            <w:vAlign w:val="center"/>
          </w:tcPr>
          <w:p w:rsidR="00413D85" w:rsidRPr="00413D85" w:rsidRDefault="004637D9"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1.5</w:t>
            </w:r>
            <w:r w:rsidR="00413D85" w:rsidRPr="00413D85">
              <w:rPr>
                <w:rFonts w:ascii="Garamond" w:eastAsia="Times New Roman" w:hAnsi="Garamond" w:cs="Calibri"/>
                <w:sz w:val="20"/>
                <w:lang w:eastAsia="en-GB"/>
              </w:rPr>
              <w:t>0</w:t>
            </w:r>
          </w:p>
        </w:tc>
        <w:tc>
          <w:tcPr>
            <w:tcW w:w="775" w:type="dxa"/>
            <w:tcBorders>
              <w:top w:val="nil"/>
              <w:left w:val="nil"/>
              <w:right w:val="single" w:sz="8" w:space="0" w:color="auto"/>
            </w:tcBorders>
            <w:shd w:val="clear" w:color="000000" w:fill="C6E0B4"/>
            <w:noWrap/>
            <w:vAlign w:val="center"/>
          </w:tcPr>
          <w:p w:rsidR="00413D85" w:rsidRPr="00413D85" w:rsidRDefault="0010754A" w:rsidP="00413D85">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right w:val="single" w:sz="8" w:space="0" w:color="auto"/>
            </w:tcBorders>
            <w:shd w:val="clear" w:color="000000" w:fill="C6E0B4"/>
            <w:noWrap/>
            <w:vAlign w:val="center"/>
          </w:tcPr>
          <w:p w:rsidR="00413D85" w:rsidRPr="00413D85" w:rsidRDefault="001A394F" w:rsidP="00413D85">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3.95</w:t>
            </w:r>
          </w:p>
        </w:tc>
        <w:tc>
          <w:tcPr>
            <w:tcW w:w="1150" w:type="dxa"/>
            <w:tcBorders>
              <w:top w:val="nil"/>
              <w:left w:val="nil"/>
              <w:right w:val="single" w:sz="8" w:space="0" w:color="auto"/>
            </w:tcBorders>
            <w:shd w:val="clear" w:color="000000" w:fill="C6E0B4"/>
            <w:noWrap/>
            <w:vAlign w:val="center"/>
          </w:tcPr>
          <w:p w:rsidR="00413D85" w:rsidRPr="00413D85" w:rsidRDefault="001A394F" w:rsidP="00413D85">
            <w:pPr>
              <w:spacing w:after="0" w:line="240" w:lineRule="auto"/>
              <w:ind w:left="-18" w:right="-18"/>
              <w:jc w:val="center"/>
              <w:rPr>
                <w:rFonts w:ascii="Garamond" w:eastAsia="Times New Roman" w:hAnsi="Garamond" w:cs="Calibri"/>
                <w:sz w:val="20"/>
                <w:lang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top w:val="nil"/>
              <w:left w:val="nil"/>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left w:val="nil"/>
              <w:bottom w:val="single" w:sz="8" w:space="0" w:color="auto"/>
              <w:right w:val="nil"/>
            </w:tcBorders>
            <w:shd w:val="clear" w:color="000000" w:fill="C6E0B4"/>
            <w:noWrap/>
            <w:vAlign w:val="center"/>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41" w:type="dxa"/>
            <w:tcBorders>
              <w:left w:val="single" w:sz="8" w:space="0" w:color="auto"/>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1.00</w:t>
            </w:r>
          </w:p>
        </w:tc>
        <w:tc>
          <w:tcPr>
            <w:tcW w:w="762"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Q1</w:t>
            </w:r>
          </w:p>
        </w:tc>
        <w:tc>
          <w:tcPr>
            <w:tcW w:w="862"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-0.70</w:t>
            </w:r>
          </w:p>
        </w:tc>
        <w:tc>
          <w:tcPr>
            <w:tcW w:w="763"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Q1</w:t>
            </w:r>
          </w:p>
        </w:tc>
        <w:tc>
          <w:tcPr>
            <w:tcW w:w="677" w:type="dxa"/>
            <w:tcBorders>
              <w:left w:val="nil"/>
              <w:bottom w:val="single" w:sz="8" w:space="0" w:color="auto"/>
              <w:right w:val="single" w:sz="8" w:space="0" w:color="auto"/>
            </w:tcBorders>
            <w:shd w:val="clear" w:color="000000" w:fill="C6E0B4"/>
            <w:noWrap/>
            <w:vAlign w:val="center"/>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5.1</w:t>
            </w:r>
            <w:r w:rsidR="00413D85" w:rsidRPr="00413D85">
              <w:rPr>
                <w:rFonts w:ascii="Garamond" w:eastAsia="Times New Roman" w:hAnsi="Garamond" w:cs="Calibri"/>
                <w:sz w:val="20"/>
                <w:lang w:val="en-GB" w:eastAsia="en-GB"/>
              </w:rPr>
              <w:t>0</w:t>
            </w:r>
          </w:p>
        </w:tc>
        <w:tc>
          <w:tcPr>
            <w:tcW w:w="775" w:type="dxa"/>
            <w:tcBorders>
              <w:left w:val="nil"/>
              <w:bottom w:val="single" w:sz="8" w:space="0" w:color="auto"/>
              <w:right w:val="single" w:sz="8" w:space="0" w:color="auto"/>
            </w:tcBorders>
            <w:shd w:val="clear" w:color="000000" w:fill="C6E0B4"/>
            <w:noWrap/>
            <w:vAlign w:val="center"/>
          </w:tcPr>
          <w:p w:rsidR="00413D85" w:rsidRPr="00413D85" w:rsidRDefault="0010754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left w:val="nil"/>
              <w:bottom w:val="single" w:sz="8" w:space="0" w:color="auto"/>
              <w:right w:val="single" w:sz="8" w:space="0" w:color="auto"/>
            </w:tcBorders>
            <w:shd w:val="clear" w:color="000000" w:fill="C6E0B4"/>
            <w:noWrap/>
            <w:vAlign w:val="center"/>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50" w:type="dxa"/>
            <w:tcBorders>
              <w:left w:val="nil"/>
              <w:bottom w:val="single" w:sz="8" w:space="0" w:color="auto"/>
              <w:right w:val="single" w:sz="8" w:space="0" w:color="auto"/>
            </w:tcBorders>
            <w:shd w:val="clear" w:color="000000" w:fill="C6E0B4"/>
            <w:noWrap/>
            <w:vAlign w:val="center"/>
          </w:tcPr>
          <w:p w:rsidR="00413D85" w:rsidRPr="00413D85" w:rsidRDefault="001A394F"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00413D85" w:rsidRPr="00413D85">
              <w:rPr>
                <w:rFonts w:ascii="Garamond" w:eastAsia="Times New Roman" w:hAnsi="Garamond" w:cs="Calibri"/>
                <w:sz w:val="20"/>
                <w:lang w:eastAsia="en-GB"/>
              </w:rPr>
              <w:t xml:space="preserve"> of 2017</w:t>
            </w:r>
          </w:p>
        </w:tc>
        <w:tc>
          <w:tcPr>
            <w:tcW w:w="1182" w:type="dxa"/>
            <w:tcBorders>
              <w:left w:val="nil"/>
              <w:bottom w:val="single" w:sz="8" w:space="0" w:color="auto"/>
              <w:right w:val="single" w:sz="8" w:space="0" w:color="auto"/>
            </w:tcBorders>
            <w:shd w:val="clear" w:color="000000" w:fill="C6E0B4"/>
            <w:noWrap/>
            <w:vAlign w:val="center"/>
          </w:tcPr>
          <w:p w:rsidR="00413D85" w:rsidRPr="00413D85" w:rsidRDefault="00FE49E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6.75</w:t>
            </w:r>
          </w:p>
        </w:tc>
      </w:tr>
      <w:tr w:rsidR="00413D85" w:rsidRPr="00413D85" w:rsidTr="000C5B09">
        <w:trPr>
          <w:trHeight w:val="215"/>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413D85" w:rsidRPr="00413D85" w:rsidRDefault="00413D85" w:rsidP="00413D85">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2.7</w:t>
            </w:r>
            <w:r w:rsidR="00413D85" w:rsidRPr="00413D85">
              <w:rPr>
                <w:rFonts w:ascii="Garamond" w:eastAsia="Times New Roman" w:hAnsi="Garamond" w:cs="Calibri"/>
                <w:sz w:val="20"/>
                <w:lang w:eastAsia="en-GB"/>
              </w:rPr>
              <w:t>0</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A82C27"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AF5434"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41417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1.90</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41417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B21FF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3.8</w:t>
            </w:r>
            <w:r w:rsidR="001401A9">
              <w:rPr>
                <w:rFonts w:ascii="Garamond" w:eastAsia="Times New Roman" w:hAnsi="Garamond" w:cs="Calibri"/>
                <w:sz w:val="20"/>
                <w:lang w:eastAsia="en-GB"/>
              </w:rPr>
              <w:t>0</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B21FF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1.25</w:t>
            </w:r>
          </w:p>
        </w:tc>
      </w:tr>
      <w:tr w:rsidR="00413D85" w:rsidRPr="00413D85" w:rsidTr="000C5B09">
        <w:trPr>
          <w:trHeight w:val="21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nil"/>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41" w:type="dxa"/>
            <w:tcBorders>
              <w:top w:val="nil"/>
              <w:left w:val="single" w:sz="8" w:space="0" w:color="auto"/>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5.01</w:t>
            </w:r>
          </w:p>
        </w:tc>
        <w:tc>
          <w:tcPr>
            <w:tcW w:w="76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color w:val="000000"/>
                <w:sz w:val="20"/>
                <w:lang w:eastAsia="en-GB"/>
              </w:rPr>
              <w:t>Q1</w:t>
            </w:r>
          </w:p>
        </w:tc>
        <w:tc>
          <w:tcPr>
            <w:tcW w:w="862" w:type="dxa"/>
            <w:tcBorders>
              <w:top w:val="nil"/>
              <w:left w:val="nil"/>
              <w:bottom w:val="nil"/>
              <w:right w:val="single" w:sz="8" w:space="0" w:color="auto"/>
            </w:tcBorders>
            <w:shd w:val="clear" w:color="000000" w:fill="FCD5B4"/>
            <w:noWrap/>
            <w:vAlign w:val="center"/>
            <w:hideMark/>
          </w:tcPr>
          <w:p w:rsidR="00413D85" w:rsidRPr="00413D85" w:rsidRDefault="00610C4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4.00</w:t>
            </w:r>
          </w:p>
        </w:tc>
        <w:tc>
          <w:tcPr>
            <w:tcW w:w="763" w:type="dxa"/>
            <w:tcBorders>
              <w:top w:val="nil"/>
              <w:left w:val="nil"/>
              <w:bottom w:val="nil"/>
              <w:right w:val="single" w:sz="8" w:space="0" w:color="auto"/>
            </w:tcBorders>
            <w:shd w:val="clear" w:color="000000" w:fill="FCD5B4"/>
            <w:noWrap/>
            <w:vAlign w:val="center"/>
            <w:hideMark/>
          </w:tcPr>
          <w:p w:rsidR="00413D85" w:rsidRPr="00413D85" w:rsidRDefault="00610C48"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Q2</w:t>
            </w:r>
          </w:p>
        </w:tc>
        <w:tc>
          <w:tcPr>
            <w:tcW w:w="677" w:type="dxa"/>
            <w:tcBorders>
              <w:top w:val="nil"/>
              <w:left w:val="nil"/>
              <w:bottom w:val="nil"/>
              <w:right w:val="single" w:sz="8" w:space="0" w:color="auto"/>
            </w:tcBorders>
            <w:shd w:val="clear" w:color="000000" w:fill="FCD5B4"/>
            <w:noWrap/>
            <w:vAlign w:val="center"/>
            <w:hideMark/>
          </w:tcPr>
          <w:p w:rsidR="00413D85" w:rsidRPr="00413D85" w:rsidRDefault="0041417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4.37</w:t>
            </w:r>
          </w:p>
        </w:tc>
        <w:tc>
          <w:tcPr>
            <w:tcW w:w="775" w:type="dxa"/>
            <w:tcBorders>
              <w:top w:val="nil"/>
              <w:left w:val="nil"/>
              <w:bottom w:val="nil"/>
              <w:right w:val="single" w:sz="8" w:space="0" w:color="auto"/>
            </w:tcBorders>
            <w:shd w:val="clear" w:color="000000" w:fill="FCD5B4"/>
            <w:noWrap/>
            <w:vAlign w:val="center"/>
            <w:hideMark/>
          </w:tcPr>
          <w:p w:rsidR="00413D85" w:rsidRPr="00413D85" w:rsidRDefault="0041417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5.33</w:t>
            </w:r>
          </w:p>
        </w:tc>
        <w:tc>
          <w:tcPr>
            <w:tcW w:w="1150"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Q1 of 2017</w:t>
            </w:r>
          </w:p>
        </w:tc>
        <w:tc>
          <w:tcPr>
            <w:tcW w:w="1182" w:type="dxa"/>
            <w:tcBorders>
              <w:top w:val="nil"/>
              <w:left w:val="nil"/>
              <w:bottom w:val="nil"/>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4.75</w:t>
            </w:r>
          </w:p>
        </w:tc>
      </w:tr>
      <w:tr w:rsidR="00413D85" w:rsidRPr="00413D85" w:rsidTr="000C5B09">
        <w:trPr>
          <w:trHeight w:val="225"/>
        </w:trPr>
        <w:tc>
          <w:tcPr>
            <w:tcW w:w="755" w:type="dxa"/>
            <w:vMerge/>
            <w:tcBorders>
              <w:top w:val="nil"/>
              <w:left w:val="single" w:sz="8" w:space="0" w:color="auto"/>
              <w:bottom w:val="single" w:sz="8" w:space="0" w:color="000000"/>
              <w:right w:val="single" w:sz="8" w:space="0" w:color="auto"/>
            </w:tcBorders>
            <w:vAlign w:val="center"/>
            <w:hideMark/>
          </w:tcPr>
          <w:p w:rsidR="00413D85" w:rsidRPr="00413D85" w:rsidRDefault="00413D85" w:rsidP="00413D85">
            <w:pPr>
              <w:spacing w:after="0" w:line="240" w:lineRule="auto"/>
              <w:ind w:left="-18" w:right="-18"/>
              <w:rPr>
                <w:rFonts w:ascii="Garamond" w:eastAsia="Times New Roman" w:hAnsi="Garamond" w:cs="Calibri"/>
                <w:b/>
                <w:bCs/>
                <w:color w:val="000000"/>
                <w:sz w:val="20"/>
                <w:lang w:val="en-GB" w:eastAsia="en-GB"/>
              </w:rPr>
            </w:pPr>
          </w:p>
        </w:tc>
        <w:tc>
          <w:tcPr>
            <w:tcW w:w="1530" w:type="dxa"/>
            <w:tcBorders>
              <w:top w:val="nil"/>
              <w:left w:val="nil"/>
              <w:bottom w:val="single" w:sz="8" w:space="0" w:color="auto"/>
              <w:right w:val="nil"/>
            </w:tcBorders>
            <w:shd w:val="clear" w:color="000000" w:fill="FCD5B4"/>
            <w:noWrap/>
            <w:vAlign w:val="center"/>
            <w:hideMark/>
          </w:tcPr>
          <w:p w:rsidR="00413D85" w:rsidRPr="00413D85" w:rsidRDefault="00413D85" w:rsidP="00413D85">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41" w:type="dxa"/>
            <w:tcBorders>
              <w:top w:val="nil"/>
              <w:left w:val="single" w:sz="8" w:space="0" w:color="auto"/>
              <w:bottom w:val="single" w:sz="8" w:space="0" w:color="auto"/>
              <w:right w:val="single" w:sz="8" w:space="0" w:color="auto"/>
            </w:tcBorders>
            <w:shd w:val="clear" w:color="000000" w:fill="FCD5B4"/>
            <w:noWrap/>
            <w:vAlign w:val="center"/>
            <w:hideMark/>
          </w:tcPr>
          <w:p w:rsidR="00413D85" w:rsidRPr="00413D85" w:rsidRDefault="000B60A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5.00</w:t>
            </w:r>
          </w:p>
        </w:tc>
        <w:tc>
          <w:tcPr>
            <w:tcW w:w="762" w:type="dxa"/>
            <w:tcBorders>
              <w:top w:val="nil"/>
              <w:left w:val="nil"/>
              <w:bottom w:val="single" w:sz="8" w:space="0" w:color="auto"/>
              <w:right w:val="single" w:sz="8" w:space="0" w:color="auto"/>
            </w:tcBorders>
            <w:shd w:val="clear" w:color="000000" w:fill="FCD5B4"/>
            <w:noWrap/>
            <w:vAlign w:val="center"/>
            <w:hideMark/>
          </w:tcPr>
          <w:p w:rsidR="00413D85" w:rsidRPr="00413D85" w:rsidRDefault="00AB4516"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862"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763" w:type="dxa"/>
            <w:tcBorders>
              <w:top w:val="nil"/>
              <w:left w:val="nil"/>
              <w:bottom w:val="single" w:sz="8" w:space="0" w:color="auto"/>
              <w:right w:val="single" w:sz="8" w:space="0" w:color="auto"/>
            </w:tcBorders>
            <w:shd w:val="clear" w:color="000000" w:fill="FCD5B4"/>
            <w:noWrap/>
            <w:vAlign w:val="center"/>
            <w:hideMark/>
          </w:tcPr>
          <w:p w:rsidR="00413D85" w:rsidRPr="00413D85" w:rsidRDefault="00022DC2"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Q1</w:t>
            </w:r>
          </w:p>
        </w:tc>
        <w:tc>
          <w:tcPr>
            <w:tcW w:w="677" w:type="dxa"/>
            <w:tcBorders>
              <w:top w:val="nil"/>
              <w:left w:val="nil"/>
              <w:bottom w:val="single" w:sz="8" w:space="0" w:color="auto"/>
              <w:right w:val="single" w:sz="8" w:space="0" w:color="auto"/>
            </w:tcBorders>
            <w:shd w:val="clear" w:color="000000" w:fill="FCD5B4"/>
            <w:noWrap/>
            <w:vAlign w:val="center"/>
            <w:hideMark/>
          </w:tcPr>
          <w:p w:rsidR="00413D85" w:rsidRPr="00413D85" w:rsidRDefault="0041417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10.90</w:t>
            </w:r>
          </w:p>
        </w:tc>
        <w:tc>
          <w:tcPr>
            <w:tcW w:w="775" w:type="dxa"/>
            <w:tcBorders>
              <w:top w:val="nil"/>
              <w:left w:val="nil"/>
              <w:bottom w:val="single" w:sz="8" w:space="0" w:color="auto"/>
              <w:right w:val="single" w:sz="8" w:space="0" w:color="auto"/>
            </w:tcBorders>
            <w:shd w:val="clear" w:color="000000" w:fill="FCD5B4"/>
            <w:noWrap/>
            <w:vAlign w:val="center"/>
            <w:hideMark/>
          </w:tcPr>
          <w:p w:rsidR="00413D85" w:rsidRPr="00413D85" w:rsidRDefault="0041417A"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Jun</w:t>
            </w:r>
            <w:r w:rsidRPr="00413D85">
              <w:rPr>
                <w:rFonts w:ascii="Garamond" w:eastAsia="Times New Roman" w:hAnsi="Garamond" w:cs="Calibri"/>
                <w:color w:val="000000"/>
                <w:sz w:val="20"/>
                <w:lang w:eastAsia="en-GB"/>
              </w:rPr>
              <w:t>-17</w:t>
            </w:r>
          </w:p>
        </w:tc>
        <w:tc>
          <w:tcPr>
            <w:tcW w:w="660" w:type="dxa"/>
            <w:tcBorders>
              <w:top w:val="nil"/>
              <w:left w:val="nil"/>
              <w:bottom w:val="single" w:sz="8" w:space="0" w:color="auto"/>
              <w:right w:val="single" w:sz="8" w:space="0" w:color="auto"/>
            </w:tcBorders>
            <w:shd w:val="clear" w:color="000000" w:fill="FCD5B4"/>
            <w:noWrap/>
            <w:vAlign w:val="center"/>
            <w:hideMark/>
          </w:tcPr>
          <w:p w:rsidR="00413D85" w:rsidRPr="00413D85" w:rsidRDefault="001401A9" w:rsidP="00413D85">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10.5</w:t>
            </w:r>
          </w:p>
        </w:tc>
        <w:tc>
          <w:tcPr>
            <w:tcW w:w="1150" w:type="dxa"/>
            <w:tcBorders>
              <w:top w:val="nil"/>
              <w:left w:val="nil"/>
              <w:bottom w:val="single" w:sz="8" w:space="0" w:color="auto"/>
              <w:right w:val="single" w:sz="8" w:space="0" w:color="auto"/>
            </w:tcBorders>
            <w:shd w:val="clear" w:color="000000" w:fill="FCD5B4"/>
            <w:noWrap/>
            <w:vAlign w:val="center"/>
            <w:hideMark/>
          </w:tcPr>
          <w:p w:rsidR="00413D85" w:rsidRPr="00413D85" w:rsidRDefault="001401A9" w:rsidP="00413D85">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Apr</w:t>
            </w:r>
            <w:r w:rsidR="00413D85" w:rsidRPr="00413D85">
              <w:rPr>
                <w:rFonts w:ascii="Garamond" w:eastAsia="Times New Roman" w:hAnsi="Garamond" w:cs="Calibri"/>
                <w:sz w:val="20"/>
                <w:lang w:eastAsia="en-GB"/>
              </w:rPr>
              <w:t>-17</w:t>
            </w:r>
          </w:p>
        </w:tc>
        <w:tc>
          <w:tcPr>
            <w:tcW w:w="1182" w:type="dxa"/>
            <w:tcBorders>
              <w:top w:val="nil"/>
              <w:left w:val="nil"/>
              <w:bottom w:val="single" w:sz="8" w:space="0" w:color="auto"/>
              <w:right w:val="single" w:sz="8" w:space="0" w:color="auto"/>
            </w:tcBorders>
            <w:shd w:val="clear" w:color="000000" w:fill="FCD5B4"/>
            <w:noWrap/>
            <w:vAlign w:val="center"/>
            <w:hideMark/>
          </w:tcPr>
          <w:p w:rsidR="00413D85" w:rsidRPr="00413D85" w:rsidRDefault="00413D85" w:rsidP="00413D85">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0C5B09" w:rsidRDefault="000C5B09" w:rsidP="00E158C5">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Note: Q1 refers to Jan - Mar 2017</w:t>
      </w:r>
    </w:p>
    <w:p w:rsidR="00BB6FEE" w:rsidRDefault="00BB6FEE" w:rsidP="00E158C5">
      <w:pPr>
        <w:spacing w:after="0" w:line="20" w:lineRule="atLeast"/>
        <w:jc w:val="both"/>
        <w:rPr>
          <w:rFonts w:ascii="Garamond" w:eastAsiaTheme="minorHAnsi" w:hAnsi="Garamond"/>
          <w:b/>
          <w:i/>
          <w:iCs/>
          <w:color w:val="000000" w:themeColor="text1"/>
          <w:sz w:val="24"/>
          <w:szCs w:val="24"/>
          <w:lang w:val="en-GB"/>
        </w:rPr>
      </w:pPr>
      <w:r>
        <w:rPr>
          <w:rFonts w:ascii="Tahoma" w:hAnsi="Tahoma" w:cs="Tahoma"/>
          <w:color w:val="000000"/>
          <w:sz w:val="20"/>
          <w:szCs w:val="20"/>
          <w:lang w:val="en-IN" w:bidi="hi-IN"/>
        </w:rPr>
        <w:t xml:space="preserve">         Q2 refers to Apr- Jun 2017</w:t>
      </w:r>
    </w:p>
    <w:p w:rsidR="00984931"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00C86CC1" w:rsidRPr="00560465">
        <w:rPr>
          <w:rFonts w:ascii="Garamond" w:eastAsiaTheme="minorHAnsi" w:hAnsi="Garamond"/>
          <w:i/>
          <w:iCs/>
          <w:color w:val="000000" w:themeColor="text1"/>
          <w:sz w:val="24"/>
          <w:szCs w:val="24"/>
          <w:lang w:val="en-GB"/>
        </w:rPr>
        <w:t xml:space="preserve"> Bloomberg</w:t>
      </w:r>
    </w:p>
    <w:p w:rsidR="00AF62FB" w:rsidRPr="00560465" w:rsidRDefault="00AF62FB" w:rsidP="00E158C5">
      <w:pPr>
        <w:spacing w:after="0" w:line="20" w:lineRule="atLeast"/>
        <w:jc w:val="both"/>
        <w:rPr>
          <w:rFonts w:ascii="Garamond" w:eastAsiaTheme="minorHAnsi" w:hAnsi="Garamond"/>
          <w:i/>
          <w:iCs/>
          <w:color w:val="000000" w:themeColor="text1"/>
          <w:sz w:val="24"/>
          <w:szCs w:val="24"/>
          <w:lang w:val="en-GB"/>
        </w:rPr>
      </w:pPr>
    </w:p>
    <w:p w:rsidR="00984931" w:rsidRPr="00560465" w:rsidRDefault="00984931" w:rsidP="00C77D1D">
      <w:pPr>
        <w:spacing w:after="0" w:line="240" w:lineRule="auto"/>
        <w:rPr>
          <w:rFonts w:ascii="Garamond" w:eastAsiaTheme="minorHAnsi" w:hAnsi="Garamond"/>
          <w:b/>
          <w:color w:val="000000" w:themeColor="text1"/>
          <w:sz w:val="24"/>
          <w:szCs w:val="24"/>
          <w:lang w:val="en-GB"/>
        </w:rPr>
      </w:pPr>
      <w:r w:rsidRPr="00F323B6">
        <w:rPr>
          <w:rFonts w:ascii="Garamond" w:eastAsiaTheme="minorHAnsi" w:hAnsi="Garamond"/>
          <w:b/>
          <w:color w:val="000000" w:themeColor="text1"/>
          <w:sz w:val="24"/>
          <w:szCs w:val="24"/>
          <w:lang w:val="en-GB"/>
        </w:rPr>
        <w:t xml:space="preserve">Chart 1: Year-on-Year Real GDP growth rates of </w:t>
      </w:r>
      <w:r w:rsidR="00B44FFD">
        <w:rPr>
          <w:rFonts w:ascii="Garamond" w:eastAsiaTheme="minorHAnsi" w:hAnsi="Garamond"/>
          <w:b/>
          <w:color w:val="000000" w:themeColor="text1"/>
          <w:sz w:val="24"/>
          <w:szCs w:val="24"/>
          <w:lang w:val="en-GB"/>
        </w:rPr>
        <w:t>developed</w:t>
      </w:r>
      <w:r w:rsidRPr="00F323B6">
        <w:rPr>
          <w:rFonts w:ascii="Garamond" w:eastAsiaTheme="minorHAnsi" w:hAnsi="Garamond"/>
          <w:b/>
          <w:color w:val="000000" w:themeColor="text1"/>
          <w:sz w:val="24"/>
          <w:szCs w:val="24"/>
          <w:lang w:val="en-GB"/>
        </w:rPr>
        <w:t xml:space="preserve"> countries/ region (percent)</w:t>
      </w:r>
    </w:p>
    <w:p w:rsidR="000A3602" w:rsidRPr="00560465" w:rsidRDefault="000A3602" w:rsidP="000A3602">
      <w:pPr>
        <w:spacing w:after="0" w:line="20" w:lineRule="atLeast"/>
        <w:jc w:val="center"/>
        <w:rPr>
          <w:rFonts w:ascii="Garamond" w:eastAsiaTheme="minorHAnsi" w:hAnsi="Garamond"/>
          <w:b/>
          <w:i/>
          <w:iCs/>
          <w:strike/>
          <w:color w:val="000000" w:themeColor="text1"/>
          <w:sz w:val="24"/>
          <w:szCs w:val="24"/>
          <w:lang w:val="en-GB"/>
        </w:rPr>
      </w:pPr>
      <w:r>
        <w:rPr>
          <w:noProof/>
        </w:rPr>
        <w:lastRenderedPageBreak/>
        <w:drawing>
          <wp:inline distT="0" distB="0" distL="0" distR="0" wp14:anchorId="786D3515" wp14:editId="109A70BA">
            <wp:extent cx="5722620" cy="3063240"/>
            <wp:effectExtent l="0" t="0" r="1143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4931" w:rsidRDefault="00984931" w:rsidP="00E158C5">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B40F0E" w:rsidRDefault="00B40F0E"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B44FFD" w:rsidRPr="00560465" w:rsidRDefault="00F54E90" w:rsidP="00B44FFD">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Chart 2</w:t>
      </w:r>
      <w:r w:rsidR="00B44FFD" w:rsidRPr="00F323B6">
        <w:rPr>
          <w:rFonts w:ascii="Garamond" w:eastAsiaTheme="minorHAnsi" w:hAnsi="Garamond"/>
          <w:b/>
          <w:color w:val="000000" w:themeColor="text1"/>
          <w:sz w:val="24"/>
          <w:szCs w:val="24"/>
          <w:lang w:val="en-GB"/>
        </w:rPr>
        <w:t xml:space="preserve">: Year-on-Year Real GDP growth rates of </w:t>
      </w:r>
      <w:r w:rsidR="00B44FFD">
        <w:rPr>
          <w:rFonts w:ascii="Garamond" w:eastAsiaTheme="minorHAnsi" w:hAnsi="Garamond"/>
          <w:b/>
          <w:color w:val="000000" w:themeColor="text1"/>
          <w:sz w:val="24"/>
          <w:szCs w:val="24"/>
          <w:lang w:val="en-GB"/>
        </w:rPr>
        <w:t>BRICS</w:t>
      </w:r>
      <w:r w:rsidR="00B44FFD" w:rsidRPr="00F323B6">
        <w:rPr>
          <w:rFonts w:ascii="Garamond" w:eastAsiaTheme="minorHAnsi" w:hAnsi="Garamond"/>
          <w:b/>
          <w:color w:val="000000" w:themeColor="text1"/>
          <w:sz w:val="24"/>
          <w:szCs w:val="24"/>
          <w:lang w:val="en-GB"/>
        </w:rPr>
        <w:t xml:space="preserve"> countries/ region (percent)</w:t>
      </w:r>
    </w:p>
    <w:p w:rsidR="00B44FFD" w:rsidRDefault="00B44FFD" w:rsidP="00E158C5">
      <w:pPr>
        <w:spacing w:after="0" w:line="20" w:lineRule="atLeast"/>
        <w:jc w:val="both"/>
        <w:rPr>
          <w:rFonts w:ascii="Garamond" w:eastAsiaTheme="minorHAnsi" w:hAnsi="Garamond"/>
          <w:b/>
          <w:color w:val="000000" w:themeColor="text1"/>
          <w:sz w:val="24"/>
          <w:szCs w:val="24"/>
          <w:lang w:val="en-GB"/>
        </w:rPr>
      </w:pPr>
    </w:p>
    <w:p w:rsidR="000A3602" w:rsidRDefault="000D3F04" w:rsidP="000A3602">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0A3602">
        <w:rPr>
          <w:noProof/>
        </w:rPr>
        <w:drawing>
          <wp:inline distT="0" distB="0" distL="0" distR="0" wp14:anchorId="1B37048E" wp14:editId="28B66A6B">
            <wp:extent cx="5341620" cy="2933700"/>
            <wp:effectExtent l="0" t="0" r="1143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4E90" w:rsidRDefault="00F54E90" w:rsidP="00F54E90">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F54E90"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F54E90"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F54E90" w:rsidRPr="00560465" w:rsidRDefault="00F54E90" w:rsidP="000A3602">
      <w:pPr>
        <w:spacing w:after="0" w:line="20" w:lineRule="atLeast"/>
        <w:ind w:firstLine="720"/>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6"/>
          <w:szCs w:val="24"/>
          <w:lang w:val="en-GB"/>
        </w:rPr>
      </w:pPr>
    </w:p>
    <w:p w:rsidR="00984931" w:rsidRPr="00560465" w:rsidRDefault="00B40F0E" w:rsidP="00B40F0E">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F54E90">
        <w:rPr>
          <w:rFonts w:ascii="Garamond" w:eastAsiaTheme="minorHAnsi" w:hAnsi="Garamond"/>
          <w:b/>
          <w:color w:val="000000" w:themeColor="text1"/>
          <w:sz w:val="24"/>
          <w:szCs w:val="24"/>
          <w:lang w:val="en-GB"/>
        </w:rPr>
        <w:t>Chart 3</w:t>
      </w:r>
      <w:r w:rsidR="00984931" w:rsidRPr="00F323B6">
        <w:rPr>
          <w:rFonts w:ascii="Garamond" w:eastAsiaTheme="minorHAnsi" w:hAnsi="Garamond"/>
          <w:b/>
          <w:color w:val="000000" w:themeColor="text1"/>
          <w:sz w:val="24"/>
          <w:szCs w:val="24"/>
          <w:lang w:val="en-GB"/>
        </w:rPr>
        <w:t xml:space="preserve">: Year-on-Year Consumer Price Inflation </w:t>
      </w:r>
      <w:r w:rsidR="00F54E90">
        <w:rPr>
          <w:rFonts w:ascii="Garamond" w:eastAsiaTheme="minorHAnsi" w:hAnsi="Garamond"/>
          <w:b/>
          <w:color w:val="000000" w:themeColor="text1"/>
          <w:sz w:val="24"/>
          <w:szCs w:val="24"/>
          <w:lang w:val="en-GB"/>
        </w:rPr>
        <w:t xml:space="preserve">for developed countries </w:t>
      </w:r>
      <w:r w:rsidR="00984931" w:rsidRPr="00F323B6">
        <w:rPr>
          <w:rFonts w:ascii="Garamond" w:eastAsiaTheme="minorHAnsi" w:hAnsi="Garamond"/>
          <w:b/>
          <w:color w:val="000000" w:themeColor="text1"/>
          <w:sz w:val="24"/>
          <w:szCs w:val="24"/>
          <w:lang w:val="en-GB"/>
        </w:rPr>
        <w:t>(percent)</w:t>
      </w:r>
    </w:p>
    <w:p w:rsidR="00984931" w:rsidRPr="00560465" w:rsidRDefault="000A3602" w:rsidP="000A3602">
      <w:pPr>
        <w:spacing w:after="0" w:line="20" w:lineRule="atLeast"/>
        <w:ind w:firstLine="720"/>
        <w:jc w:val="center"/>
        <w:rPr>
          <w:rFonts w:ascii="Garamond" w:eastAsiaTheme="minorHAnsi" w:hAnsi="Garamond"/>
          <w:b/>
          <w:i/>
          <w:iCs/>
          <w:strike/>
          <w:color w:val="000000" w:themeColor="text1"/>
          <w:sz w:val="24"/>
          <w:szCs w:val="24"/>
          <w:lang w:val="en-GB"/>
        </w:rPr>
      </w:pPr>
      <w:r>
        <w:rPr>
          <w:noProof/>
        </w:rPr>
        <w:drawing>
          <wp:inline distT="0" distB="0" distL="0" distR="0" wp14:anchorId="156052F7" wp14:editId="40CE72AB">
            <wp:extent cx="5471160" cy="2651760"/>
            <wp:effectExtent l="0" t="0" r="1524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562A3" w:rsidRDefault="00F54E90" w:rsidP="00E158C5">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984931" w:rsidRPr="00560465">
        <w:rPr>
          <w:rFonts w:ascii="Garamond" w:eastAsiaTheme="minorHAnsi" w:hAnsi="Garamond"/>
          <w:b/>
          <w:i/>
          <w:iCs/>
          <w:color w:val="000000" w:themeColor="text1"/>
          <w:sz w:val="24"/>
          <w:szCs w:val="24"/>
          <w:lang w:val="en-GB"/>
        </w:rPr>
        <w:t>Source:</w:t>
      </w:r>
      <w:r w:rsidR="00984931" w:rsidRPr="00560465">
        <w:rPr>
          <w:rFonts w:ascii="Garamond" w:eastAsiaTheme="minorHAnsi" w:hAnsi="Garamond"/>
          <w:bCs/>
          <w:i/>
          <w:iCs/>
          <w:color w:val="000000" w:themeColor="text1"/>
          <w:sz w:val="24"/>
          <w:szCs w:val="24"/>
          <w:lang w:val="en-GB"/>
        </w:rPr>
        <w:t xml:space="preserve"> Bloomberg</w:t>
      </w:r>
    </w:p>
    <w:p w:rsidR="000D3F04" w:rsidRDefault="000D3F04"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p>
    <w:p w:rsidR="00F54E90" w:rsidRDefault="00F54E90" w:rsidP="00E158C5">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color w:val="000000" w:themeColor="text1"/>
          <w:sz w:val="24"/>
          <w:szCs w:val="24"/>
          <w:lang w:val="en-GB"/>
        </w:rPr>
        <w:t>Chart 4</w:t>
      </w:r>
      <w:r w:rsidRPr="00F323B6">
        <w:rPr>
          <w:rFonts w:ascii="Garamond" w:eastAsiaTheme="minorHAnsi" w:hAnsi="Garamond"/>
          <w:b/>
          <w:color w:val="000000" w:themeColor="text1"/>
          <w:sz w:val="24"/>
          <w:szCs w:val="24"/>
          <w:lang w:val="en-GB"/>
        </w:rPr>
        <w:t>: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rsidR="000A3602" w:rsidRPr="00560465" w:rsidRDefault="009562A3" w:rsidP="00E158C5">
      <w:pPr>
        <w:spacing w:after="0" w:line="20" w:lineRule="atLeast"/>
        <w:jc w:val="both"/>
        <w:rPr>
          <w:rFonts w:ascii="Garamond" w:eastAsiaTheme="minorHAnsi" w:hAnsi="Garamond"/>
          <w:b/>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0D3F04">
        <w:rPr>
          <w:rFonts w:ascii="Garamond" w:eastAsiaTheme="minorHAnsi" w:hAnsi="Garamond"/>
          <w:b/>
          <w:i/>
          <w:iCs/>
          <w:color w:val="000000" w:themeColor="text1"/>
          <w:sz w:val="24"/>
          <w:szCs w:val="24"/>
          <w:lang w:val="en-GB"/>
        </w:rPr>
        <w:t xml:space="preserve">     </w:t>
      </w:r>
      <w:r>
        <w:rPr>
          <w:rFonts w:ascii="Garamond" w:eastAsiaTheme="minorHAnsi" w:hAnsi="Garamond"/>
          <w:b/>
          <w:i/>
          <w:iCs/>
          <w:color w:val="000000" w:themeColor="text1"/>
          <w:sz w:val="24"/>
          <w:szCs w:val="24"/>
          <w:lang w:val="en-GB"/>
        </w:rPr>
        <w:t xml:space="preserve">  </w:t>
      </w:r>
      <w:r w:rsidR="000A3602">
        <w:rPr>
          <w:noProof/>
        </w:rPr>
        <w:drawing>
          <wp:inline distT="0" distB="0" distL="0" distR="0" wp14:anchorId="06D082AF" wp14:editId="301A2667">
            <wp:extent cx="5455920" cy="2567940"/>
            <wp:effectExtent l="0" t="0" r="1143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4E90" w:rsidRDefault="00F54E90" w:rsidP="00F54E90">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AF62FB" w:rsidRDefault="00AF62FB" w:rsidP="00E158C5">
      <w:pPr>
        <w:spacing w:after="0" w:line="20" w:lineRule="atLeast"/>
        <w:jc w:val="both"/>
        <w:rPr>
          <w:rFonts w:ascii="Garamond" w:hAnsi="Garamond"/>
          <w:b/>
          <w:color w:val="000000" w:themeColor="text1"/>
          <w:sz w:val="24"/>
          <w:szCs w:val="24"/>
          <w:lang w:val="en-GB"/>
        </w:rPr>
      </w:pPr>
    </w:p>
    <w:p w:rsidR="009716D0" w:rsidRPr="00C77D1D" w:rsidRDefault="009716D0" w:rsidP="009716D0">
      <w:pPr>
        <w:pStyle w:val="ListParagraph"/>
        <w:numPr>
          <w:ilvl w:val="0"/>
          <w:numId w:val="9"/>
        </w:numPr>
        <w:spacing w:after="0" w:line="240" w:lineRule="auto"/>
        <w:jc w:val="both"/>
        <w:rPr>
          <w:rFonts w:ascii="Garamond" w:eastAsiaTheme="minorHAnsi" w:hAnsi="Garamond"/>
          <w:b/>
          <w:color w:val="000000" w:themeColor="text1"/>
          <w:sz w:val="24"/>
          <w:szCs w:val="24"/>
          <w:lang w:val="en-IN"/>
        </w:rPr>
      </w:pPr>
      <w:r w:rsidRPr="00C77D1D">
        <w:rPr>
          <w:rFonts w:ascii="Garamond" w:eastAsiaTheme="minorHAnsi" w:hAnsi="Garamond"/>
          <w:b/>
          <w:color w:val="000000" w:themeColor="text1"/>
          <w:sz w:val="24"/>
          <w:szCs w:val="24"/>
          <w:lang w:val="en-IN"/>
        </w:rPr>
        <w:t>Major Recent Developments Across the Globe:</w:t>
      </w:r>
    </w:p>
    <w:p w:rsidR="009716D0" w:rsidRPr="001C5320" w:rsidRDefault="009716D0" w:rsidP="009716D0">
      <w:pPr>
        <w:spacing w:after="0" w:line="240" w:lineRule="auto"/>
        <w:ind w:left="156"/>
        <w:jc w:val="both"/>
        <w:rPr>
          <w:rFonts w:ascii="Garamond" w:eastAsiaTheme="minorHAnsi" w:hAnsi="Garamond"/>
          <w:b/>
          <w:color w:val="000000" w:themeColor="text1"/>
          <w:sz w:val="24"/>
          <w:szCs w:val="24"/>
          <w:lang w:val="en-IN"/>
        </w:rPr>
      </w:pPr>
    </w:p>
    <w:p w:rsidR="009716D0" w:rsidRPr="00A6798C" w:rsidRDefault="009716D0" w:rsidP="009716D0">
      <w:pPr>
        <w:numPr>
          <w:ilvl w:val="1"/>
          <w:numId w:val="45"/>
        </w:numPr>
        <w:spacing w:after="0" w:line="240" w:lineRule="auto"/>
        <w:contextualSpacing/>
        <w:jc w:val="both"/>
        <w:rPr>
          <w:rFonts w:ascii="Garamond" w:eastAsiaTheme="minorHAnsi" w:hAnsi="Garamond"/>
          <w:b/>
          <w:color w:val="000000" w:themeColor="text1"/>
          <w:sz w:val="24"/>
          <w:szCs w:val="24"/>
          <w:lang w:val="en-IN"/>
        </w:rPr>
      </w:pPr>
      <w:r w:rsidRPr="00A6798C">
        <w:rPr>
          <w:rFonts w:ascii="Garamond" w:eastAsiaTheme="minorHAnsi" w:hAnsi="Garamond"/>
          <w:b/>
          <w:color w:val="000000" w:themeColor="text1"/>
          <w:sz w:val="24"/>
          <w:szCs w:val="24"/>
          <w:lang w:val="en-IN"/>
        </w:rPr>
        <w:t>Eurozone Notched up Growth of 0.6 percent in The Second Quarter of The Year</w:t>
      </w:r>
    </w:p>
    <w:p w:rsidR="009716D0" w:rsidRPr="00A6798C" w:rsidRDefault="009716D0" w:rsidP="009716D0">
      <w:pPr>
        <w:spacing w:after="0" w:line="240" w:lineRule="auto"/>
        <w:ind w:left="792" w:right="48"/>
        <w:contextualSpacing/>
        <w:jc w:val="both"/>
        <w:rPr>
          <w:rFonts w:ascii="Garamond" w:eastAsiaTheme="minorHAnsi" w:hAnsi="Garamond"/>
          <w:color w:val="000000" w:themeColor="text1"/>
          <w:sz w:val="24"/>
          <w:szCs w:val="24"/>
          <w:lang w:val="en-IN"/>
        </w:rPr>
      </w:pPr>
      <w:r w:rsidRPr="00A6798C">
        <w:rPr>
          <w:rFonts w:ascii="Garamond" w:eastAsiaTheme="minorHAnsi" w:hAnsi="Garamond"/>
          <w:color w:val="000000" w:themeColor="text1"/>
          <w:sz w:val="24"/>
          <w:szCs w:val="24"/>
          <w:lang w:val="en-IN"/>
        </w:rPr>
        <w:lastRenderedPageBreak/>
        <w:t>The recent released figures puts annual growth in the 19-country bloc at 2.1% since a year ago. For the first quarter the growth rate was slightly revised from 0.6 percent to 0.5 percent. In the last week of the July 2017, IMF said the outlook for several Eurozone economies was brighter than it was initially thought, with countries including France, Germany, Italy and Spain seeing growth forecasts revised up. As a result of the same The European Central Bank is planning to tighten up monetary policy after years of pumping up activity through low interest rates and bond-buying. It intends to begin the process in the autumn, although inflation observed to be low at 1.3%, well under the 2% target for the Eurozone.</w:t>
      </w:r>
    </w:p>
    <w:p w:rsidR="009716D0" w:rsidRPr="00A6798C" w:rsidRDefault="009716D0" w:rsidP="009716D0">
      <w:pPr>
        <w:spacing w:after="0" w:line="240" w:lineRule="auto"/>
        <w:ind w:left="720" w:right="48"/>
        <w:contextualSpacing/>
        <w:jc w:val="both"/>
        <w:rPr>
          <w:rFonts w:ascii="Garamond" w:eastAsiaTheme="minorHAnsi" w:hAnsi="Garamond"/>
          <w:b/>
          <w:color w:val="000000" w:themeColor="text1"/>
          <w:sz w:val="24"/>
          <w:szCs w:val="24"/>
          <w:lang w:val="en-IN"/>
        </w:rPr>
      </w:pPr>
    </w:p>
    <w:p w:rsidR="009716D0" w:rsidRPr="00A6798C" w:rsidRDefault="009716D0" w:rsidP="009716D0">
      <w:pPr>
        <w:numPr>
          <w:ilvl w:val="1"/>
          <w:numId w:val="45"/>
        </w:numPr>
        <w:spacing w:after="0" w:line="240" w:lineRule="auto"/>
        <w:contextualSpacing/>
        <w:jc w:val="both"/>
        <w:rPr>
          <w:rFonts w:ascii="Garamond" w:eastAsiaTheme="minorHAnsi" w:hAnsi="Garamond"/>
          <w:b/>
          <w:color w:val="000000" w:themeColor="text1"/>
          <w:sz w:val="24"/>
          <w:szCs w:val="24"/>
          <w:lang w:val="en-IN"/>
        </w:rPr>
      </w:pPr>
      <w:r w:rsidRPr="00A6798C">
        <w:rPr>
          <w:rFonts w:ascii="Garamond" w:eastAsiaTheme="minorHAnsi" w:hAnsi="Garamond"/>
          <w:b/>
          <w:color w:val="000000" w:themeColor="text1"/>
          <w:sz w:val="24"/>
          <w:szCs w:val="24"/>
          <w:lang w:val="en-IN"/>
        </w:rPr>
        <w:t>RBI cuts repo rate to 6 percent</w:t>
      </w:r>
    </w:p>
    <w:p w:rsidR="009716D0" w:rsidRPr="00A6798C" w:rsidRDefault="009716D0" w:rsidP="009716D0">
      <w:pPr>
        <w:spacing w:after="0" w:line="240" w:lineRule="auto"/>
        <w:ind w:left="792" w:right="48"/>
        <w:contextualSpacing/>
        <w:jc w:val="both"/>
        <w:rPr>
          <w:rFonts w:ascii="Garamond" w:eastAsiaTheme="minorHAnsi" w:hAnsi="Garamond"/>
          <w:color w:val="000000" w:themeColor="text1"/>
          <w:sz w:val="24"/>
          <w:szCs w:val="24"/>
          <w:lang w:val="en-IN"/>
        </w:rPr>
      </w:pPr>
      <w:r w:rsidRPr="00A6798C">
        <w:rPr>
          <w:rFonts w:ascii="Garamond" w:eastAsiaTheme="minorHAnsi" w:hAnsi="Garamond"/>
          <w:color w:val="000000" w:themeColor="text1"/>
          <w:sz w:val="24"/>
          <w:szCs w:val="24"/>
          <w:lang w:val="en-IN"/>
        </w:rPr>
        <w:t>In a recent meeting held on 2</w:t>
      </w:r>
      <w:r w:rsidRPr="00A6798C">
        <w:rPr>
          <w:rFonts w:ascii="Garamond" w:eastAsiaTheme="minorHAnsi" w:hAnsi="Garamond"/>
          <w:color w:val="000000" w:themeColor="text1"/>
          <w:sz w:val="24"/>
          <w:szCs w:val="24"/>
          <w:vertAlign w:val="superscript"/>
          <w:lang w:val="en-IN"/>
        </w:rPr>
        <w:t xml:space="preserve"> </w:t>
      </w:r>
      <w:r w:rsidRPr="00A6798C">
        <w:rPr>
          <w:rFonts w:ascii="Garamond" w:eastAsiaTheme="minorHAnsi" w:hAnsi="Garamond"/>
          <w:color w:val="000000" w:themeColor="text1"/>
          <w:sz w:val="24"/>
          <w:szCs w:val="24"/>
          <w:lang w:val="en-IN"/>
        </w:rPr>
        <w:t xml:space="preserve">August 2017, RBI cut the repo rate to more than 6.5 years low by decreasing it by 25 basis points. Out of six members of Four members of the monetary policy committee voted to cut rates by 25 bps, while one voted for a 50 bps cut and one voted for leaving rates unchanged. "Recognizing that inflation is expected to rise from the current lows (1.54% in June) over the rest of the year, the MPC persevered with the neutral stance," said by RBI governor </w:t>
      </w:r>
      <w:proofErr w:type="spellStart"/>
      <w:r w:rsidRPr="00A6798C">
        <w:rPr>
          <w:rFonts w:ascii="Garamond" w:eastAsiaTheme="minorHAnsi" w:hAnsi="Garamond"/>
          <w:color w:val="000000" w:themeColor="text1"/>
          <w:sz w:val="24"/>
          <w:szCs w:val="24"/>
          <w:lang w:val="en-IN"/>
        </w:rPr>
        <w:t>Urjit</w:t>
      </w:r>
      <w:proofErr w:type="spellEnd"/>
      <w:r w:rsidRPr="00A6798C">
        <w:rPr>
          <w:rFonts w:ascii="Garamond" w:eastAsiaTheme="minorHAnsi" w:hAnsi="Garamond"/>
          <w:color w:val="000000" w:themeColor="text1"/>
          <w:sz w:val="24"/>
          <w:szCs w:val="24"/>
          <w:lang w:val="en-IN"/>
        </w:rPr>
        <w:t xml:space="preserve"> Patel. He further added "Government and RBI are working in close coordination to resolve large stressed corporate borrowers and recapitalise PSBs within the fiscal deficit target”.</w:t>
      </w:r>
    </w:p>
    <w:p w:rsidR="009716D0" w:rsidRDefault="009716D0" w:rsidP="00E158C5">
      <w:pPr>
        <w:spacing w:after="0" w:line="20" w:lineRule="atLeast"/>
        <w:jc w:val="both"/>
        <w:rPr>
          <w:rFonts w:ascii="Garamond" w:hAnsi="Garamond"/>
          <w:b/>
          <w:color w:val="000000" w:themeColor="text1"/>
          <w:sz w:val="24"/>
          <w:szCs w:val="24"/>
          <w:lang w:val="en-GB"/>
        </w:rPr>
      </w:pPr>
    </w:p>
    <w:p w:rsidR="00F54E90" w:rsidRDefault="00F54E90" w:rsidP="00E158C5">
      <w:pPr>
        <w:spacing w:after="0" w:line="20" w:lineRule="atLeast"/>
        <w:jc w:val="both"/>
        <w:rPr>
          <w:rFonts w:ascii="Garamond" w:hAnsi="Garamond"/>
          <w:b/>
          <w:color w:val="000000" w:themeColor="text1"/>
          <w:sz w:val="24"/>
          <w:szCs w:val="24"/>
          <w:lang w:val="en-GB"/>
        </w:rPr>
      </w:pPr>
    </w:p>
    <w:p w:rsidR="00C77D1D" w:rsidRPr="00C77D1D" w:rsidRDefault="00C77D1D" w:rsidP="00C77D1D">
      <w:pPr>
        <w:spacing w:after="0" w:line="20" w:lineRule="atLeast"/>
        <w:rPr>
          <w:rFonts w:ascii="Garamond" w:hAnsi="Garamond"/>
          <w:b/>
          <w:color w:val="000000" w:themeColor="text1"/>
          <w:sz w:val="24"/>
          <w:szCs w:val="24"/>
        </w:rPr>
      </w:pPr>
      <w:r w:rsidRPr="00C77D1D">
        <w:rPr>
          <w:rFonts w:ascii="Garamond" w:hAnsi="Garamond"/>
          <w:b/>
          <w:color w:val="000000" w:themeColor="text1"/>
          <w:sz w:val="24"/>
          <w:szCs w:val="24"/>
        </w:rPr>
        <w:t>United States:</w:t>
      </w:r>
    </w:p>
    <w:p w:rsidR="005203DC" w:rsidRPr="005203DC" w:rsidRDefault="005203DC"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5203DC">
        <w:rPr>
          <w:rFonts w:ascii="Garamond" w:hAnsi="Garamond"/>
          <w:color w:val="000000" w:themeColor="text1"/>
          <w:sz w:val="24"/>
          <w:szCs w:val="24"/>
          <w:lang w:val="en-GB"/>
        </w:rPr>
        <w:t>As per the “advance” estimates released by the Bureau of Economic Analysis the real GDP of US growth increased at 2.6 percent (Q-o-Q) (in annualised terms) during the second quarter of 2017 from 1.2 percent growth rate recorded in the previous quarter.</w:t>
      </w:r>
      <w:r w:rsidR="00A81F23">
        <w:rPr>
          <w:rFonts w:ascii="Garamond" w:hAnsi="Garamond"/>
          <w:color w:val="000000" w:themeColor="text1"/>
          <w:sz w:val="24"/>
          <w:szCs w:val="24"/>
          <w:lang w:val="en-GB"/>
        </w:rPr>
        <w:t xml:space="preserve"> </w:t>
      </w:r>
      <w:r w:rsidRPr="005203DC">
        <w:rPr>
          <w:rFonts w:ascii="Garamond" w:hAnsi="Garamond"/>
          <w:color w:val="000000" w:themeColor="text1"/>
          <w:sz w:val="24"/>
          <w:szCs w:val="24"/>
          <w:lang w:val="en-GB"/>
        </w:rPr>
        <w:t>The increase in real GDP reflected positive contributions from non-residential fixed investment, exports, residential fixed investment, and personal consumption expenditures that were partly offset by negative contributions from private inventory investment, federal government spending, and state and local government spending. Real GDP increased by 1.6 percent in 2016 (Y-o-Y) compared with an increase of 2.6 percent in 2015.</w:t>
      </w:r>
      <w:r w:rsidR="00A81F23" w:rsidRPr="00A81F23">
        <w:rPr>
          <w:rFonts w:ascii="Garamond" w:hAnsi="Garamond"/>
          <w:color w:val="000000" w:themeColor="text1"/>
          <w:sz w:val="24"/>
          <w:szCs w:val="24"/>
          <w:lang w:val="en-GB"/>
        </w:rPr>
        <w:t xml:space="preserve"> </w:t>
      </w:r>
      <w:r w:rsidR="00A81F23">
        <w:rPr>
          <w:rFonts w:ascii="Garamond" w:hAnsi="Garamond"/>
          <w:color w:val="000000" w:themeColor="text1"/>
          <w:sz w:val="24"/>
          <w:szCs w:val="24"/>
          <w:lang w:val="en-GB"/>
        </w:rPr>
        <w:t>IMF has revised down the growth forecast in the United States to 2.1 percent from 2.3 percent in 2017 and to 2.1 percent from 2.5 percent in 2018.</w:t>
      </w:r>
    </w:p>
    <w:p w:rsidR="005203DC" w:rsidRPr="005203DC" w:rsidRDefault="005203DC" w:rsidP="005203DC">
      <w:pPr>
        <w:spacing w:after="0"/>
        <w:ind w:left="540"/>
        <w:contextualSpacing/>
        <w:rPr>
          <w:rFonts w:ascii="Garamond" w:hAnsi="Garamond"/>
          <w:color w:val="000000" w:themeColor="text1"/>
          <w:sz w:val="24"/>
          <w:szCs w:val="24"/>
          <w:lang w:val="en-GB"/>
        </w:rPr>
      </w:pPr>
    </w:p>
    <w:p w:rsidR="005203DC" w:rsidRPr="005203DC" w:rsidRDefault="005203DC"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5203DC">
        <w:rPr>
          <w:rFonts w:ascii="Garamond" w:hAnsi="Garamond"/>
          <w:color w:val="000000" w:themeColor="text1"/>
          <w:sz w:val="24"/>
          <w:szCs w:val="24"/>
          <w:lang w:val="en-GB"/>
        </w:rPr>
        <w:t xml:space="preserve">As per data released by the Bureau of Labor Statistics, the consumer prices in USA went up by 1.6 percent (Y-o-Y) in June 2017. The price index for all items less food and energy rose by 1.7 percent (Y-o-Y) during the month. Unemployment rate in the US was 4.4 percent in June 2017 against 4.3 percent of the previous month. The Federal Open Market Committee (FOMC) on 26 July 2017 decided to raise federal funds rate to 1.25 percent in view of positive market conditions. </w:t>
      </w:r>
    </w:p>
    <w:p w:rsidR="005203DC" w:rsidRPr="005203DC" w:rsidRDefault="005203DC" w:rsidP="005203DC">
      <w:pPr>
        <w:spacing w:after="0"/>
        <w:ind w:left="540"/>
        <w:contextualSpacing/>
        <w:rPr>
          <w:rFonts w:ascii="Garamond" w:hAnsi="Garamond"/>
          <w:color w:val="000000" w:themeColor="text1"/>
          <w:sz w:val="24"/>
          <w:szCs w:val="24"/>
          <w:lang w:val="en-GB"/>
        </w:rPr>
      </w:pPr>
    </w:p>
    <w:p w:rsidR="005203DC" w:rsidRPr="005203DC" w:rsidRDefault="005203DC"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5203DC">
        <w:rPr>
          <w:rFonts w:ascii="Garamond" w:hAnsi="Garamond"/>
          <w:color w:val="000000" w:themeColor="text1"/>
          <w:sz w:val="24"/>
          <w:szCs w:val="24"/>
          <w:lang w:val="en-GB"/>
        </w:rPr>
        <w:t>The seasonally adjusted Markit US Manufacturing Purchasing Managers’ Index (PMI) posted 52.0 in June 2017, slightly down from 52.7 of May. The Markit U.S. Services PMI also moderated marginally to 54.2 in June 2017 from 53.6 in May 2017.</w:t>
      </w:r>
    </w:p>
    <w:p w:rsidR="005203DC" w:rsidRPr="005203DC" w:rsidRDefault="005203DC" w:rsidP="005203DC">
      <w:pPr>
        <w:spacing w:after="0"/>
        <w:ind w:left="540"/>
        <w:contextualSpacing/>
        <w:rPr>
          <w:rFonts w:ascii="Garamond" w:hAnsi="Garamond"/>
          <w:b/>
          <w:i/>
          <w:color w:val="000000" w:themeColor="text1"/>
          <w:sz w:val="24"/>
          <w:szCs w:val="24"/>
          <w:lang w:val="en-GB"/>
        </w:rPr>
      </w:pPr>
    </w:p>
    <w:p w:rsidR="005203DC" w:rsidRPr="005203DC" w:rsidRDefault="005203DC" w:rsidP="005203DC">
      <w:pPr>
        <w:spacing w:after="0"/>
        <w:ind w:left="540"/>
        <w:contextualSpacing/>
        <w:rPr>
          <w:rFonts w:ascii="Garamond" w:hAnsi="Garamond"/>
          <w:i/>
          <w:color w:val="000000" w:themeColor="text1"/>
          <w:sz w:val="24"/>
          <w:szCs w:val="24"/>
          <w:lang w:val="en-GB"/>
        </w:rPr>
      </w:pPr>
      <w:r w:rsidRPr="005203DC">
        <w:rPr>
          <w:rFonts w:ascii="Garamond" w:hAnsi="Garamond"/>
          <w:b/>
          <w:i/>
          <w:color w:val="000000" w:themeColor="text1"/>
          <w:sz w:val="24"/>
          <w:szCs w:val="24"/>
          <w:lang w:val="en-GB"/>
        </w:rPr>
        <w:t>Observations:</w:t>
      </w:r>
      <w:r w:rsidRPr="005203DC">
        <w:rPr>
          <w:rFonts w:ascii="Garamond" w:hAnsi="Garamond"/>
          <w:color w:val="000000" w:themeColor="text1"/>
          <w:sz w:val="24"/>
          <w:szCs w:val="24"/>
          <w:lang w:val="en-GB"/>
        </w:rPr>
        <w:t xml:space="preserve"> </w:t>
      </w:r>
      <w:r w:rsidRPr="005203DC">
        <w:rPr>
          <w:rFonts w:ascii="Garamond" w:hAnsi="Garamond"/>
          <w:i/>
          <w:color w:val="000000" w:themeColor="text1"/>
          <w:sz w:val="24"/>
          <w:szCs w:val="24"/>
          <w:lang w:val="en-GB"/>
        </w:rPr>
        <w:t>A disappointing end of manufacturers reported to the Q2 2017, with few signs of growth picking up any time soon.</w:t>
      </w:r>
      <w:r w:rsidRPr="005203DC">
        <w:rPr>
          <w:rFonts w:ascii="Garamond" w:hAnsi="Garamond"/>
          <w:color w:val="000000" w:themeColor="text1"/>
          <w:sz w:val="24"/>
          <w:szCs w:val="24"/>
          <w:lang w:val="en-GB"/>
        </w:rPr>
        <w:t xml:space="preserve"> </w:t>
      </w:r>
      <w:r w:rsidRPr="005203DC">
        <w:rPr>
          <w:rFonts w:ascii="Garamond" w:hAnsi="Garamond"/>
          <w:i/>
          <w:color w:val="000000" w:themeColor="text1"/>
          <w:sz w:val="24"/>
          <w:szCs w:val="24"/>
          <w:lang w:val="en-GB"/>
        </w:rPr>
        <w:t>All-sector PMI’s average reading for the Q2 2017 is down slightly on the Q1 2017, suggesting that the underlying pace of economic growth remains somewhat subdued though still robust. Actual GDP data are expected to show a stronger rebound, still largely reflecting volatile quarterly seasonal variations in the official data released.</w:t>
      </w:r>
    </w:p>
    <w:p w:rsidR="005203DC" w:rsidRDefault="005203DC" w:rsidP="005203DC">
      <w:pPr>
        <w:spacing w:after="0"/>
        <w:ind w:left="540"/>
        <w:contextualSpacing/>
        <w:rPr>
          <w:rFonts w:ascii="Garamond" w:hAnsi="Garamond"/>
          <w:b/>
          <w:color w:val="000000" w:themeColor="text1"/>
          <w:sz w:val="24"/>
          <w:szCs w:val="24"/>
          <w:lang w:val="en-GB"/>
        </w:rPr>
      </w:pPr>
    </w:p>
    <w:p w:rsidR="00F54E90" w:rsidRPr="005203DC" w:rsidRDefault="00F54E90" w:rsidP="005203DC">
      <w:pPr>
        <w:spacing w:after="0"/>
        <w:ind w:left="540"/>
        <w:contextualSpacing/>
        <w:rPr>
          <w:rFonts w:ascii="Garamond" w:hAnsi="Garamond"/>
          <w:b/>
          <w:color w:val="000000" w:themeColor="text1"/>
          <w:sz w:val="24"/>
          <w:szCs w:val="24"/>
          <w:lang w:val="en-GB"/>
        </w:rPr>
      </w:pPr>
    </w:p>
    <w:p w:rsidR="005203DC" w:rsidRPr="005203DC" w:rsidRDefault="005203DC" w:rsidP="005203DC">
      <w:pPr>
        <w:spacing w:after="0"/>
        <w:ind w:left="540"/>
        <w:contextualSpacing/>
        <w:rPr>
          <w:rFonts w:ascii="Garamond" w:hAnsi="Garamond"/>
          <w:b/>
          <w:color w:val="000000" w:themeColor="text1"/>
          <w:sz w:val="24"/>
          <w:szCs w:val="24"/>
          <w:lang w:val="en-GB"/>
        </w:rPr>
      </w:pPr>
      <w:r w:rsidRPr="005203DC">
        <w:rPr>
          <w:rFonts w:ascii="Garamond" w:hAnsi="Garamond"/>
          <w:b/>
          <w:color w:val="000000" w:themeColor="text1"/>
          <w:sz w:val="24"/>
          <w:szCs w:val="24"/>
          <w:lang w:val="en-GB"/>
        </w:rPr>
        <w:t>United Kingdom:</w:t>
      </w:r>
    </w:p>
    <w:p w:rsidR="00E47D4E" w:rsidRPr="00E47D4E" w:rsidRDefault="005203DC"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5203DC">
        <w:rPr>
          <w:rFonts w:ascii="Garamond" w:hAnsi="Garamond"/>
          <w:color w:val="000000" w:themeColor="text1"/>
          <w:sz w:val="24"/>
          <w:szCs w:val="24"/>
          <w:lang w:val="en-GB"/>
        </w:rPr>
        <w:t>As per the second estimate by Office for National Statistics,</w:t>
      </w:r>
      <w:r w:rsidR="009716D0">
        <w:rPr>
          <w:rFonts w:ascii="Garamond" w:hAnsi="Garamond"/>
          <w:color w:val="000000" w:themeColor="text1"/>
          <w:sz w:val="24"/>
          <w:szCs w:val="24"/>
          <w:lang w:val="en-GB"/>
        </w:rPr>
        <w:t xml:space="preserve"> the British economy grew at 0.3</w:t>
      </w:r>
      <w:r w:rsidRPr="005203DC">
        <w:rPr>
          <w:rFonts w:ascii="Garamond" w:hAnsi="Garamond"/>
          <w:color w:val="000000" w:themeColor="text1"/>
          <w:sz w:val="24"/>
          <w:szCs w:val="24"/>
          <w:lang w:val="en-GB"/>
        </w:rPr>
        <w:t xml:space="preserve"> percent (Q-o-Q) in the Q</w:t>
      </w:r>
      <w:r w:rsidR="008C7B93">
        <w:rPr>
          <w:rFonts w:ascii="Garamond" w:hAnsi="Garamond"/>
          <w:color w:val="000000" w:themeColor="text1"/>
          <w:sz w:val="24"/>
          <w:szCs w:val="24"/>
          <w:lang w:val="en-GB"/>
        </w:rPr>
        <w:t>2</w:t>
      </w:r>
      <w:r w:rsidRPr="005203DC">
        <w:rPr>
          <w:rFonts w:ascii="Garamond" w:hAnsi="Garamond"/>
          <w:color w:val="000000" w:themeColor="text1"/>
          <w:sz w:val="24"/>
          <w:szCs w:val="24"/>
          <w:lang w:val="en-GB"/>
        </w:rPr>
        <w:t xml:space="preserve"> 2017, compared to </w:t>
      </w:r>
      <w:r w:rsidR="009716D0">
        <w:rPr>
          <w:rFonts w:ascii="Garamond" w:hAnsi="Garamond"/>
          <w:color w:val="000000" w:themeColor="text1"/>
          <w:sz w:val="24"/>
          <w:szCs w:val="24"/>
          <w:lang w:val="en-GB"/>
        </w:rPr>
        <w:t>0.2</w:t>
      </w:r>
      <w:r w:rsidRPr="005203DC">
        <w:rPr>
          <w:rFonts w:ascii="Garamond" w:hAnsi="Garamond"/>
          <w:color w:val="000000" w:themeColor="text1"/>
          <w:sz w:val="24"/>
          <w:szCs w:val="24"/>
          <w:lang w:val="en-GB"/>
        </w:rPr>
        <w:t xml:space="preserve"> percent growth in the previous quarter. UK GDP growth in</w:t>
      </w:r>
      <w:r w:rsidR="009716D0">
        <w:rPr>
          <w:rFonts w:ascii="Garamond" w:hAnsi="Garamond"/>
          <w:color w:val="000000" w:themeColor="text1"/>
          <w:sz w:val="24"/>
          <w:szCs w:val="24"/>
          <w:lang w:val="en-GB"/>
        </w:rPr>
        <w:t xml:space="preserve"> Q2</w:t>
      </w:r>
      <w:r w:rsidRPr="005203DC">
        <w:rPr>
          <w:rFonts w:ascii="Garamond" w:hAnsi="Garamond"/>
          <w:color w:val="000000" w:themeColor="text1"/>
          <w:sz w:val="24"/>
          <w:szCs w:val="24"/>
          <w:lang w:val="en-GB"/>
        </w:rPr>
        <w:t xml:space="preserve"> 2017 saw a fall in consumer facing industries such as retail and accommodation and household </w:t>
      </w:r>
      <w:r w:rsidRPr="005203DC">
        <w:rPr>
          <w:rFonts w:ascii="Garamond" w:hAnsi="Garamond"/>
          <w:color w:val="000000" w:themeColor="text1"/>
          <w:sz w:val="24"/>
          <w:szCs w:val="24"/>
          <w:lang w:val="en-GB"/>
        </w:rPr>
        <w:lastRenderedPageBreak/>
        <w:t>spending also slowed. There was strong growth in the output of the services sector with a notable contribution in consumer-focused industries. On a Y-o-Y basis</w:t>
      </w:r>
      <w:r w:rsidR="00326717">
        <w:rPr>
          <w:rFonts w:ascii="Garamond" w:hAnsi="Garamond"/>
          <w:color w:val="000000" w:themeColor="text1"/>
          <w:sz w:val="24"/>
          <w:szCs w:val="24"/>
          <w:lang w:val="en-GB"/>
        </w:rPr>
        <w:t>, GDP expanded 1.7</w:t>
      </w:r>
      <w:r w:rsidR="00666767">
        <w:rPr>
          <w:rFonts w:ascii="Garamond" w:hAnsi="Garamond"/>
          <w:color w:val="000000" w:themeColor="text1"/>
          <w:sz w:val="24"/>
          <w:szCs w:val="24"/>
          <w:lang w:val="en-GB"/>
        </w:rPr>
        <w:t xml:space="preserve"> percent in the Q2 2017</w:t>
      </w:r>
      <w:r w:rsidRPr="005203DC">
        <w:rPr>
          <w:rFonts w:ascii="Garamond" w:hAnsi="Garamond"/>
          <w:color w:val="000000" w:themeColor="text1"/>
          <w:sz w:val="24"/>
          <w:szCs w:val="24"/>
          <w:lang w:val="en-GB"/>
        </w:rPr>
        <w:t xml:space="preserve"> following a 2 percent expansion in the previous period. </w:t>
      </w:r>
      <w:r w:rsidR="00E47D4E" w:rsidRPr="00E47D4E">
        <w:rPr>
          <w:rFonts w:ascii="Garamond" w:hAnsi="Garamond"/>
          <w:color w:val="000000" w:themeColor="text1"/>
          <w:sz w:val="24"/>
          <w:szCs w:val="24"/>
          <w:lang w:val="en-GB"/>
        </w:rPr>
        <w:t xml:space="preserve">IMF has revised down the growth forecast in the United </w:t>
      </w:r>
      <w:r w:rsidR="00E47D4E">
        <w:rPr>
          <w:rFonts w:ascii="Garamond" w:hAnsi="Garamond"/>
          <w:color w:val="000000" w:themeColor="text1"/>
          <w:sz w:val="24"/>
          <w:szCs w:val="24"/>
          <w:lang w:val="en-GB"/>
        </w:rPr>
        <w:t>Kingdom to 1.7 percent from 2.0</w:t>
      </w:r>
      <w:r w:rsidR="00E47D4E" w:rsidRPr="00E47D4E">
        <w:rPr>
          <w:rFonts w:ascii="Garamond" w:hAnsi="Garamond"/>
          <w:color w:val="000000" w:themeColor="text1"/>
          <w:sz w:val="24"/>
          <w:szCs w:val="24"/>
          <w:lang w:val="en-GB"/>
        </w:rPr>
        <w:t xml:space="preserve"> percent in 2017 and to </w:t>
      </w:r>
      <w:r w:rsidR="00E47D4E">
        <w:rPr>
          <w:rFonts w:ascii="Garamond" w:hAnsi="Garamond"/>
          <w:color w:val="000000" w:themeColor="text1"/>
          <w:sz w:val="24"/>
          <w:szCs w:val="24"/>
          <w:lang w:val="en-GB"/>
        </w:rPr>
        <w:t>1.5</w:t>
      </w:r>
      <w:r w:rsidR="00E47D4E" w:rsidRPr="00E47D4E">
        <w:rPr>
          <w:rFonts w:ascii="Garamond" w:hAnsi="Garamond"/>
          <w:color w:val="000000" w:themeColor="text1"/>
          <w:sz w:val="24"/>
          <w:szCs w:val="24"/>
          <w:lang w:val="en-GB"/>
        </w:rPr>
        <w:t xml:space="preserve"> percent in 2018.</w:t>
      </w:r>
    </w:p>
    <w:p w:rsidR="005203DC" w:rsidRPr="005203DC" w:rsidRDefault="005203DC" w:rsidP="007D38B4">
      <w:pPr>
        <w:spacing w:after="0"/>
        <w:ind w:left="792"/>
        <w:contextualSpacing/>
        <w:rPr>
          <w:rFonts w:ascii="Garamond" w:hAnsi="Garamond"/>
          <w:color w:val="000000" w:themeColor="text1"/>
          <w:sz w:val="24"/>
          <w:szCs w:val="24"/>
          <w:lang w:val="en-GB"/>
        </w:rPr>
      </w:pPr>
    </w:p>
    <w:p w:rsidR="005203DC" w:rsidRPr="005203DC" w:rsidRDefault="005203DC" w:rsidP="007D38B4">
      <w:pPr>
        <w:spacing w:after="0"/>
        <w:contextualSpacing/>
        <w:rPr>
          <w:rFonts w:ascii="Garamond" w:hAnsi="Garamond"/>
          <w:color w:val="000000" w:themeColor="text1"/>
          <w:sz w:val="24"/>
          <w:szCs w:val="24"/>
          <w:lang w:val="en-GB"/>
        </w:rPr>
      </w:pPr>
    </w:p>
    <w:p w:rsidR="005203DC" w:rsidRPr="005203DC" w:rsidRDefault="005203DC"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5203DC">
        <w:rPr>
          <w:rFonts w:ascii="Garamond" w:hAnsi="Garamond"/>
          <w:color w:val="000000" w:themeColor="text1"/>
          <w:sz w:val="24"/>
          <w:szCs w:val="24"/>
          <w:lang w:val="en-GB"/>
        </w:rPr>
        <w:t>The CPI Inflation in the UK increased to 2.6 percent (Y-o-Y) in June 2017 against 2.9 percent in May 2017. UK unemployment rate fell to 4.5 percent during the period March 2017 to May 2017 compared to 4.6 percent in the period February 2017 to April 2017. The Bank of England Monetary Policy Committee kept the Bank Rate at same as of 0.25 percent and left the stock of purchased assets at £435 billion on June 14, 2017.</w:t>
      </w:r>
    </w:p>
    <w:p w:rsidR="005203DC" w:rsidRPr="005203DC" w:rsidRDefault="005203DC" w:rsidP="005203DC">
      <w:pPr>
        <w:spacing w:after="0"/>
        <w:ind w:left="540"/>
        <w:contextualSpacing/>
        <w:rPr>
          <w:rFonts w:ascii="Garamond" w:hAnsi="Garamond"/>
          <w:color w:val="000000" w:themeColor="text1"/>
          <w:sz w:val="24"/>
          <w:szCs w:val="24"/>
          <w:lang w:val="en-GB"/>
        </w:rPr>
      </w:pPr>
    </w:p>
    <w:p w:rsidR="005203DC" w:rsidRPr="005203DC" w:rsidRDefault="005203DC"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5203DC">
        <w:rPr>
          <w:rFonts w:ascii="Garamond" w:hAnsi="Garamond"/>
          <w:color w:val="000000" w:themeColor="text1"/>
          <w:sz w:val="24"/>
          <w:szCs w:val="24"/>
          <w:lang w:val="en-GB"/>
        </w:rPr>
        <w:t xml:space="preserve">Manufacturing PMI further softened to 54.3 in June 2017 from 56.3 in May 2017. The UK Services PMI moved down to 53.4 from 53.8 in the previous month. </w:t>
      </w:r>
    </w:p>
    <w:p w:rsidR="005203DC" w:rsidRPr="005203DC" w:rsidRDefault="005203DC" w:rsidP="005203DC">
      <w:pPr>
        <w:spacing w:after="0"/>
        <w:ind w:left="540"/>
        <w:contextualSpacing/>
        <w:rPr>
          <w:rFonts w:ascii="Garamond" w:hAnsi="Garamond"/>
          <w:bCs/>
          <w:i/>
          <w:iCs/>
          <w:color w:val="000000" w:themeColor="text1"/>
          <w:sz w:val="24"/>
          <w:szCs w:val="24"/>
          <w:lang w:val="en-GB"/>
        </w:rPr>
      </w:pPr>
    </w:p>
    <w:p w:rsidR="0044786D" w:rsidRPr="005203DC" w:rsidRDefault="005203DC" w:rsidP="005203DC">
      <w:pPr>
        <w:spacing w:after="0"/>
        <w:ind w:left="540"/>
        <w:contextualSpacing/>
        <w:rPr>
          <w:rFonts w:ascii="Garamond" w:hAnsi="Garamond"/>
          <w:color w:val="000000" w:themeColor="text1"/>
          <w:sz w:val="24"/>
          <w:szCs w:val="24"/>
          <w:lang w:val="en-GB"/>
        </w:rPr>
      </w:pPr>
      <w:r w:rsidRPr="005203DC">
        <w:rPr>
          <w:rFonts w:ascii="Garamond" w:hAnsi="Garamond"/>
          <w:b/>
          <w:bCs/>
          <w:i/>
          <w:iCs/>
          <w:color w:val="000000" w:themeColor="text1"/>
          <w:sz w:val="24"/>
          <w:szCs w:val="24"/>
          <w:lang w:val="en-GB"/>
        </w:rPr>
        <w:t>Observations:</w:t>
      </w:r>
      <w:r w:rsidRPr="005203DC">
        <w:rPr>
          <w:rFonts w:ascii="Garamond" w:hAnsi="Garamond"/>
          <w:bCs/>
          <w:i/>
          <w:iCs/>
          <w:color w:val="000000" w:themeColor="text1"/>
          <w:sz w:val="24"/>
          <w:szCs w:val="24"/>
          <w:lang w:val="en-GB"/>
        </w:rPr>
        <w:t xml:space="preserve"> New business grew at the weakest pace for about a year and growth was down sharply from April’s around three-year high. Strong growth in new orders and overall activity was destabilised by a loss in business optimism, which fell to one of the lowest levels in past 6 years. This slowdown was largely resulted from the domestic market, where increased business uncertainty appears to have led to some delays in placing new orders. “Export orders remained low despite the ongoing competitiveness boost of the weak sterling exchange rate. </w:t>
      </w:r>
    </w:p>
    <w:p w:rsidR="003A2F3F" w:rsidRPr="00560465" w:rsidRDefault="003A2F3F" w:rsidP="00E158C5">
      <w:pPr>
        <w:spacing w:after="0" w:line="20" w:lineRule="atLeast"/>
        <w:ind w:left="720"/>
        <w:contextualSpacing/>
        <w:jc w:val="both"/>
        <w:rPr>
          <w:rFonts w:ascii="Garamond" w:hAnsi="Garamond"/>
          <w:color w:val="000000" w:themeColor="text1"/>
          <w:sz w:val="24"/>
          <w:szCs w:val="24"/>
          <w:lang w:val="en-GB"/>
        </w:rPr>
      </w:pPr>
      <w:r w:rsidRPr="00560465">
        <w:rPr>
          <w:rFonts w:ascii="Garamond" w:hAnsi="Garamond"/>
          <w:color w:val="000000" w:themeColor="text1"/>
          <w:sz w:val="24"/>
          <w:szCs w:val="24"/>
          <w:lang w:val="en-GB"/>
        </w:rPr>
        <w:tab/>
      </w:r>
    </w:p>
    <w:p w:rsidR="00984931" w:rsidRPr="00560465" w:rsidRDefault="00984931" w:rsidP="00E158C5">
      <w:pPr>
        <w:spacing w:after="0" w:line="20" w:lineRule="atLeast"/>
        <w:ind w:left="720"/>
        <w:contextualSpacing/>
        <w:jc w:val="both"/>
        <w:rPr>
          <w:rFonts w:ascii="Garamond" w:eastAsiaTheme="minorHAnsi" w:hAnsi="Garamond"/>
          <w:color w:val="000000" w:themeColor="text1"/>
          <w:sz w:val="24"/>
          <w:szCs w:val="24"/>
          <w:lang w:val="en-IN"/>
        </w:rPr>
      </w:pPr>
    </w:p>
    <w:p w:rsidR="00653ACE" w:rsidRPr="00560465" w:rsidRDefault="00653ACE" w:rsidP="00653ACE">
      <w:pPr>
        <w:keepNext/>
        <w:keepLines/>
        <w:spacing w:before="200" w:after="120" w:line="240" w:lineRule="auto"/>
        <w:jc w:val="both"/>
        <w:outlineLvl w:val="1"/>
        <w:rPr>
          <w:rFonts w:ascii="Garamond" w:eastAsiaTheme="majorEastAsia" w:hAnsi="Garamond"/>
          <w:b/>
          <w:bCs/>
          <w:color w:val="000000" w:themeColor="text1"/>
          <w:sz w:val="24"/>
          <w:szCs w:val="24"/>
          <w:lang w:val="en-GB"/>
        </w:rPr>
      </w:pPr>
      <w:r w:rsidRPr="001F1735">
        <w:rPr>
          <w:rFonts w:ascii="Garamond" w:eastAsiaTheme="majorEastAsia" w:hAnsi="Garamond"/>
          <w:b/>
          <w:bCs/>
          <w:color w:val="000000" w:themeColor="text1"/>
          <w:sz w:val="24"/>
          <w:szCs w:val="24"/>
          <w:lang w:val="en-GB"/>
        </w:rPr>
        <w:t>Japan:</w:t>
      </w:r>
    </w:p>
    <w:p w:rsidR="00A50555" w:rsidRPr="00385BBA" w:rsidRDefault="00A50555" w:rsidP="004677BD">
      <w:pPr>
        <w:numPr>
          <w:ilvl w:val="1"/>
          <w:numId w:val="9"/>
        </w:numPr>
        <w:spacing w:after="0" w:line="240" w:lineRule="auto"/>
        <w:ind w:hanging="650"/>
        <w:contextualSpacing/>
        <w:jc w:val="both"/>
        <w:rPr>
          <w:rFonts w:ascii="Garamond" w:hAnsi="Garamond"/>
          <w:color w:val="000000" w:themeColor="text1"/>
          <w:sz w:val="24"/>
          <w:szCs w:val="24"/>
        </w:rPr>
      </w:pPr>
      <w:r>
        <w:rPr>
          <w:rFonts w:ascii="Garamond" w:hAnsi="Garamond"/>
          <w:color w:val="000000" w:themeColor="text1"/>
          <w:sz w:val="24"/>
          <w:szCs w:val="24"/>
          <w:lang w:val="en-GB"/>
        </w:rPr>
        <w:t xml:space="preserve">The </w:t>
      </w:r>
      <w:r w:rsidRPr="00D97EB7">
        <w:rPr>
          <w:rFonts w:ascii="Garamond" w:hAnsi="Garamond"/>
          <w:bCs/>
          <w:color w:val="000000"/>
          <w:sz w:val="24"/>
          <w:szCs w:val="24"/>
          <w:lang w:val="en-GB"/>
        </w:rPr>
        <w:t>Japanese</w:t>
      </w:r>
      <w:r w:rsidR="005053A3">
        <w:rPr>
          <w:rFonts w:ascii="Garamond" w:hAnsi="Garamond"/>
          <w:color w:val="000000" w:themeColor="text1"/>
          <w:sz w:val="24"/>
          <w:szCs w:val="24"/>
          <w:lang w:val="en-GB"/>
        </w:rPr>
        <w:t xml:space="preserve"> economy </w:t>
      </w:r>
      <w:r w:rsidR="00952513">
        <w:rPr>
          <w:rFonts w:ascii="Garamond" w:hAnsi="Garamond"/>
          <w:color w:val="000000" w:themeColor="text1"/>
          <w:sz w:val="24"/>
          <w:szCs w:val="24"/>
          <w:lang w:val="en-GB"/>
        </w:rPr>
        <w:t>ad</w:t>
      </w:r>
      <w:r w:rsidR="000812D4">
        <w:rPr>
          <w:rFonts w:ascii="Garamond" w:hAnsi="Garamond"/>
          <w:color w:val="000000" w:themeColor="text1"/>
          <w:sz w:val="24"/>
          <w:szCs w:val="24"/>
          <w:lang w:val="en-GB"/>
        </w:rPr>
        <w:t>vanced</w:t>
      </w:r>
      <w:r w:rsidR="005053A3">
        <w:rPr>
          <w:rFonts w:ascii="Garamond" w:hAnsi="Garamond"/>
          <w:color w:val="000000" w:themeColor="text1"/>
          <w:sz w:val="24"/>
          <w:szCs w:val="24"/>
          <w:lang w:val="en-GB"/>
        </w:rPr>
        <w:t xml:space="preserve"> 0.3</w:t>
      </w:r>
      <w:r>
        <w:rPr>
          <w:rFonts w:ascii="Garamond" w:hAnsi="Garamond"/>
          <w:color w:val="000000" w:themeColor="text1"/>
          <w:sz w:val="24"/>
          <w:szCs w:val="24"/>
          <w:lang w:val="en-GB"/>
        </w:rPr>
        <w:t xml:space="preserve"> percent (Q-o-Q) in the first</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 xml:space="preserve">, </w:t>
      </w:r>
      <w:r w:rsidR="005053A3">
        <w:rPr>
          <w:rFonts w:ascii="Garamond" w:hAnsi="Garamond"/>
          <w:color w:val="000000" w:themeColor="text1"/>
          <w:sz w:val="24"/>
          <w:szCs w:val="24"/>
          <w:lang w:val="en-GB"/>
        </w:rPr>
        <w:t>at the same pace</w:t>
      </w:r>
      <w:r w:rsidRPr="00EC3D4D">
        <w:rPr>
          <w:rFonts w:ascii="Garamond" w:hAnsi="Garamond"/>
          <w:color w:val="000000" w:themeColor="text1"/>
          <w:sz w:val="24"/>
          <w:szCs w:val="24"/>
          <w:lang w:val="en-GB"/>
        </w:rPr>
        <w:t xml:space="preserve"> in the previous quarter. It was the </w:t>
      </w:r>
      <w:r>
        <w:rPr>
          <w:rFonts w:ascii="Garamond" w:hAnsi="Garamond"/>
          <w:color w:val="000000" w:themeColor="text1"/>
          <w:sz w:val="24"/>
          <w:szCs w:val="24"/>
          <w:lang w:val="en-GB"/>
        </w:rPr>
        <w:t>strongest expansion since Q1 2016</w:t>
      </w:r>
      <w:r w:rsidRPr="00EC3D4D">
        <w:rPr>
          <w:rFonts w:ascii="Garamond" w:hAnsi="Garamond"/>
          <w:color w:val="000000" w:themeColor="text1"/>
          <w:sz w:val="24"/>
          <w:szCs w:val="24"/>
          <w:lang w:val="en-GB"/>
        </w:rPr>
        <w:t xml:space="preserve"> quarter </w:t>
      </w:r>
      <w:r w:rsidRPr="00385BBA">
        <w:rPr>
          <w:rFonts w:ascii="Garamond" w:hAnsi="Garamond"/>
          <w:color w:val="000000" w:themeColor="text1"/>
          <w:sz w:val="24"/>
          <w:szCs w:val="24"/>
        </w:rPr>
        <w:t>supported by private consumption, exports and an unexpected rise in capital expenditure</w:t>
      </w:r>
      <w:r>
        <w:rPr>
          <w:rFonts w:ascii="Garamond" w:hAnsi="Garamond"/>
          <w:color w:val="000000" w:themeColor="text1"/>
          <w:sz w:val="24"/>
          <w:szCs w:val="24"/>
        </w:rPr>
        <w:t>.</w:t>
      </w:r>
      <w:r w:rsidRPr="00385BBA">
        <w:rPr>
          <w:rFonts w:ascii="Garamond" w:hAnsi="Garamond"/>
          <w:color w:val="000000" w:themeColor="text1"/>
          <w:sz w:val="24"/>
          <w:szCs w:val="24"/>
          <w:lang w:val="en-GB"/>
        </w:rPr>
        <w:t>In Y-o-Y ter</w:t>
      </w:r>
      <w:r w:rsidR="005053A3">
        <w:rPr>
          <w:rFonts w:ascii="Garamond" w:hAnsi="Garamond"/>
          <w:color w:val="000000" w:themeColor="text1"/>
          <w:sz w:val="24"/>
          <w:szCs w:val="24"/>
          <w:lang w:val="en-GB"/>
        </w:rPr>
        <w:t>ms, Japanese economy grew by 1.3</w:t>
      </w:r>
      <w:r w:rsidRPr="00385BBA">
        <w:rPr>
          <w:rFonts w:ascii="Garamond" w:hAnsi="Garamond"/>
          <w:color w:val="000000" w:themeColor="text1"/>
          <w:sz w:val="24"/>
          <w:szCs w:val="24"/>
          <w:lang w:val="en-GB"/>
        </w:rPr>
        <w:t xml:space="preserve"> </w:t>
      </w:r>
      <w:r>
        <w:rPr>
          <w:rFonts w:ascii="Garamond" w:hAnsi="Garamond"/>
          <w:color w:val="000000" w:themeColor="text1"/>
          <w:sz w:val="24"/>
          <w:szCs w:val="24"/>
          <w:lang w:val="en-GB"/>
        </w:rPr>
        <w:t xml:space="preserve">percent (Y-o-Y) during Q1 2017 as compared to 1.7 percent (Y-o-Y) in Q4 </w:t>
      </w:r>
      <w:r w:rsidRPr="00385BBA">
        <w:rPr>
          <w:rFonts w:ascii="Garamond" w:hAnsi="Garamond"/>
          <w:color w:val="000000" w:themeColor="text1"/>
          <w:sz w:val="24"/>
          <w:szCs w:val="24"/>
          <w:lang w:val="en-GB"/>
        </w:rPr>
        <w:t xml:space="preserve">2016. </w:t>
      </w:r>
      <w:r w:rsidR="00252F85">
        <w:rPr>
          <w:rFonts w:ascii="Garamond" w:hAnsi="Garamond"/>
          <w:color w:val="000000" w:themeColor="text1"/>
          <w:sz w:val="24"/>
          <w:szCs w:val="24"/>
          <w:lang w:val="en-GB"/>
        </w:rPr>
        <w:t>T</w:t>
      </w:r>
      <w:r w:rsidR="00252F85" w:rsidRPr="00252F85">
        <w:rPr>
          <w:rFonts w:ascii="Garamond" w:hAnsi="Garamond"/>
          <w:color w:val="000000" w:themeColor="text1"/>
          <w:sz w:val="24"/>
          <w:szCs w:val="24"/>
          <w:lang w:val="en-GB"/>
        </w:rPr>
        <w:t>h</w:t>
      </w:r>
      <w:r w:rsidR="00252F85">
        <w:rPr>
          <w:rFonts w:ascii="Garamond" w:hAnsi="Garamond"/>
          <w:color w:val="000000" w:themeColor="text1"/>
          <w:sz w:val="24"/>
          <w:szCs w:val="24"/>
          <w:lang w:val="en-GB"/>
        </w:rPr>
        <w:t>e growth forecast for Japan has been revised down</w:t>
      </w:r>
      <w:r w:rsidR="00077AA9">
        <w:rPr>
          <w:rFonts w:ascii="Garamond" w:hAnsi="Garamond"/>
          <w:color w:val="000000" w:themeColor="text1"/>
          <w:sz w:val="24"/>
          <w:szCs w:val="24"/>
          <w:lang w:val="en-GB"/>
        </w:rPr>
        <w:t xml:space="preserve"> by IMF</w:t>
      </w:r>
      <w:r w:rsidR="00252F85">
        <w:rPr>
          <w:rFonts w:ascii="Garamond" w:hAnsi="Garamond"/>
          <w:color w:val="000000" w:themeColor="text1"/>
          <w:sz w:val="24"/>
          <w:szCs w:val="24"/>
          <w:lang w:val="en-GB"/>
        </w:rPr>
        <w:t xml:space="preserve"> to 1.3 percent from 1.4</w:t>
      </w:r>
      <w:r w:rsidR="00252F85" w:rsidRPr="00252F85">
        <w:rPr>
          <w:rFonts w:ascii="Garamond" w:hAnsi="Garamond"/>
          <w:color w:val="000000" w:themeColor="text1"/>
          <w:sz w:val="24"/>
          <w:szCs w:val="24"/>
          <w:lang w:val="en-GB"/>
        </w:rPr>
        <w:t xml:space="preserve"> percent in 2017 and to </w:t>
      </w:r>
      <w:r w:rsidR="00252F85">
        <w:rPr>
          <w:rFonts w:ascii="Garamond" w:hAnsi="Garamond"/>
          <w:color w:val="000000" w:themeColor="text1"/>
          <w:sz w:val="24"/>
          <w:szCs w:val="24"/>
          <w:lang w:val="en-GB"/>
        </w:rPr>
        <w:t>0.6</w:t>
      </w:r>
      <w:r w:rsidR="00252F85" w:rsidRPr="00252F85">
        <w:rPr>
          <w:rFonts w:ascii="Garamond" w:hAnsi="Garamond"/>
          <w:color w:val="000000" w:themeColor="text1"/>
          <w:sz w:val="24"/>
          <w:szCs w:val="24"/>
          <w:lang w:val="en-GB"/>
        </w:rPr>
        <w:t xml:space="preserve"> percent in 2018.</w:t>
      </w:r>
    </w:p>
    <w:p w:rsidR="00A50555" w:rsidRPr="008011A0" w:rsidRDefault="00A50555" w:rsidP="00A50555">
      <w:pPr>
        <w:spacing w:line="240" w:lineRule="auto"/>
        <w:contextualSpacing/>
        <w:jc w:val="both"/>
        <w:rPr>
          <w:rFonts w:ascii="Garamond" w:hAnsi="Garamond"/>
          <w:color w:val="000000" w:themeColor="text1"/>
          <w:sz w:val="24"/>
          <w:szCs w:val="24"/>
          <w:lang w:val="en-GB"/>
        </w:rPr>
      </w:pPr>
    </w:p>
    <w:p w:rsidR="00A50555" w:rsidRPr="002705A0" w:rsidRDefault="00A50555"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D97EB7">
        <w:rPr>
          <w:rFonts w:ascii="Garamond" w:hAnsi="Garamond"/>
          <w:bCs/>
          <w:color w:val="000000"/>
          <w:sz w:val="24"/>
          <w:szCs w:val="24"/>
          <w:lang w:val="en-GB"/>
        </w:rPr>
        <w:t>Consumer</w:t>
      </w:r>
      <w:r w:rsidRPr="009814CA">
        <w:rPr>
          <w:rFonts w:ascii="Garamond" w:hAnsi="Garamond"/>
          <w:color w:val="000000" w:themeColor="text1"/>
          <w:sz w:val="24"/>
          <w:szCs w:val="24"/>
          <w:lang w:val="en-GB"/>
        </w:rPr>
        <w:t xml:space="preserve"> </w:t>
      </w:r>
      <w:r w:rsidR="000812D4">
        <w:rPr>
          <w:rFonts w:ascii="Garamond" w:hAnsi="Garamond"/>
          <w:color w:val="000000" w:themeColor="text1"/>
          <w:sz w:val="24"/>
          <w:szCs w:val="24"/>
          <w:lang w:val="en-GB"/>
        </w:rPr>
        <w:t>prices in Japan increased by 0.4 percent in June</w:t>
      </w:r>
      <w:r w:rsidRPr="009814CA">
        <w:rPr>
          <w:rFonts w:ascii="Garamond" w:hAnsi="Garamond"/>
          <w:color w:val="000000" w:themeColor="text1"/>
          <w:sz w:val="24"/>
          <w:szCs w:val="24"/>
          <w:lang w:val="en-GB"/>
        </w:rPr>
        <w:t xml:space="preserve"> 2017,</w:t>
      </w:r>
      <w:r w:rsidRPr="009814CA">
        <w:rPr>
          <w:rFonts w:ascii="Helvetica" w:eastAsia="Times New Roman" w:hAnsi="Helvetica" w:cs="Helvetica"/>
          <w:color w:val="000000"/>
          <w:szCs w:val="26"/>
          <w:lang w:eastAsia="en-IN"/>
        </w:rPr>
        <w:t xml:space="preserve"> </w:t>
      </w:r>
      <w:r w:rsidR="002705A0">
        <w:rPr>
          <w:rFonts w:ascii="Garamond" w:hAnsi="Garamond"/>
          <w:color w:val="000000" w:themeColor="text1"/>
          <w:sz w:val="24"/>
          <w:szCs w:val="24"/>
        </w:rPr>
        <w:t>at same pace as</w:t>
      </w:r>
      <w:r w:rsidR="000812D4">
        <w:rPr>
          <w:rFonts w:ascii="Garamond" w:hAnsi="Garamond"/>
          <w:color w:val="000000" w:themeColor="text1"/>
          <w:sz w:val="24"/>
          <w:szCs w:val="24"/>
        </w:rPr>
        <w:t xml:space="preserve"> in last two months</w:t>
      </w:r>
      <w:r w:rsidRPr="009814CA">
        <w:rPr>
          <w:rFonts w:ascii="Garamond" w:hAnsi="Garamond"/>
          <w:color w:val="000000" w:themeColor="text1"/>
          <w:sz w:val="24"/>
          <w:szCs w:val="24"/>
        </w:rPr>
        <w:t>.</w:t>
      </w:r>
      <w:r w:rsidRPr="009814CA">
        <w:rPr>
          <w:rFonts w:ascii="Helvetica" w:hAnsi="Helvetica" w:cs="Helvetica"/>
          <w:b/>
          <w:bCs/>
          <w:color w:val="333333"/>
          <w:sz w:val="21"/>
          <w:szCs w:val="21"/>
          <w:shd w:val="clear" w:color="auto" w:fill="FFFFFF"/>
        </w:rPr>
        <w:t xml:space="preserve"> </w:t>
      </w:r>
      <w:r w:rsidR="000812D4">
        <w:rPr>
          <w:rFonts w:ascii="Garamond" w:hAnsi="Garamond"/>
          <w:color w:val="000000" w:themeColor="text1"/>
          <w:sz w:val="24"/>
          <w:szCs w:val="24"/>
        </w:rPr>
        <w:t>The cost of housing and transport declined while the food inflation was steady.</w:t>
      </w:r>
      <w:r w:rsidR="002705A0">
        <w:rPr>
          <w:rFonts w:ascii="Garamond" w:hAnsi="Garamond"/>
          <w:color w:val="000000" w:themeColor="text1"/>
          <w:sz w:val="24"/>
          <w:szCs w:val="24"/>
        </w:rPr>
        <w:t xml:space="preserve"> </w:t>
      </w:r>
      <w:r w:rsidRPr="002705A0">
        <w:rPr>
          <w:rFonts w:ascii="Garamond" w:hAnsi="Garamond"/>
          <w:color w:val="000000" w:themeColor="text1"/>
          <w:sz w:val="24"/>
          <w:szCs w:val="24"/>
        </w:rPr>
        <w:t xml:space="preserve">The </w:t>
      </w:r>
      <w:r w:rsidRPr="002705A0">
        <w:rPr>
          <w:rFonts w:ascii="Garamond" w:hAnsi="Garamond"/>
          <w:bCs/>
          <w:color w:val="000000"/>
          <w:sz w:val="24"/>
          <w:szCs w:val="24"/>
          <w:lang w:val="en-GB"/>
        </w:rPr>
        <w:t>seasonally</w:t>
      </w:r>
      <w:r w:rsidRPr="002705A0">
        <w:rPr>
          <w:rFonts w:ascii="Garamond" w:hAnsi="Garamond"/>
          <w:color w:val="000000" w:themeColor="text1"/>
          <w:sz w:val="24"/>
          <w:szCs w:val="24"/>
          <w:lang w:val="en-GB"/>
        </w:rPr>
        <w:t xml:space="preserve"> adjusted unemployment </w:t>
      </w:r>
      <w:r w:rsidRPr="002705A0">
        <w:rPr>
          <w:rFonts w:ascii="Garamond" w:hAnsi="Garamond"/>
          <w:color w:val="000000" w:themeColor="text1"/>
          <w:sz w:val="24"/>
          <w:szCs w:val="24"/>
        </w:rPr>
        <w:t xml:space="preserve">rate in Japan </w:t>
      </w:r>
      <w:r w:rsidR="00404532">
        <w:rPr>
          <w:rFonts w:ascii="Garamond" w:hAnsi="Garamond"/>
          <w:color w:val="000000" w:themeColor="text1"/>
          <w:sz w:val="24"/>
          <w:szCs w:val="24"/>
        </w:rPr>
        <w:t>fell down</w:t>
      </w:r>
      <w:r w:rsidR="00BD672E">
        <w:rPr>
          <w:rFonts w:ascii="Garamond" w:hAnsi="Garamond"/>
          <w:color w:val="000000" w:themeColor="text1"/>
          <w:sz w:val="24"/>
          <w:szCs w:val="24"/>
        </w:rPr>
        <w:t xml:space="preserve"> to 2.8</w:t>
      </w:r>
      <w:r w:rsidR="002705A0">
        <w:rPr>
          <w:rFonts w:ascii="Garamond" w:hAnsi="Garamond"/>
          <w:color w:val="000000" w:themeColor="text1"/>
          <w:sz w:val="24"/>
          <w:szCs w:val="24"/>
        </w:rPr>
        <w:t xml:space="preserve"> percent</w:t>
      </w:r>
      <w:r w:rsidRPr="002705A0">
        <w:rPr>
          <w:rFonts w:ascii="Garamond" w:hAnsi="Garamond"/>
          <w:color w:val="000000" w:themeColor="text1"/>
          <w:sz w:val="24"/>
          <w:szCs w:val="24"/>
        </w:rPr>
        <w:t xml:space="preserve"> </w:t>
      </w:r>
      <w:r w:rsidR="00BD672E">
        <w:rPr>
          <w:rFonts w:ascii="Garamond" w:hAnsi="Garamond"/>
          <w:color w:val="000000" w:themeColor="text1"/>
          <w:sz w:val="24"/>
          <w:szCs w:val="24"/>
        </w:rPr>
        <w:t xml:space="preserve">in June 2017 </w:t>
      </w:r>
      <w:r w:rsidR="002705A0">
        <w:rPr>
          <w:rFonts w:ascii="Garamond" w:hAnsi="Garamond"/>
          <w:color w:val="000000" w:themeColor="text1"/>
          <w:sz w:val="24"/>
          <w:szCs w:val="24"/>
        </w:rPr>
        <w:t xml:space="preserve">from </w:t>
      </w:r>
      <w:r w:rsidR="00404532">
        <w:rPr>
          <w:rFonts w:ascii="Garamond" w:hAnsi="Garamond"/>
          <w:color w:val="000000" w:themeColor="text1"/>
          <w:sz w:val="24"/>
          <w:szCs w:val="24"/>
        </w:rPr>
        <w:t>3.1</w:t>
      </w:r>
      <w:r w:rsidR="002705A0">
        <w:rPr>
          <w:rFonts w:ascii="Garamond" w:hAnsi="Garamond"/>
          <w:color w:val="000000" w:themeColor="text1"/>
          <w:sz w:val="24"/>
          <w:szCs w:val="24"/>
        </w:rPr>
        <w:t xml:space="preserve"> percent</w:t>
      </w:r>
      <w:r w:rsidR="00404532">
        <w:rPr>
          <w:rFonts w:ascii="Garamond" w:hAnsi="Garamond"/>
          <w:color w:val="000000" w:themeColor="text1"/>
          <w:sz w:val="24"/>
          <w:szCs w:val="24"/>
        </w:rPr>
        <w:t xml:space="preserve"> in the</w:t>
      </w:r>
      <w:r w:rsidRPr="002705A0">
        <w:rPr>
          <w:rFonts w:ascii="Garamond" w:hAnsi="Garamond"/>
          <w:color w:val="000000" w:themeColor="text1"/>
          <w:sz w:val="24"/>
          <w:szCs w:val="24"/>
        </w:rPr>
        <w:t xml:space="preserve"> previous month.</w:t>
      </w:r>
    </w:p>
    <w:p w:rsidR="00A50555" w:rsidRPr="002A0F25" w:rsidRDefault="00A50555" w:rsidP="00A50555">
      <w:pPr>
        <w:spacing w:line="240" w:lineRule="auto"/>
        <w:contextualSpacing/>
        <w:jc w:val="both"/>
        <w:rPr>
          <w:rFonts w:ascii="Garamond" w:hAnsi="Garamond"/>
          <w:color w:val="000000" w:themeColor="text1"/>
          <w:sz w:val="24"/>
          <w:szCs w:val="24"/>
          <w:lang w:val="en-GB"/>
        </w:rPr>
      </w:pPr>
    </w:p>
    <w:p w:rsidR="00A50555" w:rsidRPr="00864DFD" w:rsidRDefault="00A50555" w:rsidP="004677BD">
      <w:pPr>
        <w:numPr>
          <w:ilvl w:val="1"/>
          <w:numId w:val="9"/>
        </w:numPr>
        <w:spacing w:after="0" w:line="240" w:lineRule="auto"/>
        <w:ind w:hanging="650"/>
        <w:contextualSpacing/>
        <w:jc w:val="both"/>
        <w:rPr>
          <w:rFonts w:ascii="Garamond" w:hAnsi="Garamond"/>
          <w:i/>
          <w:iCs/>
          <w:color w:val="000000" w:themeColor="text1"/>
          <w:sz w:val="24"/>
          <w:szCs w:val="24"/>
        </w:rPr>
      </w:pPr>
      <w:r w:rsidRPr="00864DFD">
        <w:rPr>
          <w:rFonts w:ascii="Garamond" w:hAnsi="Garamond"/>
          <w:color w:val="000000" w:themeColor="text1"/>
          <w:sz w:val="24"/>
          <w:szCs w:val="24"/>
        </w:rPr>
        <w:t xml:space="preserve">The Bank of Japan left its key short-term interest rate unchanged at -0.1 percent at its </w:t>
      </w:r>
      <w:r w:rsidR="00980C33">
        <w:rPr>
          <w:rFonts w:ascii="Garamond" w:hAnsi="Garamond"/>
          <w:color w:val="000000" w:themeColor="text1"/>
          <w:sz w:val="24"/>
          <w:szCs w:val="24"/>
        </w:rPr>
        <w:t>June</w:t>
      </w:r>
      <w:r w:rsidRPr="00864DFD">
        <w:rPr>
          <w:rFonts w:ascii="Garamond" w:hAnsi="Garamond"/>
          <w:color w:val="000000" w:themeColor="text1"/>
          <w:sz w:val="24"/>
          <w:szCs w:val="24"/>
        </w:rPr>
        <w:t xml:space="preserve"> 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sidR="00980C33">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 yield target around 0 percent. </w:t>
      </w:r>
    </w:p>
    <w:p w:rsidR="00984931" w:rsidRPr="004771F8" w:rsidRDefault="00A50555" w:rsidP="009B66CF">
      <w:pPr>
        <w:spacing w:after="0" w:line="240" w:lineRule="auto"/>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009B66CF" w:rsidRPr="009B66CF">
        <w:rPr>
          <w:rFonts w:ascii="Garamond" w:hAnsi="Garamond"/>
          <w:i/>
          <w:iCs/>
          <w:sz w:val="24"/>
          <w:szCs w:val="24"/>
        </w:rPr>
        <w:t>Japan’s economy is benefiting from healthy global demand, a weak currency and resilient domestic activity at          home. The recovery, however, could be jeopardized by an appreciation of the yen and rising protectionism.</w:t>
      </w:r>
    </w:p>
    <w:p w:rsidR="003D60D5" w:rsidRPr="00560465" w:rsidRDefault="003D60D5" w:rsidP="003D60D5">
      <w:pPr>
        <w:spacing w:after="0" w:line="240" w:lineRule="auto"/>
        <w:contextualSpacing/>
        <w:jc w:val="both"/>
        <w:rPr>
          <w:rFonts w:ascii="Garamond" w:eastAsiaTheme="minorHAnsi" w:hAnsi="Garamond"/>
          <w:color w:val="000000" w:themeColor="text1"/>
          <w:sz w:val="20"/>
          <w:szCs w:val="20"/>
          <w:lang w:val="en-GB"/>
        </w:rPr>
      </w:pPr>
    </w:p>
    <w:p w:rsidR="006D452B" w:rsidRPr="00560465" w:rsidRDefault="00984931" w:rsidP="0042712D">
      <w:pPr>
        <w:keepNext/>
        <w:keepLines/>
        <w:spacing w:after="0" w:line="20" w:lineRule="atLeast"/>
        <w:jc w:val="both"/>
        <w:outlineLvl w:val="1"/>
        <w:rPr>
          <w:rFonts w:ascii="Garamond" w:eastAsiaTheme="majorEastAsia" w:hAnsi="Garamond"/>
          <w:b/>
          <w:bCs/>
          <w:color w:val="000000" w:themeColor="text1"/>
          <w:sz w:val="24"/>
          <w:szCs w:val="24"/>
          <w:lang w:val="en-GB"/>
        </w:rPr>
      </w:pPr>
      <w:r w:rsidRPr="00280087">
        <w:rPr>
          <w:rFonts w:ascii="Garamond" w:eastAsiaTheme="majorEastAsia" w:hAnsi="Garamond"/>
          <w:b/>
          <w:bCs/>
          <w:color w:val="000000" w:themeColor="text1"/>
          <w:sz w:val="24"/>
          <w:szCs w:val="24"/>
          <w:lang w:val="en-GB"/>
        </w:rPr>
        <w:t>Euro Area (EA19)</w:t>
      </w:r>
      <w:r w:rsidR="0042712D" w:rsidRPr="00280087">
        <w:rPr>
          <w:rStyle w:val="FootnoteReference"/>
          <w:rFonts w:ascii="Garamond" w:eastAsiaTheme="majorEastAsia" w:hAnsi="Garamond"/>
          <w:b/>
          <w:bCs/>
          <w:color w:val="000000" w:themeColor="text1"/>
          <w:sz w:val="24"/>
          <w:szCs w:val="24"/>
          <w:lang w:val="en-GB"/>
        </w:rPr>
        <w:footnoteReference w:id="3"/>
      </w:r>
      <w:r w:rsidRPr="00280087">
        <w:rPr>
          <w:rFonts w:ascii="Garamond" w:eastAsiaTheme="majorEastAsia" w:hAnsi="Garamond"/>
          <w:b/>
          <w:bCs/>
          <w:color w:val="000000" w:themeColor="text1"/>
          <w:sz w:val="24"/>
          <w:szCs w:val="24"/>
          <w:lang w:val="en-GB"/>
        </w:rPr>
        <w:t>:</w:t>
      </w:r>
      <w:r w:rsidR="006D452B" w:rsidRPr="00560465">
        <w:rPr>
          <w:rFonts w:ascii="Garamond" w:hAnsi="Garamond" w:cs="Mangal"/>
          <w:color w:val="000000"/>
          <w:sz w:val="24"/>
          <w:szCs w:val="24"/>
          <w:lang w:val="en-GB" w:bidi="hi-IN"/>
        </w:rPr>
        <w:t xml:space="preserve">  </w:t>
      </w:r>
    </w:p>
    <w:p w:rsidR="00A50555" w:rsidRPr="003D71AE" w:rsidRDefault="00A50555"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2A0F25">
        <w:rPr>
          <w:rFonts w:ascii="Garamond" w:hAnsi="Garamond"/>
          <w:color w:val="000000" w:themeColor="text1"/>
          <w:sz w:val="24"/>
          <w:szCs w:val="24"/>
          <w:lang w:val="en-GB"/>
        </w:rPr>
        <w:t xml:space="preserve">The real GDP growth in the Euro area </w:t>
      </w:r>
      <w:r w:rsidR="00F311D5">
        <w:rPr>
          <w:rFonts w:ascii="Garamond" w:hAnsi="Garamond"/>
          <w:color w:val="000000" w:themeColor="text1"/>
          <w:sz w:val="24"/>
          <w:szCs w:val="24"/>
          <w:lang w:val="en-GB"/>
        </w:rPr>
        <w:t>was recorded 2.1 percent in the Q2</w:t>
      </w:r>
      <w:r>
        <w:rPr>
          <w:rFonts w:ascii="Garamond" w:hAnsi="Garamond"/>
          <w:color w:val="000000" w:themeColor="text1"/>
          <w:sz w:val="24"/>
          <w:szCs w:val="24"/>
          <w:lang w:val="en-GB"/>
        </w:rPr>
        <w:t xml:space="preserve"> 2017</w:t>
      </w:r>
      <w:r w:rsidRPr="002A0F25">
        <w:rPr>
          <w:rFonts w:ascii="Garamond" w:hAnsi="Garamond"/>
          <w:color w:val="000000" w:themeColor="text1"/>
          <w:sz w:val="24"/>
          <w:szCs w:val="24"/>
          <w:lang w:val="en-GB"/>
        </w:rPr>
        <w:t xml:space="preserve"> (Y-o-Y). In Q-o-Q </w:t>
      </w:r>
      <w:r w:rsidRPr="00D97EB7">
        <w:rPr>
          <w:rFonts w:ascii="Garamond" w:eastAsiaTheme="minorHAnsi" w:hAnsi="Garamond"/>
          <w:color w:val="000000" w:themeColor="text1"/>
          <w:sz w:val="24"/>
          <w:szCs w:val="24"/>
          <w:lang w:val="en-IN"/>
        </w:rPr>
        <w:t>terms</w:t>
      </w:r>
      <w:r w:rsidRPr="002A0F25">
        <w:rPr>
          <w:rFonts w:ascii="Garamond" w:hAnsi="Garamond"/>
          <w:color w:val="000000" w:themeColor="text1"/>
          <w:sz w:val="24"/>
          <w:szCs w:val="24"/>
          <w:lang w:val="en-GB"/>
        </w:rPr>
        <w:t xml:space="preserve">, the Euro Area economy growth </w:t>
      </w:r>
      <w:r w:rsidR="00B6248F">
        <w:rPr>
          <w:rFonts w:ascii="Garamond" w:hAnsi="Garamond"/>
          <w:color w:val="000000" w:themeColor="text1"/>
          <w:sz w:val="24"/>
          <w:szCs w:val="24"/>
          <w:lang w:val="en-GB"/>
        </w:rPr>
        <w:t>advanced by</w:t>
      </w:r>
      <w:r w:rsidR="00E55C85">
        <w:rPr>
          <w:rFonts w:ascii="Garamond" w:hAnsi="Garamond"/>
          <w:color w:val="000000" w:themeColor="text1"/>
          <w:sz w:val="24"/>
          <w:szCs w:val="24"/>
          <w:lang w:val="en-GB"/>
        </w:rPr>
        <w:t xml:space="preserve"> 0.6</w:t>
      </w:r>
      <w:r w:rsidR="00F311D5">
        <w:rPr>
          <w:rFonts w:ascii="Garamond" w:hAnsi="Garamond"/>
          <w:color w:val="000000" w:themeColor="text1"/>
          <w:sz w:val="24"/>
          <w:szCs w:val="24"/>
          <w:lang w:val="en-GB"/>
        </w:rPr>
        <w:t xml:space="preserve"> percent (Q-o-Q) in Q2</w:t>
      </w:r>
      <w:r>
        <w:rPr>
          <w:rFonts w:ascii="Garamond" w:hAnsi="Garamond"/>
          <w:color w:val="000000" w:themeColor="text1"/>
          <w:sz w:val="24"/>
          <w:szCs w:val="24"/>
          <w:lang w:val="en-GB"/>
        </w:rPr>
        <w:t xml:space="preserve"> 2017</w:t>
      </w:r>
      <w:r w:rsidRPr="002A0F25">
        <w:rPr>
          <w:rFonts w:ascii="Garamond" w:hAnsi="Garamond"/>
          <w:color w:val="000000" w:themeColor="text1"/>
          <w:sz w:val="24"/>
          <w:szCs w:val="24"/>
          <w:lang w:val="en-GB"/>
        </w:rPr>
        <w:t xml:space="preserve"> as compared to </w:t>
      </w:r>
      <w:r w:rsidRPr="002A0F25">
        <w:rPr>
          <w:rFonts w:ascii="Garamond" w:hAnsi="Garamond"/>
          <w:color w:val="000000" w:themeColor="text1"/>
          <w:sz w:val="24"/>
          <w:szCs w:val="24"/>
          <w:lang w:val="en-GB"/>
        </w:rPr>
        <w:lastRenderedPageBreak/>
        <w:t xml:space="preserve">the previous quarter. Among the largest economies in the Euro area, the GDP growth of </w:t>
      </w:r>
      <w:r w:rsidR="00E37024">
        <w:rPr>
          <w:rFonts w:ascii="Garamond" w:hAnsi="Garamond"/>
          <w:color w:val="000000" w:themeColor="text1"/>
          <w:sz w:val="24"/>
          <w:szCs w:val="24"/>
          <w:lang w:val="en-GB"/>
        </w:rPr>
        <w:t>Spain increased 0.9</w:t>
      </w:r>
      <w:r>
        <w:rPr>
          <w:rFonts w:ascii="Garamond" w:hAnsi="Garamond"/>
          <w:color w:val="000000" w:themeColor="text1"/>
          <w:sz w:val="24"/>
          <w:szCs w:val="24"/>
          <w:lang w:val="en-GB"/>
        </w:rPr>
        <w:t xml:space="preserve"> percent </w:t>
      </w:r>
      <w:r w:rsidR="00E37024">
        <w:rPr>
          <w:rFonts w:ascii="Garamond" w:hAnsi="Garamond"/>
          <w:color w:val="000000" w:themeColor="text1"/>
          <w:sz w:val="24"/>
          <w:szCs w:val="24"/>
          <w:lang w:val="en-GB"/>
        </w:rPr>
        <w:t>while the GDP growth of France (</w:t>
      </w:r>
      <w:r>
        <w:rPr>
          <w:rFonts w:ascii="Garamond" w:hAnsi="Garamond"/>
          <w:color w:val="000000" w:themeColor="text1"/>
          <w:sz w:val="24"/>
          <w:szCs w:val="24"/>
          <w:lang w:val="en-GB"/>
        </w:rPr>
        <w:t>0.5 percent</w:t>
      </w:r>
      <w:r w:rsidR="00E37024">
        <w:rPr>
          <w:rFonts w:ascii="Garamond" w:hAnsi="Garamond"/>
          <w:color w:val="000000" w:themeColor="text1"/>
          <w:sz w:val="24"/>
          <w:szCs w:val="24"/>
          <w:lang w:val="en-GB"/>
        </w:rPr>
        <w:t>) and Austria (0.8)</w:t>
      </w:r>
      <w:r>
        <w:rPr>
          <w:rFonts w:ascii="Garamond" w:hAnsi="Garamond"/>
          <w:color w:val="000000" w:themeColor="text1"/>
          <w:sz w:val="24"/>
          <w:szCs w:val="24"/>
          <w:lang w:val="en-GB"/>
        </w:rPr>
        <w:t xml:space="preserve"> </w:t>
      </w:r>
      <w:r w:rsidR="00E37024">
        <w:rPr>
          <w:rFonts w:ascii="Garamond" w:hAnsi="Garamond"/>
          <w:color w:val="000000" w:themeColor="text1"/>
          <w:sz w:val="24"/>
          <w:szCs w:val="24"/>
          <w:lang w:val="en-GB"/>
        </w:rPr>
        <w:t>remained unchanged in Q2</w:t>
      </w:r>
      <w:r w:rsidRPr="002A0F25">
        <w:rPr>
          <w:rFonts w:ascii="Garamond" w:hAnsi="Garamond"/>
          <w:color w:val="000000" w:themeColor="text1"/>
          <w:sz w:val="24"/>
          <w:szCs w:val="24"/>
          <w:lang w:val="en-GB"/>
        </w:rPr>
        <w:t xml:space="preserve">. </w:t>
      </w:r>
      <w:r>
        <w:rPr>
          <w:rFonts w:ascii="Garamond" w:hAnsi="Garamond"/>
          <w:color w:val="000000" w:themeColor="text1"/>
          <w:sz w:val="24"/>
          <w:szCs w:val="24"/>
          <w:lang w:val="en-GB"/>
        </w:rPr>
        <w:t>In contrast, economic growth dec</w:t>
      </w:r>
      <w:r w:rsidRPr="002A0F25">
        <w:rPr>
          <w:rFonts w:ascii="Garamond" w:hAnsi="Garamond"/>
          <w:color w:val="000000" w:themeColor="text1"/>
          <w:sz w:val="24"/>
          <w:szCs w:val="24"/>
          <w:lang w:val="en-GB"/>
        </w:rPr>
        <w:t xml:space="preserve">elerated in </w:t>
      </w:r>
      <w:r w:rsidR="00E37024">
        <w:rPr>
          <w:rFonts w:ascii="Garamond" w:hAnsi="Garamond"/>
          <w:color w:val="000000" w:themeColor="text1"/>
          <w:sz w:val="24"/>
          <w:szCs w:val="24"/>
          <w:lang w:val="en-GB"/>
        </w:rPr>
        <w:t xml:space="preserve">Belgium (0.4 percent), </w:t>
      </w:r>
      <w:proofErr w:type="gramStart"/>
      <w:r w:rsidR="00E37024">
        <w:rPr>
          <w:rFonts w:ascii="Garamond" w:hAnsi="Garamond"/>
          <w:color w:val="000000" w:themeColor="text1"/>
          <w:sz w:val="24"/>
          <w:szCs w:val="24"/>
          <w:lang w:val="en-GB"/>
        </w:rPr>
        <w:t>Latvia(</w:t>
      </w:r>
      <w:proofErr w:type="gramEnd"/>
      <w:r w:rsidR="00E37024">
        <w:rPr>
          <w:rFonts w:ascii="Garamond" w:hAnsi="Garamond"/>
          <w:color w:val="000000" w:themeColor="text1"/>
          <w:sz w:val="24"/>
          <w:szCs w:val="24"/>
          <w:lang w:val="en-GB"/>
        </w:rPr>
        <w:t>1.3 percent) and Lithuania( 0.6</w:t>
      </w:r>
      <w:r>
        <w:rPr>
          <w:rFonts w:ascii="Garamond" w:hAnsi="Garamond"/>
          <w:color w:val="000000" w:themeColor="text1"/>
          <w:sz w:val="24"/>
          <w:szCs w:val="24"/>
          <w:lang w:val="en-GB"/>
        </w:rPr>
        <w:t xml:space="preserve"> </w:t>
      </w:r>
      <w:r w:rsidR="00E37024">
        <w:rPr>
          <w:rFonts w:ascii="Garamond" w:hAnsi="Garamond"/>
          <w:color w:val="000000" w:themeColor="text1"/>
          <w:sz w:val="24"/>
          <w:szCs w:val="24"/>
          <w:lang w:val="en-GB"/>
        </w:rPr>
        <w:t>percent)</w:t>
      </w:r>
      <w:r>
        <w:rPr>
          <w:rFonts w:ascii="Garamond" w:hAnsi="Garamond"/>
          <w:color w:val="000000" w:themeColor="text1"/>
          <w:sz w:val="24"/>
          <w:szCs w:val="24"/>
          <w:lang w:val="en-GB"/>
        </w:rPr>
        <w:t xml:space="preserve"> as compared to </w:t>
      </w:r>
      <w:r w:rsidR="00E37024">
        <w:rPr>
          <w:rFonts w:ascii="Garamond" w:hAnsi="Garamond"/>
          <w:color w:val="000000" w:themeColor="text1"/>
          <w:sz w:val="24"/>
          <w:szCs w:val="24"/>
          <w:lang w:val="en-GB"/>
        </w:rPr>
        <w:t>previous quarter Q1.</w:t>
      </w:r>
      <w:r w:rsidR="00077AA9" w:rsidRPr="00077AA9">
        <w:rPr>
          <w:rFonts w:ascii="Garamond" w:hAnsi="Garamond"/>
          <w:color w:val="000000" w:themeColor="text1"/>
          <w:sz w:val="24"/>
          <w:szCs w:val="24"/>
          <w:lang w:val="en-GB"/>
        </w:rPr>
        <w:t xml:space="preserve"> </w:t>
      </w:r>
      <w:r w:rsidR="00077AA9">
        <w:rPr>
          <w:rFonts w:ascii="Garamond" w:hAnsi="Garamond"/>
          <w:color w:val="000000" w:themeColor="text1"/>
          <w:sz w:val="24"/>
          <w:szCs w:val="24"/>
          <w:lang w:val="en-GB"/>
        </w:rPr>
        <w:t>T</w:t>
      </w:r>
      <w:r w:rsidR="00077AA9" w:rsidRPr="00252F85">
        <w:rPr>
          <w:rFonts w:ascii="Garamond" w:hAnsi="Garamond"/>
          <w:color w:val="000000" w:themeColor="text1"/>
          <w:sz w:val="24"/>
          <w:szCs w:val="24"/>
          <w:lang w:val="en-GB"/>
        </w:rPr>
        <w:t>h</w:t>
      </w:r>
      <w:r w:rsidR="00077AA9">
        <w:rPr>
          <w:rFonts w:ascii="Garamond" w:hAnsi="Garamond"/>
          <w:color w:val="000000" w:themeColor="text1"/>
          <w:sz w:val="24"/>
          <w:szCs w:val="24"/>
          <w:lang w:val="en-GB"/>
        </w:rPr>
        <w:t>e growth projections for Euro Area has been revised up by IMF to 1.9 percent from 1.7</w:t>
      </w:r>
      <w:r w:rsidR="00077AA9" w:rsidRPr="00252F85">
        <w:rPr>
          <w:rFonts w:ascii="Garamond" w:hAnsi="Garamond"/>
          <w:color w:val="000000" w:themeColor="text1"/>
          <w:sz w:val="24"/>
          <w:szCs w:val="24"/>
          <w:lang w:val="en-GB"/>
        </w:rPr>
        <w:t xml:space="preserve"> percent in 2017 and to </w:t>
      </w:r>
      <w:r w:rsidR="00077AA9">
        <w:rPr>
          <w:rFonts w:ascii="Garamond" w:hAnsi="Garamond"/>
          <w:color w:val="000000" w:themeColor="text1"/>
          <w:sz w:val="24"/>
          <w:szCs w:val="24"/>
          <w:lang w:val="en-GB"/>
        </w:rPr>
        <w:t>1.7</w:t>
      </w:r>
      <w:r w:rsidR="00077AA9" w:rsidRPr="00252F85">
        <w:rPr>
          <w:rFonts w:ascii="Garamond" w:hAnsi="Garamond"/>
          <w:color w:val="000000" w:themeColor="text1"/>
          <w:sz w:val="24"/>
          <w:szCs w:val="24"/>
          <w:lang w:val="en-GB"/>
        </w:rPr>
        <w:t xml:space="preserve"> percent</w:t>
      </w:r>
      <w:r w:rsidR="00077AA9">
        <w:rPr>
          <w:rFonts w:ascii="Garamond" w:hAnsi="Garamond"/>
          <w:color w:val="000000" w:themeColor="text1"/>
          <w:sz w:val="24"/>
          <w:szCs w:val="24"/>
          <w:lang w:val="en-GB"/>
        </w:rPr>
        <w:t xml:space="preserve"> from 1.6 percent</w:t>
      </w:r>
      <w:r w:rsidR="00077AA9" w:rsidRPr="00252F85">
        <w:rPr>
          <w:rFonts w:ascii="Garamond" w:hAnsi="Garamond"/>
          <w:color w:val="000000" w:themeColor="text1"/>
          <w:sz w:val="24"/>
          <w:szCs w:val="24"/>
          <w:lang w:val="en-GB"/>
        </w:rPr>
        <w:t xml:space="preserve"> in 2018.</w:t>
      </w:r>
    </w:p>
    <w:p w:rsidR="00A50555" w:rsidRPr="002A0F25" w:rsidRDefault="00A50555" w:rsidP="00A50555">
      <w:pPr>
        <w:spacing w:line="240" w:lineRule="auto"/>
        <w:ind w:left="792"/>
        <w:contextualSpacing/>
        <w:jc w:val="both"/>
        <w:rPr>
          <w:rFonts w:ascii="Garamond" w:hAnsi="Garamond"/>
          <w:color w:val="000000" w:themeColor="text1"/>
          <w:sz w:val="24"/>
          <w:szCs w:val="24"/>
          <w:lang w:val="en-GB"/>
        </w:rPr>
      </w:pPr>
    </w:p>
    <w:p w:rsidR="00A50555" w:rsidRPr="00B537A8" w:rsidRDefault="00296808"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Pr>
          <w:rFonts w:ascii="Garamond" w:hAnsi="Garamond"/>
          <w:color w:val="000000" w:themeColor="text1"/>
          <w:sz w:val="24"/>
          <w:szCs w:val="24"/>
          <w:lang w:val="en-GB"/>
        </w:rPr>
        <w:t>Eurozone a</w:t>
      </w:r>
      <w:r w:rsidR="00E37024">
        <w:rPr>
          <w:rFonts w:ascii="Garamond" w:hAnsi="Garamond"/>
          <w:color w:val="000000" w:themeColor="text1"/>
          <w:sz w:val="24"/>
          <w:szCs w:val="24"/>
          <w:lang w:val="en-GB"/>
        </w:rPr>
        <w:t>nnual inflation decreased to 1.3</w:t>
      </w:r>
      <w:r w:rsidR="00A50555" w:rsidRPr="00B537A8">
        <w:rPr>
          <w:rFonts w:ascii="Garamond" w:hAnsi="Garamond"/>
          <w:color w:val="000000" w:themeColor="text1"/>
          <w:sz w:val="24"/>
          <w:szCs w:val="24"/>
          <w:lang w:val="en-GB"/>
        </w:rPr>
        <w:t xml:space="preserve"> percent year-on-year in </w:t>
      </w:r>
      <w:r w:rsidR="00E37024">
        <w:rPr>
          <w:rFonts w:ascii="Garamond" w:hAnsi="Garamond"/>
          <w:color w:val="000000" w:themeColor="text1"/>
          <w:sz w:val="24"/>
          <w:szCs w:val="24"/>
          <w:lang w:val="en-GB"/>
        </w:rPr>
        <w:t>June</w:t>
      </w:r>
      <w:r>
        <w:rPr>
          <w:rFonts w:ascii="Garamond" w:hAnsi="Garamond"/>
          <w:color w:val="000000" w:themeColor="text1"/>
          <w:sz w:val="24"/>
          <w:szCs w:val="24"/>
          <w:lang w:val="en-GB"/>
        </w:rPr>
        <w:t xml:space="preserve"> 2017</w:t>
      </w:r>
      <w:r w:rsidR="00DC70DA">
        <w:rPr>
          <w:rFonts w:ascii="Garamond" w:hAnsi="Garamond"/>
          <w:color w:val="000000" w:themeColor="text1"/>
          <w:sz w:val="24"/>
          <w:szCs w:val="24"/>
          <w:lang w:val="en-GB"/>
        </w:rPr>
        <w:t xml:space="preserve"> down from 1.4 percent </w:t>
      </w:r>
      <w:r w:rsidR="00A50555" w:rsidRPr="00B537A8">
        <w:rPr>
          <w:rFonts w:ascii="Garamond" w:hAnsi="Garamond"/>
          <w:color w:val="000000" w:themeColor="text1"/>
          <w:sz w:val="24"/>
          <w:szCs w:val="24"/>
          <w:lang w:val="en-GB"/>
        </w:rPr>
        <w:t>in the previous month.</w:t>
      </w:r>
      <w:r w:rsidR="00A50555" w:rsidRPr="00B537A8">
        <w:rPr>
          <w:rFonts w:ascii="Garamond" w:hAnsi="Garamond"/>
          <w:color w:val="000000" w:themeColor="text1"/>
          <w:sz w:val="24"/>
          <w:szCs w:val="24"/>
        </w:rPr>
        <w:t> </w:t>
      </w:r>
      <w:r w:rsidR="00A50555" w:rsidRPr="00B537A8">
        <w:rPr>
          <w:rFonts w:ascii="Garamond" w:hAnsi="Garamond"/>
          <w:color w:val="000000" w:themeColor="text1"/>
          <w:sz w:val="24"/>
          <w:szCs w:val="24"/>
          <w:lang w:val="en-GB"/>
        </w:rPr>
        <w:t>The highest annual rat</w:t>
      </w:r>
      <w:r w:rsidR="00AC70A9">
        <w:rPr>
          <w:rFonts w:ascii="Garamond" w:hAnsi="Garamond"/>
          <w:color w:val="000000" w:themeColor="text1"/>
          <w:sz w:val="24"/>
          <w:szCs w:val="24"/>
          <w:lang w:val="en-GB"/>
        </w:rPr>
        <w:t>es were recorded in</w:t>
      </w:r>
      <w:r w:rsidR="00E37024" w:rsidRPr="00E37024">
        <w:rPr>
          <w:rFonts w:ascii="Garamond" w:hAnsi="Garamond"/>
          <w:color w:val="000000" w:themeColor="text1"/>
          <w:sz w:val="24"/>
          <w:szCs w:val="24"/>
          <w:lang w:val="en-GB"/>
        </w:rPr>
        <w:t xml:space="preserve"> Lithuania (3.5</w:t>
      </w:r>
      <w:r w:rsidR="00B510DE">
        <w:rPr>
          <w:rFonts w:ascii="Garamond" w:hAnsi="Garamond"/>
          <w:color w:val="000000" w:themeColor="text1"/>
          <w:sz w:val="24"/>
          <w:szCs w:val="24"/>
          <w:lang w:val="en-GB"/>
        </w:rPr>
        <w:t xml:space="preserve"> percent), </w:t>
      </w:r>
      <w:r w:rsidR="00E37024">
        <w:rPr>
          <w:rFonts w:ascii="Garamond" w:hAnsi="Garamond"/>
          <w:color w:val="000000" w:themeColor="text1"/>
          <w:sz w:val="24"/>
          <w:szCs w:val="24"/>
          <w:lang w:val="en-GB"/>
        </w:rPr>
        <w:t xml:space="preserve">Estonia and </w:t>
      </w:r>
      <w:r w:rsidR="00A50555" w:rsidRPr="00D97EB7">
        <w:rPr>
          <w:rFonts w:ascii="Garamond" w:eastAsiaTheme="minorHAnsi" w:hAnsi="Garamond"/>
          <w:color w:val="000000" w:themeColor="text1"/>
          <w:sz w:val="24"/>
          <w:szCs w:val="24"/>
          <w:lang w:val="en-IN"/>
        </w:rPr>
        <w:t>Latvia</w:t>
      </w:r>
      <w:r w:rsidR="00A50555" w:rsidRPr="00B537A8">
        <w:rPr>
          <w:rFonts w:ascii="Garamond" w:hAnsi="Garamond"/>
          <w:color w:val="000000" w:themeColor="text1"/>
          <w:sz w:val="24"/>
          <w:szCs w:val="24"/>
          <w:lang w:val="en-GB"/>
        </w:rPr>
        <w:t xml:space="preserve"> </w:t>
      </w:r>
      <w:r w:rsidR="00E37024">
        <w:rPr>
          <w:rFonts w:ascii="Garamond" w:hAnsi="Garamond"/>
          <w:color w:val="000000" w:themeColor="text1"/>
          <w:sz w:val="24"/>
          <w:szCs w:val="24"/>
          <w:lang w:val="en-GB"/>
        </w:rPr>
        <w:t xml:space="preserve">(both 3.1 percent) and </w:t>
      </w:r>
      <w:r w:rsidR="00AC70A9">
        <w:rPr>
          <w:rFonts w:ascii="Garamond" w:hAnsi="Garamond"/>
          <w:color w:val="000000" w:themeColor="text1"/>
          <w:sz w:val="24"/>
          <w:szCs w:val="24"/>
          <w:lang w:val="en-GB"/>
        </w:rPr>
        <w:t>the lowest in Ireland (</w:t>
      </w:r>
      <w:r w:rsidR="00DC70DA">
        <w:rPr>
          <w:rFonts w:ascii="Garamond" w:hAnsi="Garamond"/>
          <w:color w:val="000000" w:themeColor="text1"/>
          <w:sz w:val="24"/>
          <w:szCs w:val="24"/>
          <w:lang w:val="en-GB"/>
        </w:rPr>
        <w:t>-0.6</w:t>
      </w:r>
      <w:r w:rsidR="00A50555" w:rsidRPr="00B537A8">
        <w:rPr>
          <w:rFonts w:ascii="Helvetica" w:hAnsi="Helvetica" w:cs="Helvetica"/>
          <w:color w:val="333333"/>
          <w:sz w:val="21"/>
          <w:szCs w:val="21"/>
          <w:shd w:val="clear" w:color="auto" w:fill="FFFFFF"/>
        </w:rPr>
        <w:t xml:space="preserve"> </w:t>
      </w:r>
      <w:r w:rsidR="00A50555" w:rsidRPr="00B537A8">
        <w:rPr>
          <w:rFonts w:ascii="Garamond" w:hAnsi="Garamond"/>
          <w:color w:val="000000" w:themeColor="text1"/>
          <w:sz w:val="24"/>
          <w:szCs w:val="24"/>
          <w:lang w:val="en-GB"/>
        </w:rPr>
        <w:t>percent)</w:t>
      </w:r>
      <w:r w:rsidR="00AC70A9">
        <w:rPr>
          <w:rFonts w:ascii="Garamond" w:hAnsi="Garamond"/>
          <w:color w:val="000000" w:themeColor="text1"/>
          <w:sz w:val="24"/>
          <w:szCs w:val="24"/>
          <w:lang w:val="en-GB"/>
        </w:rPr>
        <w:t>,</w:t>
      </w:r>
      <w:r w:rsidR="00DC70DA" w:rsidRPr="00DC70DA">
        <w:rPr>
          <w:rFonts w:ascii="Garamond" w:hAnsi="Garamond"/>
          <w:color w:val="000000" w:themeColor="text1"/>
          <w:sz w:val="24"/>
          <w:szCs w:val="24"/>
          <w:lang w:val="en-GB"/>
        </w:rPr>
        <w:t xml:space="preserve"> </w:t>
      </w:r>
      <w:r w:rsidR="00DC70DA">
        <w:rPr>
          <w:rFonts w:ascii="Garamond" w:hAnsi="Garamond"/>
          <w:color w:val="000000" w:themeColor="text1"/>
          <w:sz w:val="24"/>
          <w:szCs w:val="24"/>
          <w:lang w:val="en-GB"/>
        </w:rPr>
        <w:t>Denmark (0.4 percent) and Romania (0.7</w:t>
      </w:r>
      <w:r w:rsidR="00AC70A9">
        <w:rPr>
          <w:rFonts w:ascii="Garamond" w:hAnsi="Garamond"/>
          <w:color w:val="000000" w:themeColor="text1"/>
          <w:sz w:val="24"/>
          <w:szCs w:val="24"/>
          <w:lang w:val="en-GB"/>
        </w:rPr>
        <w:t xml:space="preserve"> percent)</w:t>
      </w:r>
      <w:r w:rsidR="00A50555" w:rsidRPr="00B537A8">
        <w:rPr>
          <w:rFonts w:ascii="Garamond" w:hAnsi="Garamond"/>
          <w:color w:val="000000" w:themeColor="text1"/>
          <w:sz w:val="24"/>
          <w:szCs w:val="24"/>
          <w:lang w:val="en-GB"/>
        </w:rPr>
        <w:t>.</w:t>
      </w:r>
      <w:r w:rsidR="00B510DE" w:rsidRPr="00B510DE">
        <w:rPr>
          <w:rFonts w:ascii="Helvetica" w:hAnsi="Helvetica" w:cs="Helvetica"/>
          <w:color w:val="333333"/>
          <w:sz w:val="21"/>
          <w:szCs w:val="21"/>
          <w:shd w:val="clear" w:color="auto" w:fill="FFFFFF"/>
        </w:rPr>
        <w:t xml:space="preserve"> </w:t>
      </w:r>
      <w:r w:rsidR="00B510DE" w:rsidRPr="00E11585">
        <w:rPr>
          <w:rFonts w:ascii="Garamond" w:hAnsi="Garamond"/>
          <w:color w:val="000000" w:themeColor="text1"/>
          <w:sz w:val="24"/>
          <w:szCs w:val="24"/>
          <w:lang w:val="en-GB"/>
        </w:rPr>
        <w:t>Spain and Germany recorded (</w:t>
      </w:r>
      <w:r w:rsidR="00E11585" w:rsidRPr="00E11585">
        <w:rPr>
          <w:rFonts w:ascii="Garamond" w:hAnsi="Garamond"/>
          <w:color w:val="000000" w:themeColor="text1"/>
          <w:sz w:val="24"/>
          <w:szCs w:val="24"/>
          <w:lang w:val="en-GB"/>
        </w:rPr>
        <w:t xml:space="preserve">both </w:t>
      </w:r>
      <w:r w:rsidR="00B510DE" w:rsidRPr="00E11585">
        <w:rPr>
          <w:rFonts w:ascii="Garamond" w:hAnsi="Garamond"/>
          <w:color w:val="000000" w:themeColor="text1"/>
          <w:sz w:val="24"/>
          <w:szCs w:val="24"/>
          <w:lang w:val="en-GB"/>
        </w:rPr>
        <w:t>1.6 percent)</w:t>
      </w:r>
      <w:r w:rsidR="00E11585" w:rsidRPr="00E11585">
        <w:rPr>
          <w:rFonts w:ascii="Garamond" w:hAnsi="Garamond"/>
          <w:color w:val="000000" w:themeColor="text1"/>
          <w:sz w:val="24"/>
          <w:szCs w:val="24"/>
          <w:lang w:val="en-GB"/>
        </w:rPr>
        <w:t xml:space="preserve"> in June 2017</w:t>
      </w:r>
      <w:bookmarkStart w:id="2" w:name="_GoBack"/>
      <w:bookmarkEnd w:id="2"/>
      <w:r w:rsidR="00E11585" w:rsidRPr="00E11585">
        <w:rPr>
          <w:rFonts w:ascii="Garamond" w:hAnsi="Garamond"/>
          <w:color w:val="000000" w:themeColor="text1"/>
          <w:sz w:val="24"/>
          <w:szCs w:val="24"/>
          <w:lang w:val="en-GB"/>
        </w:rPr>
        <w:t>.</w:t>
      </w:r>
    </w:p>
    <w:p w:rsidR="00A50555" w:rsidRPr="002A0F25" w:rsidRDefault="00A50555" w:rsidP="00A50555">
      <w:pPr>
        <w:spacing w:line="240" w:lineRule="auto"/>
        <w:ind w:left="792"/>
        <w:contextualSpacing/>
        <w:jc w:val="both"/>
        <w:rPr>
          <w:rFonts w:ascii="Garamond" w:hAnsi="Garamond"/>
          <w:color w:val="000000" w:themeColor="text1"/>
          <w:sz w:val="24"/>
          <w:szCs w:val="24"/>
          <w:lang w:val="en-GB"/>
        </w:rPr>
      </w:pPr>
    </w:p>
    <w:p w:rsidR="00A50555" w:rsidRPr="00032F22" w:rsidRDefault="00A50555"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sidR="00387594">
        <w:rPr>
          <w:rFonts w:ascii="Garamond" w:hAnsi="Garamond"/>
          <w:color w:val="000000" w:themeColor="text1"/>
          <w:sz w:val="24"/>
          <w:szCs w:val="24"/>
          <w:lang w:val="en-GB"/>
        </w:rPr>
        <w:t xml:space="preserve">recorded </w:t>
      </w:r>
      <w:r w:rsidR="00243568">
        <w:rPr>
          <w:rFonts w:ascii="Garamond" w:hAnsi="Garamond"/>
          <w:color w:val="000000" w:themeColor="text1"/>
          <w:sz w:val="24"/>
          <w:szCs w:val="24"/>
          <w:lang w:val="en-GB"/>
        </w:rPr>
        <w:t>9.1</w:t>
      </w:r>
      <w:r w:rsidRPr="00032F22">
        <w:rPr>
          <w:rFonts w:ascii="Garamond" w:hAnsi="Garamond"/>
          <w:color w:val="000000" w:themeColor="text1"/>
          <w:sz w:val="24"/>
          <w:szCs w:val="24"/>
          <w:lang w:val="en-GB"/>
        </w:rPr>
        <w:t xml:space="preserve"> percent in</w:t>
      </w:r>
      <w:r w:rsidR="00243568">
        <w:rPr>
          <w:rFonts w:ascii="Garamond" w:hAnsi="Garamond"/>
          <w:color w:val="000000" w:themeColor="text1"/>
          <w:sz w:val="24"/>
          <w:szCs w:val="24"/>
          <w:lang w:val="en-GB"/>
        </w:rPr>
        <w:t xml:space="preserve"> June 2017 down from 9.3 percent in</w:t>
      </w:r>
      <w:r w:rsidRPr="00032F22">
        <w:rPr>
          <w:rFonts w:ascii="Garamond" w:hAnsi="Garamond"/>
          <w:color w:val="000000" w:themeColor="text1"/>
          <w:sz w:val="24"/>
          <w:szCs w:val="24"/>
          <w:lang w:val="en-GB"/>
        </w:rPr>
        <w:t xml:space="preserve"> </w:t>
      </w:r>
      <w:r w:rsidR="00387594">
        <w:rPr>
          <w:rFonts w:ascii="Garamond" w:hAnsi="Garamond"/>
          <w:color w:val="000000" w:themeColor="text1"/>
          <w:sz w:val="24"/>
          <w:szCs w:val="24"/>
          <w:lang w:val="en-GB"/>
        </w:rPr>
        <w:t>May</w:t>
      </w:r>
      <w:r w:rsidRPr="00032F22">
        <w:rPr>
          <w:rFonts w:ascii="Garamond" w:hAnsi="Garamond"/>
          <w:color w:val="000000" w:themeColor="text1"/>
          <w:sz w:val="24"/>
          <w:szCs w:val="24"/>
          <w:lang w:val="en-GB"/>
        </w:rPr>
        <w:t xml:space="preserve"> 2017</w:t>
      </w:r>
      <w:r w:rsidR="00243568">
        <w:rPr>
          <w:rFonts w:ascii="Garamond" w:hAnsi="Garamond"/>
          <w:color w:val="000000" w:themeColor="text1"/>
          <w:sz w:val="24"/>
          <w:szCs w:val="24"/>
          <w:lang w:val="en-GB"/>
        </w:rPr>
        <w:t>.</w:t>
      </w:r>
      <w:r w:rsidRPr="00032F22">
        <w:rPr>
          <w:rFonts w:ascii="Garamond" w:hAnsi="Garamond"/>
          <w:color w:val="000000" w:themeColor="text1"/>
          <w:sz w:val="24"/>
          <w:szCs w:val="24"/>
        </w:rPr>
        <w:t>This remains the lowest rate recorded in the euro ar</w:t>
      </w:r>
      <w:r>
        <w:rPr>
          <w:rFonts w:ascii="Garamond" w:hAnsi="Garamond"/>
          <w:color w:val="000000" w:themeColor="text1"/>
          <w:sz w:val="24"/>
          <w:szCs w:val="24"/>
        </w:rPr>
        <w:t xml:space="preserve">ea </w:t>
      </w:r>
      <w:r w:rsidRPr="00D97EB7">
        <w:rPr>
          <w:rFonts w:ascii="Garamond" w:eastAsiaTheme="minorHAnsi" w:hAnsi="Garamond"/>
          <w:color w:val="000000" w:themeColor="text1"/>
          <w:sz w:val="24"/>
          <w:szCs w:val="24"/>
          <w:lang w:val="en-IN"/>
        </w:rPr>
        <w:t>since</w:t>
      </w:r>
      <w:r>
        <w:rPr>
          <w:rFonts w:ascii="Garamond" w:hAnsi="Garamond"/>
          <w:color w:val="000000" w:themeColor="text1"/>
          <w:sz w:val="24"/>
          <w:szCs w:val="24"/>
        </w:rPr>
        <w:t xml:space="preserve"> </w:t>
      </w:r>
      <w:r w:rsidR="00AD1D15">
        <w:rPr>
          <w:rFonts w:ascii="Garamond" w:hAnsi="Garamond"/>
          <w:color w:val="000000" w:themeColor="text1"/>
          <w:sz w:val="24"/>
          <w:szCs w:val="24"/>
        </w:rPr>
        <w:t>December 2008</w:t>
      </w:r>
      <w:r w:rsidRPr="00032F22">
        <w:rPr>
          <w:rFonts w:ascii="Garamond" w:hAnsi="Garamond"/>
          <w:color w:val="000000" w:themeColor="text1"/>
          <w:sz w:val="24"/>
          <w:szCs w:val="24"/>
          <w:lang w:val="en-GB"/>
        </w:rPr>
        <w:t>. Among the Member States, the lowest unemployment rates were rec</w:t>
      </w:r>
      <w:r w:rsidR="00A204F2">
        <w:rPr>
          <w:rFonts w:ascii="Garamond" w:hAnsi="Garamond"/>
          <w:color w:val="000000" w:themeColor="text1"/>
          <w:sz w:val="24"/>
          <w:szCs w:val="24"/>
          <w:lang w:val="en-GB"/>
        </w:rPr>
        <w:t>orded in the Czech Republic (</w:t>
      </w:r>
      <w:r w:rsidR="00122357">
        <w:rPr>
          <w:rFonts w:ascii="Garamond" w:hAnsi="Garamond"/>
          <w:color w:val="000000" w:themeColor="text1"/>
          <w:sz w:val="24"/>
          <w:szCs w:val="24"/>
          <w:lang w:val="en-GB"/>
        </w:rPr>
        <w:t>2.9 percent) ,Germany (3.8</w:t>
      </w:r>
      <w:r w:rsidRPr="00032F22">
        <w:rPr>
          <w:rFonts w:ascii="Garamond" w:hAnsi="Garamond"/>
          <w:color w:val="000000" w:themeColor="text1"/>
          <w:sz w:val="24"/>
          <w:szCs w:val="24"/>
          <w:lang w:val="en-GB"/>
        </w:rPr>
        <w:t xml:space="preserve"> percent) and Malta( 4.1 percent); while the highest unemployment rat</w:t>
      </w:r>
      <w:r w:rsidR="00122357">
        <w:rPr>
          <w:rFonts w:ascii="Garamond" w:hAnsi="Garamond"/>
          <w:color w:val="000000" w:themeColor="text1"/>
          <w:sz w:val="24"/>
          <w:szCs w:val="24"/>
          <w:lang w:val="en-GB"/>
        </w:rPr>
        <w:t>es were observed in Greece (21.7</w:t>
      </w:r>
      <w:r w:rsidRPr="00032F22">
        <w:rPr>
          <w:rFonts w:ascii="Garamond" w:hAnsi="Garamond"/>
          <w:color w:val="000000" w:themeColor="text1"/>
          <w:sz w:val="24"/>
          <w:szCs w:val="24"/>
          <w:lang w:val="en-GB"/>
        </w:rPr>
        <w:t xml:space="preserve"> percent in </w:t>
      </w:r>
      <w:r w:rsidR="00122357">
        <w:rPr>
          <w:rFonts w:ascii="Garamond" w:hAnsi="Garamond"/>
          <w:color w:val="000000" w:themeColor="text1"/>
          <w:sz w:val="24"/>
          <w:szCs w:val="24"/>
          <w:lang w:val="en-GB"/>
        </w:rPr>
        <w:t>April</w:t>
      </w:r>
      <w:r>
        <w:rPr>
          <w:rFonts w:ascii="Garamond" w:hAnsi="Garamond"/>
          <w:color w:val="000000" w:themeColor="text1"/>
          <w:sz w:val="24"/>
          <w:szCs w:val="24"/>
          <w:lang w:val="en-GB"/>
        </w:rPr>
        <w:t xml:space="preserve"> 2017) </w:t>
      </w:r>
      <w:r w:rsidR="00560F5E">
        <w:rPr>
          <w:rFonts w:ascii="Garamond" w:hAnsi="Garamond"/>
          <w:color w:val="000000" w:themeColor="text1"/>
          <w:sz w:val="24"/>
          <w:szCs w:val="24"/>
          <w:lang w:val="en-GB"/>
        </w:rPr>
        <w:t>and Spain (17.1</w:t>
      </w:r>
      <w:r w:rsidRPr="00032F22">
        <w:rPr>
          <w:rFonts w:ascii="Garamond" w:hAnsi="Garamond"/>
          <w:color w:val="000000" w:themeColor="text1"/>
          <w:sz w:val="24"/>
          <w:szCs w:val="24"/>
          <w:lang w:val="en-GB"/>
        </w:rPr>
        <w:t xml:space="preserve"> percent).</w:t>
      </w:r>
    </w:p>
    <w:p w:rsidR="00A50555" w:rsidRPr="00004E3D" w:rsidRDefault="00A50555" w:rsidP="00A50555">
      <w:pPr>
        <w:spacing w:line="240" w:lineRule="auto"/>
        <w:contextualSpacing/>
        <w:jc w:val="both"/>
        <w:rPr>
          <w:rFonts w:ascii="Garamond" w:hAnsi="Garamond"/>
          <w:color w:val="000000" w:themeColor="text1"/>
          <w:sz w:val="24"/>
          <w:szCs w:val="24"/>
          <w:lang w:val="en-GB"/>
        </w:rPr>
      </w:pPr>
    </w:p>
    <w:p w:rsidR="00A50555" w:rsidRPr="00505DBA" w:rsidRDefault="00A50555"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held its benchmark refinancing rate at 0 percent for the </w:t>
      </w:r>
      <w:r w:rsidR="00913362">
        <w:rPr>
          <w:rFonts w:ascii="Garamond" w:hAnsi="Garamond"/>
          <w:color w:val="000000" w:themeColor="text1"/>
          <w:sz w:val="24"/>
          <w:szCs w:val="24"/>
        </w:rPr>
        <w:t xml:space="preserve">eleventh </w:t>
      </w:r>
      <w:r w:rsidRPr="00505DBA">
        <w:rPr>
          <w:rFonts w:ascii="Garamond" w:hAnsi="Garamond"/>
          <w:color w:val="000000" w:themeColor="text1"/>
          <w:sz w:val="24"/>
          <w:szCs w:val="24"/>
        </w:rPr>
        <w:t xml:space="preserve">consecutive meeting and left the pace of its bond-purchases unchanged, as widely expected. Policymakers confirmed the monthly asset purchases will run at the current monthly pace of €80 billion until March, and from April, they are intended to continue at a monthly pace of €60 billion until the end of the year. 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A50555" w:rsidRPr="00C80F58" w:rsidRDefault="00A50555" w:rsidP="00A50555">
      <w:pPr>
        <w:spacing w:line="240" w:lineRule="auto"/>
        <w:contextualSpacing/>
        <w:jc w:val="both"/>
        <w:rPr>
          <w:rFonts w:ascii="Garamond" w:hAnsi="Garamond"/>
          <w:color w:val="000000" w:themeColor="text1"/>
          <w:sz w:val="24"/>
          <w:szCs w:val="24"/>
          <w:lang w:val="en-GB"/>
        </w:rPr>
      </w:pPr>
    </w:p>
    <w:p w:rsidR="00A50555" w:rsidRDefault="00A50555" w:rsidP="00A50555">
      <w:pPr>
        <w:spacing w:after="0" w:line="240" w:lineRule="auto"/>
        <w:contextualSpacing/>
      </w:pPr>
      <w:r w:rsidRPr="002A3334">
        <w:rPr>
          <w:rFonts w:ascii="Garamond" w:hAnsi="Garamond"/>
          <w:b/>
          <w:bCs/>
          <w:i/>
          <w:iCs/>
          <w:color w:val="000000" w:themeColor="text1"/>
          <w:sz w:val="24"/>
          <w:szCs w:val="24"/>
          <w:lang w:val="en-GB"/>
        </w:rPr>
        <w:t xml:space="preserve">Observations: </w:t>
      </w:r>
      <w:r w:rsidR="00C07712" w:rsidRPr="00A07038">
        <w:rPr>
          <w:rFonts w:ascii="Garamond" w:hAnsi="Garamond"/>
          <w:i/>
          <w:iCs/>
          <w:sz w:val="24"/>
          <w:szCs w:val="24"/>
        </w:rPr>
        <w:t>The Eurozone’s growth spurt likely remained strong in the second quarter as incoming data is bright.</w:t>
      </w:r>
      <w:r w:rsidR="002C4D7F">
        <w:rPr>
          <w:rFonts w:ascii="Garamond" w:hAnsi="Garamond"/>
          <w:i/>
          <w:iCs/>
          <w:sz w:val="24"/>
          <w:szCs w:val="24"/>
        </w:rPr>
        <w:t xml:space="preserve"> </w:t>
      </w:r>
      <w:r w:rsidR="00C07712" w:rsidRPr="00A07038">
        <w:rPr>
          <w:rFonts w:ascii="Garamond" w:hAnsi="Garamond"/>
          <w:i/>
          <w:iCs/>
          <w:sz w:val="24"/>
          <w:szCs w:val="24"/>
        </w:rPr>
        <w:t>Industrial production increased at the fastest pace in six-months in May and the unemployment rate is resting at a multi-year low</w:t>
      </w:r>
      <w:r w:rsidRPr="00A07038">
        <w:rPr>
          <w:rFonts w:ascii="Garamond" w:hAnsi="Garamond"/>
          <w:i/>
          <w:iCs/>
          <w:sz w:val="24"/>
          <w:szCs w:val="24"/>
        </w:rPr>
        <w:t xml:space="preserve">. A firmer </w:t>
      </w:r>
      <w:proofErr w:type="spellStart"/>
      <w:r w:rsidRPr="00A07038">
        <w:rPr>
          <w:rFonts w:ascii="Garamond" w:hAnsi="Garamond"/>
          <w:i/>
          <w:iCs/>
          <w:sz w:val="24"/>
          <w:szCs w:val="24"/>
        </w:rPr>
        <w:t>labour</w:t>
      </w:r>
      <w:proofErr w:type="spellEnd"/>
      <w:r w:rsidRPr="00A07038">
        <w:rPr>
          <w:rFonts w:ascii="Garamond" w:hAnsi="Garamond"/>
          <w:i/>
          <w:iCs/>
          <w:sz w:val="24"/>
          <w:szCs w:val="24"/>
        </w:rPr>
        <w:t xml:space="preserve"> market and stronger economy will support the healthy expansion of the Eurozone in the coming year.  </w:t>
      </w:r>
      <w:r w:rsidR="002B63E9" w:rsidRPr="00A07038">
        <w:rPr>
          <w:rFonts w:ascii="Garamond" w:hAnsi="Garamond"/>
          <w:i/>
          <w:iCs/>
          <w:sz w:val="24"/>
          <w:szCs w:val="24"/>
        </w:rPr>
        <w:t>On the macroeconomic front, economic growth indicators in the euro-area continued to signal a robust and improving level of economic activity.</w:t>
      </w:r>
    </w:p>
    <w:p w:rsidR="006D452B" w:rsidRPr="00560465" w:rsidRDefault="006D452B" w:rsidP="00E158C5">
      <w:pPr>
        <w:spacing w:after="0" w:line="20" w:lineRule="atLeast"/>
        <w:contextualSpacing/>
        <w:rPr>
          <w:rFonts w:ascii="Garamond" w:hAnsi="Garamond" w:cs="Mangal"/>
          <w:i/>
          <w:iCs/>
          <w:color w:val="000000"/>
          <w:sz w:val="24"/>
          <w:szCs w:val="24"/>
          <w:highlight w:val="yellow"/>
          <w:lang w:val="en-IN" w:bidi="hi-IN"/>
        </w:rPr>
      </w:pPr>
    </w:p>
    <w:p w:rsidR="00984931" w:rsidRPr="00560465" w:rsidRDefault="00984931" w:rsidP="00E158C5">
      <w:pPr>
        <w:spacing w:after="0" w:line="20" w:lineRule="atLeast"/>
        <w:jc w:val="both"/>
        <w:rPr>
          <w:rFonts w:ascii="Garamond" w:eastAsiaTheme="minorHAnsi" w:hAnsi="Garamond"/>
          <w:color w:val="000000" w:themeColor="text1"/>
          <w:sz w:val="20"/>
          <w:szCs w:val="20"/>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CC3903">
        <w:rPr>
          <w:rFonts w:ascii="Garamond" w:hAnsi="Garamond"/>
          <w:b/>
          <w:color w:val="000000"/>
          <w:sz w:val="24"/>
          <w:szCs w:val="24"/>
          <w:lang w:val="en-GB"/>
        </w:rPr>
        <w:t>Brazil:</w:t>
      </w:r>
    </w:p>
    <w:p w:rsidR="0042712D" w:rsidRPr="00560465" w:rsidRDefault="0042712D" w:rsidP="0042712D">
      <w:pPr>
        <w:spacing w:after="0" w:line="20" w:lineRule="atLeast"/>
        <w:contextualSpacing/>
        <w:jc w:val="both"/>
        <w:rPr>
          <w:rFonts w:ascii="Garamond" w:hAnsi="Garamond"/>
          <w:color w:val="000000"/>
          <w:sz w:val="24"/>
          <w:szCs w:val="24"/>
          <w:lang w:val="en-GB"/>
        </w:rPr>
      </w:pPr>
    </w:p>
    <w:p w:rsidR="0002195A" w:rsidRPr="007103CD" w:rsidRDefault="00F962DE" w:rsidP="004677BD">
      <w:pPr>
        <w:numPr>
          <w:ilvl w:val="1"/>
          <w:numId w:val="9"/>
        </w:numPr>
        <w:spacing w:after="0" w:line="240" w:lineRule="auto"/>
        <w:ind w:hanging="650"/>
        <w:contextualSpacing/>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contracted by 0.4 percent in the first quarter of 2017, </w:t>
      </w:r>
      <w:r w:rsidRPr="00F962DE">
        <w:rPr>
          <w:rFonts w:ascii="Garamond" w:hAnsi="Garamond"/>
          <w:color w:val="000000" w:themeColor="text1"/>
          <w:sz w:val="24"/>
          <w:szCs w:val="24"/>
          <w:lang w:val="en-IN"/>
        </w:rPr>
        <w:t>performing</w:t>
      </w:r>
      <w:r w:rsidRPr="00F962DE">
        <w:rPr>
          <w:rFonts w:ascii="Garamond" w:hAnsi="Garamond"/>
          <w:color w:val="000000" w:themeColor="text1"/>
          <w:sz w:val="24"/>
          <w:szCs w:val="24"/>
        </w:rPr>
        <w:t xml:space="preserve"> better than market expectations. It was the twelfth straight quarter of contraction for the country but at the slowest pace in 2 years, mainly on account of decline in consumer spending and smaller investment</w:t>
      </w:r>
      <w:r w:rsidR="007103CD">
        <w:rPr>
          <w:rFonts w:ascii="Garamond" w:hAnsi="Garamond"/>
          <w:color w:val="000000" w:themeColor="text1"/>
          <w:sz w:val="24"/>
          <w:szCs w:val="24"/>
        </w:rPr>
        <w:t>.</w:t>
      </w:r>
      <w:r w:rsidR="004534C0">
        <w:rPr>
          <w:rFonts w:ascii="Garamond" w:hAnsi="Garamond"/>
          <w:color w:val="000000" w:themeColor="text1"/>
          <w:sz w:val="24"/>
          <w:szCs w:val="24"/>
        </w:rPr>
        <w:t xml:space="preserve"> As per recent World Economic Outlook by </w:t>
      </w:r>
      <w:proofErr w:type="gramStart"/>
      <w:r w:rsidR="004534C0">
        <w:rPr>
          <w:rFonts w:ascii="Garamond" w:hAnsi="Garamond"/>
          <w:color w:val="000000" w:themeColor="text1"/>
          <w:sz w:val="24"/>
          <w:szCs w:val="24"/>
        </w:rPr>
        <w:t>IMF ,Brazil</w:t>
      </w:r>
      <w:proofErr w:type="gramEnd"/>
      <w:r w:rsidR="004534C0">
        <w:rPr>
          <w:rFonts w:ascii="Garamond" w:hAnsi="Garamond"/>
          <w:color w:val="000000" w:themeColor="text1"/>
          <w:sz w:val="24"/>
          <w:szCs w:val="24"/>
        </w:rPr>
        <w:t xml:space="preserve"> is expected to grow at 0.3 percent in 2017 and 1.3 percent in 2018 .</w:t>
      </w:r>
    </w:p>
    <w:p w:rsidR="007103CD" w:rsidRPr="00FF7045" w:rsidRDefault="007103CD" w:rsidP="007103CD">
      <w:pPr>
        <w:pStyle w:val="ListParagraph"/>
        <w:spacing w:after="0" w:line="20" w:lineRule="atLeast"/>
        <w:ind w:left="993"/>
        <w:jc w:val="both"/>
        <w:rPr>
          <w:rFonts w:ascii="Times New Roman" w:hAnsi="Times New Roman"/>
          <w:color w:val="000000" w:themeColor="text1"/>
          <w:sz w:val="24"/>
          <w:szCs w:val="24"/>
        </w:rPr>
      </w:pPr>
    </w:p>
    <w:p w:rsidR="0002195A" w:rsidRPr="00EE7C4E" w:rsidRDefault="0002195A" w:rsidP="004677BD">
      <w:pPr>
        <w:numPr>
          <w:ilvl w:val="1"/>
          <w:numId w:val="9"/>
        </w:numPr>
        <w:spacing w:after="0" w:line="240" w:lineRule="auto"/>
        <w:ind w:hanging="650"/>
        <w:contextualSpacing/>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Brazil </w:t>
      </w:r>
      <w:r w:rsidR="00261F46">
        <w:rPr>
          <w:rFonts w:ascii="Garamond" w:hAnsi="Garamond"/>
          <w:color w:val="000000" w:themeColor="text1"/>
          <w:sz w:val="24"/>
          <w:szCs w:val="24"/>
        </w:rPr>
        <w:t>increased</w:t>
      </w:r>
      <w:r>
        <w:rPr>
          <w:rFonts w:ascii="Garamond" w:hAnsi="Garamond"/>
          <w:color w:val="000000" w:themeColor="text1"/>
          <w:sz w:val="24"/>
          <w:szCs w:val="24"/>
        </w:rPr>
        <w:t xml:space="preserve"> by </w:t>
      </w:r>
      <w:r w:rsidR="008622E9">
        <w:rPr>
          <w:rFonts w:ascii="Garamond" w:hAnsi="Garamond"/>
          <w:color w:val="000000" w:themeColor="text1"/>
          <w:sz w:val="24"/>
          <w:szCs w:val="24"/>
        </w:rPr>
        <w:t>3.0</w:t>
      </w:r>
      <w:r w:rsidR="007103CD">
        <w:rPr>
          <w:rFonts w:ascii="Garamond" w:hAnsi="Garamond"/>
          <w:color w:val="000000" w:themeColor="text1"/>
          <w:sz w:val="24"/>
          <w:szCs w:val="24"/>
        </w:rPr>
        <w:t>0</w:t>
      </w:r>
      <w:r w:rsidRPr="00EE7C4E">
        <w:rPr>
          <w:rFonts w:ascii="Garamond" w:hAnsi="Garamond"/>
          <w:color w:val="000000" w:themeColor="text1"/>
          <w:sz w:val="24"/>
          <w:szCs w:val="24"/>
        </w:rPr>
        <w:t xml:space="preserve"> percent (Y-o-Y) in </w:t>
      </w:r>
      <w:r w:rsidR="008622E9">
        <w:rPr>
          <w:rFonts w:ascii="Garamond" w:hAnsi="Garamond"/>
          <w:color w:val="000000" w:themeColor="text1"/>
          <w:sz w:val="24"/>
          <w:szCs w:val="24"/>
        </w:rPr>
        <w:t>June</w:t>
      </w:r>
      <w:r w:rsidRPr="00EE7C4E">
        <w:rPr>
          <w:rFonts w:ascii="Garamond" w:hAnsi="Garamond"/>
          <w:color w:val="000000" w:themeColor="text1"/>
          <w:sz w:val="24"/>
          <w:szCs w:val="24"/>
        </w:rPr>
        <w:t xml:space="preserve"> </w:t>
      </w:r>
      <w:r w:rsidR="007103CD">
        <w:rPr>
          <w:rFonts w:ascii="Garamond" w:hAnsi="Garamond"/>
          <w:color w:val="000000" w:themeColor="text1"/>
          <w:sz w:val="24"/>
          <w:szCs w:val="24"/>
        </w:rPr>
        <w:t xml:space="preserve">2017, easing down from a </w:t>
      </w:r>
      <w:r w:rsidR="008622E9">
        <w:rPr>
          <w:rFonts w:ascii="Garamond" w:hAnsi="Garamond"/>
          <w:color w:val="000000" w:themeColor="text1"/>
          <w:sz w:val="24"/>
          <w:szCs w:val="24"/>
        </w:rPr>
        <w:t xml:space="preserve">3.6 percent </w:t>
      </w:r>
      <w:r w:rsidRPr="00EE7C4E">
        <w:rPr>
          <w:rFonts w:ascii="Garamond" w:hAnsi="Garamond"/>
          <w:color w:val="000000" w:themeColor="text1"/>
          <w:sz w:val="24"/>
          <w:szCs w:val="24"/>
        </w:rPr>
        <w:t>in the</w:t>
      </w:r>
      <w:r w:rsidR="008622E9">
        <w:rPr>
          <w:rFonts w:ascii="Garamond" w:hAnsi="Garamond"/>
          <w:color w:val="000000" w:themeColor="text1"/>
          <w:sz w:val="24"/>
          <w:szCs w:val="24"/>
        </w:rPr>
        <w:t xml:space="preserve"> May</w:t>
      </w:r>
      <w:r w:rsidRPr="00EE7C4E">
        <w:rPr>
          <w:rFonts w:ascii="Garamond" w:hAnsi="Garamond"/>
          <w:color w:val="000000" w:themeColor="text1"/>
          <w:sz w:val="24"/>
          <w:szCs w:val="24"/>
        </w:rPr>
        <w:t xml:space="preserve"> 2017 </w:t>
      </w:r>
      <w:r w:rsidR="007103CD">
        <w:rPr>
          <w:rFonts w:ascii="Garamond" w:hAnsi="Garamond"/>
          <w:color w:val="000000" w:themeColor="text1"/>
          <w:sz w:val="24"/>
          <w:szCs w:val="24"/>
        </w:rPr>
        <w:t xml:space="preserve">and below </w:t>
      </w:r>
      <w:r w:rsidRPr="00EE7C4E">
        <w:rPr>
          <w:rFonts w:ascii="Garamond" w:hAnsi="Garamond"/>
          <w:color w:val="000000" w:themeColor="text1"/>
          <w:sz w:val="24"/>
          <w:szCs w:val="24"/>
        </w:rPr>
        <w:t>the market</w:t>
      </w:r>
      <w:r>
        <w:rPr>
          <w:rFonts w:ascii="Times New Roman" w:hAnsi="Times New Roman"/>
          <w:color w:val="000000" w:themeColor="text1"/>
          <w:sz w:val="24"/>
          <w:szCs w:val="24"/>
          <w:lang w:val="en-GB"/>
        </w:rPr>
        <w:t xml:space="preserve"> </w:t>
      </w:r>
      <w:r w:rsidRPr="00EE7C4E">
        <w:rPr>
          <w:rFonts w:ascii="Garamond" w:hAnsi="Garamond"/>
          <w:color w:val="000000" w:themeColor="text1"/>
          <w:sz w:val="24"/>
          <w:szCs w:val="24"/>
        </w:rPr>
        <w:t>expectations.</w:t>
      </w:r>
      <w:r w:rsidRPr="009C1E27">
        <w:rPr>
          <w:rFonts w:ascii="Times New Roman" w:hAnsi="Times New Roman"/>
          <w:sz w:val="24"/>
          <w:szCs w:val="24"/>
          <w:lang w:val="en-GB"/>
        </w:rPr>
        <w:t xml:space="preserve"> </w:t>
      </w:r>
      <w:r w:rsidRPr="00EE7C4E">
        <w:rPr>
          <w:rFonts w:ascii="Garamond" w:hAnsi="Garamond"/>
          <w:color w:val="000000" w:themeColor="text1"/>
          <w:sz w:val="24"/>
          <w:szCs w:val="24"/>
        </w:rPr>
        <w:t xml:space="preserve">The Central Bank of Brazil executed another 100 basis point cut </w:t>
      </w:r>
      <w:r w:rsidR="006A0451">
        <w:rPr>
          <w:rFonts w:ascii="Garamond" w:hAnsi="Garamond"/>
          <w:color w:val="000000" w:themeColor="text1"/>
          <w:sz w:val="24"/>
          <w:szCs w:val="24"/>
        </w:rPr>
        <w:t>in its benchmark SELIC rate to 9</w:t>
      </w:r>
      <w:r w:rsidRPr="00EE7C4E">
        <w:rPr>
          <w:rFonts w:ascii="Garamond" w:hAnsi="Garamond"/>
          <w:color w:val="000000" w:themeColor="text1"/>
          <w:sz w:val="24"/>
          <w:szCs w:val="24"/>
        </w:rPr>
        <w:t>.25 percent .</w:t>
      </w:r>
      <w:r w:rsidR="00AB2B5D">
        <w:rPr>
          <w:rFonts w:ascii="Garamond" w:hAnsi="Garamond"/>
          <w:color w:val="000000" w:themeColor="text1"/>
          <w:sz w:val="24"/>
          <w:szCs w:val="24"/>
        </w:rPr>
        <w:t xml:space="preserve">It is the seventh </w:t>
      </w:r>
      <w:r w:rsidRPr="00EE7C4E">
        <w:rPr>
          <w:rFonts w:ascii="Garamond" w:hAnsi="Garamond"/>
          <w:color w:val="000000" w:themeColor="text1"/>
          <w:sz w:val="24"/>
          <w:szCs w:val="24"/>
        </w:rPr>
        <w:t xml:space="preserve">straight rate decline, bringing borrowing costs to the lowest since </w:t>
      </w:r>
      <w:r w:rsidR="00AB2B5D">
        <w:rPr>
          <w:rFonts w:ascii="Garamond" w:hAnsi="Garamond"/>
          <w:color w:val="000000" w:themeColor="text1"/>
          <w:sz w:val="24"/>
          <w:szCs w:val="24"/>
        </w:rPr>
        <w:t>Septem</w:t>
      </w:r>
      <w:r>
        <w:rPr>
          <w:rFonts w:ascii="Garamond" w:hAnsi="Garamond"/>
          <w:color w:val="000000" w:themeColor="text1"/>
          <w:sz w:val="24"/>
          <w:szCs w:val="24"/>
        </w:rPr>
        <w:t xml:space="preserve">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EE7C4E">
        <w:rPr>
          <w:rFonts w:ascii="Garamond" w:hAnsi="Garamond"/>
          <w:color w:val="000000" w:themeColor="text1"/>
          <w:sz w:val="24"/>
          <w:szCs w:val="24"/>
        </w:rPr>
        <w:t xml:space="preserve"> amid slowing inflation and a sticky contraction.</w:t>
      </w:r>
      <w:r w:rsidR="000068BB">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sidR="00AB2B5D">
        <w:rPr>
          <w:rFonts w:ascii="Garamond" w:hAnsi="Garamond"/>
          <w:color w:val="000000" w:themeColor="text1"/>
          <w:sz w:val="24"/>
          <w:szCs w:val="24"/>
        </w:rPr>
        <w:t>further eased down to 13.0 percent in June 2017 from 13.3</w:t>
      </w:r>
      <w:r w:rsidRPr="00EE7C4E">
        <w:rPr>
          <w:rFonts w:ascii="Garamond" w:hAnsi="Garamond"/>
          <w:color w:val="000000" w:themeColor="text1"/>
          <w:sz w:val="24"/>
          <w:szCs w:val="24"/>
        </w:rPr>
        <w:t xml:space="preserve"> percent rate recorded in </w:t>
      </w:r>
      <w:r w:rsidR="00AB2B5D">
        <w:rPr>
          <w:rFonts w:ascii="Garamond" w:hAnsi="Garamond"/>
          <w:color w:val="000000" w:themeColor="text1"/>
          <w:sz w:val="24"/>
          <w:szCs w:val="24"/>
        </w:rPr>
        <w:t>May</w:t>
      </w:r>
      <w:r w:rsidRPr="00EE7C4E">
        <w:rPr>
          <w:rFonts w:ascii="Garamond" w:hAnsi="Garamond"/>
          <w:color w:val="000000" w:themeColor="text1"/>
          <w:sz w:val="24"/>
          <w:szCs w:val="24"/>
        </w:rPr>
        <w:t xml:space="preserve"> 2017.</w:t>
      </w:r>
    </w:p>
    <w:p w:rsidR="0042712D" w:rsidRPr="00560465" w:rsidRDefault="0042712D" w:rsidP="0042712D">
      <w:pPr>
        <w:spacing w:after="0" w:line="20" w:lineRule="atLeast"/>
        <w:ind w:left="720"/>
        <w:contextualSpacing/>
        <w:jc w:val="both"/>
        <w:rPr>
          <w:rFonts w:ascii="Garamond" w:hAnsi="Garamond"/>
          <w:b/>
          <w:color w:val="000000"/>
          <w:sz w:val="24"/>
          <w:szCs w:val="24"/>
          <w:lang w:val="en-GB"/>
        </w:rPr>
      </w:pP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r w:rsidRPr="00F15B70">
        <w:rPr>
          <w:rFonts w:ascii="Garamond" w:hAnsi="Garamond"/>
          <w:b/>
          <w:color w:val="000000"/>
          <w:sz w:val="24"/>
          <w:szCs w:val="24"/>
          <w:lang w:val="en-GB"/>
        </w:rPr>
        <w:t>China:</w:t>
      </w:r>
    </w:p>
    <w:p w:rsidR="0042712D" w:rsidRPr="00560465" w:rsidRDefault="0042712D" w:rsidP="0042712D">
      <w:pPr>
        <w:keepNext/>
        <w:keepLines/>
        <w:spacing w:after="0" w:line="20" w:lineRule="atLeast"/>
        <w:jc w:val="both"/>
        <w:outlineLvl w:val="1"/>
        <w:rPr>
          <w:rFonts w:ascii="Garamond" w:hAnsi="Garamond"/>
          <w:b/>
          <w:color w:val="000000"/>
          <w:sz w:val="24"/>
          <w:szCs w:val="24"/>
          <w:lang w:val="en-GB"/>
        </w:rPr>
      </w:pPr>
    </w:p>
    <w:p w:rsidR="0002195A" w:rsidRPr="00EE7C4E" w:rsidRDefault="0002195A" w:rsidP="004677BD">
      <w:pPr>
        <w:numPr>
          <w:ilvl w:val="1"/>
          <w:numId w:val="9"/>
        </w:numPr>
        <w:spacing w:after="0" w:line="240" w:lineRule="auto"/>
        <w:ind w:hanging="650"/>
        <w:contextualSpacing/>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sidRPr="00EE7C4E">
        <w:rPr>
          <w:rFonts w:ascii="Garamond" w:hAnsi="Garamond"/>
          <w:color w:val="000000" w:themeColor="text1"/>
          <w:sz w:val="24"/>
          <w:szCs w:val="24"/>
        </w:rPr>
        <w:t xml:space="preserve"> economy expanded by 6.9 percent in the </w:t>
      </w:r>
      <w:r w:rsidR="00F11BB2">
        <w:rPr>
          <w:rFonts w:ascii="Garamond" w:hAnsi="Garamond"/>
          <w:color w:val="000000" w:themeColor="text1"/>
          <w:sz w:val="24"/>
          <w:szCs w:val="24"/>
        </w:rPr>
        <w:t xml:space="preserve">second </w:t>
      </w:r>
      <w:r w:rsidRPr="00EE7C4E">
        <w:rPr>
          <w:rFonts w:ascii="Garamond" w:hAnsi="Garamond"/>
          <w:color w:val="000000" w:themeColor="text1"/>
          <w:sz w:val="24"/>
          <w:szCs w:val="24"/>
        </w:rPr>
        <w:t xml:space="preserve">quarter of 2017, </w:t>
      </w:r>
      <w:r w:rsidR="00F11BB2">
        <w:rPr>
          <w:rFonts w:ascii="Garamond" w:hAnsi="Garamond"/>
          <w:color w:val="000000" w:themeColor="text1"/>
          <w:sz w:val="24"/>
          <w:szCs w:val="24"/>
        </w:rPr>
        <w:t>at similar pace as compared to the first</w:t>
      </w:r>
      <w:r w:rsidRPr="00EE7C4E">
        <w:rPr>
          <w:rFonts w:ascii="Garamond" w:hAnsi="Garamond"/>
          <w:color w:val="000000" w:themeColor="text1"/>
          <w:sz w:val="24"/>
          <w:szCs w:val="24"/>
        </w:rPr>
        <w:t xml:space="preserve"> quarter, surpassing market expectations of a 6.8 percent predicted growth. This </w:t>
      </w:r>
      <w:r w:rsidRPr="00EE7C4E">
        <w:rPr>
          <w:rFonts w:ascii="Garamond" w:hAnsi="Garamond"/>
          <w:color w:val="000000" w:themeColor="text1"/>
          <w:sz w:val="24"/>
          <w:szCs w:val="24"/>
        </w:rPr>
        <w:lastRenderedPageBreak/>
        <w:t xml:space="preserve">growth was supported by faster rises in industrial output, retail sales and fixed-asset investment while fiscal spending surged. </w:t>
      </w:r>
      <w:r w:rsidR="00710D82">
        <w:rPr>
          <w:rFonts w:ascii="Garamond" w:hAnsi="Garamond"/>
          <w:color w:val="000000" w:themeColor="text1"/>
          <w:sz w:val="24"/>
          <w:szCs w:val="24"/>
        </w:rPr>
        <w:t>According to IMF’s recent forecast, China’s growth is expected to remain at 6.7 percent in 2017, the same level as in 2016, and to decline modestly in 2018 to 6.4 percent.</w:t>
      </w:r>
    </w:p>
    <w:p w:rsidR="0002195A" w:rsidRPr="00EE7C4E" w:rsidRDefault="0002195A" w:rsidP="0002195A">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02195A" w:rsidRPr="009C1E27" w:rsidRDefault="0002195A" w:rsidP="004677BD">
      <w:pPr>
        <w:numPr>
          <w:ilvl w:val="1"/>
          <w:numId w:val="9"/>
        </w:numPr>
        <w:spacing w:after="0" w:line="240" w:lineRule="auto"/>
        <w:ind w:hanging="650"/>
        <w:contextualSpacing/>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Pr>
          <w:rFonts w:ascii="Garamond" w:hAnsi="Garamond"/>
          <w:color w:val="000000" w:themeColor="text1"/>
          <w:sz w:val="24"/>
          <w:szCs w:val="24"/>
        </w:rPr>
        <w:t>prices in China increased by 1</w:t>
      </w:r>
      <w:r w:rsidR="00C16955">
        <w:rPr>
          <w:rFonts w:ascii="Garamond" w:hAnsi="Garamond"/>
          <w:color w:val="000000" w:themeColor="text1"/>
          <w:sz w:val="24"/>
          <w:szCs w:val="24"/>
        </w:rPr>
        <w:t>.5</w:t>
      </w:r>
      <w:r w:rsidRPr="00EE7C4E">
        <w:rPr>
          <w:rFonts w:ascii="Garamond" w:hAnsi="Garamond"/>
          <w:color w:val="000000" w:themeColor="text1"/>
          <w:sz w:val="24"/>
          <w:szCs w:val="24"/>
        </w:rPr>
        <w:t xml:space="preserve"> percent (Y-o-Y) during </w:t>
      </w:r>
      <w:r w:rsidR="00F11BB2">
        <w:rPr>
          <w:rFonts w:ascii="Garamond" w:hAnsi="Garamond"/>
          <w:color w:val="000000" w:themeColor="text1"/>
          <w:sz w:val="24"/>
          <w:szCs w:val="24"/>
        </w:rPr>
        <w:t xml:space="preserve">June 2017, at a same pace as </w:t>
      </w:r>
      <w:r w:rsidRPr="00EE7C4E">
        <w:rPr>
          <w:rFonts w:ascii="Garamond" w:hAnsi="Garamond"/>
          <w:color w:val="000000" w:themeColor="text1"/>
          <w:sz w:val="24"/>
          <w:szCs w:val="24"/>
        </w:rPr>
        <w:t xml:space="preserve">in </w:t>
      </w:r>
      <w:r w:rsidR="00F11BB2">
        <w:rPr>
          <w:rFonts w:ascii="Garamond" w:hAnsi="Garamond"/>
          <w:color w:val="000000" w:themeColor="text1"/>
          <w:sz w:val="24"/>
          <w:szCs w:val="24"/>
        </w:rPr>
        <w:t>May</w:t>
      </w:r>
      <w:r w:rsidRPr="00EE7C4E">
        <w:rPr>
          <w:rFonts w:ascii="Garamond" w:hAnsi="Garamond"/>
          <w:color w:val="000000" w:themeColor="text1"/>
          <w:sz w:val="24"/>
          <w:szCs w:val="24"/>
        </w:rPr>
        <w:t xml:space="preserve"> 2017 </w:t>
      </w:r>
      <w:r w:rsidR="00C16955">
        <w:rPr>
          <w:rFonts w:ascii="Garamond" w:hAnsi="Garamond"/>
          <w:color w:val="000000" w:themeColor="text1"/>
          <w:sz w:val="24"/>
          <w:szCs w:val="24"/>
        </w:rPr>
        <w:t>matching market consensus</w:t>
      </w:r>
      <w:r w:rsidRPr="00EE7C4E">
        <w:rPr>
          <w:rFonts w:ascii="Garamond" w:hAnsi="Garamond"/>
          <w:color w:val="000000" w:themeColor="text1"/>
          <w:sz w:val="24"/>
          <w:szCs w:val="24"/>
        </w:rPr>
        <w:t>. The People's Bank of China has kept benchmark one-year lending rate unchanged at 4.35 percent  and has been the same since last cut of 25 basis point in October, 2015. Unemployment rat</w:t>
      </w:r>
      <w:r w:rsidR="003724E6">
        <w:rPr>
          <w:rFonts w:ascii="Garamond" w:hAnsi="Garamond"/>
          <w:color w:val="000000" w:themeColor="text1"/>
          <w:sz w:val="24"/>
          <w:szCs w:val="24"/>
        </w:rPr>
        <w:t>e in China fell slightly to 3.95</w:t>
      </w:r>
      <w:r w:rsidRPr="00EE7C4E">
        <w:rPr>
          <w:rFonts w:ascii="Garamond" w:hAnsi="Garamond"/>
          <w:color w:val="000000" w:themeColor="text1"/>
          <w:sz w:val="24"/>
          <w:szCs w:val="24"/>
        </w:rPr>
        <w:t xml:space="preserve"> percent in the </w:t>
      </w:r>
      <w:r w:rsidR="003724E6">
        <w:rPr>
          <w:rFonts w:ascii="Garamond" w:hAnsi="Garamond"/>
          <w:color w:val="000000" w:themeColor="text1"/>
          <w:sz w:val="24"/>
          <w:szCs w:val="24"/>
        </w:rPr>
        <w:t>second quarter of 2017 from 3.97</w:t>
      </w:r>
      <w:r>
        <w:rPr>
          <w:rFonts w:ascii="Garamond" w:hAnsi="Garamond"/>
          <w:color w:val="000000" w:themeColor="text1"/>
          <w:sz w:val="24"/>
          <w:szCs w:val="24"/>
        </w:rPr>
        <w:t xml:space="preserve"> pe</w:t>
      </w:r>
      <w:r w:rsidR="003724E6">
        <w:rPr>
          <w:rFonts w:ascii="Garamond" w:hAnsi="Garamond"/>
          <w:color w:val="000000" w:themeColor="text1"/>
          <w:sz w:val="24"/>
          <w:szCs w:val="24"/>
        </w:rPr>
        <w:t>rcent in the first</w:t>
      </w:r>
      <w:r w:rsidRPr="00EE7C4E">
        <w:rPr>
          <w:rFonts w:ascii="Garamond" w:hAnsi="Garamond"/>
          <w:color w:val="000000" w:themeColor="text1"/>
          <w:sz w:val="24"/>
          <w:szCs w:val="24"/>
        </w:rPr>
        <w:t xml:space="preserve"> quarter</w:t>
      </w:r>
      <w:r w:rsidR="003724E6">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rsidR="00D04FBC" w:rsidRPr="00560465" w:rsidRDefault="00D04FBC" w:rsidP="00D04FBC">
      <w:pPr>
        <w:pStyle w:val="ListParagraph"/>
        <w:rPr>
          <w:rFonts w:ascii="Garamond" w:hAnsi="Garamond"/>
          <w:color w:val="000000"/>
          <w:sz w:val="24"/>
          <w:szCs w:val="24"/>
        </w:rPr>
      </w:pPr>
    </w:p>
    <w:p w:rsidR="00D04FBC" w:rsidRPr="00560465" w:rsidRDefault="00D04FBC" w:rsidP="00D04FBC">
      <w:pPr>
        <w:pStyle w:val="ListParagraph"/>
        <w:spacing w:after="0" w:line="20" w:lineRule="atLeast"/>
        <w:ind w:left="450"/>
        <w:jc w:val="both"/>
        <w:rPr>
          <w:rFonts w:ascii="Garamond" w:hAnsi="Garamond"/>
          <w:color w:val="000000"/>
          <w:sz w:val="24"/>
          <w:szCs w:val="24"/>
        </w:rPr>
      </w:pPr>
    </w:p>
    <w:p w:rsidR="00B14313" w:rsidRDefault="0042712D" w:rsidP="00BB0159">
      <w:pPr>
        <w:spacing w:after="0" w:line="20" w:lineRule="atLeast"/>
        <w:contextualSpacing/>
        <w:jc w:val="both"/>
        <w:rPr>
          <w:rFonts w:ascii="Garamond" w:hAnsi="Garamond"/>
          <w:b/>
          <w:color w:val="000000"/>
          <w:sz w:val="24"/>
          <w:szCs w:val="24"/>
        </w:rPr>
      </w:pPr>
      <w:r w:rsidRPr="00160C81">
        <w:rPr>
          <w:rFonts w:ascii="Garamond" w:hAnsi="Garamond"/>
          <w:b/>
          <w:color w:val="000000"/>
          <w:sz w:val="24"/>
          <w:szCs w:val="24"/>
        </w:rPr>
        <w:t>Russia:</w:t>
      </w:r>
    </w:p>
    <w:p w:rsidR="00BB0159" w:rsidRPr="00BB0159" w:rsidRDefault="00BB0159" w:rsidP="00BB0159">
      <w:pPr>
        <w:spacing w:after="0" w:line="20" w:lineRule="atLeast"/>
        <w:contextualSpacing/>
        <w:jc w:val="both"/>
        <w:rPr>
          <w:rFonts w:ascii="Garamond" w:hAnsi="Garamond"/>
          <w:b/>
          <w:color w:val="000000"/>
          <w:sz w:val="24"/>
          <w:szCs w:val="24"/>
        </w:rPr>
      </w:pPr>
    </w:p>
    <w:p w:rsidR="0002195A" w:rsidRPr="002C4D7F" w:rsidRDefault="00B14313" w:rsidP="004677BD">
      <w:pPr>
        <w:numPr>
          <w:ilvl w:val="1"/>
          <w:numId w:val="9"/>
        </w:numPr>
        <w:spacing w:after="0" w:line="240" w:lineRule="auto"/>
        <w:ind w:hanging="650"/>
        <w:contextualSpacing/>
        <w:jc w:val="both"/>
        <w:rPr>
          <w:rFonts w:ascii="Garamond" w:hAnsi="Garamond"/>
          <w:color w:val="000000" w:themeColor="text1"/>
          <w:sz w:val="24"/>
          <w:szCs w:val="24"/>
        </w:rPr>
      </w:pPr>
      <w:r w:rsidRPr="002C4D7F">
        <w:rPr>
          <w:rFonts w:ascii="Garamond" w:hAnsi="Garamond"/>
          <w:color w:val="000000" w:themeColor="text1"/>
          <w:sz w:val="24"/>
          <w:szCs w:val="24"/>
        </w:rPr>
        <w:t xml:space="preserve">The Russian economy expanded 0.5 percent(Y-o-Y) in the first quarter of 2017, following 0.3 percent growth in the previous quarter. The economy is expected to return to growth in 2017 after two years of contraction as a result of recovering private consumption and fixed investment. </w:t>
      </w:r>
      <w:r w:rsidR="002C4D7F" w:rsidRPr="002C4D7F">
        <w:rPr>
          <w:rFonts w:ascii="Garamond" w:hAnsi="Garamond"/>
          <w:color w:val="000000" w:themeColor="text1"/>
          <w:sz w:val="24"/>
          <w:szCs w:val="24"/>
        </w:rPr>
        <w:t>A rebound in mining, manufacturing and trade and a jump in transportation boosted growth.</w:t>
      </w:r>
      <w:r w:rsidR="004534C0" w:rsidRPr="004534C0">
        <w:rPr>
          <w:rFonts w:ascii="Garamond" w:hAnsi="Garamond"/>
          <w:color w:val="000000" w:themeColor="text1"/>
          <w:sz w:val="24"/>
          <w:szCs w:val="24"/>
          <w:lang w:val="en-GB"/>
        </w:rPr>
        <w:t xml:space="preserve"> The growth forecast for </w:t>
      </w:r>
      <w:r w:rsidR="004534C0">
        <w:rPr>
          <w:rFonts w:ascii="Garamond" w:hAnsi="Garamond"/>
          <w:color w:val="000000" w:themeColor="text1"/>
          <w:sz w:val="24"/>
          <w:szCs w:val="24"/>
          <w:lang w:val="en-GB"/>
        </w:rPr>
        <w:t xml:space="preserve">Russia is expected to remain at </w:t>
      </w:r>
      <w:proofErr w:type="gramStart"/>
      <w:r w:rsidR="004534C0">
        <w:rPr>
          <w:rFonts w:ascii="Garamond" w:hAnsi="Garamond"/>
          <w:color w:val="000000" w:themeColor="text1"/>
          <w:sz w:val="24"/>
          <w:szCs w:val="24"/>
          <w:lang w:val="en-GB"/>
        </w:rPr>
        <w:t>1.4  percent</w:t>
      </w:r>
      <w:proofErr w:type="gramEnd"/>
      <w:r w:rsidR="004534C0">
        <w:rPr>
          <w:rFonts w:ascii="Garamond" w:hAnsi="Garamond"/>
          <w:color w:val="000000" w:themeColor="text1"/>
          <w:sz w:val="24"/>
          <w:szCs w:val="24"/>
          <w:lang w:val="en-GB"/>
        </w:rPr>
        <w:t xml:space="preserve"> for  both 2017 and </w:t>
      </w:r>
      <w:r w:rsidR="004534C0" w:rsidRPr="004534C0">
        <w:rPr>
          <w:rFonts w:ascii="Garamond" w:hAnsi="Garamond"/>
          <w:color w:val="000000" w:themeColor="text1"/>
          <w:sz w:val="24"/>
          <w:szCs w:val="24"/>
          <w:lang w:val="en-GB"/>
        </w:rPr>
        <w:t xml:space="preserve"> 2018.</w:t>
      </w:r>
    </w:p>
    <w:p w:rsidR="002C4D7F" w:rsidRPr="002C4D7F" w:rsidRDefault="002C4D7F" w:rsidP="002C4D7F">
      <w:pPr>
        <w:spacing w:after="0" w:line="240" w:lineRule="auto"/>
        <w:ind w:left="720"/>
        <w:contextualSpacing/>
        <w:jc w:val="both"/>
        <w:rPr>
          <w:rFonts w:ascii="Garamond" w:hAnsi="Garamond"/>
          <w:color w:val="000000" w:themeColor="text1"/>
          <w:sz w:val="24"/>
          <w:szCs w:val="24"/>
        </w:rPr>
      </w:pPr>
    </w:p>
    <w:p w:rsidR="0002195A" w:rsidRDefault="001241C8" w:rsidP="004677BD">
      <w:pPr>
        <w:numPr>
          <w:ilvl w:val="1"/>
          <w:numId w:val="9"/>
        </w:numPr>
        <w:spacing w:after="0" w:line="240" w:lineRule="auto"/>
        <w:ind w:hanging="650"/>
        <w:contextualSpacing/>
        <w:jc w:val="both"/>
        <w:rPr>
          <w:rFonts w:ascii="Garamond" w:hAnsi="Garamond"/>
          <w:color w:val="000000" w:themeColor="text1"/>
          <w:sz w:val="24"/>
          <w:szCs w:val="24"/>
        </w:rPr>
      </w:pPr>
      <w:r w:rsidRPr="001241C8">
        <w:rPr>
          <w:rFonts w:ascii="Garamond" w:hAnsi="Garamond"/>
          <w:color w:val="000000" w:themeColor="text1"/>
          <w:sz w:val="24"/>
          <w:szCs w:val="24"/>
        </w:rPr>
        <w:t>Consumer p</w:t>
      </w:r>
      <w:r w:rsidR="00A80DF3">
        <w:rPr>
          <w:rFonts w:ascii="Garamond" w:hAnsi="Garamond"/>
          <w:color w:val="000000" w:themeColor="text1"/>
          <w:sz w:val="24"/>
          <w:szCs w:val="24"/>
        </w:rPr>
        <w:t>rices in Russia increased by 4.4 percent year-on-year in June</w:t>
      </w:r>
      <w:r w:rsidRPr="001241C8">
        <w:rPr>
          <w:rFonts w:ascii="Garamond" w:hAnsi="Garamond"/>
          <w:color w:val="000000" w:themeColor="text1"/>
          <w:sz w:val="24"/>
          <w:szCs w:val="24"/>
        </w:rPr>
        <w:t xml:space="preserve"> 2017, </w:t>
      </w:r>
      <w:r w:rsidR="00A80DF3">
        <w:rPr>
          <w:rFonts w:ascii="Garamond" w:hAnsi="Garamond"/>
          <w:color w:val="000000" w:themeColor="text1"/>
          <w:sz w:val="24"/>
          <w:szCs w:val="24"/>
        </w:rPr>
        <w:t>from 4.1 percent increase in the previous month.</w:t>
      </w:r>
      <w:r>
        <w:rPr>
          <w:rFonts w:ascii="Garamond" w:hAnsi="Garamond"/>
          <w:color w:val="000000" w:themeColor="text1"/>
          <w:sz w:val="24"/>
          <w:szCs w:val="24"/>
        </w:rPr>
        <w:t xml:space="preserve"> </w:t>
      </w:r>
      <w:r w:rsidRPr="001241C8">
        <w:rPr>
          <w:rFonts w:ascii="Garamond" w:hAnsi="Garamond"/>
          <w:color w:val="000000" w:themeColor="text1"/>
          <w:sz w:val="24"/>
          <w:szCs w:val="24"/>
        </w:rPr>
        <w:br/>
        <w:t xml:space="preserve">The </w:t>
      </w:r>
      <w:r w:rsidRPr="004677BD">
        <w:rPr>
          <w:rFonts w:ascii="Garamond" w:hAnsi="Garamond"/>
          <w:color w:val="000000" w:themeColor="text1"/>
          <w:sz w:val="24"/>
          <w:szCs w:val="24"/>
          <w:lang w:val="en-GB"/>
        </w:rPr>
        <w:t>Central</w:t>
      </w:r>
      <w:r w:rsidRPr="001241C8">
        <w:rPr>
          <w:rFonts w:ascii="Garamond" w:hAnsi="Garamond"/>
          <w:color w:val="000000" w:themeColor="text1"/>
          <w:sz w:val="24"/>
          <w:szCs w:val="24"/>
        </w:rPr>
        <w:t xml:space="preserve"> Bank of Russia has </w:t>
      </w:r>
      <w:r w:rsidR="007F1A91">
        <w:rPr>
          <w:rFonts w:ascii="Garamond" w:hAnsi="Garamond"/>
          <w:color w:val="000000" w:themeColor="text1"/>
          <w:sz w:val="24"/>
          <w:szCs w:val="24"/>
        </w:rPr>
        <w:t>kept</w:t>
      </w:r>
      <w:r w:rsidRPr="001241C8">
        <w:rPr>
          <w:rFonts w:ascii="Garamond" w:hAnsi="Garamond"/>
          <w:color w:val="000000" w:themeColor="text1"/>
          <w:sz w:val="24"/>
          <w:szCs w:val="24"/>
        </w:rPr>
        <w:t xml:space="preserve"> its benchmark</w:t>
      </w:r>
      <w:r w:rsidR="007F1A91">
        <w:rPr>
          <w:rFonts w:ascii="Garamond" w:hAnsi="Garamond"/>
          <w:color w:val="000000" w:themeColor="text1"/>
          <w:sz w:val="24"/>
          <w:szCs w:val="24"/>
        </w:rPr>
        <w:t xml:space="preserve"> one-week repo rate at 9 percent</w:t>
      </w:r>
      <w:r w:rsidRPr="001241C8">
        <w:rPr>
          <w:rFonts w:ascii="Garamond" w:hAnsi="Garamond"/>
          <w:color w:val="000000" w:themeColor="text1"/>
          <w:sz w:val="24"/>
          <w:szCs w:val="24"/>
        </w:rPr>
        <w:t xml:space="preserve"> to maintain inflation close to the 4 percent target</w:t>
      </w:r>
      <w:r w:rsidR="0002195A" w:rsidRPr="00EE7C4E">
        <w:rPr>
          <w:rFonts w:ascii="Garamond" w:hAnsi="Garamond"/>
          <w:color w:val="000000" w:themeColor="text1"/>
          <w:sz w:val="24"/>
          <w:szCs w:val="24"/>
        </w:rPr>
        <w:t>.</w:t>
      </w:r>
      <w:r>
        <w:rPr>
          <w:rFonts w:ascii="Garamond" w:hAnsi="Garamond"/>
          <w:color w:val="000000" w:themeColor="text1"/>
          <w:sz w:val="24"/>
          <w:szCs w:val="24"/>
        </w:rPr>
        <w:t xml:space="preserve"> </w:t>
      </w:r>
      <w:r w:rsidR="0002195A" w:rsidRPr="00EE7C4E">
        <w:rPr>
          <w:rFonts w:ascii="Garamond" w:hAnsi="Garamond"/>
          <w:color w:val="000000" w:themeColor="text1"/>
          <w:sz w:val="24"/>
          <w:szCs w:val="24"/>
        </w:rPr>
        <w:t xml:space="preserve">Russian unemployment rate </w:t>
      </w:r>
      <w:r w:rsidR="007F1A91">
        <w:rPr>
          <w:rFonts w:ascii="Garamond" w:hAnsi="Garamond"/>
          <w:color w:val="000000" w:themeColor="text1"/>
          <w:sz w:val="24"/>
          <w:szCs w:val="24"/>
        </w:rPr>
        <w:t>declined to 5.1</w:t>
      </w:r>
      <w:r w:rsidR="0002195A">
        <w:rPr>
          <w:rFonts w:ascii="Garamond" w:hAnsi="Garamond"/>
          <w:color w:val="000000" w:themeColor="text1"/>
          <w:sz w:val="24"/>
          <w:szCs w:val="24"/>
        </w:rPr>
        <w:t xml:space="preserve"> p</w:t>
      </w:r>
      <w:r w:rsidR="007F1A91">
        <w:rPr>
          <w:rFonts w:ascii="Garamond" w:hAnsi="Garamond"/>
          <w:color w:val="000000" w:themeColor="text1"/>
          <w:sz w:val="24"/>
          <w:szCs w:val="24"/>
        </w:rPr>
        <w:t>ercent in June of 2017 from 5.2</w:t>
      </w:r>
      <w:r w:rsidR="0002195A" w:rsidRPr="00EE7C4E">
        <w:rPr>
          <w:rFonts w:ascii="Garamond" w:hAnsi="Garamond"/>
          <w:color w:val="000000" w:themeColor="text1"/>
          <w:sz w:val="24"/>
          <w:szCs w:val="24"/>
        </w:rPr>
        <w:t xml:space="preserve"> percent in the previous month and </w:t>
      </w:r>
      <w:r>
        <w:rPr>
          <w:rFonts w:ascii="Garamond" w:hAnsi="Garamond"/>
          <w:color w:val="000000" w:themeColor="text1"/>
          <w:sz w:val="24"/>
          <w:szCs w:val="24"/>
        </w:rPr>
        <w:t>below market expectations of 5.3</w:t>
      </w:r>
      <w:r w:rsidR="0002195A" w:rsidRPr="00EE7C4E">
        <w:rPr>
          <w:rFonts w:ascii="Garamond" w:hAnsi="Garamond"/>
          <w:color w:val="000000" w:themeColor="text1"/>
          <w:sz w:val="24"/>
          <w:szCs w:val="24"/>
        </w:rPr>
        <w:t xml:space="preserve"> percent. </w:t>
      </w:r>
    </w:p>
    <w:p w:rsidR="00114585" w:rsidRPr="00114585" w:rsidRDefault="00114585" w:rsidP="00114585">
      <w:pPr>
        <w:pStyle w:val="ListParagraph"/>
        <w:rPr>
          <w:rFonts w:ascii="Garamond" w:hAnsi="Garamond"/>
          <w:color w:val="000000" w:themeColor="text1"/>
          <w:sz w:val="24"/>
          <w:szCs w:val="24"/>
        </w:rPr>
      </w:pPr>
    </w:p>
    <w:p w:rsidR="00114585" w:rsidRPr="000068BB" w:rsidRDefault="00114585" w:rsidP="00114585">
      <w:pPr>
        <w:spacing w:after="0" w:line="20" w:lineRule="atLeast"/>
        <w:contextualSpacing/>
        <w:jc w:val="both"/>
        <w:rPr>
          <w:rFonts w:ascii="Garamond" w:hAnsi="Garamond"/>
          <w:b/>
          <w:color w:val="000000" w:themeColor="text1"/>
          <w:sz w:val="24"/>
          <w:szCs w:val="24"/>
        </w:rPr>
      </w:pPr>
      <w:r w:rsidRPr="00B333E8">
        <w:rPr>
          <w:rFonts w:ascii="Garamond" w:hAnsi="Garamond"/>
          <w:b/>
          <w:color w:val="000000" w:themeColor="text1"/>
          <w:sz w:val="24"/>
          <w:szCs w:val="24"/>
        </w:rPr>
        <w:t>South Africa</w:t>
      </w:r>
    </w:p>
    <w:p w:rsidR="00114585" w:rsidRDefault="00114585" w:rsidP="004677BD">
      <w:pPr>
        <w:numPr>
          <w:ilvl w:val="1"/>
          <w:numId w:val="9"/>
        </w:numPr>
        <w:spacing w:after="0" w:line="240" w:lineRule="auto"/>
        <w:ind w:hanging="650"/>
        <w:contextualSpacing/>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 xml:space="preserve">The South African economy advanced 1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in the first quarter of 2017, higher than 0.7 percent in the previous two quarters and matching market expectations.</w:t>
      </w:r>
      <w:r w:rsidRPr="000068BB">
        <w:rPr>
          <w:rFonts w:ascii="Garamond" w:hAnsi="Garamond"/>
          <w:color w:val="000000" w:themeColor="text1"/>
          <w:sz w:val="24"/>
          <w:szCs w:val="24"/>
          <w:lang w:val="en-GB"/>
        </w:rPr>
        <w:t xml:space="preserve"> </w:t>
      </w:r>
      <w:r w:rsidR="009707C7" w:rsidRPr="009707C7">
        <w:rPr>
          <w:rFonts w:ascii="Garamond" w:hAnsi="Garamond"/>
          <w:color w:val="000000" w:themeColor="text1"/>
          <w:sz w:val="24"/>
          <w:szCs w:val="24"/>
        </w:rPr>
        <w:t>It is the highest growth rate since the second quarter of 2015 du</w:t>
      </w:r>
      <w:r w:rsidR="009707C7">
        <w:rPr>
          <w:rFonts w:ascii="Garamond" w:hAnsi="Garamond"/>
          <w:color w:val="000000" w:themeColor="text1"/>
          <w:sz w:val="24"/>
          <w:szCs w:val="24"/>
        </w:rPr>
        <w:t>e to a rebound in mining and a two</w:t>
      </w:r>
      <w:r w:rsidR="009707C7" w:rsidRPr="009707C7">
        <w:rPr>
          <w:rFonts w:ascii="Garamond" w:hAnsi="Garamond"/>
          <w:color w:val="000000" w:themeColor="text1"/>
          <w:sz w:val="24"/>
          <w:szCs w:val="24"/>
        </w:rPr>
        <w:t>-year high jump in agriculture.</w:t>
      </w:r>
      <w:r w:rsidR="00262E47" w:rsidRPr="00262E47">
        <w:rPr>
          <w:rFonts w:ascii="Garamond" w:hAnsi="Garamond"/>
          <w:color w:val="000000" w:themeColor="text1"/>
          <w:sz w:val="24"/>
          <w:szCs w:val="24"/>
          <w:lang w:val="en-GB"/>
        </w:rPr>
        <w:t xml:space="preserve"> </w:t>
      </w:r>
      <w:r w:rsidR="00262E47">
        <w:rPr>
          <w:rFonts w:ascii="Garamond" w:hAnsi="Garamond"/>
          <w:color w:val="000000" w:themeColor="text1"/>
          <w:sz w:val="24"/>
          <w:szCs w:val="24"/>
          <w:lang w:val="en-GB"/>
        </w:rPr>
        <w:t>As per IMF’s projections, t</w:t>
      </w:r>
      <w:r w:rsidR="00262E47" w:rsidRPr="00252F85">
        <w:rPr>
          <w:rFonts w:ascii="Garamond" w:hAnsi="Garamond"/>
          <w:color w:val="000000" w:themeColor="text1"/>
          <w:sz w:val="24"/>
          <w:szCs w:val="24"/>
          <w:lang w:val="en-GB"/>
        </w:rPr>
        <w:t>h</w:t>
      </w:r>
      <w:r w:rsidR="00262E47">
        <w:rPr>
          <w:rFonts w:ascii="Garamond" w:hAnsi="Garamond"/>
          <w:color w:val="000000" w:themeColor="text1"/>
          <w:sz w:val="24"/>
          <w:szCs w:val="24"/>
          <w:lang w:val="en-GB"/>
        </w:rPr>
        <w:t xml:space="preserve">e growth projection for South Africa is upwardly revised to 1.0 percent in 2017 but showed a downward revision to 1.2 percent from 1.6 percent in </w:t>
      </w:r>
      <w:proofErr w:type="gramStart"/>
      <w:r w:rsidR="00262E47">
        <w:rPr>
          <w:rFonts w:ascii="Garamond" w:hAnsi="Garamond"/>
          <w:color w:val="000000" w:themeColor="text1"/>
          <w:sz w:val="24"/>
          <w:szCs w:val="24"/>
          <w:lang w:val="en-GB"/>
        </w:rPr>
        <w:t>2018 .</w:t>
      </w:r>
      <w:proofErr w:type="gramEnd"/>
      <w:r w:rsidR="00262E47" w:rsidRPr="00252F85">
        <w:rPr>
          <w:rFonts w:ascii="Garamond" w:hAnsi="Garamond"/>
          <w:color w:val="000000" w:themeColor="text1"/>
          <w:sz w:val="24"/>
          <w:szCs w:val="24"/>
          <w:lang w:val="en-GB"/>
        </w:rPr>
        <w:t xml:space="preserve"> </w:t>
      </w:r>
    </w:p>
    <w:p w:rsidR="009707C7" w:rsidRPr="009707C7" w:rsidRDefault="009707C7" w:rsidP="009707C7">
      <w:pPr>
        <w:spacing w:after="0" w:line="240" w:lineRule="auto"/>
        <w:ind w:left="792"/>
        <w:contextualSpacing/>
        <w:jc w:val="both"/>
        <w:rPr>
          <w:rFonts w:ascii="Garamond" w:hAnsi="Garamond"/>
          <w:color w:val="000000" w:themeColor="text1"/>
          <w:sz w:val="24"/>
          <w:szCs w:val="24"/>
          <w:lang w:val="en-IN"/>
        </w:rPr>
      </w:pPr>
    </w:p>
    <w:p w:rsidR="00114585" w:rsidRPr="000068BB" w:rsidRDefault="00114585" w:rsidP="004677BD">
      <w:pPr>
        <w:numPr>
          <w:ilvl w:val="1"/>
          <w:numId w:val="9"/>
        </w:numPr>
        <w:spacing w:after="0" w:line="240" w:lineRule="auto"/>
        <w:ind w:hanging="650"/>
        <w:contextualSpacing/>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Consumer pric</w:t>
      </w:r>
      <w:r w:rsidR="00E02A97">
        <w:rPr>
          <w:rFonts w:ascii="Garamond" w:hAnsi="Garamond"/>
          <w:color w:val="000000" w:themeColor="text1"/>
          <w:sz w:val="24"/>
          <w:szCs w:val="24"/>
          <w:lang w:val="en-IN"/>
        </w:rPr>
        <w:t>es in South Africa increased 5.1</w:t>
      </w:r>
      <w:r w:rsidRPr="000068BB">
        <w:rPr>
          <w:rFonts w:ascii="Garamond" w:hAnsi="Garamond"/>
          <w:color w:val="000000" w:themeColor="text1"/>
          <w:sz w:val="24"/>
          <w:szCs w:val="24"/>
          <w:lang w:val="en-IN"/>
        </w:rPr>
        <w:t xml:space="preserve"> percent year-on-year in </w:t>
      </w:r>
      <w:r w:rsidR="00E02A97">
        <w:rPr>
          <w:rFonts w:ascii="Garamond" w:hAnsi="Garamond"/>
          <w:color w:val="000000" w:themeColor="text1"/>
          <w:sz w:val="24"/>
          <w:szCs w:val="24"/>
          <w:lang w:val="en-IN"/>
        </w:rPr>
        <w:t xml:space="preserve">June </w:t>
      </w:r>
      <w:r w:rsidR="00E74FAB">
        <w:rPr>
          <w:rFonts w:ascii="Garamond" w:hAnsi="Garamond"/>
          <w:color w:val="000000" w:themeColor="text1"/>
          <w:sz w:val="24"/>
          <w:szCs w:val="24"/>
          <w:lang w:val="en-IN"/>
        </w:rPr>
        <w:t xml:space="preserve">2017, </w:t>
      </w:r>
      <w:r w:rsidR="00E02A97">
        <w:rPr>
          <w:rFonts w:ascii="Garamond" w:hAnsi="Garamond"/>
          <w:color w:val="000000" w:themeColor="text1"/>
          <w:sz w:val="24"/>
          <w:szCs w:val="24"/>
          <w:lang w:val="en-IN"/>
        </w:rPr>
        <w:t>easing down from 5.4 percent in May</w:t>
      </w:r>
      <w:r w:rsidRPr="000068BB">
        <w:rPr>
          <w:rFonts w:ascii="Garamond" w:hAnsi="Garamond"/>
          <w:color w:val="000000" w:themeColor="text1"/>
          <w:sz w:val="24"/>
          <w:szCs w:val="24"/>
          <w:lang w:val="en-IN"/>
        </w:rPr>
        <w:t xml:space="preserve"> which was the lowest rate since </w:t>
      </w:r>
      <w:r w:rsidR="00E02A97">
        <w:rPr>
          <w:rFonts w:ascii="Garamond" w:hAnsi="Garamond"/>
          <w:color w:val="000000" w:themeColor="text1"/>
          <w:sz w:val="24"/>
          <w:szCs w:val="24"/>
          <w:lang w:val="en-IN"/>
        </w:rPr>
        <w:t>Novem</w:t>
      </w:r>
      <w:r w:rsidR="00480F3A">
        <w:rPr>
          <w:rFonts w:ascii="Garamond" w:hAnsi="Garamond"/>
          <w:color w:val="000000" w:themeColor="text1"/>
          <w:sz w:val="24"/>
          <w:szCs w:val="24"/>
          <w:lang w:val="en-IN"/>
        </w:rPr>
        <w:t>ber</w:t>
      </w:r>
      <w:r w:rsidRPr="000068BB">
        <w:rPr>
          <w:rFonts w:ascii="Garamond" w:hAnsi="Garamond"/>
          <w:color w:val="000000" w:themeColor="text1"/>
          <w:sz w:val="24"/>
          <w:szCs w:val="24"/>
          <w:lang w:val="en-IN"/>
        </w:rPr>
        <w:t xml:space="preserve"> 2015.</w:t>
      </w:r>
      <w:r w:rsidRPr="000068BB">
        <w:rPr>
          <w:rFonts w:ascii="Garamond" w:hAnsi="Garamond"/>
          <w:b/>
          <w:bCs/>
          <w:color w:val="000000" w:themeColor="text1"/>
          <w:sz w:val="24"/>
          <w:szCs w:val="24"/>
          <w:lang w:val="en-IN"/>
        </w:rPr>
        <w:t xml:space="preserve"> </w:t>
      </w:r>
      <w:r w:rsidRPr="000068BB">
        <w:rPr>
          <w:rFonts w:ascii="Garamond" w:hAnsi="Garamond"/>
          <w:color w:val="000000" w:themeColor="text1"/>
          <w:sz w:val="24"/>
          <w:szCs w:val="24"/>
          <w:lang w:val="en-IN"/>
        </w:rPr>
        <w:t xml:space="preserve">The South African Reserve Bank </w:t>
      </w:r>
      <w:r w:rsidR="00480F3A">
        <w:rPr>
          <w:rFonts w:ascii="Garamond" w:hAnsi="Garamond"/>
          <w:color w:val="000000" w:themeColor="text1"/>
          <w:sz w:val="24"/>
          <w:szCs w:val="24"/>
          <w:lang w:val="en-IN"/>
        </w:rPr>
        <w:t>reduced</w:t>
      </w:r>
      <w:r w:rsidRPr="000068BB">
        <w:rPr>
          <w:rFonts w:ascii="Garamond" w:hAnsi="Garamond"/>
          <w:color w:val="000000" w:themeColor="text1"/>
          <w:sz w:val="24"/>
          <w:szCs w:val="24"/>
          <w:lang w:val="en-IN"/>
        </w:rPr>
        <w:t xml:space="preserve"> it</w:t>
      </w:r>
      <w:r w:rsidR="00480F3A">
        <w:rPr>
          <w:rFonts w:ascii="Garamond" w:hAnsi="Garamond"/>
          <w:color w:val="000000" w:themeColor="text1"/>
          <w:sz w:val="24"/>
          <w:szCs w:val="24"/>
          <w:lang w:val="en-IN"/>
        </w:rPr>
        <w:t>s benchmark repo rate 6.</w:t>
      </w:r>
      <w:r w:rsidRPr="000068BB">
        <w:rPr>
          <w:rFonts w:ascii="Garamond" w:hAnsi="Garamond"/>
          <w:color w:val="000000" w:themeColor="text1"/>
          <w:sz w:val="24"/>
          <w:szCs w:val="24"/>
          <w:lang w:val="en-IN"/>
        </w:rPr>
        <w:t>7</w:t>
      </w:r>
      <w:r w:rsidR="00480F3A">
        <w:rPr>
          <w:rFonts w:ascii="Garamond" w:hAnsi="Garamond"/>
          <w:color w:val="000000" w:themeColor="text1"/>
          <w:sz w:val="24"/>
          <w:szCs w:val="24"/>
          <w:lang w:val="en-IN"/>
        </w:rPr>
        <w:t>5 percent at its July</w:t>
      </w:r>
      <w:r w:rsidRPr="000068BB">
        <w:rPr>
          <w:rFonts w:ascii="Garamond" w:hAnsi="Garamond"/>
          <w:color w:val="000000" w:themeColor="text1"/>
          <w:sz w:val="24"/>
          <w:szCs w:val="24"/>
          <w:lang w:val="en-IN"/>
        </w:rPr>
        <w:t xml:space="preserve"> meeting</w:t>
      </w:r>
      <w:r w:rsidR="00480F3A">
        <w:rPr>
          <w:rFonts w:ascii="Garamond" w:hAnsi="Garamond"/>
          <w:color w:val="000000" w:themeColor="text1"/>
          <w:sz w:val="24"/>
          <w:szCs w:val="24"/>
          <w:lang w:val="en-IN"/>
        </w:rPr>
        <w:t>.</w:t>
      </w:r>
      <w:r w:rsidR="00D11119">
        <w:rPr>
          <w:rFonts w:ascii="Garamond" w:hAnsi="Garamond"/>
          <w:color w:val="000000" w:themeColor="text1"/>
          <w:sz w:val="24"/>
          <w:szCs w:val="24"/>
          <w:lang w:val="en-IN"/>
        </w:rPr>
        <w:t xml:space="preserve"> </w:t>
      </w:r>
      <w:r w:rsidRPr="000068BB">
        <w:rPr>
          <w:rFonts w:ascii="Garamond" w:hAnsi="Garamond"/>
          <w:color w:val="000000" w:themeColor="text1"/>
          <w:sz w:val="24"/>
          <w:szCs w:val="24"/>
          <w:lang w:val="en-IN"/>
        </w:rPr>
        <w:t xml:space="preserve">The unemployment rate in South Africa </w:t>
      </w:r>
      <w:r w:rsidR="00D11119">
        <w:rPr>
          <w:rFonts w:ascii="Garamond" w:hAnsi="Garamond"/>
          <w:color w:val="000000" w:themeColor="text1"/>
          <w:sz w:val="24"/>
          <w:szCs w:val="24"/>
          <w:lang w:val="en-IN"/>
        </w:rPr>
        <w:t xml:space="preserve">remained at 27.7 percent in the second </w:t>
      </w:r>
      <w:r w:rsidRPr="000068BB">
        <w:rPr>
          <w:rFonts w:ascii="Garamond" w:hAnsi="Garamond"/>
          <w:color w:val="000000" w:themeColor="text1"/>
          <w:sz w:val="24"/>
          <w:szCs w:val="24"/>
          <w:lang w:val="en-IN"/>
        </w:rPr>
        <w:t xml:space="preserve">quarter of 2017 </w:t>
      </w:r>
      <w:r w:rsidR="00D11119">
        <w:rPr>
          <w:rFonts w:ascii="Garamond" w:hAnsi="Garamond"/>
          <w:color w:val="000000" w:themeColor="text1"/>
          <w:sz w:val="24"/>
          <w:szCs w:val="24"/>
          <w:lang w:val="en-IN"/>
        </w:rPr>
        <w:t>as compared to</w:t>
      </w:r>
      <w:r w:rsidRPr="000068BB">
        <w:rPr>
          <w:rFonts w:ascii="Garamond" w:hAnsi="Garamond"/>
          <w:color w:val="000000" w:themeColor="text1"/>
          <w:sz w:val="24"/>
          <w:szCs w:val="24"/>
          <w:lang w:val="en-IN"/>
        </w:rPr>
        <w:t xml:space="preserve"> the previous period. It is the highest jobless rate since 2004.</w:t>
      </w:r>
    </w:p>
    <w:p w:rsidR="00114585" w:rsidRDefault="00114585" w:rsidP="00114585">
      <w:pPr>
        <w:pStyle w:val="ListParagraph"/>
        <w:spacing w:after="0" w:line="20" w:lineRule="atLeast"/>
        <w:ind w:left="993"/>
        <w:jc w:val="both"/>
        <w:rPr>
          <w:rFonts w:ascii="Garamond" w:hAnsi="Garamond"/>
          <w:color w:val="000000" w:themeColor="text1"/>
          <w:sz w:val="24"/>
          <w:szCs w:val="24"/>
        </w:rPr>
      </w:pPr>
    </w:p>
    <w:p w:rsidR="00984931" w:rsidRPr="00560465" w:rsidRDefault="00984931" w:rsidP="006832FB">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rsidR="00984931" w:rsidRPr="00560465" w:rsidRDefault="00984931" w:rsidP="00E158C5">
      <w:pPr>
        <w:spacing w:after="0" w:line="20" w:lineRule="atLeast"/>
        <w:ind w:left="792"/>
        <w:contextualSpacing/>
        <w:jc w:val="both"/>
        <w:rPr>
          <w:rFonts w:ascii="Garamond" w:eastAsiaTheme="minorHAnsi" w:hAnsi="Garamond"/>
          <w:color w:val="000000" w:themeColor="text1"/>
          <w:sz w:val="24"/>
          <w:szCs w:val="24"/>
        </w:rPr>
      </w:pPr>
    </w:p>
    <w:p w:rsidR="00100B75" w:rsidRPr="00075C1B" w:rsidRDefault="00984931" w:rsidP="009716D0">
      <w:pPr>
        <w:numPr>
          <w:ilvl w:val="0"/>
          <w:numId w:val="9"/>
        </w:numPr>
        <w:spacing w:after="0" w:line="240" w:lineRule="auto"/>
        <w:contextualSpacing/>
        <w:jc w:val="both"/>
        <w:rPr>
          <w:rFonts w:ascii="Garamond" w:eastAsiaTheme="minorHAnsi" w:hAnsi="Garamond"/>
          <w:b/>
          <w:color w:val="000000" w:themeColor="text1"/>
          <w:sz w:val="24"/>
          <w:szCs w:val="24"/>
          <w:lang w:val="en-IN"/>
        </w:rPr>
      </w:pPr>
      <w:r w:rsidRPr="00075C1B">
        <w:rPr>
          <w:rFonts w:ascii="Garamond" w:eastAsiaTheme="minorHAnsi" w:hAnsi="Garamond"/>
          <w:b/>
          <w:color w:val="000000" w:themeColor="text1"/>
          <w:sz w:val="24"/>
          <w:szCs w:val="24"/>
          <w:lang w:val="en-IN"/>
        </w:rPr>
        <w:t xml:space="preserve">Review of Global Financial Markets: </w:t>
      </w:r>
    </w:p>
    <w:p w:rsidR="00944000" w:rsidRPr="003F7E9F" w:rsidRDefault="003F7E9F" w:rsidP="004677BD">
      <w:pPr>
        <w:numPr>
          <w:ilvl w:val="1"/>
          <w:numId w:val="9"/>
        </w:numPr>
        <w:spacing w:after="0" w:line="240" w:lineRule="auto"/>
        <w:ind w:hanging="650"/>
        <w:contextualSpacing/>
        <w:jc w:val="both"/>
        <w:rPr>
          <w:rFonts w:ascii="Garamond" w:hAnsi="Garamond"/>
          <w:sz w:val="24"/>
          <w:szCs w:val="24"/>
        </w:rPr>
      </w:pPr>
      <w:r w:rsidRPr="003F7E9F">
        <w:rPr>
          <w:rFonts w:ascii="Garamond" w:hAnsi="Garamond"/>
          <w:sz w:val="24"/>
          <w:szCs w:val="24"/>
        </w:rPr>
        <w:t>International stocks recorded mixed performance in June 2017. Equity prices continued to remain strong thus reflecting market optimism regarding corporate earnings and some further compression of interest rate spreads. However, investor sentiments were affected owing to indications of moderation in pace of growth in European markets and political uncertainty encompassing the elections in UK. Investor sentiments also drowned initially as European Central Bank (ECB) and Bank of England (BoE) hinted towards pulling back on quantitative easing. On the other hand, Emerging markets stocks rose in June as demand for riskier assets prevailed</w:t>
      </w:r>
      <w:proofErr w:type="gramStart"/>
      <w:r w:rsidRPr="003F7E9F">
        <w:rPr>
          <w:rFonts w:ascii="Garamond" w:hAnsi="Garamond"/>
          <w:sz w:val="24"/>
          <w:szCs w:val="24"/>
        </w:rPr>
        <w:t>..</w:t>
      </w:r>
      <w:proofErr w:type="gramEnd"/>
      <w:r w:rsidRPr="003F7E9F">
        <w:rPr>
          <w:rFonts w:ascii="Garamond" w:hAnsi="Garamond"/>
          <w:sz w:val="24"/>
          <w:szCs w:val="24"/>
        </w:rPr>
        <w:t xml:space="preserve"> June 2017 marked the seventh consecutive monthly rise for MSCI Emerging Markets Index in spite of a second raise in Fed </w:t>
      </w:r>
      <w:r w:rsidRPr="003F7E9F">
        <w:rPr>
          <w:rFonts w:ascii="Garamond" w:hAnsi="Garamond"/>
          <w:sz w:val="24"/>
          <w:szCs w:val="24"/>
        </w:rPr>
        <w:lastRenderedPageBreak/>
        <w:t>rates this year on June 14, 2017. The MSCI Emerging Markets index registered a strong gain and outperformed the MSCI World index.</w:t>
      </w:r>
    </w:p>
    <w:p w:rsidR="003F7E9F" w:rsidRPr="003F7E9F" w:rsidRDefault="003F7E9F" w:rsidP="003F7E9F">
      <w:pPr>
        <w:pStyle w:val="ListParagraph"/>
        <w:spacing w:after="0" w:line="20" w:lineRule="atLeast"/>
        <w:ind w:left="792"/>
        <w:jc w:val="both"/>
        <w:rPr>
          <w:rFonts w:ascii="Garamond" w:hAnsi="Garamond"/>
          <w:color w:val="FF0000"/>
          <w:sz w:val="24"/>
          <w:szCs w:val="24"/>
          <w:highlight w:val="yellow"/>
        </w:rPr>
      </w:pPr>
    </w:p>
    <w:p w:rsidR="00717D8C" w:rsidRPr="00717D8C" w:rsidRDefault="008B20B5" w:rsidP="00717D8C">
      <w:pPr>
        <w:ind w:left="709"/>
        <w:rPr>
          <w:rFonts w:ascii="Garamond" w:hAnsi="Garamond"/>
          <w:sz w:val="24"/>
          <w:szCs w:val="24"/>
        </w:rPr>
      </w:pPr>
      <w:r>
        <w:rPr>
          <w:rFonts w:ascii="Garamond" w:hAnsi="Garamond"/>
          <w:sz w:val="24"/>
          <w:szCs w:val="24"/>
        </w:rPr>
        <w:t>During June 2017</w:t>
      </w:r>
      <w:r w:rsidR="00717D8C" w:rsidRPr="00717D8C">
        <w:rPr>
          <w:rFonts w:ascii="Garamond" w:hAnsi="Garamond"/>
          <w:sz w:val="24"/>
          <w:szCs w:val="24"/>
        </w:rPr>
        <w:t>, US stocks generated modest gains despite some mixed economic data and political uncertainty surrounding the US administration’s capacity to move forward with its expansive fiscal policies. Eurozone stocks strengthened as equity prices were supported by an encouraging economic scenario, diminishing political risk and improved corporate earnings. Japanese equities advanced on account of increased private consumption as well as export-import gains. In China, stocks recorded strong gains owing to positive economic data and a landmark decision by index provide MSCI to include China A-shares into its flagship emerging markets index in 2018. Brazilian stocks retreated as the charges of corruption were alleged against the country’s president, however Brazilian economy emerged from its recession as its GDP numbers improved. India equities advanced, although underperforming as compared to broader regional returns due to possible short term impact in anticipation of a much awaited new indirect taxation system (GST). Russian stocks fell as the Brent crude, its top export, suffered a sharp decline.</w:t>
      </w:r>
    </w:p>
    <w:p w:rsidR="002B63E9" w:rsidRPr="002B63E9" w:rsidRDefault="002B63E9" w:rsidP="00717D8C">
      <w:pPr>
        <w:spacing w:after="0" w:line="20" w:lineRule="atLeast"/>
        <w:ind w:left="567"/>
        <w:jc w:val="both"/>
        <w:rPr>
          <w:rFonts w:ascii="Garamond" w:hAnsi="Garamond"/>
          <w:color w:val="000000"/>
          <w:sz w:val="24"/>
          <w:szCs w:val="24"/>
        </w:rPr>
      </w:pPr>
    </w:p>
    <w:p w:rsidR="00944000" w:rsidRPr="000068BB" w:rsidRDefault="00944000" w:rsidP="004677BD">
      <w:pPr>
        <w:numPr>
          <w:ilvl w:val="1"/>
          <w:numId w:val="9"/>
        </w:numPr>
        <w:spacing w:after="0" w:line="240" w:lineRule="auto"/>
        <w:ind w:hanging="650"/>
        <w:contextualSpacing/>
        <w:jc w:val="both"/>
        <w:rPr>
          <w:rFonts w:ascii="Garamond" w:hAnsi="Garamond"/>
          <w:color w:val="000000"/>
          <w:sz w:val="24"/>
          <w:szCs w:val="24"/>
        </w:rPr>
      </w:pPr>
      <w:r w:rsidRPr="00560465">
        <w:rPr>
          <w:rFonts w:ascii="Garamond" w:hAnsi="Garamond"/>
          <w:color w:val="000000"/>
          <w:sz w:val="24"/>
          <w:szCs w:val="24"/>
        </w:rPr>
        <w:t xml:space="preserve">MSCI World Index, which is a leading indicator for tracking the overall performance of stock markets in </w:t>
      </w:r>
      <w:r w:rsidRPr="004677BD">
        <w:rPr>
          <w:rFonts w:ascii="Garamond" w:hAnsi="Garamond"/>
          <w:color w:val="000000" w:themeColor="text1"/>
          <w:sz w:val="24"/>
          <w:szCs w:val="24"/>
          <w:lang w:val="en-GB"/>
        </w:rPr>
        <w:t>developed</w:t>
      </w:r>
      <w:r w:rsidRPr="00560465">
        <w:rPr>
          <w:rFonts w:ascii="Garamond" w:hAnsi="Garamond"/>
          <w:color w:val="000000"/>
          <w:sz w:val="24"/>
          <w:szCs w:val="24"/>
        </w:rPr>
        <w:t xml:space="preserve"> markets witnessed marginal</w:t>
      </w:r>
      <w:r w:rsidR="006E06F1">
        <w:rPr>
          <w:rFonts w:ascii="Garamond" w:hAnsi="Garamond"/>
          <w:color w:val="000000"/>
          <w:sz w:val="24"/>
          <w:szCs w:val="24"/>
        </w:rPr>
        <w:t xml:space="preserve"> increase of </w:t>
      </w:r>
      <w:r w:rsidR="00D155E4">
        <w:rPr>
          <w:rFonts w:ascii="Garamond" w:hAnsi="Garamond"/>
          <w:color w:val="000000"/>
          <w:sz w:val="24"/>
          <w:szCs w:val="24"/>
        </w:rPr>
        <w:t>0.2</w:t>
      </w:r>
      <w:r w:rsidRPr="00560465">
        <w:rPr>
          <w:rFonts w:ascii="Garamond" w:hAnsi="Garamond"/>
          <w:color w:val="000000"/>
          <w:sz w:val="24"/>
          <w:szCs w:val="24"/>
        </w:rPr>
        <w:t xml:space="preserve"> percent. On the other hand, MSCI </w:t>
      </w:r>
      <w:r w:rsidRPr="0082189D">
        <w:rPr>
          <w:rFonts w:ascii="Garamond" w:hAnsi="Garamond"/>
          <w:color w:val="000000" w:themeColor="text1"/>
          <w:sz w:val="24"/>
          <w:szCs w:val="24"/>
        </w:rPr>
        <w:t>Emerging</w:t>
      </w:r>
      <w:r w:rsidRPr="00560465">
        <w:rPr>
          <w:rFonts w:ascii="Garamond" w:hAnsi="Garamond"/>
          <w:color w:val="000000"/>
          <w:sz w:val="24"/>
          <w:szCs w:val="24"/>
        </w:rPr>
        <w:t xml:space="preserve"> Market Index registered </w:t>
      </w:r>
      <w:proofErr w:type="spellStart"/>
      <w:proofErr w:type="gramStart"/>
      <w:r w:rsidRPr="00560465">
        <w:rPr>
          <w:rFonts w:ascii="Garamond" w:hAnsi="Garamond"/>
          <w:color w:val="000000"/>
          <w:sz w:val="24"/>
          <w:szCs w:val="24"/>
        </w:rPr>
        <w:t>a</w:t>
      </w:r>
      <w:proofErr w:type="spellEnd"/>
      <w:proofErr w:type="gramEnd"/>
      <w:r w:rsidRPr="00560465">
        <w:rPr>
          <w:rFonts w:ascii="Garamond" w:hAnsi="Garamond"/>
          <w:color w:val="000000"/>
          <w:sz w:val="24"/>
          <w:szCs w:val="24"/>
        </w:rPr>
        <w:t xml:space="preserve"> </w:t>
      </w:r>
      <w:r w:rsidR="00783C3B">
        <w:rPr>
          <w:rFonts w:ascii="Garamond" w:hAnsi="Garamond"/>
          <w:color w:val="000000"/>
          <w:sz w:val="24"/>
          <w:szCs w:val="24"/>
        </w:rPr>
        <w:t>in</w:t>
      </w:r>
      <w:r w:rsidR="006E06F1">
        <w:rPr>
          <w:rFonts w:ascii="Garamond" w:hAnsi="Garamond"/>
          <w:color w:val="000000"/>
          <w:sz w:val="24"/>
          <w:szCs w:val="24"/>
        </w:rPr>
        <w:t xml:space="preserve">crease of </w:t>
      </w:r>
      <w:r w:rsidR="00D155E4">
        <w:rPr>
          <w:rFonts w:ascii="Garamond" w:hAnsi="Garamond"/>
          <w:color w:val="000000"/>
          <w:sz w:val="24"/>
          <w:szCs w:val="24"/>
        </w:rPr>
        <w:t>0.5</w:t>
      </w:r>
      <w:r w:rsidRPr="00560465">
        <w:rPr>
          <w:rFonts w:ascii="Garamond" w:hAnsi="Garamond"/>
          <w:color w:val="000000"/>
          <w:sz w:val="24"/>
          <w:szCs w:val="24"/>
        </w:rPr>
        <w:t xml:space="preserve"> percent during </w:t>
      </w:r>
      <w:r w:rsidR="00D155E4">
        <w:rPr>
          <w:rFonts w:ascii="Garamond" w:hAnsi="Garamond"/>
          <w:color w:val="000000"/>
          <w:sz w:val="24"/>
          <w:szCs w:val="24"/>
        </w:rPr>
        <w:t>June</w:t>
      </w:r>
      <w:r w:rsidRPr="00560465">
        <w:rPr>
          <w:rFonts w:ascii="Garamond" w:hAnsi="Garamond"/>
          <w:color w:val="000000"/>
          <w:sz w:val="24"/>
          <w:szCs w:val="24"/>
        </w:rPr>
        <w:t xml:space="preserve"> </w:t>
      </w:r>
      <w:r w:rsidRPr="000068BB">
        <w:rPr>
          <w:rFonts w:ascii="Garamond" w:hAnsi="Garamond"/>
          <w:color w:val="000000"/>
          <w:sz w:val="24"/>
          <w:szCs w:val="24"/>
        </w:rPr>
        <w:t xml:space="preserve">2017. </w:t>
      </w:r>
      <w:r w:rsidR="00B71CEF" w:rsidRPr="000068BB">
        <w:rPr>
          <w:rFonts w:ascii="Garamond" w:hAnsi="Garamond"/>
          <w:color w:val="000000"/>
          <w:sz w:val="24"/>
          <w:szCs w:val="24"/>
        </w:rPr>
        <w:t xml:space="preserve">MSCI India Index registered a </w:t>
      </w:r>
      <w:r w:rsidR="003360B8">
        <w:rPr>
          <w:rFonts w:ascii="Garamond" w:hAnsi="Garamond"/>
          <w:color w:val="000000"/>
          <w:sz w:val="24"/>
          <w:szCs w:val="24"/>
        </w:rPr>
        <w:t>fall</w:t>
      </w:r>
      <w:r w:rsidR="00B71CEF" w:rsidRPr="000068BB">
        <w:rPr>
          <w:rFonts w:ascii="Garamond" w:hAnsi="Garamond"/>
          <w:color w:val="000000"/>
          <w:sz w:val="24"/>
          <w:szCs w:val="24"/>
        </w:rPr>
        <w:t xml:space="preserve"> of </w:t>
      </w:r>
      <w:r w:rsidR="003360B8">
        <w:rPr>
          <w:rFonts w:ascii="Garamond" w:hAnsi="Garamond"/>
          <w:color w:val="000000"/>
          <w:sz w:val="24"/>
          <w:szCs w:val="24"/>
        </w:rPr>
        <w:t>0.9</w:t>
      </w:r>
      <w:r w:rsidR="00B71CEF" w:rsidRPr="000068BB">
        <w:rPr>
          <w:rFonts w:ascii="Garamond" w:hAnsi="Garamond"/>
          <w:color w:val="000000"/>
          <w:sz w:val="24"/>
          <w:szCs w:val="24"/>
        </w:rPr>
        <w:t xml:space="preserve"> percent over the previous month.</w:t>
      </w:r>
      <w:r w:rsidR="00ED6EC7">
        <w:rPr>
          <w:rFonts w:ascii="Garamond" w:hAnsi="Garamond"/>
          <w:color w:val="000000"/>
          <w:sz w:val="24"/>
          <w:szCs w:val="24"/>
        </w:rPr>
        <w:t xml:space="preserve"> </w:t>
      </w:r>
      <w:r w:rsidRPr="000068BB">
        <w:rPr>
          <w:rFonts w:ascii="Garamond" w:hAnsi="Garamond"/>
          <w:color w:val="000000"/>
          <w:sz w:val="24"/>
          <w:szCs w:val="24"/>
        </w:rPr>
        <w:t>(Chart 3).</w:t>
      </w:r>
      <w:r w:rsidR="00B71CEF" w:rsidRPr="000068BB">
        <w:rPr>
          <w:rFonts w:ascii="Garamond" w:hAnsi="Garamond"/>
          <w:color w:val="000000"/>
          <w:sz w:val="24"/>
          <w:szCs w:val="24"/>
        </w:rPr>
        <w:t xml:space="preserve"> </w:t>
      </w:r>
    </w:p>
    <w:p w:rsidR="00A21EDE" w:rsidRDefault="00A21EDE" w:rsidP="00944000">
      <w:pPr>
        <w:spacing w:after="0" w:line="20" w:lineRule="atLeast"/>
        <w:jc w:val="both"/>
        <w:rPr>
          <w:rFonts w:ascii="Garamond" w:eastAsiaTheme="minorHAnsi" w:hAnsi="Garamond"/>
          <w:b/>
          <w:color w:val="000000" w:themeColor="text1"/>
          <w:sz w:val="24"/>
          <w:szCs w:val="24"/>
          <w:lang w:val="en-GB"/>
        </w:rPr>
      </w:pPr>
    </w:p>
    <w:p w:rsidR="00A21EDE" w:rsidRPr="000068BB" w:rsidRDefault="00A21EDE" w:rsidP="00944000">
      <w:pPr>
        <w:spacing w:after="0" w:line="20" w:lineRule="atLeast"/>
        <w:jc w:val="both"/>
        <w:rPr>
          <w:rFonts w:ascii="Garamond" w:eastAsiaTheme="minorHAnsi" w:hAnsi="Garamond"/>
          <w:b/>
          <w:color w:val="000000" w:themeColor="text1"/>
          <w:sz w:val="24"/>
          <w:szCs w:val="24"/>
          <w:lang w:val="en-GB"/>
        </w:rPr>
      </w:pPr>
    </w:p>
    <w:p w:rsidR="00944000" w:rsidRPr="00560465" w:rsidRDefault="00944000" w:rsidP="001469C7">
      <w:pPr>
        <w:spacing w:after="0" w:line="240" w:lineRule="auto"/>
        <w:rPr>
          <w:rFonts w:ascii="Garamond" w:eastAsiaTheme="minorHAnsi" w:hAnsi="Garamond"/>
          <w:b/>
          <w:color w:val="000000" w:themeColor="text1"/>
          <w:sz w:val="24"/>
          <w:szCs w:val="24"/>
          <w:lang w:val="en-GB"/>
        </w:rPr>
      </w:pPr>
      <w:r w:rsidRPr="000068BB">
        <w:rPr>
          <w:rFonts w:ascii="Garamond" w:eastAsiaTheme="minorHAnsi" w:hAnsi="Garamond"/>
          <w:b/>
          <w:color w:val="000000" w:themeColor="text1"/>
          <w:sz w:val="24"/>
          <w:szCs w:val="24"/>
          <w:lang w:val="en-GB"/>
        </w:rPr>
        <w:t>Chart 3: Movement in MSCI World and Emerging Market Index</w:t>
      </w:r>
    </w:p>
    <w:p w:rsidR="00944000" w:rsidRPr="00560465" w:rsidRDefault="00155099" w:rsidP="00944000">
      <w:pPr>
        <w:spacing w:after="0" w:line="20" w:lineRule="atLeast"/>
        <w:jc w:val="both"/>
        <w:rPr>
          <w:rFonts w:ascii="Garamond" w:eastAsiaTheme="minorHAnsi" w:hAnsi="Garamond"/>
          <w:b/>
          <w:color w:val="000000" w:themeColor="text1"/>
          <w:sz w:val="24"/>
          <w:szCs w:val="24"/>
          <w:lang w:val="en-GB"/>
        </w:rPr>
      </w:pPr>
      <w:r>
        <w:rPr>
          <w:noProof/>
        </w:rPr>
        <w:drawing>
          <wp:inline distT="0" distB="0" distL="0" distR="0" wp14:anchorId="6A0C46A8" wp14:editId="770872A6">
            <wp:extent cx="6080760" cy="3223260"/>
            <wp:effectExtent l="0" t="0" r="152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44000" w:rsidRPr="00560465" w:rsidRDefault="00944000" w:rsidP="00944000">
      <w:pPr>
        <w:spacing w:after="0" w:line="20" w:lineRule="atLeast"/>
        <w:jc w:val="both"/>
        <w:rPr>
          <w:rFonts w:ascii="Garamond" w:eastAsiaTheme="minorHAnsi" w:hAnsi="Garamond"/>
          <w:bCs/>
          <w:i/>
          <w:iCs/>
          <w:color w:val="000000" w:themeColor="text1"/>
          <w:sz w:val="24"/>
          <w:szCs w:val="24"/>
          <w:lang w:val="en-GB"/>
        </w:rPr>
      </w:pPr>
      <w:r w:rsidRPr="00560465">
        <w:rPr>
          <w:rFonts w:ascii="Garamond" w:eastAsiaTheme="minorHAnsi" w:hAnsi="Garamond"/>
          <w:bCs/>
          <w:i/>
          <w:iCs/>
          <w:color w:val="000000" w:themeColor="text1"/>
          <w:sz w:val="24"/>
          <w:szCs w:val="24"/>
          <w:lang w:val="en-GB"/>
        </w:rPr>
        <w:t>Source: Bloomberg</w:t>
      </w: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p>
    <w:p w:rsidR="00984931" w:rsidRDefault="00984931" w:rsidP="00E158C5">
      <w:pPr>
        <w:spacing w:after="0" w:line="20" w:lineRule="atLeast"/>
        <w:jc w:val="both"/>
        <w:rPr>
          <w:rFonts w:ascii="Garamond" w:eastAsiaTheme="minorHAnsi" w:hAnsi="Garamond"/>
          <w:b/>
          <w:sz w:val="24"/>
          <w:szCs w:val="24"/>
          <w:lang w:val="en-GB"/>
        </w:rPr>
      </w:pPr>
      <w:r w:rsidRPr="00D85974">
        <w:rPr>
          <w:rFonts w:ascii="Garamond" w:eastAsiaTheme="minorHAnsi" w:hAnsi="Garamond"/>
          <w:b/>
          <w:sz w:val="24"/>
          <w:szCs w:val="24"/>
          <w:lang w:val="en-GB"/>
        </w:rPr>
        <w:t>Bond Markets:</w:t>
      </w:r>
    </w:p>
    <w:p w:rsidR="00D85974" w:rsidRPr="007D12E1" w:rsidRDefault="00D85974" w:rsidP="00E158C5">
      <w:pPr>
        <w:spacing w:after="0" w:line="20" w:lineRule="atLeast"/>
        <w:jc w:val="both"/>
        <w:rPr>
          <w:rFonts w:ascii="Garamond" w:eastAsiaTheme="minorHAnsi" w:hAnsi="Garamond"/>
          <w:sz w:val="24"/>
          <w:szCs w:val="24"/>
          <w:lang w:val="en-GB"/>
        </w:rPr>
      </w:pPr>
    </w:p>
    <w:p w:rsidR="00FC0D1D" w:rsidRPr="009716D0" w:rsidRDefault="003F7E9F" w:rsidP="004677BD">
      <w:pPr>
        <w:numPr>
          <w:ilvl w:val="1"/>
          <w:numId w:val="9"/>
        </w:numPr>
        <w:spacing w:after="0" w:line="240" w:lineRule="auto"/>
        <w:ind w:hanging="650"/>
        <w:contextualSpacing/>
        <w:jc w:val="both"/>
      </w:pPr>
      <w:r w:rsidRPr="009716D0">
        <w:rPr>
          <w:rFonts w:ascii="Garamond" w:hAnsi="Garamond"/>
          <w:color w:val="000000" w:themeColor="text1"/>
          <w:sz w:val="24"/>
          <w:szCs w:val="24"/>
          <w:lang w:val="en-IN"/>
        </w:rPr>
        <w:t>The positive economic data, continued accommodative monetary policy and subdued inflation provided a healthy backdrop for the bonds over the quarter.</w:t>
      </w:r>
      <w:r w:rsidR="00FC0D1D" w:rsidRPr="009716D0">
        <w:t xml:space="preserve"> </w:t>
      </w:r>
      <w:r w:rsidR="00FC0D1D" w:rsidRPr="009716D0">
        <w:rPr>
          <w:rFonts w:ascii="Garamond" w:hAnsi="Garamond"/>
          <w:color w:val="000000" w:themeColor="text1"/>
          <w:sz w:val="24"/>
          <w:szCs w:val="24"/>
          <w:lang w:val="en-IN"/>
        </w:rPr>
        <w:t xml:space="preserve">Long-term bond yields in advanced economies, which have been on a decline since March, rebounded as the month of June closed. The </w:t>
      </w:r>
      <w:r w:rsidR="00FC0D1D" w:rsidRPr="009716D0">
        <w:rPr>
          <w:rFonts w:ascii="Garamond" w:hAnsi="Garamond"/>
          <w:color w:val="000000" w:themeColor="text1"/>
          <w:sz w:val="24"/>
          <w:szCs w:val="24"/>
          <w:lang w:val="en-IN"/>
        </w:rPr>
        <w:lastRenderedPageBreak/>
        <w:t>U.S. Federal Reserve increased short-term interest rates in June, however markets still expect a very gradual path of U.S. monetary policy normalization. Bond spreads over Germany have compressed sharply in France, Italy, and Spain on subsided electoral uncertainty and stronger signs of recovery.</w:t>
      </w:r>
    </w:p>
    <w:p w:rsidR="00E52500" w:rsidRPr="005C2D81" w:rsidRDefault="00FC0D1D" w:rsidP="00831CC9">
      <w:pPr>
        <w:spacing w:after="0" w:line="240" w:lineRule="auto"/>
        <w:contextualSpacing/>
        <w:jc w:val="both"/>
        <w:rPr>
          <w:rFonts w:ascii="Garamond" w:hAnsi="Garamond"/>
          <w:color w:val="000000" w:themeColor="text1"/>
          <w:sz w:val="24"/>
          <w:szCs w:val="24"/>
        </w:rPr>
      </w:pPr>
      <w:r w:rsidRPr="005C2D81">
        <w:rPr>
          <w:rFonts w:ascii="Garamond" w:hAnsi="Garamond"/>
          <w:color w:val="000000" w:themeColor="text1"/>
          <w:sz w:val="24"/>
          <w:szCs w:val="24"/>
        </w:rPr>
        <w:t xml:space="preserve"> </w:t>
      </w:r>
    </w:p>
    <w:p w:rsidR="0002195A" w:rsidRPr="00AC7930" w:rsidRDefault="00F01451"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F01451">
        <w:rPr>
          <w:rFonts w:ascii="Garamond" w:hAnsi="Garamond"/>
          <w:color w:val="000000" w:themeColor="text1"/>
          <w:sz w:val="24"/>
          <w:szCs w:val="24"/>
        </w:rPr>
        <w:t xml:space="preserve">The yield on the 10-year Treasury note reached its </w:t>
      </w:r>
      <w:proofErr w:type="spellStart"/>
      <w:r w:rsidRPr="00F01451">
        <w:rPr>
          <w:rFonts w:ascii="Garamond" w:hAnsi="Garamond"/>
          <w:color w:val="000000" w:themeColor="text1"/>
          <w:sz w:val="24"/>
          <w:szCs w:val="24"/>
        </w:rPr>
        <w:t>post</w:t>
      </w:r>
      <w:r>
        <w:rPr>
          <w:rFonts w:ascii="Garamond" w:hAnsi="Garamond"/>
          <w:color w:val="000000" w:themeColor="text1"/>
          <w:sz w:val="24"/>
          <w:szCs w:val="24"/>
        </w:rPr>
        <w:t xml:space="preserve"> </w:t>
      </w:r>
      <w:r w:rsidRPr="00F01451">
        <w:rPr>
          <w:rFonts w:ascii="Garamond" w:hAnsi="Garamond"/>
          <w:color w:val="000000" w:themeColor="text1"/>
          <w:sz w:val="24"/>
          <w:szCs w:val="24"/>
        </w:rPr>
        <w:t>election</w:t>
      </w:r>
      <w:proofErr w:type="spellEnd"/>
      <w:r w:rsidRPr="00F01451">
        <w:rPr>
          <w:rFonts w:ascii="Garamond" w:hAnsi="Garamond"/>
          <w:color w:val="000000" w:themeColor="text1"/>
          <w:sz w:val="24"/>
          <w:szCs w:val="24"/>
        </w:rPr>
        <w:t xml:space="preserve"> low in mid-June before climbing quickly near the end of the month </w:t>
      </w:r>
      <w:r>
        <w:rPr>
          <w:rFonts w:ascii="Garamond" w:hAnsi="Garamond"/>
          <w:color w:val="000000" w:themeColor="text1"/>
          <w:sz w:val="24"/>
          <w:szCs w:val="24"/>
        </w:rPr>
        <w:t>.</w:t>
      </w:r>
      <w:r w:rsidR="0002195A" w:rsidRPr="00EE7C4E">
        <w:rPr>
          <w:rFonts w:ascii="Garamond" w:hAnsi="Garamond"/>
          <w:color w:val="000000" w:themeColor="text1"/>
          <w:sz w:val="24"/>
          <w:szCs w:val="24"/>
        </w:rPr>
        <w:t>The 10-year Treasury note’s</w:t>
      </w:r>
      <w:r w:rsidR="0002195A" w:rsidRPr="00AC7930">
        <w:rPr>
          <w:rFonts w:ascii="Garamond" w:hAnsi="Garamond"/>
          <w:color w:val="000000" w:themeColor="text1"/>
          <w:sz w:val="24"/>
          <w:szCs w:val="24"/>
          <w:lang w:val="en-GB"/>
        </w:rPr>
        <w:t xml:space="preserve"> yield </w:t>
      </w:r>
      <w:r>
        <w:rPr>
          <w:rFonts w:ascii="Garamond" w:hAnsi="Garamond"/>
          <w:color w:val="000000" w:themeColor="text1"/>
          <w:sz w:val="24"/>
          <w:szCs w:val="24"/>
          <w:lang w:val="en-GB"/>
        </w:rPr>
        <w:t>rose to 2.3</w:t>
      </w:r>
      <w:r w:rsidR="006A079F">
        <w:rPr>
          <w:rFonts w:ascii="Garamond" w:hAnsi="Garamond"/>
          <w:color w:val="000000" w:themeColor="text1"/>
          <w:sz w:val="24"/>
          <w:szCs w:val="24"/>
          <w:lang w:val="en-GB"/>
        </w:rPr>
        <w:t xml:space="preserve">0 </w:t>
      </w:r>
      <w:r w:rsidR="0002195A" w:rsidRPr="0082189D">
        <w:rPr>
          <w:rFonts w:ascii="Garamond" w:hAnsi="Garamond"/>
          <w:color w:val="000000" w:themeColor="text1"/>
          <w:sz w:val="24"/>
          <w:szCs w:val="24"/>
        </w:rPr>
        <w:t>percent</w:t>
      </w:r>
      <w:r w:rsidR="0002195A" w:rsidRPr="00AC7930">
        <w:rPr>
          <w:rFonts w:ascii="Garamond" w:hAnsi="Garamond"/>
          <w:color w:val="000000" w:themeColor="text1"/>
          <w:sz w:val="24"/>
          <w:szCs w:val="24"/>
          <w:lang w:val="en-GB"/>
        </w:rPr>
        <w:t xml:space="preserve"> at the end of </w:t>
      </w:r>
      <w:r>
        <w:rPr>
          <w:rFonts w:ascii="Garamond" w:hAnsi="Garamond"/>
          <w:color w:val="000000" w:themeColor="text1"/>
          <w:sz w:val="24"/>
          <w:szCs w:val="24"/>
          <w:lang w:val="en-GB"/>
        </w:rPr>
        <w:t>June</w:t>
      </w:r>
      <w:r w:rsidR="0002195A" w:rsidRPr="00AC7930">
        <w:rPr>
          <w:rFonts w:ascii="Garamond" w:hAnsi="Garamond"/>
          <w:color w:val="000000" w:themeColor="text1"/>
          <w:sz w:val="24"/>
          <w:szCs w:val="24"/>
          <w:lang w:val="en-GB"/>
        </w:rPr>
        <w:t xml:space="preserve">, as compared to </w:t>
      </w:r>
      <w:r>
        <w:rPr>
          <w:rFonts w:ascii="Garamond" w:hAnsi="Garamond"/>
          <w:color w:val="000000" w:themeColor="text1"/>
          <w:sz w:val="24"/>
          <w:szCs w:val="24"/>
          <w:lang w:val="en-GB"/>
        </w:rPr>
        <w:t>2.20</w:t>
      </w:r>
      <w:r w:rsidR="006A079F">
        <w:rPr>
          <w:rFonts w:ascii="Garamond" w:hAnsi="Garamond"/>
          <w:color w:val="000000" w:themeColor="text1"/>
          <w:sz w:val="24"/>
          <w:szCs w:val="24"/>
          <w:lang w:val="en-GB"/>
        </w:rPr>
        <w:t xml:space="preserve"> in </w:t>
      </w:r>
      <w:r w:rsidR="0002195A" w:rsidRPr="00AC7930">
        <w:rPr>
          <w:rFonts w:ascii="Garamond" w:hAnsi="Garamond"/>
          <w:color w:val="000000" w:themeColor="text1"/>
          <w:sz w:val="24"/>
          <w:szCs w:val="24"/>
          <w:lang w:val="en-GB"/>
        </w:rPr>
        <w:t xml:space="preserve">the </w:t>
      </w:r>
      <w:r w:rsidR="006A079F">
        <w:rPr>
          <w:rFonts w:ascii="Garamond" w:hAnsi="Garamond"/>
          <w:color w:val="000000" w:themeColor="text1"/>
          <w:sz w:val="24"/>
          <w:szCs w:val="24"/>
          <w:lang w:val="en-GB"/>
        </w:rPr>
        <w:t>previous</w:t>
      </w:r>
      <w:r w:rsidR="0002195A" w:rsidRPr="00AC7930">
        <w:rPr>
          <w:rFonts w:ascii="Garamond" w:hAnsi="Garamond"/>
          <w:color w:val="000000" w:themeColor="text1"/>
          <w:sz w:val="24"/>
          <w:szCs w:val="24"/>
          <w:lang w:val="en-GB"/>
        </w:rPr>
        <w:t xml:space="preserve"> mo</w:t>
      </w:r>
      <w:r>
        <w:rPr>
          <w:rFonts w:ascii="Garamond" w:hAnsi="Garamond"/>
          <w:color w:val="000000" w:themeColor="text1"/>
          <w:sz w:val="24"/>
          <w:szCs w:val="24"/>
          <w:lang w:val="en-GB"/>
        </w:rPr>
        <w:t>nth. U.K. 10-year gilt yields a</w:t>
      </w:r>
      <w:r w:rsidR="0002195A" w:rsidRPr="00AC7930">
        <w:rPr>
          <w:rFonts w:ascii="Garamond" w:hAnsi="Garamond"/>
          <w:color w:val="000000" w:themeColor="text1"/>
          <w:sz w:val="24"/>
          <w:szCs w:val="24"/>
          <w:lang w:val="en-GB"/>
        </w:rPr>
        <w:t xml:space="preserve">scended </w:t>
      </w:r>
      <w:r>
        <w:rPr>
          <w:rFonts w:ascii="Garamond" w:hAnsi="Garamond"/>
          <w:color w:val="000000" w:themeColor="text1"/>
          <w:sz w:val="24"/>
          <w:szCs w:val="24"/>
          <w:lang w:val="en-GB"/>
        </w:rPr>
        <w:t>to 1.26</w:t>
      </w:r>
      <w:r w:rsidR="0002195A" w:rsidRPr="00AC7930">
        <w:rPr>
          <w:rFonts w:ascii="Garamond" w:hAnsi="Garamond"/>
          <w:color w:val="000000" w:themeColor="text1"/>
          <w:sz w:val="24"/>
          <w:szCs w:val="24"/>
          <w:lang w:val="en-GB"/>
        </w:rPr>
        <w:t xml:space="preserve"> per</w:t>
      </w:r>
      <w:r>
        <w:rPr>
          <w:rFonts w:ascii="Garamond" w:hAnsi="Garamond"/>
          <w:color w:val="000000" w:themeColor="text1"/>
          <w:sz w:val="24"/>
          <w:szCs w:val="24"/>
          <w:lang w:val="en-GB"/>
        </w:rPr>
        <w:t>cent from 1.05</w:t>
      </w:r>
      <w:r w:rsidR="0002195A" w:rsidRPr="00AC7930">
        <w:rPr>
          <w:rFonts w:ascii="Garamond" w:hAnsi="Garamond"/>
          <w:color w:val="000000" w:themeColor="text1"/>
          <w:sz w:val="24"/>
          <w:szCs w:val="24"/>
          <w:lang w:val="en-GB"/>
        </w:rPr>
        <w:t xml:space="preserve"> percent in the previous month. </w:t>
      </w:r>
    </w:p>
    <w:p w:rsidR="0002195A" w:rsidRDefault="0002195A" w:rsidP="0002195A">
      <w:pPr>
        <w:spacing w:line="240" w:lineRule="auto"/>
        <w:ind w:left="540"/>
        <w:contextualSpacing/>
        <w:jc w:val="both"/>
        <w:rPr>
          <w:rFonts w:ascii="Garamond" w:hAnsi="Garamond"/>
          <w:color w:val="000000" w:themeColor="text1"/>
          <w:sz w:val="24"/>
          <w:szCs w:val="24"/>
          <w:highlight w:val="yellow"/>
          <w:lang w:val="en-GB"/>
        </w:rPr>
      </w:pPr>
    </w:p>
    <w:p w:rsidR="0002195A" w:rsidRPr="00961415" w:rsidRDefault="0002195A" w:rsidP="004677BD">
      <w:pPr>
        <w:numPr>
          <w:ilvl w:val="1"/>
          <w:numId w:val="9"/>
        </w:numPr>
        <w:spacing w:after="0" w:line="240" w:lineRule="auto"/>
        <w:ind w:hanging="650"/>
        <w:contextualSpacing/>
        <w:jc w:val="both"/>
        <w:rPr>
          <w:rFonts w:ascii="Garamond" w:hAnsi="Garamond"/>
          <w:color w:val="000000" w:themeColor="text1"/>
          <w:sz w:val="24"/>
          <w:szCs w:val="24"/>
          <w:lang w:val="en-GB"/>
        </w:rPr>
      </w:pPr>
      <w:r w:rsidRPr="00961415">
        <w:rPr>
          <w:rFonts w:ascii="Garamond" w:hAnsi="Garamond"/>
          <w:color w:val="000000" w:themeColor="text1"/>
          <w:sz w:val="24"/>
          <w:szCs w:val="24"/>
          <w:lang w:val="en-GB"/>
        </w:rPr>
        <w:t xml:space="preserve">The 10 </w:t>
      </w:r>
      <w:r w:rsidRPr="00D97EB7">
        <w:rPr>
          <w:rFonts w:ascii="Garamond" w:hAnsi="Garamond"/>
          <w:color w:val="000000"/>
          <w:sz w:val="24"/>
          <w:szCs w:val="24"/>
        </w:rPr>
        <w:t>year</w:t>
      </w:r>
      <w:r w:rsidRPr="00961415">
        <w:rPr>
          <w:rFonts w:ascii="Garamond" w:hAnsi="Garamond"/>
          <w:color w:val="000000" w:themeColor="text1"/>
          <w:sz w:val="24"/>
          <w:szCs w:val="24"/>
          <w:lang w:val="en-GB"/>
        </w:rPr>
        <w:t xml:space="preserve"> German bond yields </w:t>
      </w:r>
      <w:r w:rsidR="00056EF7">
        <w:rPr>
          <w:rFonts w:ascii="Garamond" w:hAnsi="Garamond"/>
          <w:color w:val="000000" w:themeColor="text1"/>
          <w:sz w:val="24"/>
          <w:szCs w:val="24"/>
          <w:lang w:val="en-GB"/>
        </w:rPr>
        <w:t>increased</w:t>
      </w:r>
      <w:r w:rsidR="002C46AD">
        <w:rPr>
          <w:rFonts w:ascii="Garamond" w:hAnsi="Garamond"/>
          <w:color w:val="000000" w:themeColor="text1"/>
          <w:sz w:val="24"/>
          <w:szCs w:val="24"/>
          <w:lang w:val="en-GB"/>
        </w:rPr>
        <w:t xml:space="preserve"> to</w:t>
      </w:r>
      <w:r w:rsidR="00056EF7">
        <w:rPr>
          <w:rFonts w:ascii="Garamond" w:hAnsi="Garamond"/>
          <w:color w:val="000000" w:themeColor="text1"/>
          <w:sz w:val="24"/>
          <w:szCs w:val="24"/>
          <w:lang w:val="en-GB"/>
        </w:rPr>
        <w:t xml:space="preserve"> 0.47</w:t>
      </w:r>
      <w:r>
        <w:rPr>
          <w:rFonts w:ascii="Garamond" w:hAnsi="Garamond"/>
          <w:color w:val="000000" w:themeColor="text1"/>
          <w:sz w:val="24"/>
          <w:szCs w:val="24"/>
          <w:lang w:val="en-GB"/>
        </w:rPr>
        <w:t xml:space="preserve"> percent</w:t>
      </w:r>
      <w:r w:rsidRPr="00961415">
        <w:rPr>
          <w:rFonts w:ascii="Garamond" w:hAnsi="Garamond"/>
          <w:color w:val="000000" w:themeColor="text1"/>
          <w:sz w:val="24"/>
          <w:szCs w:val="24"/>
          <w:lang w:val="en-GB"/>
        </w:rPr>
        <w:t xml:space="preserve"> at the end of </w:t>
      </w:r>
      <w:r w:rsidR="00056EF7">
        <w:rPr>
          <w:rFonts w:ascii="Garamond" w:hAnsi="Garamond"/>
          <w:color w:val="000000" w:themeColor="text1"/>
          <w:sz w:val="24"/>
          <w:szCs w:val="24"/>
          <w:lang w:val="en-GB"/>
        </w:rPr>
        <w:t xml:space="preserve">June </w:t>
      </w:r>
      <w:r w:rsidRPr="00961415">
        <w:rPr>
          <w:rFonts w:ascii="Garamond" w:hAnsi="Garamond"/>
          <w:color w:val="000000" w:themeColor="text1"/>
          <w:sz w:val="24"/>
          <w:szCs w:val="24"/>
          <w:lang w:val="en-GB"/>
        </w:rPr>
        <w:t xml:space="preserve">2017. The 10 year government bond yield of China has </w:t>
      </w:r>
      <w:r w:rsidR="00056EF7">
        <w:rPr>
          <w:rFonts w:ascii="Garamond" w:hAnsi="Garamond"/>
          <w:color w:val="000000" w:themeColor="text1"/>
          <w:sz w:val="24"/>
          <w:szCs w:val="24"/>
          <w:lang w:val="en-GB"/>
        </w:rPr>
        <w:t>de</w:t>
      </w:r>
      <w:r>
        <w:rPr>
          <w:rFonts w:ascii="Garamond" w:hAnsi="Garamond"/>
          <w:color w:val="000000" w:themeColor="text1"/>
          <w:sz w:val="24"/>
          <w:szCs w:val="24"/>
          <w:lang w:val="en-GB"/>
        </w:rPr>
        <w:t xml:space="preserve">creased </w:t>
      </w:r>
      <w:r w:rsidR="00056EF7">
        <w:rPr>
          <w:rFonts w:ascii="Garamond" w:hAnsi="Garamond"/>
          <w:color w:val="000000" w:themeColor="text1"/>
          <w:sz w:val="24"/>
          <w:szCs w:val="24"/>
          <w:lang w:val="en-GB"/>
        </w:rPr>
        <w:t>to 3.57</w:t>
      </w:r>
      <w:r w:rsidRPr="00961415">
        <w:rPr>
          <w:rFonts w:ascii="Garamond" w:hAnsi="Garamond"/>
          <w:color w:val="000000" w:themeColor="text1"/>
          <w:sz w:val="24"/>
          <w:szCs w:val="24"/>
          <w:lang w:val="en-GB"/>
        </w:rPr>
        <w:t xml:space="preserve"> percent. Th</w:t>
      </w:r>
      <w:r>
        <w:rPr>
          <w:rFonts w:ascii="Garamond" w:hAnsi="Garamond"/>
          <w:color w:val="000000" w:themeColor="text1"/>
          <w:sz w:val="24"/>
          <w:szCs w:val="24"/>
          <w:lang w:val="en-GB"/>
        </w:rPr>
        <w:t xml:space="preserve">e yield of India </w:t>
      </w:r>
      <w:r w:rsidR="00056EF7">
        <w:rPr>
          <w:rFonts w:ascii="Garamond" w:hAnsi="Garamond"/>
          <w:color w:val="000000" w:themeColor="text1"/>
          <w:sz w:val="24"/>
          <w:szCs w:val="24"/>
          <w:lang w:val="en-GB"/>
        </w:rPr>
        <w:t>also de</w:t>
      </w:r>
      <w:r>
        <w:rPr>
          <w:rFonts w:ascii="Garamond" w:hAnsi="Garamond"/>
          <w:color w:val="000000" w:themeColor="text1"/>
          <w:sz w:val="24"/>
          <w:szCs w:val="24"/>
          <w:lang w:val="en-GB"/>
        </w:rPr>
        <w:t>scended</w:t>
      </w:r>
      <w:r w:rsidR="00056EF7">
        <w:rPr>
          <w:rFonts w:ascii="Garamond" w:hAnsi="Garamond"/>
          <w:color w:val="000000" w:themeColor="text1"/>
          <w:sz w:val="24"/>
          <w:szCs w:val="24"/>
          <w:lang w:val="en-GB"/>
        </w:rPr>
        <w:t xml:space="preserve"> marginally </w:t>
      </w:r>
      <w:r>
        <w:rPr>
          <w:rFonts w:ascii="Garamond" w:hAnsi="Garamond"/>
          <w:color w:val="000000" w:themeColor="text1"/>
          <w:sz w:val="24"/>
          <w:szCs w:val="24"/>
          <w:lang w:val="en-GB"/>
        </w:rPr>
        <w:t xml:space="preserve">to </w:t>
      </w:r>
      <w:r w:rsidR="00056EF7">
        <w:rPr>
          <w:rFonts w:ascii="Garamond" w:hAnsi="Garamond"/>
          <w:color w:val="000000" w:themeColor="text1"/>
          <w:sz w:val="24"/>
          <w:szCs w:val="24"/>
          <w:lang w:val="en-GB"/>
        </w:rPr>
        <w:t>6.51</w:t>
      </w:r>
      <w:r w:rsidRPr="00961415">
        <w:rPr>
          <w:rFonts w:ascii="Garamond" w:hAnsi="Garamond"/>
          <w:color w:val="000000" w:themeColor="text1"/>
          <w:sz w:val="24"/>
          <w:szCs w:val="24"/>
          <w:lang w:val="en-GB"/>
        </w:rPr>
        <w:t xml:space="preserve"> percent while th</w:t>
      </w:r>
      <w:r>
        <w:rPr>
          <w:rFonts w:ascii="Garamond" w:hAnsi="Garamond"/>
          <w:color w:val="000000" w:themeColor="text1"/>
          <w:sz w:val="24"/>
          <w:szCs w:val="24"/>
          <w:lang w:val="en-GB"/>
        </w:rPr>
        <w:t xml:space="preserve">e Russian bond yield </w:t>
      </w:r>
      <w:r w:rsidR="00056EF7">
        <w:rPr>
          <w:rFonts w:ascii="Garamond" w:hAnsi="Garamond"/>
          <w:color w:val="000000" w:themeColor="text1"/>
          <w:sz w:val="24"/>
          <w:szCs w:val="24"/>
          <w:lang w:val="en-GB"/>
        </w:rPr>
        <w:t>descended to 8.01</w:t>
      </w:r>
      <w:r w:rsidRPr="00961415">
        <w:rPr>
          <w:rFonts w:ascii="Garamond" w:hAnsi="Garamond"/>
          <w:color w:val="000000" w:themeColor="text1"/>
          <w:sz w:val="24"/>
          <w:szCs w:val="24"/>
          <w:lang w:val="en-GB"/>
        </w:rPr>
        <w:t xml:space="preserve"> percent in</w:t>
      </w:r>
      <w:r>
        <w:rPr>
          <w:rFonts w:ascii="Garamond" w:hAnsi="Garamond"/>
          <w:color w:val="000000" w:themeColor="text1"/>
          <w:sz w:val="24"/>
          <w:szCs w:val="24"/>
          <w:lang w:val="en-GB"/>
        </w:rPr>
        <w:t xml:space="preserve"> </w:t>
      </w:r>
      <w:r w:rsidR="00056EF7">
        <w:rPr>
          <w:rFonts w:ascii="Garamond" w:hAnsi="Garamond"/>
          <w:color w:val="000000" w:themeColor="text1"/>
          <w:sz w:val="24"/>
          <w:szCs w:val="24"/>
          <w:lang w:val="en-GB"/>
        </w:rPr>
        <w:t>June</w:t>
      </w:r>
      <w:r w:rsidR="002C46AD">
        <w:rPr>
          <w:rFonts w:ascii="Garamond" w:hAnsi="Garamond"/>
          <w:color w:val="000000" w:themeColor="text1"/>
          <w:sz w:val="24"/>
          <w:szCs w:val="24"/>
          <w:lang w:val="en-GB"/>
        </w:rPr>
        <w:t xml:space="preserve"> </w:t>
      </w:r>
      <w:r w:rsidRPr="00961415">
        <w:rPr>
          <w:rFonts w:ascii="Garamond" w:hAnsi="Garamond"/>
          <w:color w:val="000000" w:themeColor="text1"/>
          <w:sz w:val="24"/>
          <w:szCs w:val="24"/>
          <w:lang w:val="en-GB"/>
        </w:rPr>
        <w:t>2017.</w:t>
      </w:r>
    </w:p>
    <w:p w:rsidR="00B40F0E" w:rsidRDefault="00B40F0E">
      <w:pPr>
        <w:spacing w:after="0" w:line="240" w:lineRule="auto"/>
        <w:rPr>
          <w:rFonts w:ascii="Garamond" w:hAnsi="Garamond" w:cs="Mangal"/>
          <w:b/>
          <w:bCs/>
          <w:color w:val="000000"/>
          <w:sz w:val="24"/>
          <w:szCs w:val="24"/>
          <w:lang w:val="en-GB" w:bidi="hi-IN"/>
        </w:rPr>
      </w:pPr>
    </w:p>
    <w:p w:rsidR="008568BC" w:rsidRPr="00560465" w:rsidRDefault="008568BC" w:rsidP="00AF62FB">
      <w:pPr>
        <w:spacing w:after="0" w:line="240" w:lineRule="auto"/>
        <w:jc w:val="center"/>
        <w:rPr>
          <w:rFonts w:ascii="Garamond" w:hAnsi="Garamond" w:cs="Mangal"/>
          <w:noProof/>
          <w:sz w:val="24"/>
          <w:szCs w:val="24"/>
          <w:lang w:val="en-IN" w:eastAsia="en-IN" w:bidi="hi-IN"/>
        </w:rPr>
      </w:pPr>
      <w:r w:rsidRPr="006832FB">
        <w:rPr>
          <w:rFonts w:ascii="Garamond" w:hAnsi="Garamond" w:cs="Mangal"/>
          <w:b/>
          <w:bCs/>
          <w:color w:val="000000"/>
          <w:sz w:val="24"/>
          <w:szCs w:val="24"/>
          <w:lang w:val="en-GB" w:bidi="hi-IN"/>
        </w:rPr>
        <w:t>Chart4: Movement in 10 year bond yield of major countries</w:t>
      </w:r>
    </w:p>
    <w:p w:rsidR="008568BC" w:rsidRPr="00560465" w:rsidRDefault="00155099" w:rsidP="008568BC">
      <w:pPr>
        <w:spacing w:after="240" w:line="240" w:lineRule="auto"/>
        <w:jc w:val="center"/>
        <w:rPr>
          <w:rFonts w:ascii="Garamond" w:hAnsi="Garamond" w:cs="Mangal"/>
          <w:color w:val="000000"/>
          <w:sz w:val="24"/>
          <w:szCs w:val="24"/>
          <w:lang w:val="en-GB" w:bidi="hi-IN"/>
        </w:rPr>
      </w:pPr>
      <w:r>
        <w:rPr>
          <w:noProof/>
        </w:rPr>
        <w:drawing>
          <wp:inline distT="0" distB="0" distL="0" distR="0" wp14:anchorId="5EC2A377" wp14:editId="2B89FC2C">
            <wp:extent cx="5539740" cy="2735580"/>
            <wp:effectExtent l="0" t="0" r="381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568BC" w:rsidRPr="00560465" w:rsidRDefault="008568BC" w:rsidP="008568BC">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984931" w:rsidRPr="00560465" w:rsidRDefault="00984931" w:rsidP="00E158C5">
      <w:pPr>
        <w:spacing w:after="0" w:line="20" w:lineRule="atLeast"/>
        <w:jc w:val="both"/>
        <w:rPr>
          <w:rFonts w:ascii="Garamond" w:eastAsiaTheme="minorHAnsi" w:hAnsi="Garamond"/>
          <w:b/>
          <w:bCs/>
          <w:color w:val="000000" w:themeColor="text1"/>
          <w:sz w:val="24"/>
          <w:szCs w:val="24"/>
          <w:lang w:val="en-GB"/>
        </w:rPr>
      </w:pPr>
    </w:p>
    <w:p w:rsidR="00C77D1D" w:rsidRPr="00C77D1D" w:rsidRDefault="00C77D1D" w:rsidP="00C77D1D">
      <w:pPr>
        <w:spacing w:after="0" w:line="20" w:lineRule="atLeast"/>
        <w:rPr>
          <w:rFonts w:ascii="Garamond" w:hAnsi="Garamond"/>
          <w:b/>
          <w:bCs/>
          <w:color w:val="000000" w:themeColor="text1"/>
          <w:sz w:val="24"/>
          <w:szCs w:val="24"/>
        </w:rPr>
      </w:pPr>
      <w:r w:rsidRPr="00C77D1D">
        <w:rPr>
          <w:rFonts w:ascii="Garamond" w:hAnsi="Garamond"/>
          <w:b/>
          <w:color w:val="000000" w:themeColor="text1"/>
          <w:sz w:val="24"/>
          <w:szCs w:val="24"/>
        </w:rPr>
        <w:t>Currency Market:</w:t>
      </w:r>
    </w:p>
    <w:p w:rsidR="00CE6497" w:rsidRDefault="00CE6497" w:rsidP="004677BD">
      <w:pPr>
        <w:numPr>
          <w:ilvl w:val="1"/>
          <w:numId w:val="9"/>
        </w:numPr>
        <w:spacing w:after="0" w:line="240" w:lineRule="auto"/>
        <w:ind w:hanging="650"/>
        <w:contextualSpacing/>
        <w:jc w:val="both"/>
        <w:rPr>
          <w:rFonts w:ascii="Garamond" w:hAnsi="Garamond"/>
          <w:color w:val="000000"/>
          <w:sz w:val="24"/>
          <w:szCs w:val="24"/>
          <w:lang w:val="en-GB"/>
        </w:rPr>
      </w:pPr>
      <w:r w:rsidRPr="00CE6497">
        <w:rPr>
          <w:rFonts w:ascii="Garamond" w:hAnsi="Garamond"/>
          <w:color w:val="000000"/>
          <w:sz w:val="24"/>
          <w:szCs w:val="24"/>
          <w:lang w:val="en-GB"/>
        </w:rPr>
        <w:t xml:space="preserve">During June 2017 (by comparing the closing prices of the close of last trading days of the May and June), the U.S. dollar (USD) lost against 3 out of 7 currencies evaluated against it (i.e. INR, YEN, GBP, EURO, Real, Yuan and Ruble).  The currencies gained GBP (1.28 percent), EURO (1.12 percent) and Yuan (0.59 percent) respectively against Dollar. The currencies which lost against it were Ruble (4.47 percent), Real (2.16 percent), Yen (1.70 percent) and INR (0.53 percent) respectively. </w:t>
      </w:r>
    </w:p>
    <w:p w:rsidR="00FB2242" w:rsidRPr="006A7847" w:rsidRDefault="00FB2242" w:rsidP="00FB2242">
      <w:pPr>
        <w:pStyle w:val="ListParagraph"/>
        <w:ind w:left="612"/>
        <w:rPr>
          <w:highlight w:val="green"/>
        </w:rPr>
      </w:pPr>
    </w:p>
    <w:p w:rsidR="00FB2242" w:rsidRPr="00FB2242" w:rsidRDefault="00FB2242" w:rsidP="004677BD">
      <w:pPr>
        <w:numPr>
          <w:ilvl w:val="1"/>
          <w:numId w:val="9"/>
        </w:numPr>
        <w:spacing w:after="0" w:line="240" w:lineRule="auto"/>
        <w:ind w:hanging="650"/>
        <w:contextualSpacing/>
        <w:jc w:val="both"/>
        <w:rPr>
          <w:rFonts w:ascii="Garamond" w:hAnsi="Garamond"/>
          <w:color w:val="000000"/>
          <w:sz w:val="24"/>
          <w:szCs w:val="24"/>
          <w:lang w:val="en-GB"/>
        </w:rPr>
      </w:pPr>
      <w:r w:rsidRPr="00FB2242">
        <w:rPr>
          <w:rFonts w:ascii="Garamond" w:hAnsi="Garamond"/>
          <w:color w:val="000000"/>
          <w:sz w:val="24"/>
          <w:szCs w:val="24"/>
          <w:lang w:val="en-GB"/>
        </w:rPr>
        <w:t xml:space="preserve">By the end of June, the U.S. dollar weakened by around 3.5 percent in real effective terms since March 2017, while </w:t>
      </w:r>
      <w:r w:rsidRPr="004677BD">
        <w:rPr>
          <w:rFonts w:ascii="Garamond" w:hAnsi="Garamond"/>
          <w:color w:val="000000" w:themeColor="text1"/>
          <w:sz w:val="24"/>
          <w:szCs w:val="24"/>
          <w:lang w:val="en-GB"/>
        </w:rPr>
        <w:t>Euro</w:t>
      </w:r>
      <w:r w:rsidRPr="00FB2242">
        <w:rPr>
          <w:rFonts w:ascii="Garamond" w:hAnsi="Garamond"/>
          <w:color w:val="000000"/>
          <w:sz w:val="24"/>
          <w:szCs w:val="24"/>
          <w:lang w:val="en-GB"/>
        </w:rPr>
        <w:t xml:space="preserve"> has appreciated by a similar amount on increased confidence in the euro area recovery and a subsided political risk. During the same period, exchange rate changes across emerging market currencies have been relatively modest.</w:t>
      </w:r>
    </w:p>
    <w:p w:rsidR="00FB2242" w:rsidRPr="00CE6497" w:rsidRDefault="00FB2242" w:rsidP="00182799">
      <w:pPr>
        <w:spacing w:after="0"/>
        <w:ind w:left="792"/>
        <w:rPr>
          <w:rFonts w:ascii="Garamond" w:hAnsi="Garamond"/>
          <w:color w:val="000000"/>
          <w:sz w:val="24"/>
          <w:szCs w:val="24"/>
          <w:lang w:val="en-GB"/>
        </w:rPr>
      </w:pPr>
    </w:p>
    <w:p w:rsidR="00CE6497" w:rsidRPr="00CE6497" w:rsidRDefault="00CE6497" w:rsidP="00CE6497">
      <w:pPr>
        <w:spacing w:after="0"/>
        <w:rPr>
          <w:rFonts w:ascii="Garamond" w:hAnsi="Garamond"/>
          <w:color w:val="000000"/>
          <w:sz w:val="24"/>
          <w:szCs w:val="24"/>
          <w:lang w:val="en-GB"/>
        </w:rPr>
      </w:pPr>
    </w:p>
    <w:p w:rsidR="00CE6497" w:rsidRPr="00CE6497" w:rsidRDefault="00CE6497" w:rsidP="004677BD">
      <w:pPr>
        <w:numPr>
          <w:ilvl w:val="1"/>
          <w:numId w:val="9"/>
        </w:numPr>
        <w:spacing w:after="0" w:line="240" w:lineRule="auto"/>
        <w:ind w:hanging="650"/>
        <w:contextualSpacing/>
        <w:jc w:val="both"/>
        <w:rPr>
          <w:rFonts w:ascii="Garamond" w:hAnsi="Garamond"/>
          <w:color w:val="000000"/>
          <w:sz w:val="24"/>
          <w:szCs w:val="24"/>
          <w:lang w:val="en-GB"/>
        </w:rPr>
      </w:pPr>
      <w:r w:rsidRPr="00CE6497">
        <w:rPr>
          <w:rFonts w:ascii="Garamond" w:hAnsi="Garamond"/>
          <w:color w:val="000000"/>
          <w:sz w:val="24"/>
          <w:szCs w:val="24"/>
          <w:lang w:val="en-GB"/>
        </w:rPr>
        <w:t xml:space="preserve">US Dollar Index, an index representing the strength of dollar against basket of other major currencies, observed to be 95.63 on close of June 2017, it lost 1.34 percent against the basket of major </w:t>
      </w:r>
      <w:r w:rsidRPr="004677BD">
        <w:rPr>
          <w:rFonts w:ascii="Garamond" w:hAnsi="Garamond"/>
          <w:color w:val="000000" w:themeColor="text1"/>
          <w:sz w:val="24"/>
          <w:szCs w:val="24"/>
          <w:lang w:val="en-GB"/>
        </w:rPr>
        <w:t>currencies</w:t>
      </w:r>
      <w:r w:rsidRPr="00CE6497">
        <w:rPr>
          <w:rFonts w:ascii="Garamond" w:hAnsi="Garamond"/>
          <w:color w:val="000000"/>
          <w:sz w:val="24"/>
          <w:szCs w:val="24"/>
          <w:lang w:val="en-GB"/>
        </w:rPr>
        <w:t xml:space="preserve"> during June 2017, and was 6.44 percent below of the close of last trading day of 2016. </w:t>
      </w:r>
    </w:p>
    <w:p w:rsidR="00CE6497" w:rsidRPr="00CE6497" w:rsidRDefault="00CE6497" w:rsidP="00CE6497">
      <w:pPr>
        <w:spacing w:after="0"/>
        <w:rPr>
          <w:rFonts w:ascii="Garamond" w:hAnsi="Garamond"/>
          <w:color w:val="000000"/>
          <w:sz w:val="24"/>
          <w:szCs w:val="24"/>
          <w:lang w:val="en-GB"/>
        </w:rPr>
      </w:pPr>
    </w:p>
    <w:p w:rsidR="00CE6497" w:rsidRPr="00CE6497" w:rsidRDefault="00CE6497" w:rsidP="004677BD">
      <w:pPr>
        <w:numPr>
          <w:ilvl w:val="1"/>
          <w:numId w:val="9"/>
        </w:numPr>
        <w:spacing w:after="0" w:line="240" w:lineRule="auto"/>
        <w:ind w:hanging="650"/>
        <w:contextualSpacing/>
        <w:jc w:val="both"/>
        <w:rPr>
          <w:rFonts w:ascii="Garamond" w:hAnsi="Garamond"/>
          <w:color w:val="000000"/>
          <w:sz w:val="24"/>
          <w:szCs w:val="24"/>
          <w:lang w:val="en-GB"/>
        </w:rPr>
      </w:pPr>
      <w:r w:rsidRPr="00CE6497">
        <w:rPr>
          <w:rFonts w:ascii="Garamond" w:hAnsi="Garamond"/>
          <w:color w:val="000000"/>
          <w:sz w:val="24"/>
          <w:szCs w:val="24"/>
          <w:lang w:val="en-GB"/>
        </w:rPr>
        <w:t xml:space="preserve">Comparing the closing prices of currencies in 2016 with the closing price of June, Euro gained 7.32 percent followed by GBP (5.01 percent), INR (4.94 percent), Yen (3.68 percent), Ruble (3.40 percent) and Yuan (2.45 percent) respectively, whereas Real lost 0.12 percent. </w:t>
      </w:r>
    </w:p>
    <w:p w:rsidR="00CE6497" w:rsidRPr="00CE6497" w:rsidRDefault="00CE6497" w:rsidP="00CE6497">
      <w:pPr>
        <w:spacing w:after="0"/>
        <w:rPr>
          <w:rFonts w:ascii="Garamond" w:hAnsi="Garamond"/>
          <w:color w:val="000000"/>
          <w:sz w:val="24"/>
          <w:szCs w:val="24"/>
          <w:lang w:val="en-GB"/>
        </w:rPr>
      </w:pPr>
    </w:p>
    <w:p w:rsidR="00CE6497" w:rsidRPr="00CE6497" w:rsidRDefault="00CE6497" w:rsidP="004677BD">
      <w:pPr>
        <w:numPr>
          <w:ilvl w:val="1"/>
          <w:numId w:val="9"/>
        </w:numPr>
        <w:spacing w:after="0" w:line="240" w:lineRule="auto"/>
        <w:ind w:hanging="650"/>
        <w:contextualSpacing/>
        <w:jc w:val="both"/>
        <w:rPr>
          <w:rFonts w:ascii="Garamond" w:hAnsi="Garamond"/>
          <w:color w:val="000000"/>
          <w:sz w:val="24"/>
          <w:szCs w:val="24"/>
          <w:lang w:val="en-GB"/>
        </w:rPr>
      </w:pPr>
      <w:r w:rsidRPr="00CE6497">
        <w:rPr>
          <w:rFonts w:ascii="Garamond" w:hAnsi="Garamond"/>
          <w:color w:val="000000"/>
          <w:sz w:val="24"/>
          <w:szCs w:val="24"/>
          <w:lang w:val="en-GB"/>
        </w:rPr>
        <w:t xml:space="preserve">Since the beginning of May 2015 till (closing prices of the last trading days of May 2015 and June 2017 were compared), Brazilian Real and Russian Ruble lost 4.09 and 12.73 percent respectively against USD. During the same period, INR depreciated by 1.46 percent, and Yen gained 9.48 percent against USD. Euro gained 3.30 percent against USD while GBP depreciated by 18.46 percent against USD. Chinese Yuan has depreciated by 9.37 percent against USD. </w:t>
      </w:r>
    </w:p>
    <w:p w:rsidR="00C77D1D" w:rsidRDefault="00C77D1D" w:rsidP="00C77D1D">
      <w:pPr>
        <w:rPr>
          <w:rFonts w:ascii="Garamond" w:hAnsi="Garamond"/>
          <w:b/>
          <w:strike/>
          <w:color w:val="000000"/>
          <w:shd w:val="clear" w:color="auto" w:fill="C2D69B"/>
        </w:rPr>
      </w:pPr>
    </w:p>
    <w:p w:rsidR="00C77D1D" w:rsidRDefault="00C77D1D" w:rsidP="00C77D1D">
      <w:pPr>
        <w:spacing w:after="0"/>
        <w:ind w:left="720" w:firstLine="720"/>
        <w:rPr>
          <w:rFonts w:ascii="Garamond" w:hAnsi="Garamond"/>
          <w:b/>
          <w:color w:val="000000"/>
          <w:shd w:val="clear" w:color="auto" w:fill="C2D69B"/>
        </w:rPr>
      </w:pPr>
      <w:r>
        <w:rPr>
          <w:rFonts w:ascii="Garamond" w:hAnsi="Garamond"/>
          <w:b/>
          <w:color w:val="000000"/>
          <w:shd w:val="clear" w:color="auto" w:fill="C2D69B"/>
        </w:rPr>
        <w:t>Chart 5: Movement of major currencies against US Dollar ($)</w:t>
      </w:r>
    </w:p>
    <w:p w:rsidR="00C77D1D" w:rsidRDefault="00C77D1D" w:rsidP="00C77D1D">
      <w:pPr>
        <w:spacing w:after="0"/>
        <w:rPr>
          <w:rFonts w:ascii="Garamond" w:hAnsi="Garamond"/>
          <w:b/>
          <w:strike/>
          <w:color w:val="000000"/>
          <w:shd w:val="clear" w:color="auto" w:fill="C2D69B"/>
        </w:rPr>
      </w:pPr>
    </w:p>
    <w:p w:rsidR="00C77D1D" w:rsidRDefault="00CE6497" w:rsidP="00C77D1D">
      <w:pPr>
        <w:spacing w:after="0"/>
        <w:rPr>
          <w:rFonts w:ascii="Garamond" w:hAnsi="Garamond"/>
          <w:strike/>
          <w:color w:val="000000"/>
        </w:rPr>
      </w:pPr>
      <w:r>
        <w:rPr>
          <w:noProof/>
        </w:rPr>
        <w:drawing>
          <wp:inline distT="0" distB="0" distL="0" distR="0" wp14:anchorId="5EFD21D2" wp14:editId="30075A85">
            <wp:extent cx="6789420" cy="36118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77D1D" w:rsidRDefault="00C77D1D" w:rsidP="00C77D1D">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53038B" w:rsidRPr="0053038B" w:rsidRDefault="0053038B" w:rsidP="0053038B">
      <w:pPr>
        <w:spacing w:after="0" w:line="240" w:lineRule="auto"/>
        <w:jc w:val="both"/>
        <w:rPr>
          <w:rFonts w:ascii="Garamond" w:eastAsiaTheme="minorHAnsi" w:hAnsi="Garamond"/>
          <w:color w:val="000000"/>
          <w:sz w:val="18"/>
          <w:szCs w:val="18"/>
          <w:lang w:val="en-GB"/>
        </w:rPr>
      </w:pPr>
    </w:p>
    <w:p w:rsidR="00984931" w:rsidRDefault="00984931" w:rsidP="00E158C5">
      <w:pPr>
        <w:tabs>
          <w:tab w:val="left" w:pos="720"/>
        </w:tabs>
        <w:spacing w:after="0" w:line="20" w:lineRule="atLeast"/>
        <w:jc w:val="both"/>
        <w:rPr>
          <w:rFonts w:ascii="Garamond" w:eastAsiaTheme="minorHAnsi" w:hAnsi="Garamond"/>
          <w:b/>
          <w:color w:val="000000" w:themeColor="text1"/>
          <w:sz w:val="24"/>
          <w:szCs w:val="24"/>
          <w:lang w:val="en-GB"/>
        </w:rPr>
      </w:pPr>
    </w:p>
    <w:p w:rsidR="00F54E90" w:rsidRDefault="00F54E90" w:rsidP="00E158C5">
      <w:pPr>
        <w:tabs>
          <w:tab w:val="left" w:pos="720"/>
        </w:tabs>
        <w:spacing w:after="0" w:line="20" w:lineRule="atLeast"/>
        <w:jc w:val="both"/>
        <w:rPr>
          <w:rFonts w:ascii="Garamond" w:eastAsiaTheme="minorHAnsi" w:hAnsi="Garamond"/>
          <w:b/>
          <w:color w:val="000000" w:themeColor="text1"/>
          <w:sz w:val="24"/>
          <w:szCs w:val="24"/>
          <w:lang w:val="en-GB"/>
        </w:rPr>
      </w:pPr>
    </w:p>
    <w:p w:rsidR="00F54E90" w:rsidRPr="00560465" w:rsidRDefault="00F54E90" w:rsidP="00E158C5">
      <w:pPr>
        <w:tabs>
          <w:tab w:val="left" w:pos="720"/>
        </w:tabs>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C77D1D">
        <w:rPr>
          <w:rFonts w:ascii="Garamond" w:eastAsiaTheme="minorHAnsi" w:hAnsi="Garamond"/>
          <w:b/>
          <w:color w:val="000000" w:themeColor="text1"/>
          <w:sz w:val="24"/>
          <w:szCs w:val="24"/>
          <w:lang w:val="en-GB"/>
        </w:rPr>
        <w:t>Trend in Market Indices:</w:t>
      </w:r>
    </w:p>
    <w:p w:rsidR="00984931" w:rsidRPr="00560465" w:rsidRDefault="00984931" w:rsidP="00E158C5">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25695B" w:rsidRPr="0025695B" w:rsidRDefault="0025695B" w:rsidP="004677BD">
      <w:pPr>
        <w:numPr>
          <w:ilvl w:val="1"/>
          <w:numId w:val="9"/>
        </w:numPr>
        <w:spacing w:after="0" w:line="240" w:lineRule="auto"/>
        <w:ind w:hanging="650"/>
        <w:contextualSpacing/>
        <w:jc w:val="both"/>
        <w:rPr>
          <w:rFonts w:ascii="Garamond" w:eastAsiaTheme="minorHAnsi" w:hAnsi="Garamond"/>
          <w:sz w:val="24"/>
          <w:szCs w:val="24"/>
          <w:lang w:val="en-GB"/>
        </w:rPr>
      </w:pPr>
      <w:r w:rsidRPr="0025695B">
        <w:rPr>
          <w:rFonts w:ascii="Garamond" w:eastAsiaTheme="minorHAnsi" w:hAnsi="Garamond"/>
          <w:sz w:val="24"/>
          <w:szCs w:val="24"/>
          <w:lang w:val="en-GB"/>
        </w:rPr>
        <w:t xml:space="preserve">Major stock indices all over the world exhibited a timid performance during June 2017. Amongst the developed </w:t>
      </w:r>
      <w:r w:rsidRPr="004677BD">
        <w:rPr>
          <w:rFonts w:ascii="Garamond" w:hAnsi="Garamond"/>
          <w:color w:val="000000" w:themeColor="text1"/>
          <w:sz w:val="24"/>
          <w:szCs w:val="24"/>
          <w:lang w:val="en-GB"/>
        </w:rPr>
        <w:t>markets</w:t>
      </w:r>
      <w:r w:rsidRPr="0025695B">
        <w:rPr>
          <w:rFonts w:ascii="Garamond" w:eastAsiaTheme="minorHAnsi" w:hAnsi="Garamond"/>
          <w:sz w:val="24"/>
          <w:szCs w:val="24"/>
          <w:lang w:val="en-GB"/>
        </w:rPr>
        <w:t xml:space="preserve"> Japan’s Nikkei witnessed an increase of 2.0 percent, followed by USA’s Dow Jones increasing by 1.6 percent and Singapore STI marginally increasing by 0.5 percent during June 2017. Meanwhile, a decline was registered by CAC of France falling by 3.1 percent followed by UK’s FTSE and Germany’s </w:t>
      </w:r>
      <w:proofErr w:type="spellStart"/>
      <w:r w:rsidRPr="0025695B">
        <w:rPr>
          <w:rFonts w:ascii="Garamond" w:eastAsiaTheme="minorHAnsi" w:hAnsi="Garamond"/>
          <w:sz w:val="24"/>
          <w:szCs w:val="24"/>
          <w:lang w:val="en-GB"/>
        </w:rPr>
        <w:t>Dax</w:t>
      </w:r>
      <w:proofErr w:type="spellEnd"/>
      <w:r w:rsidRPr="0025695B">
        <w:rPr>
          <w:rFonts w:ascii="Garamond" w:eastAsiaTheme="minorHAnsi" w:hAnsi="Garamond"/>
          <w:sz w:val="24"/>
          <w:szCs w:val="24"/>
          <w:lang w:val="en-GB"/>
        </w:rPr>
        <w:t xml:space="preserve"> decreasing by 2.8 percent and 2.3 percent respectively. </w:t>
      </w:r>
    </w:p>
    <w:p w:rsidR="0025695B" w:rsidRPr="0025695B" w:rsidRDefault="0025695B" w:rsidP="0025695B">
      <w:pPr>
        <w:spacing w:after="0" w:line="20" w:lineRule="atLeast"/>
        <w:jc w:val="both"/>
        <w:rPr>
          <w:rFonts w:ascii="Garamond" w:eastAsiaTheme="minorHAnsi" w:hAnsi="Garamond"/>
          <w:sz w:val="24"/>
          <w:szCs w:val="24"/>
          <w:lang w:val="en-GB"/>
        </w:rPr>
      </w:pPr>
    </w:p>
    <w:p w:rsidR="00F54E90" w:rsidRPr="00F54E90" w:rsidRDefault="0025695B" w:rsidP="004677BD">
      <w:pPr>
        <w:numPr>
          <w:ilvl w:val="1"/>
          <w:numId w:val="9"/>
        </w:numPr>
        <w:spacing w:after="0" w:line="240" w:lineRule="auto"/>
        <w:ind w:hanging="650"/>
        <w:contextualSpacing/>
        <w:jc w:val="both"/>
        <w:rPr>
          <w:rFonts w:ascii="Garamond" w:eastAsiaTheme="minorHAnsi" w:hAnsi="Garamond"/>
          <w:sz w:val="24"/>
          <w:szCs w:val="24"/>
          <w:lang w:val="en-GB"/>
        </w:rPr>
      </w:pPr>
      <w:r w:rsidRPr="0025695B">
        <w:rPr>
          <w:rFonts w:ascii="Garamond" w:eastAsiaTheme="minorHAnsi" w:hAnsi="Garamond"/>
          <w:sz w:val="24"/>
          <w:szCs w:val="24"/>
          <w:lang w:val="en-GB"/>
        </w:rPr>
        <w:t xml:space="preserve">As regards the emerging market indices, Taiwan’s </w:t>
      </w:r>
      <w:proofErr w:type="spellStart"/>
      <w:r w:rsidRPr="0025695B">
        <w:rPr>
          <w:rFonts w:ascii="Garamond" w:eastAsiaTheme="minorHAnsi" w:hAnsi="Garamond"/>
          <w:sz w:val="24"/>
          <w:szCs w:val="24"/>
          <w:lang w:val="en-GB"/>
        </w:rPr>
        <w:t>Taiex</w:t>
      </w:r>
      <w:proofErr w:type="spellEnd"/>
      <w:r w:rsidRPr="0025695B">
        <w:rPr>
          <w:rFonts w:ascii="Garamond" w:eastAsiaTheme="minorHAnsi" w:hAnsi="Garamond"/>
          <w:sz w:val="24"/>
          <w:szCs w:val="24"/>
          <w:lang w:val="en-GB"/>
        </w:rPr>
        <w:t xml:space="preserve"> led the way with an increase of 3.5 percent, followed by ISE National 100 of Turkey which increased by 3.0 percent and Shanghai SE Composite IX which recorded an increase of 2.4 percent during in June 2017. On the contrary, a steep fall of 9.1 </w:t>
      </w:r>
      <w:r w:rsidRPr="0025695B">
        <w:rPr>
          <w:rFonts w:ascii="Garamond" w:eastAsiaTheme="minorHAnsi" w:hAnsi="Garamond"/>
          <w:sz w:val="24"/>
          <w:szCs w:val="24"/>
          <w:lang w:val="en-GB"/>
        </w:rPr>
        <w:lastRenderedPageBreak/>
        <w:t>percent was registered by Karachi 30 of Pakistan, followed by Russia’s Russian Traded declining by 5.1 percent and JSE Africa All Share of South Africa retreating by 3.6 percent during the same period.</w:t>
      </w:r>
    </w:p>
    <w:p w:rsidR="00F54E90" w:rsidRDefault="00F54E90" w:rsidP="00F54E90">
      <w:pPr>
        <w:pStyle w:val="ListParagraph"/>
        <w:rPr>
          <w:rFonts w:ascii="Garamond" w:eastAsiaTheme="minorHAnsi" w:hAnsi="Garamond"/>
          <w:b/>
          <w:sz w:val="24"/>
          <w:szCs w:val="24"/>
          <w:lang w:val="en-GB"/>
        </w:rPr>
      </w:pPr>
    </w:p>
    <w:p w:rsidR="006B7658" w:rsidRPr="00F54E90" w:rsidRDefault="006B7658" w:rsidP="00F54E90">
      <w:pPr>
        <w:spacing w:after="0" w:line="20" w:lineRule="atLeast"/>
        <w:ind w:left="2052" w:firstLine="108"/>
        <w:jc w:val="both"/>
        <w:rPr>
          <w:rFonts w:ascii="Garamond" w:eastAsiaTheme="minorHAnsi" w:hAnsi="Garamond"/>
          <w:sz w:val="24"/>
          <w:szCs w:val="24"/>
          <w:lang w:val="en-GB"/>
        </w:rPr>
      </w:pPr>
      <w:r w:rsidRPr="00F54E90">
        <w:rPr>
          <w:rFonts w:ascii="Garamond" w:eastAsiaTheme="minorHAnsi" w:hAnsi="Garamond"/>
          <w:b/>
          <w:sz w:val="24"/>
          <w:szCs w:val="24"/>
          <w:lang w:val="en-GB"/>
        </w:rPr>
        <w:t>Chart 6: Trend in Major Developed Market Indices</w:t>
      </w:r>
    </w:p>
    <w:p w:rsidR="005549CE" w:rsidRPr="00560465" w:rsidRDefault="005549CE" w:rsidP="006B7658">
      <w:pPr>
        <w:spacing w:after="0" w:line="20" w:lineRule="atLeast"/>
        <w:jc w:val="center"/>
        <w:rPr>
          <w:rFonts w:ascii="Garamond" w:eastAsiaTheme="minorHAnsi" w:hAnsi="Garamond"/>
          <w:b/>
          <w:sz w:val="24"/>
          <w:szCs w:val="24"/>
          <w:lang w:val="en-GB"/>
        </w:rPr>
      </w:pPr>
    </w:p>
    <w:p w:rsidR="006B7658" w:rsidRPr="00560465" w:rsidRDefault="005549CE" w:rsidP="00A93314">
      <w:pPr>
        <w:spacing w:after="0" w:line="20" w:lineRule="atLeast"/>
        <w:ind w:left="-360" w:right="138" w:firstLine="360"/>
        <w:jc w:val="both"/>
        <w:rPr>
          <w:rFonts w:ascii="Garamond" w:eastAsiaTheme="minorEastAsia" w:hAnsi="Garamond"/>
          <w:b/>
          <w:noProof/>
          <w:sz w:val="24"/>
          <w:szCs w:val="24"/>
          <w:lang w:bidi="hi-IN"/>
        </w:rPr>
      </w:pPr>
      <w:r>
        <w:rPr>
          <w:noProof/>
        </w:rPr>
        <w:drawing>
          <wp:inline distT="0" distB="0" distL="0" distR="0" wp14:anchorId="3EFBBD4B" wp14:editId="5A99C7E0">
            <wp:extent cx="6682740" cy="3444240"/>
            <wp:effectExtent l="0" t="0" r="381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B7658" w:rsidRPr="00560465" w:rsidRDefault="006B7658" w:rsidP="006B7658">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6B7658" w:rsidRPr="00560465" w:rsidRDefault="006B7658" w:rsidP="006B7658">
      <w:pPr>
        <w:spacing w:after="0" w:line="20" w:lineRule="atLeast"/>
        <w:rPr>
          <w:rFonts w:ascii="Garamond" w:eastAsiaTheme="minorHAnsi" w:hAnsi="Garamond"/>
          <w:b/>
          <w:sz w:val="24"/>
          <w:szCs w:val="24"/>
          <w:lang w:val="en-GB"/>
        </w:rPr>
      </w:pPr>
    </w:p>
    <w:p w:rsidR="006B7658" w:rsidRDefault="006B7658" w:rsidP="006B7658">
      <w:pPr>
        <w:spacing w:after="0" w:line="20" w:lineRule="atLeast"/>
        <w:jc w:val="center"/>
        <w:rPr>
          <w:rFonts w:ascii="Garamond" w:eastAsiaTheme="minorHAnsi" w:hAnsi="Garamond"/>
          <w:b/>
          <w:sz w:val="24"/>
          <w:szCs w:val="24"/>
          <w:lang w:val="en-GB"/>
        </w:rPr>
      </w:pPr>
    </w:p>
    <w:p w:rsidR="00F54E90" w:rsidRDefault="00F54E90" w:rsidP="006B7658">
      <w:pPr>
        <w:spacing w:after="0" w:line="20" w:lineRule="atLeast"/>
        <w:jc w:val="center"/>
        <w:rPr>
          <w:rFonts w:ascii="Garamond" w:eastAsiaTheme="minorHAnsi" w:hAnsi="Garamond"/>
          <w:b/>
          <w:sz w:val="24"/>
          <w:szCs w:val="24"/>
          <w:lang w:val="en-GB"/>
        </w:rPr>
      </w:pPr>
    </w:p>
    <w:p w:rsidR="006B7658" w:rsidRPr="00560465" w:rsidRDefault="006B7658" w:rsidP="006B7658">
      <w:pPr>
        <w:spacing w:after="0" w:line="20" w:lineRule="atLeast"/>
        <w:jc w:val="center"/>
        <w:rPr>
          <w:rFonts w:ascii="Garamond" w:eastAsiaTheme="minorHAnsi" w:hAnsi="Garamond"/>
          <w:b/>
          <w:sz w:val="24"/>
          <w:szCs w:val="24"/>
          <w:lang w:val="en-GB"/>
        </w:rPr>
      </w:pPr>
      <w:r w:rsidRPr="00227C8B">
        <w:rPr>
          <w:rFonts w:ascii="Garamond" w:eastAsiaTheme="minorHAnsi" w:hAnsi="Garamond"/>
          <w:b/>
          <w:sz w:val="24"/>
          <w:szCs w:val="24"/>
          <w:lang w:val="en-GB"/>
        </w:rPr>
        <w:t>Chart 7:  Trend in Market Indices of BRIC</w:t>
      </w:r>
      <w:r w:rsidR="00155E84" w:rsidRPr="00227C8B">
        <w:rPr>
          <w:rFonts w:ascii="Garamond" w:eastAsiaTheme="minorHAnsi" w:hAnsi="Garamond"/>
          <w:b/>
          <w:sz w:val="24"/>
          <w:szCs w:val="24"/>
          <w:lang w:val="en-GB"/>
        </w:rPr>
        <w:t>S</w:t>
      </w:r>
      <w:r w:rsidRPr="00227C8B">
        <w:rPr>
          <w:rFonts w:ascii="Garamond" w:eastAsiaTheme="minorHAnsi" w:hAnsi="Garamond"/>
          <w:b/>
          <w:sz w:val="24"/>
          <w:szCs w:val="24"/>
          <w:lang w:val="en-GB"/>
        </w:rPr>
        <w:t xml:space="preserve"> Nations</w:t>
      </w:r>
    </w:p>
    <w:p w:rsidR="006B7658" w:rsidRPr="00560465" w:rsidRDefault="006B7658" w:rsidP="006B7658">
      <w:pPr>
        <w:spacing w:after="0" w:line="20" w:lineRule="atLeast"/>
        <w:ind w:left="-360"/>
        <w:jc w:val="center"/>
        <w:rPr>
          <w:rFonts w:ascii="Garamond" w:eastAsiaTheme="minorHAnsi" w:hAnsi="Garamond"/>
          <w:b/>
          <w:sz w:val="24"/>
          <w:szCs w:val="24"/>
          <w:lang w:val="en-GB"/>
        </w:rPr>
      </w:pPr>
    </w:p>
    <w:p w:rsidR="006B7658" w:rsidRPr="00560465" w:rsidRDefault="00227C8B" w:rsidP="006B7658">
      <w:pPr>
        <w:spacing w:after="0" w:line="20" w:lineRule="atLeast"/>
        <w:jc w:val="both"/>
        <w:rPr>
          <w:rFonts w:ascii="Garamond" w:eastAsiaTheme="minorHAnsi" w:hAnsi="Garamond"/>
          <w:sz w:val="24"/>
          <w:szCs w:val="24"/>
          <w:lang w:val="en-GB"/>
        </w:rPr>
      </w:pPr>
      <w:r>
        <w:rPr>
          <w:noProof/>
        </w:rPr>
        <w:lastRenderedPageBreak/>
        <w:drawing>
          <wp:inline distT="0" distB="0" distL="0" distR="0" wp14:anchorId="3CE59A43" wp14:editId="0102F540">
            <wp:extent cx="6713220" cy="3863340"/>
            <wp:effectExtent l="0" t="0" r="1143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F62FB" w:rsidRDefault="0003124E">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sidR="00AF62FB">
        <w:rPr>
          <w:rFonts w:ascii="Garamond" w:eastAsiaTheme="minorHAnsi" w:hAnsi="Garamond"/>
          <w:b/>
          <w:color w:val="000000" w:themeColor="text1"/>
          <w:sz w:val="24"/>
          <w:szCs w:val="24"/>
          <w:lang w:val="en-GB"/>
        </w:rPr>
        <w:br w:type="page"/>
      </w:r>
    </w:p>
    <w:p w:rsidR="00984931" w:rsidRPr="00F54E90" w:rsidRDefault="00984931" w:rsidP="00E158C5">
      <w:pPr>
        <w:spacing w:after="0" w:line="20" w:lineRule="atLeast"/>
        <w:jc w:val="both"/>
        <w:rPr>
          <w:rFonts w:ascii="Garamond" w:eastAsiaTheme="minorHAnsi" w:hAnsi="Garamond"/>
          <w:sz w:val="24"/>
          <w:szCs w:val="24"/>
          <w:lang w:val="en-GB"/>
        </w:rPr>
      </w:pPr>
      <w:r w:rsidRPr="00F54E90">
        <w:rPr>
          <w:rFonts w:ascii="Garamond" w:eastAsiaTheme="minorHAnsi" w:hAnsi="Garamond"/>
          <w:b/>
          <w:sz w:val="24"/>
          <w:szCs w:val="24"/>
          <w:lang w:val="en-GB"/>
        </w:rPr>
        <w:lastRenderedPageBreak/>
        <w:t>Market Capitalisation:</w:t>
      </w:r>
    </w:p>
    <w:p w:rsidR="007F2F50" w:rsidRPr="00033352" w:rsidRDefault="007F2F50" w:rsidP="004677BD">
      <w:pPr>
        <w:numPr>
          <w:ilvl w:val="1"/>
          <w:numId w:val="9"/>
        </w:numPr>
        <w:spacing w:after="0" w:line="240" w:lineRule="auto"/>
        <w:ind w:hanging="650"/>
        <w:contextualSpacing/>
        <w:jc w:val="both"/>
        <w:rPr>
          <w:rFonts w:ascii="Garamond" w:hAnsi="Garamond"/>
          <w:sz w:val="24"/>
          <w:szCs w:val="24"/>
          <w:lang w:val="en-GB"/>
        </w:rPr>
      </w:pPr>
      <w:r w:rsidRPr="00033352">
        <w:rPr>
          <w:rFonts w:ascii="Garamond" w:hAnsi="Garamond"/>
          <w:sz w:val="24"/>
          <w:szCs w:val="24"/>
          <w:lang w:val="en-GB"/>
        </w:rPr>
        <w:t xml:space="preserve">Market capitalisation of major countries in the world, at the end of </w:t>
      </w:r>
      <w:r w:rsidR="00B40905" w:rsidRPr="00033352">
        <w:rPr>
          <w:rFonts w:ascii="Garamond" w:hAnsi="Garamond"/>
          <w:sz w:val="24"/>
          <w:szCs w:val="24"/>
          <w:lang w:val="en-GB"/>
        </w:rPr>
        <w:t>June</w:t>
      </w:r>
      <w:r w:rsidRPr="00033352">
        <w:rPr>
          <w:rFonts w:ascii="Garamond" w:hAnsi="Garamond"/>
          <w:sz w:val="24"/>
          <w:szCs w:val="24"/>
          <w:lang w:val="en-GB"/>
        </w:rPr>
        <w:t xml:space="preserve"> 2017, is given in table A6 and is </w:t>
      </w:r>
      <w:r w:rsidRPr="004677BD">
        <w:rPr>
          <w:rFonts w:ascii="Garamond" w:hAnsi="Garamond"/>
          <w:color w:val="000000" w:themeColor="text1"/>
          <w:sz w:val="24"/>
          <w:szCs w:val="24"/>
          <w:lang w:val="en-GB"/>
        </w:rPr>
        <w:t>illustrated</w:t>
      </w:r>
      <w:r w:rsidRPr="00033352">
        <w:rPr>
          <w:rFonts w:ascii="Garamond" w:hAnsi="Garamond"/>
          <w:sz w:val="24"/>
          <w:szCs w:val="24"/>
          <w:lang w:val="en-GB"/>
        </w:rPr>
        <w:t xml:space="preserve"> in Chart 8. The market capitalisation of all the major </w:t>
      </w:r>
      <w:r w:rsidR="001359CF">
        <w:rPr>
          <w:rFonts w:ascii="Garamond" w:hAnsi="Garamond"/>
          <w:sz w:val="24"/>
          <w:szCs w:val="24"/>
          <w:lang w:val="en-GB"/>
        </w:rPr>
        <w:t xml:space="preserve">countries </w:t>
      </w:r>
      <w:r w:rsidR="001C4314">
        <w:rPr>
          <w:rFonts w:ascii="Garamond" w:hAnsi="Garamond"/>
          <w:sz w:val="24"/>
          <w:szCs w:val="24"/>
          <w:lang w:val="en-GB"/>
        </w:rPr>
        <w:t xml:space="preserve">showed the </w:t>
      </w:r>
      <w:r w:rsidR="007B438C">
        <w:rPr>
          <w:rFonts w:ascii="Garamond" w:hAnsi="Garamond"/>
          <w:sz w:val="24"/>
          <w:szCs w:val="24"/>
          <w:lang w:val="en-GB"/>
        </w:rPr>
        <w:t>positive</w:t>
      </w:r>
      <w:r w:rsidR="001C4314">
        <w:rPr>
          <w:rFonts w:ascii="Garamond" w:hAnsi="Garamond"/>
          <w:sz w:val="24"/>
          <w:szCs w:val="24"/>
          <w:lang w:val="en-GB"/>
        </w:rPr>
        <w:t xml:space="preserve"> trend</w:t>
      </w:r>
      <w:r w:rsidRPr="00033352">
        <w:rPr>
          <w:rFonts w:ascii="Garamond" w:hAnsi="Garamond"/>
          <w:sz w:val="24"/>
          <w:szCs w:val="24"/>
          <w:lang w:val="en-GB"/>
        </w:rPr>
        <w:t xml:space="preserve"> </w:t>
      </w:r>
      <w:r w:rsidR="007B438C">
        <w:rPr>
          <w:rFonts w:ascii="Garamond" w:hAnsi="Garamond"/>
          <w:sz w:val="24"/>
          <w:szCs w:val="24"/>
          <w:lang w:val="en-GB"/>
        </w:rPr>
        <w:t xml:space="preserve">while emerging markets showed negative trend </w:t>
      </w:r>
      <w:r w:rsidRPr="00033352">
        <w:rPr>
          <w:rFonts w:ascii="Garamond" w:hAnsi="Garamond"/>
          <w:sz w:val="24"/>
          <w:szCs w:val="24"/>
          <w:lang w:val="en-GB"/>
        </w:rPr>
        <w:t xml:space="preserve">during the month of </w:t>
      </w:r>
      <w:r w:rsidR="00850426" w:rsidRPr="00033352">
        <w:rPr>
          <w:rFonts w:ascii="Garamond" w:hAnsi="Garamond"/>
          <w:sz w:val="24"/>
          <w:szCs w:val="24"/>
          <w:lang w:val="en-GB"/>
        </w:rPr>
        <w:t xml:space="preserve">June </w:t>
      </w:r>
      <w:r w:rsidRPr="00033352">
        <w:rPr>
          <w:rFonts w:ascii="Garamond" w:hAnsi="Garamond"/>
          <w:sz w:val="24"/>
          <w:szCs w:val="24"/>
          <w:lang w:val="en-GB"/>
        </w:rPr>
        <w:t>2017.</w:t>
      </w:r>
    </w:p>
    <w:p w:rsidR="007F2F50" w:rsidRPr="00033352" w:rsidRDefault="007F2F50" w:rsidP="007F2F50">
      <w:pPr>
        <w:spacing w:after="0" w:line="240" w:lineRule="auto"/>
        <w:ind w:left="540"/>
        <w:contextualSpacing/>
        <w:jc w:val="both"/>
        <w:rPr>
          <w:rFonts w:ascii="Garamond" w:hAnsi="Garamond"/>
          <w:sz w:val="24"/>
          <w:szCs w:val="24"/>
          <w:lang w:val="en-GB"/>
        </w:rPr>
      </w:pPr>
    </w:p>
    <w:p w:rsidR="007F2F50" w:rsidRPr="00033352" w:rsidRDefault="007F2F50" w:rsidP="00075C1B">
      <w:pPr>
        <w:numPr>
          <w:ilvl w:val="1"/>
          <w:numId w:val="9"/>
        </w:numPr>
        <w:spacing w:after="0" w:line="240" w:lineRule="auto"/>
        <w:ind w:hanging="508"/>
        <w:contextualSpacing/>
        <w:jc w:val="both"/>
        <w:rPr>
          <w:rFonts w:ascii="Garamond" w:hAnsi="Garamond"/>
          <w:sz w:val="24"/>
          <w:szCs w:val="24"/>
          <w:lang w:val="en-GB"/>
        </w:rPr>
      </w:pPr>
      <w:r w:rsidRPr="00033352">
        <w:rPr>
          <w:rFonts w:ascii="Garamond" w:hAnsi="Garamond"/>
          <w:sz w:val="24"/>
          <w:szCs w:val="24"/>
          <w:lang w:val="en-GB"/>
        </w:rPr>
        <w:t xml:space="preserve">Among major developed markets, the market capitalisation of </w:t>
      </w:r>
      <w:r w:rsidR="00E17BC6" w:rsidRPr="00033352">
        <w:rPr>
          <w:rFonts w:ascii="Garamond" w:hAnsi="Garamond"/>
          <w:sz w:val="24"/>
          <w:szCs w:val="24"/>
          <w:lang w:val="en-GB"/>
        </w:rPr>
        <w:t>Australia, Japan and Singapore</w:t>
      </w:r>
      <w:r w:rsidRPr="00033352">
        <w:rPr>
          <w:rFonts w:ascii="Garamond" w:hAnsi="Garamond"/>
          <w:sz w:val="24"/>
          <w:szCs w:val="24"/>
          <w:lang w:val="en-GB"/>
        </w:rPr>
        <w:t xml:space="preserve"> increased significantly by </w:t>
      </w:r>
      <w:r w:rsidR="00E17BC6" w:rsidRPr="00033352">
        <w:rPr>
          <w:rFonts w:ascii="Garamond" w:hAnsi="Garamond"/>
          <w:sz w:val="24"/>
          <w:szCs w:val="24"/>
          <w:lang w:val="en-GB"/>
        </w:rPr>
        <w:t>4</w:t>
      </w:r>
      <w:r w:rsidR="004E78FC" w:rsidRPr="00033352">
        <w:rPr>
          <w:rFonts w:ascii="Garamond" w:hAnsi="Garamond"/>
          <w:sz w:val="24"/>
          <w:szCs w:val="24"/>
          <w:lang w:val="en-GB"/>
        </w:rPr>
        <w:t xml:space="preserve">.1 percent, </w:t>
      </w:r>
      <w:r w:rsidR="00E17BC6" w:rsidRPr="00033352">
        <w:rPr>
          <w:rFonts w:ascii="Garamond" w:hAnsi="Garamond"/>
          <w:sz w:val="24"/>
          <w:szCs w:val="24"/>
          <w:lang w:val="en-GB"/>
        </w:rPr>
        <w:t>1.7 percent and 1.1</w:t>
      </w:r>
      <w:r w:rsidRPr="00033352">
        <w:rPr>
          <w:rFonts w:ascii="Garamond" w:hAnsi="Garamond"/>
          <w:sz w:val="24"/>
          <w:szCs w:val="24"/>
          <w:lang w:val="en-GB"/>
        </w:rPr>
        <w:t xml:space="preserve"> percent respectively during </w:t>
      </w:r>
      <w:r w:rsidR="00E17BC6" w:rsidRPr="00033352">
        <w:rPr>
          <w:rFonts w:ascii="Garamond" w:hAnsi="Garamond"/>
          <w:sz w:val="24"/>
          <w:szCs w:val="24"/>
          <w:lang w:val="en-GB"/>
        </w:rPr>
        <w:t>June</w:t>
      </w:r>
      <w:r w:rsidRPr="00033352">
        <w:rPr>
          <w:rFonts w:ascii="Garamond" w:hAnsi="Garamond"/>
          <w:sz w:val="24"/>
          <w:szCs w:val="24"/>
          <w:lang w:val="en-GB"/>
        </w:rPr>
        <w:t xml:space="preserve"> 2017. The market capi</w:t>
      </w:r>
      <w:r w:rsidRPr="004677BD">
        <w:rPr>
          <w:rFonts w:ascii="Garamond" w:hAnsi="Garamond"/>
          <w:color w:val="000000" w:themeColor="text1"/>
          <w:sz w:val="24"/>
          <w:szCs w:val="24"/>
          <w:lang w:val="en-GB"/>
        </w:rPr>
        <w:t>t</w:t>
      </w:r>
      <w:r w:rsidRPr="00033352">
        <w:rPr>
          <w:rFonts w:ascii="Garamond" w:hAnsi="Garamond"/>
          <w:sz w:val="24"/>
          <w:szCs w:val="24"/>
          <w:lang w:val="en-GB"/>
        </w:rPr>
        <w:t xml:space="preserve">alisation of </w:t>
      </w:r>
      <w:r w:rsidR="00ED078C" w:rsidRPr="00033352">
        <w:rPr>
          <w:rFonts w:ascii="Garamond" w:hAnsi="Garamond"/>
          <w:sz w:val="24"/>
          <w:szCs w:val="24"/>
          <w:lang w:val="en-GB"/>
        </w:rPr>
        <w:t xml:space="preserve">USA </w:t>
      </w:r>
      <w:r w:rsidRPr="00033352">
        <w:rPr>
          <w:rFonts w:ascii="Garamond" w:hAnsi="Garamond"/>
          <w:sz w:val="24"/>
          <w:szCs w:val="24"/>
          <w:lang w:val="en-GB"/>
        </w:rPr>
        <w:t xml:space="preserve">and Hong Kong increased </w:t>
      </w:r>
      <w:r w:rsidR="00ED078C" w:rsidRPr="00033352">
        <w:rPr>
          <w:rFonts w:ascii="Garamond" w:hAnsi="Garamond"/>
          <w:sz w:val="24"/>
          <w:szCs w:val="24"/>
          <w:lang w:val="en-GB"/>
        </w:rPr>
        <w:t>marginally by 0.3</w:t>
      </w:r>
      <w:r w:rsidR="004E78FC" w:rsidRPr="00033352">
        <w:rPr>
          <w:rFonts w:ascii="Garamond" w:hAnsi="Garamond"/>
          <w:sz w:val="24"/>
          <w:szCs w:val="24"/>
          <w:lang w:val="en-GB"/>
        </w:rPr>
        <w:t xml:space="preserve"> </w:t>
      </w:r>
      <w:r w:rsidRPr="00033352">
        <w:rPr>
          <w:rFonts w:ascii="Garamond" w:hAnsi="Garamond"/>
          <w:sz w:val="24"/>
          <w:szCs w:val="24"/>
          <w:lang w:val="en-GB"/>
        </w:rPr>
        <w:t xml:space="preserve">percent </w:t>
      </w:r>
      <w:r w:rsidR="00ED078C" w:rsidRPr="00033352">
        <w:rPr>
          <w:rFonts w:ascii="Garamond" w:hAnsi="Garamond"/>
          <w:sz w:val="24"/>
          <w:szCs w:val="24"/>
          <w:lang w:val="en-GB"/>
        </w:rPr>
        <w:t>and 0.2</w:t>
      </w:r>
      <w:r w:rsidRPr="00033352">
        <w:rPr>
          <w:rFonts w:ascii="Garamond" w:hAnsi="Garamond"/>
          <w:sz w:val="24"/>
          <w:szCs w:val="24"/>
          <w:lang w:val="en-GB"/>
        </w:rPr>
        <w:t xml:space="preserve"> percent </w:t>
      </w:r>
      <w:r w:rsidRPr="00033352">
        <w:rPr>
          <w:rFonts w:ascii="Garamond" w:hAnsi="Garamond"/>
          <w:sz w:val="24"/>
          <w:szCs w:val="24"/>
        </w:rPr>
        <w:t>respectively</w:t>
      </w:r>
      <w:r w:rsidRPr="00033352">
        <w:rPr>
          <w:rFonts w:ascii="Garamond" w:hAnsi="Garamond"/>
          <w:sz w:val="24"/>
          <w:szCs w:val="24"/>
          <w:lang w:val="en-GB"/>
        </w:rPr>
        <w:t xml:space="preserve"> </w:t>
      </w:r>
      <w:r w:rsidR="00953265" w:rsidRPr="00033352">
        <w:rPr>
          <w:rFonts w:ascii="Garamond" w:hAnsi="Garamond"/>
          <w:sz w:val="24"/>
          <w:szCs w:val="24"/>
          <w:lang w:val="en-GB"/>
        </w:rPr>
        <w:t xml:space="preserve">while the market capitalisation of </w:t>
      </w:r>
      <w:r w:rsidR="00ED078C" w:rsidRPr="00033352">
        <w:rPr>
          <w:rFonts w:ascii="Garamond" w:hAnsi="Garamond"/>
          <w:sz w:val="24"/>
          <w:szCs w:val="24"/>
          <w:lang w:val="en-GB"/>
        </w:rPr>
        <w:t>UK and Germany decreased by 1.5</w:t>
      </w:r>
      <w:r w:rsidR="00953265" w:rsidRPr="00033352">
        <w:rPr>
          <w:rFonts w:ascii="Garamond" w:hAnsi="Garamond"/>
          <w:sz w:val="24"/>
          <w:szCs w:val="24"/>
          <w:lang w:val="en-GB"/>
        </w:rPr>
        <w:t xml:space="preserve"> percent </w:t>
      </w:r>
      <w:r w:rsidR="00ED078C" w:rsidRPr="00033352">
        <w:rPr>
          <w:rFonts w:ascii="Garamond" w:hAnsi="Garamond"/>
          <w:sz w:val="24"/>
          <w:szCs w:val="24"/>
          <w:lang w:val="en-GB"/>
        </w:rPr>
        <w:t xml:space="preserve">and 0.9 percent respectively </w:t>
      </w:r>
      <w:r w:rsidRPr="00033352">
        <w:rPr>
          <w:rFonts w:ascii="Garamond" w:hAnsi="Garamond"/>
          <w:sz w:val="24"/>
          <w:szCs w:val="24"/>
          <w:lang w:val="en-GB"/>
        </w:rPr>
        <w:t xml:space="preserve">at the end of </w:t>
      </w:r>
      <w:r w:rsidR="00ED078C" w:rsidRPr="00033352">
        <w:rPr>
          <w:rFonts w:ascii="Garamond" w:hAnsi="Garamond"/>
          <w:sz w:val="24"/>
          <w:szCs w:val="24"/>
          <w:lang w:val="en-GB"/>
        </w:rPr>
        <w:t>June</w:t>
      </w:r>
      <w:r w:rsidRPr="00033352">
        <w:rPr>
          <w:rFonts w:ascii="Garamond" w:hAnsi="Garamond"/>
          <w:sz w:val="24"/>
          <w:szCs w:val="24"/>
          <w:lang w:val="en-GB"/>
        </w:rPr>
        <w:t xml:space="preserve"> 2017. </w:t>
      </w:r>
    </w:p>
    <w:p w:rsidR="007F2F50" w:rsidRPr="00140207" w:rsidRDefault="007F2F50" w:rsidP="007F2F50">
      <w:pPr>
        <w:spacing w:line="240" w:lineRule="auto"/>
        <w:ind w:left="720"/>
        <w:contextualSpacing/>
        <w:jc w:val="both"/>
        <w:rPr>
          <w:rFonts w:ascii="Garamond" w:hAnsi="Garamond"/>
          <w:sz w:val="24"/>
          <w:szCs w:val="24"/>
          <w:highlight w:val="yellow"/>
          <w:lang w:val="en-GB"/>
        </w:rPr>
      </w:pPr>
    </w:p>
    <w:p w:rsidR="007F2F50" w:rsidRPr="00460024" w:rsidRDefault="007F2F50" w:rsidP="004677BD">
      <w:pPr>
        <w:numPr>
          <w:ilvl w:val="1"/>
          <w:numId w:val="9"/>
        </w:numPr>
        <w:spacing w:after="0" w:line="240" w:lineRule="auto"/>
        <w:ind w:hanging="650"/>
        <w:contextualSpacing/>
        <w:jc w:val="both"/>
        <w:rPr>
          <w:rFonts w:ascii="Garamond" w:hAnsi="Garamond"/>
          <w:color w:val="1F497D" w:themeColor="text2"/>
          <w:sz w:val="24"/>
          <w:szCs w:val="24"/>
          <w:lang w:val="en-GB"/>
        </w:rPr>
      </w:pPr>
      <w:r w:rsidRPr="00140207">
        <w:rPr>
          <w:rFonts w:ascii="Garamond" w:hAnsi="Garamond"/>
          <w:sz w:val="24"/>
          <w:szCs w:val="24"/>
          <w:lang w:val="en-GB"/>
        </w:rPr>
        <w:t xml:space="preserve">As regards the emerging markets, </w:t>
      </w:r>
      <w:r w:rsidR="001359CF" w:rsidRPr="00140207">
        <w:rPr>
          <w:rFonts w:ascii="Garamond" w:hAnsi="Garamond"/>
          <w:sz w:val="24"/>
          <w:szCs w:val="24"/>
          <w:lang w:val="en-GB"/>
        </w:rPr>
        <w:t>t</w:t>
      </w:r>
      <w:r w:rsidRPr="00140207">
        <w:rPr>
          <w:rFonts w:ascii="Garamond" w:hAnsi="Garamond"/>
          <w:sz w:val="24"/>
          <w:szCs w:val="24"/>
          <w:lang w:val="en-GB"/>
        </w:rPr>
        <w:t xml:space="preserve">he market capitalisation of India </w:t>
      </w:r>
      <w:r w:rsidR="00126912" w:rsidRPr="00140207">
        <w:rPr>
          <w:rFonts w:ascii="Garamond" w:hAnsi="Garamond"/>
          <w:sz w:val="24"/>
          <w:szCs w:val="24"/>
          <w:lang w:val="en-GB"/>
        </w:rPr>
        <w:t>decreased slightly by 0.5 percent</w:t>
      </w:r>
      <w:r w:rsidRPr="00140207">
        <w:rPr>
          <w:rFonts w:ascii="Garamond" w:hAnsi="Garamond"/>
          <w:sz w:val="24"/>
          <w:szCs w:val="24"/>
          <w:lang w:val="en-GB"/>
        </w:rPr>
        <w:t xml:space="preserve"> </w:t>
      </w:r>
      <w:r w:rsidR="00126912" w:rsidRPr="00140207">
        <w:rPr>
          <w:rFonts w:ascii="Garamond" w:hAnsi="Garamond"/>
          <w:sz w:val="24"/>
          <w:szCs w:val="24"/>
          <w:lang w:val="en-GB"/>
        </w:rPr>
        <w:t>to</w:t>
      </w:r>
      <w:r w:rsidR="001B4C61" w:rsidRPr="00140207">
        <w:rPr>
          <w:rFonts w:ascii="Garamond" w:hAnsi="Garamond"/>
          <w:sz w:val="24"/>
          <w:szCs w:val="24"/>
          <w:lang w:val="en-GB"/>
        </w:rPr>
        <w:t xml:space="preserve"> </w:t>
      </w:r>
      <w:r w:rsidRPr="00140207">
        <w:rPr>
          <w:rFonts w:ascii="Garamond" w:hAnsi="Garamond"/>
          <w:sz w:val="24"/>
          <w:szCs w:val="24"/>
          <w:lang w:val="en-GB"/>
        </w:rPr>
        <w:t xml:space="preserve">USD 1.9 trillion while </w:t>
      </w:r>
      <w:r w:rsidR="001B4C61" w:rsidRPr="00140207">
        <w:rPr>
          <w:rFonts w:ascii="Garamond" w:hAnsi="Garamond"/>
          <w:sz w:val="24"/>
          <w:szCs w:val="24"/>
          <w:lang w:val="en-GB"/>
        </w:rPr>
        <w:t>China</w:t>
      </w:r>
      <w:r w:rsidR="00126912" w:rsidRPr="00140207">
        <w:rPr>
          <w:rFonts w:ascii="Garamond" w:hAnsi="Garamond"/>
          <w:sz w:val="24"/>
          <w:szCs w:val="24"/>
          <w:lang w:val="en-GB"/>
        </w:rPr>
        <w:t>’s market capitalisation saw a significant increase by 4.4 percent</w:t>
      </w:r>
      <w:r w:rsidR="007F4F6C" w:rsidRPr="00140207">
        <w:rPr>
          <w:rFonts w:ascii="Garamond" w:hAnsi="Garamond"/>
          <w:sz w:val="24"/>
          <w:szCs w:val="24"/>
          <w:lang w:val="en-GB"/>
        </w:rPr>
        <w:t xml:space="preserve"> to USD 6.9</w:t>
      </w:r>
      <w:r w:rsidR="00CB1B8C" w:rsidRPr="00140207">
        <w:rPr>
          <w:rFonts w:ascii="Garamond" w:hAnsi="Garamond"/>
          <w:sz w:val="24"/>
          <w:szCs w:val="24"/>
          <w:lang w:val="en-GB"/>
        </w:rPr>
        <w:t xml:space="preserve"> trillion. The market </w:t>
      </w:r>
      <w:r w:rsidR="00CB1B8C" w:rsidRPr="00140207">
        <w:rPr>
          <w:rFonts w:ascii="Garamond" w:hAnsi="Garamond"/>
          <w:sz w:val="24"/>
          <w:szCs w:val="24"/>
        </w:rPr>
        <w:t>capitalization</w:t>
      </w:r>
      <w:r w:rsidR="00CB1B8C" w:rsidRPr="00140207">
        <w:rPr>
          <w:rFonts w:ascii="Garamond" w:hAnsi="Garamond"/>
          <w:sz w:val="24"/>
          <w:szCs w:val="24"/>
          <w:lang w:val="en-GB"/>
        </w:rPr>
        <w:t xml:space="preserve"> </w:t>
      </w:r>
      <w:r w:rsidRPr="00140207">
        <w:rPr>
          <w:rFonts w:ascii="Garamond" w:hAnsi="Garamond"/>
          <w:sz w:val="24"/>
          <w:szCs w:val="24"/>
          <w:lang w:val="en-GB"/>
        </w:rPr>
        <w:t xml:space="preserve">of </w:t>
      </w:r>
      <w:r w:rsidR="00CB1B8C" w:rsidRPr="00140207">
        <w:rPr>
          <w:rFonts w:ascii="Garamond" w:hAnsi="Garamond"/>
          <w:sz w:val="24"/>
          <w:szCs w:val="24"/>
          <w:lang w:val="en-GB"/>
        </w:rPr>
        <w:t>Turkey and Hungary</w:t>
      </w:r>
      <w:r w:rsidR="00806E3D" w:rsidRPr="00140207">
        <w:rPr>
          <w:rFonts w:ascii="Garamond" w:hAnsi="Garamond"/>
          <w:sz w:val="24"/>
          <w:szCs w:val="24"/>
          <w:lang w:val="en-GB"/>
        </w:rPr>
        <w:t xml:space="preserve"> a</w:t>
      </w:r>
      <w:r w:rsidRPr="00140207">
        <w:rPr>
          <w:rFonts w:ascii="Garamond" w:hAnsi="Garamond"/>
          <w:sz w:val="24"/>
          <w:szCs w:val="24"/>
          <w:lang w:val="en-GB"/>
        </w:rPr>
        <w:t xml:space="preserve">scended significantly by </w:t>
      </w:r>
      <w:r w:rsidR="00CB1B8C" w:rsidRPr="00140207">
        <w:rPr>
          <w:rFonts w:ascii="Garamond" w:hAnsi="Garamond"/>
          <w:sz w:val="24"/>
          <w:szCs w:val="24"/>
          <w:lang w:val="en-GB"/>
        </w:rPr>
        <w:t>3.6</w:t>
      </w:r>
      <w:r w:rsidRPr="00140207">
        <w:rPr>
          <w:rFonts w:ascii="Garamond" w:hAnsi="Garamond"/>
          <w:sz w:val="24"/>
          <w:szCs w:val="24"/>
          <w:lang w:val="en-GB"/>
        </w:rPr>
        <w:t xml:space="preserve"> percent </w:t>
      </w:r>
      <w:r w:rsidR="00CB1B8C" w:rsidRPr="00140207">
        <w:rPr>
          <w:rFonts w:ascii="Garamond" w:hAnsi="Garamond"/>
          <w:sz w:val="24"/>
          <w:szCs w:val="24"/>
          <w:lang w:val="en-GB"/>
        </w:rPr>
        <w:t>and 3.2</w:t>
      </w:r>
      <w:r w:rsidR="00F54E90">
        <w:rPr>
          <w:rFonts w:ascii="Garamond" w:hAnsi="Garamond"/>
          <w:sz w:val="24"/>
          <w:szCs w:val="24"/>
          <w:lang w:val="en-GB"/>
        </w:rPr>
        <w:t xml:space="preserve"> percent respectively</w:t>
      </w:r>
      <w:r w:rsidR="00586C85">
        <w:rPr>
          <w:rFonts w:ascii="Garamond" w:hAnsi="Garamond"/>
          <w:sz w:val="24"/>
          <w:szCs w:val="24"/>
          <w:lang w:val="en-GB"/>
        </w:rPr>
        <w:t>.</w:t>
      </w:r>
      <w:r w:rsidRPr="00460024">
        <w:rPr>
          <w:rFonts w:ascii="Garamond" w:hAnsi="Garamond"/>
          <w:color w:val="1F497D" w:themeColor="text2"/>
          <w:sz w:val="24"/>
          <w:szCs w:val="24"/>
          <w:lang w:val="en-GB"/>
        </w:rPr>
        <w:t xml:space="preserve"> </w:t>
      </w:r>
      <w:r w:rsidR="00E97347" w:rsidRPr="007F5B33">
        <w:rPr>
          <w:rFonts w:ascii="Garamond" w:hAnsi="Garamond"/>
          <w:sz w:val="24"/>
          <w:szCs w:val="24"/>
          <w:lang w:val="en-GB"/>
        </w:rPr>
        <w:t>Russia</w:t>
      </w:r>
      <w:r w:rsidR="00806E3D" w:rsidRPr="007F5B33">
        <w:rPr>
          <w:rFonts w:ascii="Garamond" w:hAnsi="Garamond"/>
          <w:sz w:val="24"/>
          <w:szCs w:val="24"/>
          <w:lang w:val="en-GB"/>
        </w:rPr>
        <w:t>’s market capitalisation</w:t>
      </w:r>
      <w:r w:rsidR="00E97347" w:rsidRPr="007F5B33">
        <w:rPr>
          <w:rFonts w:ascii="Garamond" w:hAnsi="Garamond"/>
          <w:sz w:val="24"/>
          <w:szCs w:val="24"/>
          <w:lang w:val="en-GB"/>
        </w:rPr>
        <w:t xml:space="preserve"> </w:t>
      </w:r>
      <w:r w:rsidR="004965EF" w:rsidRPr="007F5B33">
        <w:rPr>
          <w:rFonts w:ascii="Garamond" w:hAnsi="Garamond"/>
          <w:sz w:val="24"/>
          <w:szCs w:val="24"/>
          <w:lang w:val="en-GB"/>
        </w:rPr>
        <w:t xml:space="preserve">significantly </w:t>
      </w:r>
      <w:r w:rsidR="00E97347" w:rsidRPr="007F5B33">
        <w:rPr>
          <w:rFonts w:ascii="Garamond" w:hAnsi="Garamond"/>
          <w:sz w:val="24"/>
          <w:szCs w:val="24"/>
          <w:lang w:val="en-GB"/>
        </w:rPr>
        <w:t>declined by 6.3</w:t>
      </w:r>
      <w:r w:rsidR="00806E3D" w:rsidRPr="007F5B33">
        <w:rPr>
          <w:rFonts w:ascii="Garamond" w:hAnsi="Garamond"/>
          <w:sz w:val="24"/>
          <w:szCs w:val="24"/>
          <w:lang w:val="en-GB"/>
        </w:rPr>
        <w:t xml:space="preserve"> </w:t>
      </w:r>
      <w:r w:rsidRPr="007F5B33">
        <w:rPr>
          <w:rFonts w:ascii="Garamond" w:hAnsi="Garamond"/>
          <w:sz w:val="24"/>
          <w:szCs w:val="24"/>
          <w:lang w:val="en-GB"/>
        </w:rPr>
        <w:t>percent while</w:t>
      </w:r>
      <w:r w:rsidR="00E97347" w:rsidRPr="007F5B33">
        <w:rPr>
          <w:rFonts w:ascii="Garamond" w:hAnsi="Garamond"/>
          <w:sz w:val="24"/>
          <w:szCs w:val="24"/>
          <w:lang w:val="en-GB"/>
        </w:rPr>
        <w:t xml:space="preserve"> South Africa came down by 5.2</w:t>
      </w:r>
      <w:r w:rsidRPr="007F5B33">
        <w:rPr>
          <w:rFonts w:ascii="Garamond" w:hAnsi="Garamond"/>
          <w:sz w:val="24"/>
          <w:szCs w:val="24"/>
          <w:lang w:val="en-GB"/>
        </w:rPr>
        <w:t xml:space="preserve"> percent. </w:t>
      </w:r>
      <w:r w:rsidR="00806E3D" w:rsidRPr="007F5B33">
        <w:rPr>
          <w:rFonts w:ascii="Garamond" w:hAnsi="Garamond"/>
          <w:sz w:val="24"/>
          <w:szCs w:val="24"/>
          <w:lang w:val="en-GB"/>
        </w:rPr>
        <w:t>Colombia</w:t>
      </w:r>
      <w:r w:rsidR="004965EF" w:rsidRPr="007F5B33">
        <w:rPr>
          <w:rFonts w:ascii="Garamond" w:hAnsi="Garamond"/>
          <w:sz w:val="24"/>
          <w:szCs w:val="24"/>
          <w:lang w:val="en-GB"/>
        </w:rPr>
        <w:t xml:space="preserve"> and Brazil</w:t>
      </w:r>
      <w:r w:rsidRPr="007F5B33">
        <w:rPr>
          <w:rFonts w:ascii="Garamond" w:hAnsi="Garamond"/>
          <w:sz w:val="24"/>
          <w:szCs w:val="24"/>
          <w:lang w:val="en-GB"/>
        </w:rPr>
        <w:t xml:space="preserve"> showed </w:t>
      </w:r>
      <w:r w:rsidR="004965EF" w:rsidRPr="007F5B33">
        <w:rPr>
          <w:rFonts w:ascii="Garamond" w:hAnsi="Garamond"/>
          <w:sz w:val="24"/>
          <w:szCs w:val="24"/>
          <w:lang w:val="en-GB"/>
        </w:rPr>
        <w:t>de</w:t>
      </w:r>
      <w:r w:rsidRPr="007F5B33">
        <w:rPr>
          <w:rFonts w:ascii="Garamond" w:hAnsi="Garamond"/>
          <w:sz w:val="24"/>
          <w:szCs w:val="24"/>
          <w:lang w:val="en-GB"/>
        </w:rPr>
        <w:t>crease in thei</w:t>
      </w:r>
      <w:r w:rsidR="004965EF" w:rsidRPr="007F5B33">
        <w:rPr>
          <w:rFonts w:ascii="Garamond" w:hAnsi="Garamond"/>
          <w:sz w:val="24"/>
          <w:szCs w:val="24"/>
          <w:lang w:val="en-GB"/>
        </w:rPr>
        <w:t>r market capitalisation and fell</w:t>
      </w:r>
      <w:r w:rsidRPr="007F5B33">
        <w:rPr>
          <w:rFonts w:ascii="Garamond" w:hAnsi="Garamond"/>
          <w:sz w:val="24"/>
          <w:szCs w:val="24"/>
          <w:lang w:val="en-GB"/>
        </w:rPr>
        <w:t xml:space="preserve"> by </w:t>
      </w:r>
      <w:r w:rsidR="004965EF" w:rsidRPr="007F5B33">
        <w:rPr>
          <w:rFonts w:ascii="Garamond" w:hAnsi="Garamond"/>
          <w:sz w:val="24"/>
          <w:szCs w:val="24"/>
          <w:lang w:val="en-GB"/>
        </w:rPr>
        <w:t>4.6 percent and 3.7</w:t>
      </w:r>
      <w:r w:rsidRPr="007F5B33">
        <w:rPr>
          <w:rFonts w:ascii="Garamond" w:hAnsi="Garamond"/>
          <w:sz w:val="24"/>
          <w:szCs w:val="24"/>
          <w:lang w:val="en-GB"/>
        </w:rPr>
        <w:t xml:space="preserve"> percent </w:t>
      </w:r>
      <w:r w:rsidR="004965EF" w:rsidRPr="007F5B33">
        <w:rPr>
          <w:rFonts w:ascii="Garamond" w:hAnsi="Garamond"/>
          <w:sz w:val="24"/>
          <w:szCs w:val="24"/>
          <w:lang w:val="en-GB"/>
        </w:rPr>
        <w:t>respectively at the end of June</w:t>
      </w:r>
      <w:r w:rsidRPr="007F5B33">
        <w:rPr>
          <w:rFonts w:ascii="Garamond" w:hAnsi="Garamond"/>
          <w:sz w:val="24"/>
          <w:szCs w:val="24"/>
          <w:lang w:val="en-GB"/>
        </w:rPr>
        <w:t xml:space="preserve"> 2017.</w:t>
      </w:r>
    </w:p>
    <w:p w:rsidR="007F2F50" w:rsidRPr="002A0F25" w:rsidRDefault="007F2F50" w:rsidP="007F2F50">
      <w:pPr>
        <w:spacing w:line="240" w:lineRule="auto"/>
        <w:ind w:left="720"/>
        <w:contextualSpacing/>
        <w:jc w:val="both"/>
        <w:rPr>
          <w:rFonts w:ascii="Garamond" w:hAnsi="Garamond"/>
          <w:color w:val="000000" w:themeColor="text1"/>
          <w:sz w:val="24"/>
          <w:szCs w:val="24"/>
          <w:lang w:val="en-GB"/>
        </w:rPr>
      </w:pPr>
    </w:p>
    <w:p w:rsidR="007F2F50" w:rsidRDefault="007F2F50" w:rsidP="007F2F50">
      <w:pPr>
        <w:jc w:val="center"/>
        <w:rPr>
          <w:rFonts w:ascii="Times New Roman" w:hAnsi="Times New Roman"/>
          <w:noProof/>
          <w:sz w:val="24"/>
          <w:szCs w:val="24"/>
          <w:lang w:eastAsia="en-IN"/>
        </w:rPr>
      </w:pPr>
      <w:r w:rsidRPr="00743381">
        <w:rPr>
          <w:rFonts w:ascii="Garamond" w:hAnsi="Garamond"/>
          <w:b/>
          <w:color w:val="000000" w:themeColor="text1"/>
          <w:sz w:val="24"/>
          <w:szCs w:val="24"/>
          <w:lang w:val="en-GB"/>
        </w:rPr>
        <w:t>Chart 8:</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rsidR="007F2F50" w:rsidRPr="007F2F50" w:rsidRDefault="00DA32C2" w:rsidP="007F2F50">
      <w:pPr>
        <w:rPr>
          <w:rFonts w:ascii="Times New Roman" w:hAnsi="Times New Roman"/>
          <w:sz w:val="24"/>
          <w:szCs w:val="24"/>
          <w:lang w:eastAsia="en-IN"/>
        </w:rPr>
      </w:pPr>
      <w:r>
        <w:rPr>
          <w:rFonts w:ascii="Times New Roman" w:hAnsi="Times New Roman"/>
          <w:sz w:val="24"/>
          <w:szCs w:val="24"/>
          <w:lang w:eastAsia="en-IN"/>
        </w:rPr>
        <w:t xml:space="preserve">        </w:t>
      </w:r>
      <w:r w:rsidR="00D4538C">
        <w:rPr>
          <w:noProof/>
        </w:rPr>
        <w:drawing>
          <wp:inline distT="0" distB="0" distL="0" distR="0" wp14:anchorId="09E877C4" wp14:editId="0228ABEE">
            <wp:extent cx="6407785" cy="2797175"/>
            <wp:effectExtent l="0" t="0" r="12065"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ascii="Times New Roman" w:hAnsi="Times New Roman"/>
          <w:sz w:val="24"/>
          <w:szCs w:val="24"/>
          <w:lang w:eastAsia="en-IN"/>
        </w:rPr>
        <w:t xml:space="preserve"> </w:t>
      </w:r>
    </w:p>
    <w:p w:rsidR="007F2F50" w:rsidRDefault="007F2F50" w:rsidP="007F2F50">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5562AA" w:rsidRPr="00560465" w:rsidRDefault="005562AA" w:rsidP="00E158C5">
      <w:pPr>
        <w:spacing w:after="0" w:line="20" w:lineRule="atLeast"/>
        <w:jc w:val="both"/>
        <w:rPr>
          <w:rFonts w:ascii="Garamond" w:eastAsiaTheme="minorHAnsi" w:hAnsi="Garamond"/>
          <w:b/>
          <w:color w:val="000000" w:themeColor="text1"/>
          <w:sz w:val="24"/>
          <w:szCs w:val="24"/>
          <w:lang w:val="en-GB"/>
        </w:rPr>
      </w:pPr>
    </w:p>
    <w:p w:rsidR="00C77D1D" w:rsidRDefault="00C77D1D" w:rsidP="00C77D1D">
      <w:pPr>
        <w:spacing w:after="0" w:line="20" w:lineRule="atLeast"/>
        <w:rPr>
          <w:rFonts w:ascii="Garamond" w:hAnsi="Garamond"/>
          <w:color w:val="000000" w:themeColor="text1"/>
          <w:sz w:val="24"/>
          <w:szCs w:val="24"/>
        </w:rPr>
      </w:pPr>
      <w:r>
        <w:rPr>
          <w:rFonts w:ascii="Garamond" w:hAnsi="Garamond"/>
          <w:b/>
          <w:color w:val="000000" w:themeColor="text1"/>
        </w:rPr>
        <w:t xml:space="preserve">Derivatives Market: </w:t>
      </w:r>
    </w:p>
    <w:p w:rsidR="0004048A" w:rsidRPr="0004048A" w:rsidRDefault="0004048A" w:rsidP="004677BD">
      <w:pPr>
        <w:numPr>
          <w:ilvl w:val="1"/>
          <w:numId w:val="9"/>
        </w:numPr>
        <w:spacing w:after="0" w:line="240" w:lineRule="auto"/>
        <w:ind w:hanging="650"/>
        <w:contextualSpacing/>
        <w:jc w:val="both"/>
        <w:rPr>
          <w:rFonts w:ascii="Garamond" w:hAnsi="Garamond"/>
          <w:color w:val="000000"/>
          <w:sz w:val="24"/>
          <w:szCs w:val="24"/>
          <w:lang w:val="en-GB"/>
        </w:rPr>
      </w:pPr>
      <w:r w:rsidRPr="0004048A">
        <w:rPr>
          <w:rFonts w:ascii="Garamond" w:hAnsi="Garamond"/>
          <w:color w:val="000000"/>
          <w:sz w:val="24"/>
          <w:szCs w:val="24"/>
          <w:lang w:val="en-GB"/>
        </w:rPr>
        <w:t xml:space="preserve">Among the major stock exchanges covered in the review (Table A4 &amp; A5), during June 2017, the monthly notional turnover of index futures in CME Group was the highest at USD 6,682 billion followed by EUREX (USD 2,570 billion), Japan Exchange Group (USD 1,262 billion) and ICE Futures US (USD 886 billion).  In case of Index options, Korea Exchange recorded the monthly turnover of USD 3,071 billion followed by CME Group (USD 2,235 billion) and EUREX (USD 1,330 </w:t>
      </w:r>
      <w:r w:rsidRPr="004677BD">
        <w:rPr>
          <w:rFonts w:ascii="Garamond" w:hAnsi="Garamond"/>
          <w:color w:val="000000" w:themeColor="text1"/>
          <w:sz w:val="24"/>
          <w:szCs w:val="24"/>
          <w:lang w:val="en-GB"/>
        </w:rPr>
        <w:t>billion</w:t>
      </w:r>
      <w:r w:rsidRPr="0004048A">
        <w:rPr>
          <w:rFonts w:ascii="Garamond" w:hAnsi="Garamond"/>
          <w:color w:val="000000"/>
          <w:sz w:val="24"/>
          <w:szCs w:val="24"/>
          <w:lang w:val="en-GB"/>
        </w:rPr>
        <w:t>). Korea Exchange recorded highest number of contracts traded in Index option category, with 46.5 million contracts traded in June 2017, followed by Chicago Board Options Exchange (37.6 million contracts), EUREX (32.3 million contracts) and TAIFEX (17.7 million contracts).</w:t>
      </w:r>
    </w:p>
    <w:p w:rsidR="0004048A" w:rsidRPr="0004048A" w:rsidRDefault="0004048A" w:rsidP="0004048A">
      <w:pPr>
        <w:spacing w:after="0" w:line="20" w:lineRule="atLeast"/>
        <w:ind w:left="720"/>
        <w:contextualSpacing/>
        <w:rPr>
          <w:rFonts w:ascii="Garamond" w:hAnsi="Garamond"/>
          <w:color w:val="000000"/>
          <w:sz w:val="24"/>
          <w:szCs w:val="24"/>
          <w:lang w:val="en-GB"/>
        </w:rPr>
      </w:pPr>
    </w:p>
    <w:p w:rsidR="0004048A" w:rsidRPr="0004048A" w:rsidRDefault="0004048A" w:rsidP="004677BD">
      <w:pPr>
        <w:numPr>
          <w:ilvl w:val="1"/>
          <w:numId w:val="9"/>
        </w:numPr>
        <w:spacing w:after="0" w:line="240" w:lineRule="auto"/>
        <w:ind w:hanging="650"/>
        <w:contextualSpacing/>
        <w:jc w:val="both"/>
        <w:rPr>
          <w:rFonts w:ascii="Garamond" w:hAnsi="Garamond"/>
          <w:color w:val="000000"/>
          <w:sz w:val="24"/>
          <w:szCs w:val="24"/>
          <w:lang w:val="en-GB"/>
        </w:rPr>
      </w:pPr>
      <w:r w:rsidRPr="0004048A">
        <w:rPr>
          <w:rFonts w:ascii="Garamond" w:hAnsi="Garamond"/>
          <w:color w:val="000000"/>
          <w:sz w:val="24"/>
          <w:szCs w:val="24"/>
          <w:lang w:val="en-GB"/>
        </w:rPr>
        <w:t xml:space="preserve">In case of Stock Options, </w:t>
      </w:r>
      <w:proofErr w:type="spellStart"/>
      <w:proofErr w:type="gramStart"/>
      <w:r w:rsidRPr="0004048A">
        <w:rPr>
          <w:rFonts w:ascii="Garamond" w:hAnsi="Garamond"/>
          <w:color w:val="000000"/>
          <w:sz w:val="24"/>
          <w:szCs w:val="24"/>
          <w:lang w:val="en-GB"/>
        </w:rPr>
        <w:t>Nasdaq</w:t>
      </w:r>
      <w:proofErr w:type="spellEnd"/>
      <w:proofErr w:type="gramEnd"/>
      <w:r w:rsidRPr="0004048A">
        <w:rPr>
          <w:rFonts w:ascii="Garamond" w:hAnsi="Garamond"/>
          <w:color w:val="000000"/>
          <w:sz w:val="24"/>
          <w:szCs w:val="24"/>
          <w:lang w:val="en-GB"/>
        </w:rPr>
        <w:t xml:space="preserve"> - US recorded highest volume (50.9 million contracts) in terms of </w:t>
      </w:r>
      <w:r w:rsidRPr="004677BD">
        <w:rPr>
          <w:rFonts w:ascii="Garamond" w:hAnsi="Garamond"/>
          <w:color w:val="000000" w:themeColor="text1"/>
          <w:sz w:val="24"/>
          <w:szCs w:val="24"/>
          <w:lang w:val="en-GB"/>
        </w:rPr>
        <w:t>contracts</w:t>
      </w:r>
      <w:r w:rsidRPr="0004048A">
        <w:rPr>
          <w:rFonts w:ascii="Garamond" w:hAnsi="Garamond"/>
          <w:color w:val="000000"/>
          <w:sz w:val="24"/>
          <w:szCs w:val="24"/>
          <w:lang w:val="en-GB"/>
        </w:rPr>
        <w:t xml:space="preserve"> traded on the major world exchanges followed by BM&amp;FBOVESPA (49.5 million contracts), Chicago Board Options Exchange (37.7 million contracts), NYSE (31.7 million contracts) and EUREX (14 million contracts). In case of Stock Futures, Korea Exchange remains the number one exchange in terms of number of contracts traded with monthly volume of 23 million contracts, followed by Moscow Exchange (20.3 million contracts), EUREX (14 million contracts) and Thailand Futures Exchange (3.9 million contracts).</w:t>
      </w:r>
    </w:p>
    <w:p w:rsidR="00C77D1D" w:rsidRPr="00075C1B" w:rsidRDefault="00C77D1D" w:rsidP="00C77D1D">
      <w:pPr>
        <w:spacing w:after="0" w:line="20" w:lineRule="atLeast"/>
        <w:ind w:left="720"/>
        <w:contextualSpacing/>
        <w:rPr>
          <w:rFonts w:ascii="Garamond" w:hAnsi="Garamond"/>
          <w:strike/>
          <w:color w:val="000000" w:themeColor="text1"/>
          <w:sz w:val="24"/>
          <w:szCs w:val="24"/>
        </w:rPr>
      </w:pPr>
    </w:p>
    <w:p w:rsidR="00C77D1D" w:rsidRPr="006B0B9A" w:rsidRDefault="00C77D1D" w:rsidP="006B0B9A">
      <w:pPr>
        <w:numPr>
          <w:ilvl w:val="0"/>
          <w:numId w:val="9"/>
        </w:numPr>
        <w:spacing w:after="0" w:line="240" w:lineRule="auto"/>
        <w:contextualSpacing/>
        <w:jc w:val="both"/>
        <w:rPr>
          <w:rFonts w:ascii="Garamond" w:hAnsi="Garamond"/>
          <w:b/>
          <w:color w:val="283214"/>
          <w:sz w:val="24"/>
          <w:szCs w:val="24"/>
          <w:lang w:val="en-IN"/>
        </w:rPr>
      </w:pPr>
      <w:r w:rsidRPr="006B0B9A">
        <w:rPr>
          <w:rFonts w:ascii="Garamond" w:hAnsi="Garamond"/>
          <w:b/>
          <w:color w:val="283214"/>
          <w:sz w:val="24"/>
          <w:szCs w:val="24"/>
          <w:lang w:val="en-IN"/>
        </w:rPr>
        <w:t>Review of Indian Economy</w:t>
      </w:r>
    </w:p>
    <w:p w:rsidR="007B588C" w:rsidRPr="007B588C" w:rsidRDefault="007B588C" w:rsidP="004677BD">
      <w:pPr>
        <w:numPr>
          <w:ilvl w:val="1"/>
          <w:numId w:val="9"/>
        </w:numPr>
        <w:spacing w:after="0" w:line="240" w:lineRule="auto"/>
        <w:ind w:hanging="650"/>
        <w:contextualSpacing/>
        <w:jc w:val="both"/>
        <w:rPr>
          <w:rFonts w:ascii="Garamond" w:hAnsi="Garamond"/>
          <w:sz w:val="24"/>
          <w:szCs w:val="24"/>
        </w:rPr>
      </w:pPr>
      <w:r w:rsidRPr="007B588C">
        <w:rPr>
          <w:rFonts w:ascii="Garamond" w:hAnsi="Garamond"/>
          <w:sz w:val="24"/>
          <w:szCs w:val="24"/>
        </w:rPr>
        <w:t xml:space="preserve">As per the latest available release of Ministry of Statistics and Programme Implementation for quarterly estimates of GDP for Q4 of 2016-17. As per the estimates, quarterly GVA (Gross Value Added) at </w:t>
      </w:r>
      <w:r w:rsidRPr="004677BD">
        <w:rPr>
          <w:rFonts w:ascii="Garamond" w:hAnsi="Garamond"/>
          <w:color w:val="000000" w:themeColor="text1"/>
          <w:sz w:val="24"/>
          <w:szCs w:val="24"/>
          <w:lang w:val="en-GB"/>
        </w:rPr>
        <w:t>basic</w:t>
      </w:r>
      <w:r w:rsidRPr="007B588C">
        <w:rPr>
          <w:rFonts w:ascii="Garamond" w:hAnsi="Garamond"/>
          <w:sz w:val="24"/>
          <w:szCs w:val="24"/>
        </w:rPr>
        <w:t xml:space="preserve"> price for Q4 of 2016-17 has shown a growth rate of 5.6 percent (Y-o-Y). Agriculture sector's GVA at basic price has been estimated at 5.2 percent in Q4 of 2016-17 as against 1.5 percent in Q4 of 2015-16. Quarterly GVA at basic prices for Q4 of 2016-17 from manufacturing sector grew by 5.3 percent as compared to growth of 12.7 percent in Q4 of 2015-16. For the financial, real estate and professional services sector, quarterly GVA at basic prices for Q4 2016-17 grew by 2.2 percent as compared to growth of 9 percent in Q4 2015-16.</w:t>
      </w:r>
    </w:p>
    <w:p w:rsidR="007B588C" w:rsidRPr="007B588C" w:rsidRDefault="007B588C" w:rsidP="007B588C">
      <w:pPr>
        <w:ind w:left="720" w:firstLine="720"/>
        <w:contextualSpacing/>
        <w:rPr>
          <w:rFonts w:ascii="Garamond" w:hAnsi="Garamond"/>
          <w:sz w:val="24"/>
          <w:szCs w:val="24"/>
        </w:rPr>
      </w:pPr>
    </w:p>
    <w:p w:rsidR="007B588C" w:rsidRPr="007B588C" w:rsidRDefault="007B588C" w:rsidP="004677BD">
      <w:pPr>
        <w:numPr>
          <w:ilvl w:val="1"/>
          <w:numId w:val="9"/>
        </w:numPr>
        <w:spacing w:after="0" w:line="240" w:lineRule="auto"/>
        <w:ind w:hanging="650"/>
        <w:contextualSpacing/>
        <w:jc w:val="both"/>
        <w:rPr>
          <w:rFonts w:ascii="Garamond" w:hAnsi="Garamond"/>
          <w:sz w:val="24"/>
          <w:szCs w:val="24"/>
        </w:rPr>
      </w:pPr>
      <w:r w:rsidRPr="007B588C">
        <w:rPr>
          <w:rFonts w:ascii="Garamond" w:hAnsi="Garamond"/>
          <w:sz w:val="24"/>
          <w:szCs w:val="24"/>
        </w:rPr>
        <w:t>GDP in Q4 of 2016-17 has shown a growth rate of 7.1 percent (Y-o-Y). The World Bank has marginally kept India's economic growth forecasts to 7.2 percent and 7.5 percent for 2017 and 2018 respectively.</w:t>
      </w:r>
    </w:p>
    <w:p w:rsidR="007B588C" w:rsidRPr="007B588C" w:rsidRDefault="007B588C" w:rsidP="007B588C">
      <w:pPr>
        <w:autoSpaceDE w:val="0"/>
        <w:autoSpaceDN w:val="0"/>
        <w:adjustRightInd w:val="0"/>
        <w:spacing w:after="0"/>
        <w:contextualSpacing/>
        <w:rPr>
          <w:rFonts w:ascii="Garamond" w:hAnsi="Garamond"/>
          <w:sz w:val="24"/>
          <w:szCs w:val="24"/>
          <w:lang w:val="en-IN"/>
        </w:rPr>
      </w:pPr>
    </w:p>
    <w:p w:rsidR="007B588C" w:rsidRPr="007B588C" w:rsidRDefault="007B588C" w:rsidP="004677BD">
      <w:pPr>
        <w:numPr>
          <w:ilvl w:val="1"/>
          <w:numId w:val="9"/>
        </w:numPr>
        <w:spacing w:after="0" w:line="240" w:lineRule="auto"/>
        <w:ind w:hanging="650"/>
        <w:contextualSpacing/>
        <w:jc w:val="both"/>
        <w:rPr>
          <w:rFonts w:ascii="Garamond" w:hAnsi="Garamond"/>
          <w:sz w:val="24"/>
          <w:szCs w:val="24"/>
        </w:rPr>
      </w:pPr>
      <w:r w:rsidRPr="007B588C">
        <w:rPr>
          <w:rFonts w:ascii="Garamond" w:hAnsi="Garamond"/>
          <w:sz w:val="24"/>
          <w:szCs w:val="24"/>
        </w:rPr>
        <w:t>The Nikkei India Manufacturing PMI (Purchasing Managers’ Index) stood at 51.6 in May slightly down from 52.5 in April. The Nikkei India Services PMI Index noted increase to 52.2 in May, from 50.2 in April, from the reading of previous month, registering an expansion for consecutive 3 months.</w:t>
      </w:r>
    </w:p>
    <w:p w:rsidR="007B588C" w:rsidRPr="007B588C" w:rsidRDefault="007B588C" w:rsidP="007B588C">
      <w:pPr>
        <w:autoSpaceDE w:val="0"/>
        <w:autoSpaceDN w:val="0"/>
        <w:adjustRightInd w:val="0"/>
        <w:spacing w:after="0"/>
        <w:rPr>
          <w:rFonts w:ascii="Garamond" w:hAnsi="Garamond"/>
          <w:b/>
          <w:bCs/>
          <w:sz w:val="24"/>
          <w:szCs w:val="24"/>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rPr>
          <w:rFonts w:ascii="Garamond" w:hAnsi="Garamond"/>
          <w:b/>
          <w:bCs/>
          <w:lang w:val="en-IN"/>
        </w:rPr>
      </w:pPr>
    </w:p>
    <w:p w:rsidR="007B588C" w:rsidRPr="001F779E" w:rsidRDefault="007B588C" w:rsidP="007B588C">
      <w:pPr>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autoSpaceDE w:val="0"/>
        <w:autoSpaceDN w:val="0"/>
        <w:adjustRightInd w:val="0"/>
        <w:spacing w:after="0"/>
        <w:rPr>
          <w:rFonts w:ascii="Garamond" w:hAnsi="Garamond"/>
          <w:b/>
          <w:bCs/>
          <w:lang w:val="en-IN"/>
        </w:rPr>
      </w:pPr>
    </w:p>
    <w:p w:rsidR="007B588C" w:rsidRPr="001F779E" w:rsidRDefault="007B588C" w:rsidP="007B588C">
      <w:pPr>
        <w:rPr>
          <w:rFonts w:ascii="Garamond" w:hAnsi="Garamond"/>
          <w:b/>
          <w:bCs/>
          <w:lang w:val="en-IN"/>
        </w:rPr>
      </w:pPr>
    </w:p>
    <w:p w:rsidR="007B588C" w:rsidRPr="001F779E" w:rsidRDefault="007B588C" w:rsidP="007B588C">
      <w:pPr>
        <w:rPr>
          <w:rFonts w:ascii="Garamond" w:hAnsi="Garamond"/>
          <w:b/>
          <w:bCs/>
          <w:lang w:val="en-IN"/>
        </w:rPr>
      </w:pPr>
      <w:r w:rsidRPr="001F779E">
        <w:rPr>
          <w:rFonts w:ascii="Garamond" w:hAnsi="Garamond"/>
          <w:b/>
          <w:bCs/>
          <w:lang w:val="en-IN"/>
        </w:rPr>
        <w:br w:type="page"/>
      </w:r>
    </w:p>
    <w:p w:rsidR="007B588C" w:rsidRPr="001F779E" w:rsidRDefault="007B588C" w:rsidP="007B588C">
      <w:pPr>
        <w:autoSpaceDE w:val="0"/>
        <w:autoSpaceDN w:val="0"/>
        <w:adjustRightInd w:val="0"/>
        <w:spacing w:after="0"/>
        <w:rPr>
          <w:rFonts w:ascii="Garamond" w:hAnsi="Garamond"/>
          <w:b/>
          <w:bCs/>
          <w:lang w:val="en-IN"/>
        </w:rPr>
      </w:pPr>
      <w:r w:rsidRPr="001F779E">
        <w:rPr>
          <w:rFonts w:ascii="Garamond" w:hAnsi="Garamond"/>
          <w:b/>
          <w:bCs/>
          <w:lang w:val="en-IN"/>
        </w:rPr>
        <w:lastRenderedPageBreak/>
        <w:t>Exhibit 3: Quarterly Estimates of GVA (Y-o-Y) (at 2011-12 prices)</w:t>
      </w:r>
    </w:p>
    <w:p w:rsidR="007B588C" w:rsidRPr="001F779E" w:rsidRDefault="007B588C" w:rsidP="007B588C">
      <w:pPr>
        <w:autoSpaceDE w:val="0"/>
        <w:autoSpaceDN w:val="0"/>
        <w:adjustRightInd w:val="0"/>
        <w:spacing w:after="0"/>
        <w:ind w:left="-90"/>
        <w:contextualSpacing/>
        <w:jc w:val="center"/>
        <w:rPr>
          <w:rFonts w:ascii="Garamond" w:hAnsi="Garamond"/>
          <w:b/>
          <w:bCs/>
          <w:i/>
          <w:iCs/>
          <w:lang w:val="en-IN"/>
        </w:rPr>
      </w:pPr>
    </w:p>
    <w:tbl>
      <w:tblPr>
        <w:tblW w:w="10098" w:type="dxa"/>
        <w:jc w:val="center"/>
        <w:tblLook w:val="04A0" w:firstRow="1" w:lastRow="0" w:firstColumn="1" w:lastColumn="0" w:noHBand="0" w:noVBand="1"/>
      </w:tblPr>
      <w:tblGrid>
        <w:gridCol w:w="3033"/>
        <w:gridCol w:w="927"/>
        <w:gridCol w:w="902"/>
        <w:gridCol w:w="669"/>
        <w:gridCol w:w="671"/>
        <w:gridCol w:w="642"/>
        <w:gridCol w:w="714"/>
        <w:gridCol w:w="636"/>
        <w:gridCol w:w="670"/>
        <w:gridCol w:w="636"/>
        <w:gridCol w:w="598"/>
      </w:tblGrid>
      <w:tr w:rsidR="007B588C" w:rsidRPr="001F779E" w:rsidTr="00460024">
        <w:trPr>
          <w:trHeight w:val="503"/>
          <w:tblHeader/>
          <w:jc w:val="center"/>
        </w:trPr>
        <w:tc>
          <w:tcPr>
            <w:tcW w:w="3033"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Items</w:t>
            </w:r>
          </w:p>
        </w:tc>
        <w:tc>
          <w:tcPr>
            <w:tcW w:w="927" w:type="dxa"/>
            <w:tcBorders>
              <w:top w:val="single" w:sz="8" w:space="0" w:color="B3CC82"/>
              <w:left w:val="nil"/>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2015-16</w:t>
            </w:r>
          </w:p>
        </w:tc>
        <w:tc>
          <w:tcPr>
            <w:tcW w:w="902" w:type="dxa"/>
            <w:tcBorders>
              <w:top w:val="single" w:sz="8" w:space="0" w:color="B3CC82"/>
              <w:left w:val="nil"/>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2016-17</w:t>
            </w:r>
          </w:p>
        </w:tc>
        <w:tc>
          <w:tcPr>
            <w:tcW w:w="2696"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2015-16</w:t>
            </w:r>
          </w:p>
        </w:tc>
        <w:tc>
          <w:tcPr>
            <w:tcW w:w="2540"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2016-17</w:t>
            </w:r>
          </w:p>
        </w:tc>
      </w:tr>
      <w:tr w:rsidR="007B588C" w:rsidRPr="001F779E" w:rsidTr="00460024">
        <w:trPr>
          <w:trHeight w:val="271"/>
          <w:tblHeader/>
          <w:jc w:val="center"/>
        </w:trPr>
        <w:tc>
          <w:tcPr>
            <w:tcW w:w="3033" w:type="dxa"/>
            <w:vMerge/>
            <w:tcBorders>
              <w:top w:val="single" w:sz="8" w:space="0" w:color="B3CC82"/>
              <w:left w:val="single" w:sz="8" w:space="0" w:color="B3CC82"/>
              <w:bottom w:val="single" w:sz="8" w:space="0" w:color="B3CC82"/>
              <w:right w:val="single" w:sz="8" w:space="0" w:color="B3CC82"/>
            </w:tcBorders>
            <w:vAlign w:val="center"/>
            <w:hideMark/>
          </w:tcPr>
          <w:p w:rsidR="007B588C" w:rsidRPr="001F779E" w:rsidRDefault="007B588C" w:rsidP="00460024">
            <w:pPr>
              <w:spacing w:after="0"/>
              <w:rPr>
                <w:rFonts w:ascii="Garamond" w:eastAsia="Times New Roman" w:hAnsi="Garamond" w:cs="Calibri"/>
                <w:b/>
                <w:bCs/>
                <w:color w:val="000000"/>
                <w:lang w:bidi="hi-IN"/>
              </w:rPr>
            </w:pPr>
          </w:p>
        </w:tc>
        <w:tc>
          <w:tcPr>
            <w:tcW w:w="927"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(1</w:t>
            </w:r>
            <w:r w:rsidRPr="001F779E">
              <w:rPr>
                <w:rFonts w:ascii="Garamond" w:eastAsia="Times New Roman" w:hAnsi="Garamond" w:cs="Calibri"/>
                <w:b/>
                <w:bCs/>
                <w:color w:val="000000"/>
                <w:vertAlign w:val="superscript"/>
                <w:lang w:bidi="hi-IN"/>
              </w:rPr>
              <w:t>st</w:t>
            </w:r>
            <w:r w:rsidRPr="001F779E">
              <w:rPr>
                <w:rFonts w:ascii="Garamond" w:eastAsia="Times New Roman" w:hAnsi="Garamond" w:cs="Calibri"/>
                <w:b/>
                <w:bCs/>
                <w:color w:val="000000"/>
                <w:lang w:bidi="hi-IN"/>
              </w:rPr>
              <w:t xml:space="preserve"> RE)</w:t>
            </w:r>
          </w:p>
        </w:tc>
        <w:tc>
          <w:tcPr>
            <w:tcW w:w="902"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(PE)</w:t>
            </w:r>
          </w:p>
        </w:tc>
        <w:tc>
          <w:tcPr>
            <w:tcW w:w="669"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Q1</w:t>
            </w:r>
          </w:p>
        </w:tc>
        <w:tc>
          <w:tcPr>
            <w:tcW w:w="671"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Q2</w:t>
            </w:r>
          </w:p>
        </w:tc>
        <w:tc>
          <w:tcPr>
            <w:tcW w:w="642"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Q3</w:t>
            </w:r>
          </w:p>
        </w:tc>
        <w:tc>
          <w:tcPr>
            <w:tcW w:w="714"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Q4</w:t>
            </w:r>
          </w:p>
        </w:tc>
        <w:tc>
          <w:tcPr>
            <w:tcW w:w="636" w:type="dxa"/>
            <w:tcBorders>
              <w:top w:val="single" w:sz="4" w:space="0" w:color="auto"/>
              <w:left w:val="nil"/>
              <w:bottom w:val="single" w:sz="8" w:space="0" w:color="B3CC82"/>
              <w:right w:val="single" w:sz="8" w:space="0" w:color="B3CC82"/>
            </w:tcBorders>
            <w:shd w:val="clear" w:color="000000" w:fill="00B050"/>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Q1</w:t>
            </w:r>
          </w:p>
        </w:tc>
        <w:tc>
          <w:tcPr>
            <w:tcW w:w="670" w:type="dxa"/>
            <w:tcBorders>
              <w:top w:val="single" w:sz="4" w:space="0" w:color="auto"/>
              <w:left w:val="nil"/>
              <w:bottom w:val="single" w:sz="8" w:space="0" w:color="B3CC82"/>
              <w:right w:val="single" w:sz="8" w:space="0" w:color="B3CC82"/>
            </w:tcBorders>
            <w:shd w:val="clear" w:color="000000" w:fill="00B050"/>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Q2</w:t>
            </w:r>
          </w:p>
        </w:tc>
        <w:tc>
          <w:tcPr>
            <w:tcW w:w="636" w:type="dxa"/>
            <w:tcBorders>
              <w:top w:val="single" w:sz="4" w:space="0" w:color="auto"/>
              <w:left w:val="nil"/>
              <w:bottom w:val="single" w:sz="8" w:space="0" w:color="B3CC82"/>
              <w:right w:val="single" w:sz="8" w:space="0" w:color="B3CC82"/>
            </w:tcBorders>
            <w:shd w:val="clear" w:color="000000" w:fill="00B050"/>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Q3</w:t>
            </w:r>
          </w:p>
        </w:tc>
        <w:tc>
          <w:tcPr>
            <w:tcW w:w="598" w:type="dxa"/>
            <w:tcBorders>
              <w:top w:val="single" w:sz="4" w:space="0" w:color="auto"/>
              <w:left w:val="nil"/>
              <w:bottom w:val="single" w:sz="8" w:space="0" w:color="B3CC82"/>
              <w:right w:val="single" w:sz="8" w:space="0" w:color="B3CC82"/>
            </w:tcBorders>
            <w:shd w:val="clear" w:color="000000" w:fill="00B050"/>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eastAsia="Times New Roman" w:hAnsi="Garamond" w:cs="Calibri"/>
                <w:color w:val="000000"/>
                <w:lang w:bidi="hi-IN"/>
              </w:rPr>
              <w:t>Q4</w:t>
            </w: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E6EED5"/>
            <w:vAlign w:val="center"/>
            <w:hideMark/>
          </w:tcPr>
          <w:p w:rsidR="007B588C" w:rsidRPr="001F779E" w:rsidRDefault="007B588C" w:rsidP="00460024">
            <w:pPr>
              <w:spacing w:after="0"/>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 xml:space="preserve">1. Agriculture &amp; allied activities </w:t>
            </w:r>
          </w:p>
        </w:tc>
        <w:tc>
          <w:tcPr>
            <w:tcW w:w="927"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0.7</w:t>
            </w:r>
          </w:p>
        </w:tc>
        <w:tc>
          <w:tcPr>
            <w:tcW w:w="90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4.9</w:t>
            </w:r>
          </w:p>
        </w:tc>
        <w:tc>
          <w:tcPr>
            <w:tcW w:w="669"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2.4</w:t>
            </w:r>
          </w:p>
        </w:tc>
        <w:tc>
          <w:tcPr>
            <w:tcW w:w="671"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2.3</w:t>
            </w:r>
          </w:p>
        </w:tc>
        <w:tc>
          <w:tcPr>
            <w:tcW w:w="64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-2.1</w:t>
            </w:r>
          </w:p>
        </w:tc>
        <w:tc>
          <w:tcPr>
            <w:tcW w:w="714"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1.5</w:t>
            </w:r>
          </w:p>
        </w:tc>
        <w:tc>
          <w:tcPr>
            <w:tcW w:w="636"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2.5</w:t>
            </w:r>
          </w:p>
        </w:tc>
        <w:tc>
          <w:tcPr>
            <w:tcW w:w="670"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4.1</w:t>
            </w:r>
          </w:p>
        </w:tc>
        <w:tc>
          <w:tcPr>
            <w:tcW w:w="636"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6.9</w:t>
            </w:r>
          </w:p>
        </w:tc>
        <w:tc>
          <w:tcPr>
            <w:tcW w:w="598"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rPr>
              <w:t>5.2</w:t>
            </w: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CDDDAC"/>
            <w:vAlign w:val="center"/>
            <w:hideMark/>
          </w:tcPr>
          <w:p w:rsidR="007B588C" w:rsidRPr="001F779E" w:rsidRDefault="007B588C" w:rsidP="00460024">
            <w:pPr>
              <w:spacing w:after="0"/>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2. Industry</w:t>
            </w:r>
          </w:p>
        </w:tc>
        <w:tc>
          <w:tcPr>
            <w:tcW w:w="927"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p>
        </w:tc>
        <w:tc>
          <w:tcPr>
            <w:tcW w:w="90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p>
        </w:tc>
        <w:tc>
          <w:tcPr>
            <w:tcW w:w="669"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b/>
                <w:bCs/>
                <w:color w:val="000000"/>
                <w:lang w:bidi="hi-IN"/>
              </w:rPr>
            </w:pPr>
          </w:p>
        </w:tc>
        <w:tc>
          <w:tcPr>
            <w:tcW w:w="671"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b/>
                <w:bCs/>
                <w:color w:val="000000"/>
                <w:lang w:bidi="hi-IN"/>
              </w:rPr>
            </w:pPr>
          </w:p>
        </w:tc>
        <w:tc>
          <w:tcPr>
            <w:tcW w:w="64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b/>
                <w:bCs/>
                <w:color w:val="000000"/>
                <w:lang w:bidi="hi-IN"/>
              </w:rPr>
            </w:pPr>
          </w:p>
        </w:tc>
        <w:tc>
          <w:tcPr>
            <w:tcW w:w="714"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b/>
                <w:bCs/>
                <w:color w:val="000000"/>
                <w:lang w:bidi="hi-IN"/>
              </w:rPr>
            </w:pPr>
          </w:p>
        </w:tc>
        <w:tc>
          <w:tcPr>
            <w:tcW w:w="636"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b/>
                <w:bCs/>
                <w:color w:val="000000"/>
                <w:lang w:bidi="hi-IN"/>
              </w:rPr>
            </w:pPr>
          </w:p>
        </w:tc>
        <w:tc>
          <w:tcPr>
            <w:tcW w:w="670"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b/>
                <w:bCs/>
                <w:color w:val="000000"/>
                <w:lang w:bidi="hi-IN"/>
              </w:rPr>
            </w:pPr>
          </w:p>
        </w:tc>
        <w:tc>
          <w:tcPr>
            <w:tcW w:w="636"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b/>
                <w:bCs/>
                <w:color w:val="000000"/>
                <w:lang w:bidi="hi-IN"/>
              </w:rPr>
            </w:pPr>
          </w:p>
        </w:tc>
        <w:tc>
          <w:tcPr>
            <w:tcW w:w="598"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b/>
                <w:bCs/>
                <w:color w:val="000000"/>
                <w:lang w:bidi="hi-IN"/>
              </w:rPr>
            </w:pP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E6EED5"/>
            <w:vAlign w:val="center"/>
            <w:hideMark/>
          </w:tcPr>
          <w:p w:rsidR="007B588C" w:rsidRPr="001F779E" w:rsidRDefault="007B588C" w:rsidP="00460024">
            <w:pPr>
              <w:spacing w:after="0"/>
              <w:rPr>
                <w:rFonts w:ascii="Garamond" w:eastAsia="Times New Roman" w:hAnsi="Garamond" w:cs="Calibri"/>
                <w:color w:val="000000"/>
                <w:lang w:bidi="hi-IN"/>
              </w:rPr>
            </w:pPr>
            <w:r w:rsidRPr="001F779E">
              <w:rPr>
                <w:rFonts w:ascii="Garamond" w:eastAsia="Times New Roman" w:hAnsi="Garamond" w:cs="Calibri"/>
                <w:color w:val="000000"/>
                <w:lang w:bidi="hi-IN"/>
              </w:rPr>
              <w:t xml:space="preserve">       Mining &amp; Quarrying</w:t>
            </w:r>
          </w:p>
        </w:tc>
        <w:tc>
          <w:tcPr>
            <w:tcW w:w="927"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10.5</w:t>
            </w:r>
          </w:p>
        </w:tc>
        <w:tc>
          <w:tcPr>
            <w:tcW w:w="90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1.8</w:t>
            </w:r>
          </w:p>
        </w:tc>
        <w:tc>
          <w:tcPr>
            <w:tcW w:w="669"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8.3</w:t>
            </w:r>
          </w:p>
        </w:tc>
        <w:tc>
          <w:tcPr>
            <w:tcW w:w="671"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12.2</w:t>
            </w:r>
          </w:p>
        </w:tc>
        <w:tc>
          <w:tcPr>
            <w:tcW w:w="64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11.7</w:t>
            </w:r>
          </w:p>
        </w:tc>
        <w:tc>
          <w:tcPr>
            <w:tcW w:w="714"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10.5</w:t>
            </w:r>
          </w:p>
        </w:tc>
        <w:tc>
          <w:tcPr>
            <w:tcW w:w="636"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-0.9</w:t>
            </w:r>
          </w:p>
        </w:tc>
        <w:tc>
          <w:tcPr>
            <w:tcW w:w="670"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-1.3</w:t>
            </w:r>
          </w:p>
        </w:tc>
        <w:tc>
          <w:tcPr>
            <w:tcW w:w="636"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1.9</w:t>
            </w:r>
          </w:p>
        </w:tc>
        <w:tc>
          <w:tcPr>
            <w:tcW w:w="598"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6.4</w:t>
            </w: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CDDDAC"/>
            <w:vAlign w:val="center"/>
            <w:hideMark/>
          </w:tcPr>
          <w:p w:rsidR="007B588C" w:rsidRPr="001F779E" w:rsidRDefault="007B588C" w:rsidP="00460024">
            <w:pPr>
              <w:spacing w:after="0"/>
              <w:rPr>
                <w:rFonts w:ascii="Garamond" w:eastAsia="Times New Roman" w:hAnsi="Garamond" w:cs="Calibri"/>
                <w:color w:val="000000"/>
                <w:lang w:bidi="hi-IN"/>
              </w:rPr>
            </w:pPr>
            <w:r w:rsidRPr="001F779E">
              <w:rPr>
                <w:rFonts w:ascii="Garamond" w:eastAsia="Times New Roman" w:hAnsi="Garamond" w:cs="Calibri"/>
                <w:color w:val="000000"/>
                <w:lang w:bidi="hi-IN"/>
              </w:rPr>
              <w:t xml:space="preserve">       Manufacturing</w:t>
            </w:r>
          </w:p>
        </w:tc>
        <w:tc>
          <w:tcPr>
            <w:tcW w:w="927"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r w:rsidRPr="001F779E">
              <w:rPr>
                <w:rFonts w:ascii="Garamond" w:hAnsi="Garamond"/>
              </w:rPr>
              <w:t>10.8</w:t>
            </w:r>
          </w:p>
        </w:tc>
        <w:tc>
          <w:tcPr>
            <w:tcW w:w="90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r w:rsidRPr="001F779E">
              <w:rPr>
                <w:rFonts w:ascii="Garamond" w:hAnsi="Garamond"/>
              </w:rPr>
              <w:t>7.9</w:t>
            </w:r>
          </w:p>
        </w:tc>
        <w:tc>
          <w:tcPr>
            <w:tcW w:w="669"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8.2</w:t>
            </w:r>
          </w:p>
        </w:tc>
        <w:tc>
          <w:tcPr>
            <w:tcW w:w="671"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9.3</w:t>
            </w:r>
          </w:p>
        </w:tc>
        <w:tc>
          <w:tcPr>
            <w:tcW w:w="64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13.2</w:t>
            </w:r>
          </w:p>
        </w:tc>
        <w:tc>
          <w:tcPr>
            <w:tcW w:w="714"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12.7</w:t>
            </w:r>
          </w:p>
        </w:tc>
        <w:tc>
          <w:tcPr>
            <w:tcW w:w="636"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10.7</w:t>
            </w:r>
          </w:p>
        </w:tc>
        <w:tc>
          <w:tcPr>
            <w:tcW w:w="670"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7.7</w:t>
            </w:r>
          </w:p>
        </w:tc>
        <w:tc>
          <w:tcPr>
            <w:tcW w:w="636"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8.2</w:t>
            </w:r>
          </w:p>
        </w:tc>
        <w:tc>
          <w:tcPr>
            <w:tcW w:w="598"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5.3</w:t>
            </w:r>
          </w:p>
        </w:tc>
      </w:tr>
      <w:tr w:rsidR="007B588C" w:rsidRPr="001F779E" w:rsidTr="00460024">
        <w:trPr>
          <w:trHeight w:val="467"/>
          <w:jc w:val="center"/>
        </w:trPr>
        <w:tc>
          <w:tcPr>
            <w:tcW w:w="3033" w:type="dxa"/>
            <w:tcBorders>
              <w:top w:val="nil"/>
              <w:left w:val="single" w:sz="8" w:space="0" w:color="B3CC82"/>
              <w:bottom w:val="single" w:sz="8" w:space="0" w:color="B3CC82"/>
              <w:right w:val="single" w:sz="8" w:space="0" w:color="B3CC82"/>
            </w:tcBorders>
            <w:shd w:val="clear" w:color="000000" w:fill="E6EED5"/>
            <w:vAlign w:val="center"/>
            <w:hideMark/>
          </w:tcPr>
          <w:p w:rsidR="007B588C" w:rsidRPr="001F779E" w:rsidRDefault="007B588C" w:rsidP="00460024">
            <w:pPr>
              <w:spacing w:after="0"/>
              <w:ind w:left="422" w:hanging="422"/>
              <w:rPr>
                <w:rFonts w:ascii="Garamond" w:eastAsia="Times New Roman" w:hAnsi="Garamond" w:cs="Calibri"/>
                <w:color w:val="000000"/>
                <w:lang w:bidi="hi-IN"/>
              </w:rPr>
            </w:pPr>
            <w:r w:rsidRPr="001F779E">
              <w:rPr>
                <w:rFonts w:ascii="Garamond" w:eastAsia="Times New Roman" w:hAnsi="Garamond" w:cs="Calibri"/>
                <w:color w:val="000000"/>
                <w:lang w:bidi="hi-IN"/>
              </w:rPr>
              <w:t xml:space="preserve">       Electricity, Gas, Water    Supply &amp; Other Utility Services</w:t>
            </w:r>
          </w:p>
        </w:tc>
        <w:tc>
          <w:tcPr>
            <w:tcW w:w="927"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5</w:t>
            </w:r>
          </w:p>
        </w:tc>
        <w:tc>
          <w:tcPr>
            <w:tcW w:w="90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7.2</w:t>
            </w:r>
          </w:p>
        </w:tc>
        <w:tc>
          <w:tcPr>
            <w:tcW w:w="669"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2.8</w:t>
            </w:r>
          </w:p>
        </w:tc>
        <w:tc>
          <w:tcPr>
            <w:tcW w:w="671"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5.7</w:t>
            </w:r>
          </w:p>
        </w:tc>
        <w:tc>
          <w:tcPr>
            <w:tcW w:w="64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4</w:t>
            </w:r>
          </w:p>
        </w:tc>
        <w:tc>
          <w:tcPr>
            <w:tcW w:w="714"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7.6</w:t>
            </w:r>
          </w:p>
        </w:tc>
        <w:tc>
          <w:tcPr>
            <w:tcW w:w="636"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10.3</w:t>
            </w:r>
          </w:p>
        </w:tc>
        <w:tc>
          <w:tcPr>
            <w:tcW w:w="670"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5.1</w:t>
            </w:r>
          </w:p>
        </w:tc>
        <w:tc>
          <w:tcPr>
            <w:tcW w:w="636"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7.4</w:t>
            </w:r>
          </w:p>
        </w:tc>
        <w:tc>
          <w:tcPr>
            <w:tcW w:w="598"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6.1</w:t>
            </w: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CDDDAC"/>
            <w:vAlign w:val="center"/>
            <w:hideMark/>
          </w:tcPr>
          <w:p w:rsidR="007B588C" w:rsidRPr="001F779E" w:rsidRDefault="007B588C" w:rsidP="00460024">
            <w:pPr>
              <w:spacing w:after="0"/>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3. Services</w:t>
            </w:r>
          </w:p>
        </w:tc>
        <w:tc>
          <w:tcPr>
            <w:tcW w:w="927"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p>
        </w:tc>
        <w:tc>
          <w:tcPr>
            <w:tcW w:w="90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p>
        </w:tc>
        <w:tc>
          <w:tcPr>
            <w:tcW w:w="669"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p>
        </w:tc>
        <w:tc>
          <w:tcPr>
            <w:tcW w:w="671"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p>
        </w:tc>
        <w:tc>
          <w:tcPr>
            <w:tcW w:w="64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p>
        </w:tc>
        <w:tc>
          <w:tcPr>
            <w:tcW w:w="714"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p>
        </w:tc>
        <w:tc>
          <w:tcPr>
            <w:tcW w:w="636"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p>
        </w:tc>
        <w:tc>
          <w:tcPr>
            <w:tcW w:w="670"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p>
        </w:tc>
        <w:tc>
          <w:tcPr>
            <w:tcW w:w="636"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p>
        </w:tc>
        <w:tc>
          <w:tcPr>
            <w:tcW w:w="598"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E6EED5"/>
            <w:vAlign w:val="center"/>
            <w:hideMark/>
          </w:tcPr>
          <w:p w:rsidR="007B588C" w:rsidRPr="001F779E" w:rsidRDefault="007B588C" w:rsidP="00460024">
            <w:pPr>
              <w:spacing w:after="0"/>
              <w:rPr>
                <w:rFonts w:ascii="Garamond" w:eastAsia="Times New Roman" w:hAnsi="Garamond" w:cs="Calibri"/>
                <w:color w:val="000000"/>
                <w:lang w:bidi="hi-IN"/>
              </w:rPr>
            </w:pPr>
            <w:r w:rsidRPr="001F779E">
              <w:rPr>
                <w:rFonts w:ascii="Garamond" w:eastAsia="Times New Roman" w:hAnsi="Garamond" w:cs="Calibri"/>
                <w:color w:val="000000"/>
                <w:lang w:bidi="hi-IN"/>
              </w:rPr>
              <w:t xml:space="preserve">       Construction</w:t>
            </w:r>
          </w:p>
        </w:tc>
        <w:tc>
          <w:tcPr>
            <w:tcW w:w="927"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5</w:t>
            </w:r>
          </w:p>
        </w:tc>
        <w:tc>
          <w:tcPr>
            <w:tcW w:w="90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1.7</w:t>
            </w:r>
          </w:p>
        </w:tc>
        <w:tc>
          <w:tcPr>
            <w:tcW w:w="669"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6.2</w:t>
            </w:r>
          </w:p>
        </w:tc>
        <w:tc>
          <w:tcPr>
            <w:tcW w:w="671"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1.6</w:t>
            </w:r>
          </w:p>
        </w:tc>
        <w:tc>
          <w:tcPr>
            <w:tcW w:w="64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w:t>
            </w:r>
          </w:p>
        </w:tc>
        <w:tc>
          <w:tcPr>
            <w:tcW w:w="714"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w:t>
            </w:r>
          </w:p>
        </w:tc>
        <w:tc>
          <w:tcPr>
            <w:tcW w:w="636"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3.1</w:t>
            </w:r>
          </w:p>
        </w:tc>
        <w:tc>
          <w:tcPr>
            <w:tcW w:w="670"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4.3</w:t>
            </w:r>
          </w:p>
        </w:tc>
        <w:tc>
          <w:tcPr>
            <w:tcW w:w="636"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3.4</w:t>
            </w:r>
          </w:p>
        </w:tc>
        <w:tc>
          <w:tcPr>
            <w:tcW w:w="598"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-3.7</w:t>
            </w:r>
          </w:p>
        </w:tc>
      </w:tr>
      <w:tr w:rsidR="007B588C" w:rsidRPr="001F779E" w:rsidTr="00460024">
        <w:trPr>
          <w:trHeight w:val="697"/>
          <w:jc w:val="center"/>
        </w:trPr>
        <w:tc>
          <w:tcPr>
            <w:tcW w:w="3033" w:type="dxa"/>
            <w:tcBorders>
              <w:top w:val="nil"/>
              <w:left w:val="single" w:sz="8" w:space="0" w:color="B3CC82"/>
              <w:bottom w:val="single" w:sz="8" w:space="0" w:color="B3CC82"/>
              <w:right w:val="single" w:sz="8" w:space="0" w:color="B3CC82"/>
            </w:tcBorders>
            <w:shd w:val="clear" w:color="000000" w:fill="CDDDAC"/>
            <w:vAlign w:val="center"/>
            <w:hideMark/>
          </w:tcPr>
          <w:p w:rsidR="007B588C" w:rsidRPr="001F779E" w:rsidRDefault="007B588C" w:rsidP="00460024">
            <w:pPr>
              <w:spacing w:after="0"/>
              <w:ind w:left="422" w:hanging="422"/>
              <w:rPr>
                <w:rFonts w:ascii="Garamond" w:eastAsia="Times New Roman" w:hAnsi="Garamond" w:cs="Calibri"/>
                <w:color w:val="000000"/>
                <w:lang w:bidi="hi-IN"/>
              </w:rPr>
            </w:pPr>
            <w:r w:rsidRPr="001F779E">
              <w:rPr>
                <w:rFonts w:ascii="Garamond" w:eastAsia="Times New Roman" w:hAnsi="Garamond" w:cs="Calibri"/>
                <w:color w:val="000000"/>
                <w:lang w:bidi="hi-IN"/>
              </w:rPr>
              <w:t xml:space="preserve">       Trade, Hotel, Transport,  Communication and services related to broadcasting</w:t>
            </w:r>
          </w:p>
        </w:tc>
        <w:tc>
          <w:tcPr>
            <w:tcW w:w="927"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r w:rsidRPr="001F779E">
              <w:rPr>
                <w:rFonts w:ascii="Garamond" w:hAnsi="Garamond"/>
              </w:rPr>
              <w:t>10.5</w:t>
            </w:r>
          </w:p>
        </w:tc>
        <w:tc>
          <w:tcPr>
            <w:tcW w:w="90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r w:rsidRPr="001F779E">
              <w:rPr>
                <w:rFonts w:ascii="Garamond" w:hAnsi="Garamond"/>
              </w:rPr>
              <w:t>7.8</w:t>
            </w:r>
          </w:p>
        </w:tc>
        <w:tc>
          <w:tcPr>
            <w:tcW w:w="669"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10.3</w:t>
            </w:r>
          </w:p>
        </w:tc>
        <w:tc>
          <w:tcPr>
            <w:tcW w:w="671"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8.3</w:t>
            </w:r>
          </w:p>
        </w:tc>
        <w:tc>
          <w:tcPr>
            <w:tcW w:w="64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10.1</w:t>
            </w:r>
          </w:p>
        </w:tc>
        <w:tc>
          <w:tcPr>
            <w:tcW w:w="714"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12.8</w:t>
            </w:r>
          </w:p>
        </w:tc>
        <w:tc>
          <w:tcPr>
            <w:tcW w:w="636"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8.9</w:t>
            </w:r>
          </w:p>
        </w:tc>
        <w:tc>
          <w:tcPr>
            <w:tcW w:w="670"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7.7</w:t>
            </w:r>
          </w:p>
        </w:tc>
        <w:tc>
          <w:tcPr>
            <w:tcW w:w="636"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8.3</w:t>
            </w:r>
          </w:p>
        </w:tc>
        <w:tc>
          <w:tcPr>
            <w:tcW w:w="598"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6.5</w:t>
            </w:r>
          </w:p>
        </w:tc>
      </w:tr>
      <w:tr w:rsidR="007B588C" w:rsidRPr="001F779E" w:rsidTr="00460024">
        <w:trPr>
          <w:trHeight w:val="467"/>
          <w:jc w:val="center"/>
        </w:trPr>
        <w:tc>
          <w:tcPr>
            <w:tcW w:w="3033" w:type="dxa"/>
            <w:tcBorders>
              <w:top w:val="nil"/>
              <w:left w:val="single" w:sz="8" w:space="0" w:color="B3CC82"/>
              <w:bottom w:val="single" w:sz="8" w:space="0" w:color="B3CC82"/>
              <w:right w:val="single" w:sz="8" w:space="0" w:color="B3CC82"/>
            </w:tcBorders>
            <w:shd w:val="clear" w:color="000000" w:fill="E6EED5"/>
            <w:vAlign w:val="center"/>
            <w:hideMark/>
          </w:tcPr>
          <w:p w:rsidR="007B588C" w:rsidRPr="001F779E" w:rsidRDefault="007B588C" w:rsidP="00460024">
            <w:pPr>
              <w:spacing w:after="0"/>
              <w:ind w:left="422" w:hanging="422"/>
              <w:rPr>
                <w:rFonts w:ascii="Garamond" w:eastAsia="Times New Roman" w:hAnsi="Garamond" w:cs="Calibri"/>
                <w:color w:val="000000"/>
                <w:lang w:bidi="hi-IN"/>
              </w:rPr>
            </w:pPr>
            <w:r w:rsidRPr="001F779E">
              <w:rPr>
                <w:rFonts w:ascii="Garamond" w:eastAsia="Times New Roman" w:hAnsi="Garamond" w:cs="Calibri"/>
                <w:color w:val="000000"/>
                <w:lang w:bidi="hi-IN"/>
              </w:rPr>
              <w:t xml:space="preserve">       Financial, Real Estate &amp; Professional Services</w:t>
            </w:r>
          </w:p>
        </w:tc>
        <w:tc>
          <w:tcPr>
            <w:tcW w:w="927"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10.8</w:t>
            </w:r>
          </w:p>
        </w:tc>
        <w:tc>
          <w:tcPr>
            <w:tcW w:w="90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rPr>
            </w:pPr>
            <w:r w:rsidRPr="001F779E">
              <w:rPr>
                <w:rFonts w:ascii="Garamond" w:hAnsi="Garamond"/>
              </w:rPr>
              <w:t>5.7</w:t>
            </w:r>
          </w:p>
        </w:tc>
        <w:tc>
          <w:tcPr>
            <w:tcW w:w="669"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10.1</w:t>
            </w:r>
          </w:p>
        </w:tc>
        <w:tc>
          <w:tcPr>
            <w:tcW w:w="671"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13</w:t>
            </w:r>
          </w:p>
        </w:tc>
        <w:tc>
          <w:tcPr>
            <w:tcW w:w="64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10.5</w:t>
            </w:r>
          </w:p>
        </w:tc>
        <w:tc>
          <w:tcPr>
            <w:tcW w:w="714"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9</w:t>
            </w:r>
          </w:p>
        </w:tc>
        <w:tc>
          <w:tcPr>
            <w:tcW w:w="636"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9.4</w:t>
            </w:r>
          </w:p>
        </w:tc>
        <w:tc>
          <w:tcPr>
            <w:tcW w:w="670"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w:t>
            </w:r>
          </w:p>
        </w:tc>
        <w:tc>
          <w:tcPr>
            <w:tcW w:w="636"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3.3</w:t>
            </w:r>
          </w:p>
        </w:tc>
        <w:tc>
          <w:tcPr>
            <w:tcW w:w="598"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2.2</w:t>
            </w:r>
          </w:p>
        </w:tc>
      </w:tr>
      <w:tr w:rsidR="007B588C" w:rsidRPr="001F779E" w:rsidTr="00460024">
        <w:trPr>
          <w:trHeight w:val="467"/>
          <w:jc w:val="center"/>
        </w:trPr>
        <w:tc>
          <w:tcPr>
            <w:tcW w:w="3033" w:type="dxa"/>
            <w:tcBorders>
              <w:top w:val="nil"/>
              <w:left w:val="single" w:sz="8" w:space="0" w:color="B3CC82"/>
              <w:bottom w:val="single" w:sz="8" w:space="0" w:color="B3CC82"/>
              <w:right w:val="single" w:sz="8" w:space="0" w:color="B3CC82"/>
            </w:tcBorders>
            <w:shd w:val="clear" w:color="000000" w:fill="CDDDAC"/>
            <w:vAlign w:val="center"/>
            <w:hideMark/>
          </w:tcPr>
          <w:p w:rsidR="007B588C" w:rsidRPr="001F779E" w:rsidRDefault="007B588C" w:rsidP="00460024">
            <w:pPr>
              <w:spacing w:after="0"/>
              <w:ind w:left="422"/>
              <w:rPr>
                <w:rFonts w:ascii="Garamond" w:eastAsia="Times New Roman" w:hAnsi="Garamond" w:cs="Calibri"/>
                <w:color w:val="000000"/>
                <w:lang w:bidi="hi-IN"/>
              </w:rPr>
            </w:pPr>
            <w:r w:rsidRPr="001F779E">
              <w:rPr>
                <w:rFonts w:ascii="Garamond" w:eastAsia="Times New Roman" w:hAnsi="Garamond" w:cs="Calibri"/>
                <w:color w:val="000000"/>
                <w:lang w:bidi="hi-IN"/>
              </w:rPr>
              <w:t>Public Administration, Defense and Other services</w:t>
            </w:r>
          </w:p>
        </w:tc>
        <w:tc>
          <w:tcPr>
            <w:tcW w:w="927"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r w:rsidRPr="001F779E">
              <w:rPr>
                <w:rFonts w:ascii="Garamond" w:hAnsi="Garamond"/>
              </w:rPr>
              <w:t>6.9</w:t>
            </w:r>
          </w:p>
        </w:tc>
        <w:tc>
          <w:tcPr>
            <w:tcW w:w="90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hAnsi="Garamond"/>
              </w:rPr>
            </w:pPr>
            <w:r w:rsidRPr="001F779E">
              <w:rPr>
                <w:rFonts w:ascii="Garamond" w:hAnsi="Garamond"/>
              </w:rPr>
              <w:t>11.3</w:t>
            </w:r>
          </w:p>
        </w:tc>
        <w:tc>
          <w:tcPr>
            <w:tcW w:w="669"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6.2</w:t>
            </w:r>
          </w:p>
        </w:tc>
        <w:tc>
          <w:tcPr>
            <w:tcW w:w="671"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7.2</w:t>
            </w:r>
          </w:p>
        </w:tc>
        <w:tc>
          <w:tcPr>
            <w:tcW w:w="642"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7.5</w:t>
            </w:r>
          </w:p>
        </w:tc>
        <w:tc>
          <w:tcPr>
            <w:tcW w:w="714"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6.7</w:t>
            </w:r>
          </w:p>
        </w:tc>
        <w:tc>
          <w:tcPr>
            <w:tcW w:w="636" w:type="dxa"/>
            <w:tcBorders>
              <w:top w:val="nil"/>
              <w:left w:val="nil"/>
              <w:bottom w:val="single" w:sz="8" w:space="0" w:color="B3CC82"/>
              <w:right w:val="single" w:sz="8" w:space="0" w:color="B3CC82"/>
            </w:tcBorders>
            <w:shd w:val="clear" w:color="000000" w:fill="CDDDAC"/>
            <w:vAlign w:val="center"/>
            <w:hideMark/>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8.6</w:t>
            </w:r>
          </w:p>
        </w:tc>
        <w:tc>
          <w:tcPr>
            <w:tcW w:w="670"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9.5</w:t>
            </w:r>
          </w:p>
        </w:tc>
        <w:tc>
          <w:tcPr>
            <w:tcW w:w="636"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10.3</w:t>
            </w:r>
          </w:p>
        </w:tc>
        <w:tc>
          <w:tcPr>
            <w:tcW w:w="598" w:type="dxa"/>
            <w:tcBorders>
              <w:top w:val="nil"/>
              <w:left w:val="nil"/>
              <w:bottom w:val="single" w:sz="8" w:space="0" w:color="B3CC82"/>
              <w:right w:val="single" w:sz="8" w:space="0" w:color="B3CC82"/>
            </w:tcBorders>
            <w:shd w:val="clear" w:color="000000" w:fill="CDDDAC"/>
            <w:vAlign w:val="center"/>
          </w:tcPr>
          <w:p w:rsidR="007B588C" w:rsidRPr="001F779E" w:rsidRDefault="007B588C" w:rsidP="00460024">
            <w:pPr>
              <w:spacing w:after="0"/>
              <w:jc w:val="center"/>
              <w:rPr>
                <w:rFonts w:ascii="Garamond" w:eastAsia="Times New Roman" w:hAnsi="Garamond" w:cs="Calibri"/>
                <w:color w:val="000000"/>
                <w:lang w:bidi="hi-IN"/>
              </w:rPr>
            </w:pPr>
            <w:r w:rsidRPr="001F779E">
              <w:rPr>
                <w:rFonts w:ascii="Garamond" w:hAnsi="Garamond"/>
              </w:rPr>
              <w:t>17</w:t>
            </w:r>
          </w:p>
        </w:tc>
      </w:tr>
      <w:tr w:rsidR="007B588C" w:rsidRPr="001F779E" w:rsidTr="00460024">
        <w:trPr>
          <w:trHeight w:val="238"/>
          <w:jc w:val="center"/>
        </w:trPr>
        <w:tc>
          <w:tcPr>
            <w:tcW w:w="3033" w:type="dxa"/>
            <w:tcBorders>
              <w:top w:val="nil"/>
              <w:left w:val="single" w:sz="8" w:space="0" w:color="B3CC82"/>
              <w:bottom w:val="single" w:sz="8" w:space="0" w:color="B3CC82"/>
              <w:right w:val="single" w:sz="8" w:space="0" w:color="B3CC82"/>
            </w:tcBorders>
            <w:shd w:val="clear" w:color="000000" w:fill="E6EED5"/>
            <w:vAlign w:val="center"/>
            <w:hideMark/>
          </w:tcPr>
          <w:p w:rsidR="007B588C" w:rsidRPr="001F779E" w:rsidRDefault="007B588C" w:rsidP="00460024">
            <w:pPr>
              <w:spacing w:after="0"/>
              <w:rPr>
                <w:rFonts w:ascii="Garamond" w:eastAsia="Times New Roman" w:hAnsi="Garamond" w:cs="Calibri"/>
                <w:b/>
                <w:bCs/>
                <w:color w:val="000000"/>
                <w:lang w:bidi="hi-IN"/>
              </w:rPr>
            </w:pPr>
            <w:r w:rsidRPr="001F779E">
              <w:rPr>
                <w:rFonts w:ascii="Garamond" w:eastAsia="Times New Roman" w:hAnsi="Garamond" w:cs="Calibri"/>
                <w:b/>
                <w:bCs/>
                <w:color w:val="000000"/>
                <w:lang w:bidi="hi-IN"/>
              </w:rPr>
              <w:t>Gross Value Added at Basic Price</w:t>
            </w:r>
          </w:p>
        </w:tc>
        <w:tc>
          <w:tcPr>
            <w:tcW w:w="927"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b/>
              </w:rPr>
            </w:pPr>
            <w:r w:rsidRPr="001F779E">
              <w:rPr>
                <w:rFonts w:ascii="Garamond" w:hAnsi="Garamond"/>
                <w:b/>
              </w:rPr>
              <w:t>7.9</w:t>
            </w:r>
          </w:p>
        </w:tc>
        <w:tc>
          <w:tcPr>
            <w:tcW w:w="90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hAnsi="Garamond"/>
                <w:b/>
              </w:rPr>
            </w:pPr>
            <w:r w:rsidRPr="001F779E">
              <w:rPr>
                <w:rFonts w:ascii="Garamond" w:hAnsi="Garamond"/>
                <w:b/>
              </w:rPr>
              <w:t>6.6</w:t>
            </w:r>
          </w:p>
        </w:tc>
        <w:tc>
          <w:tcPr>
            <w:tcW w:w="669"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7.6</w:t>
            </w:r>
          </w:p>
        </w:tc>
        <w:tc>
          <w:tcPr>
            <w:tcW w:w="671"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8.2</w:t>
            </w:r>
          </w:p>
        </w:tc>
        <w:tc>
          <w:tcPr>
            <w:tcW w:w="642"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7.3</w:t>
            </w:r>
          </w:p>
        </w:tc>
        <w:tc>
          <w:tcPr>
            <w:tcW w:w="714"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8.7</w:t>
            </w:r>
          </w:p>
        </w:tc>
        <w:tc>
          <w:tcPr>
            <w:tcW w:w="636" w:type="dxa"/>
            <w:tcBorders>
              <w:top w:val="nil"/>
              <w:left w:val="nil"/>
              <w:bottom w:val="single" w:sz="8" w:space="0" w:color="B3CC82"/>
              <w:right w:val="single" w:sz="8" w:space="0" w:color="B3CC82"/>
            </w:tcBorders>
            <w:shd w:val="clear" w:color="000000" w:fill="E6EED5"/>
            <w:vAlign w:val="center"/>
            <w:hideMark/>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7.6</w:t>
            </w:r>
          </w:p>
        </w:tc>
        <w:tc>
          <w:tcPr>
            <w:tcW w:w="670"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6.8</w:t>
            </w:r>
          </w:p>
        </w:tc>
        <w:tc>
          <w:tcPr>
            <w:tcW w:w="636"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6.7</w:t>
            </w:r>
          </w:p>
        </w:tc>
        <w:tc>
          <w:tcPr>
            <w:tcW w:w="598" w:type="dxa"/>
            <w:tcBorders>
              <w:top w:val="nil"/>
              <w:left w:val="nil"/>
              <w:bottom w:val="single" w:sz="8" w:space="0" w:color="B3CC82"/>
              <w:right w:val="single" w:sz="8" w:space="0" w:color="B3CC82"/>
            </w:tcBorders>
            <w:shd w:val="clear" w:color="000000" w:fill="E6EED5"/>
            <w:vAlign w:val="center"/>
          </w:tcPr>
          <w:p w:rsidR="007B588C" w:rsidRPr="001F779E" w:rsidRDefault="007B588C" w:rsidP="00460024">
            <w:pPr>
              <w:spacing w:after="0"/>
              <w:jc w:val="center"/>
              <w:rPr>
                <w:rFonts w:ascii="Garamond" w:eastAsia="Times New Roman" w:hAnsi="Garamond" w:cs="Calibri"/>
                <w:b/>
                <w:bCs/>
                <w:color w:val="000000"/>
                <w:lang w:bidi="hi-IN"/>
              </w:rPr>
            </w:pPr>
            <w:r w:rsidRPr="001F779E">
              <w:rPr>
                <w:rFonts w:ascii="Garamond" w:hAnsi="Garamond"/>
                <w:b/>
              </w:rPr>
              <w:t>5.6</w:t>
            </w:r>
          </w:p>
        </w:tc>
      </w:tr>
    </w:tbl>
    <w:p w:rsidR="007B588C" w:rsidRPr="001F779E" w:rsidRDefault="007B588C" w:rsidP="007B588C">
      <w:pPr>
        <w:autoSpaceDE w:val="0"/>
        <w:autoSpaceDN w:val="0"/>
        <w:adjustRightInd w:val="0"/>
        <w:spacing w:after="0"/>
        <w:ind w:left="-90"/>
        <w:contextualSpacing/>
        <w:rPr>
          <w:rFonts w:ascii="Garamond" w:hAnsi="Garamond"/>
          <w:i/>
          <w:iCs/>
          <w:lang w:val="en-IN"/>
        </w:rPr>
      </w:pPr>
      <w:r w:rsidRPr="001F779E">
        <w:rPr>
          <w:rFonts w:ascii="Garamond" w:hAnsi="Garamond"/>
          <w:b/>
          <w:bCs/>
          <w:i/>
          <w:iCs/>
          <w:lang w:val="en-IN"/>
        </w:rPr>
        <w:t xml:space="preserve"> RE-</w:t>
      </w:r>
      <w:r w:rsidRPr="001F779E">
        <w:rPr>
          <w:rFonts w:ascii="Garamond" w:hAnsi="Garamond"/>
          <w:i/>
          <w:iCs/>
          <w:lang w:val="en-IN"/>
        </w:rPr>
        <w:t xml:space="preserve"> Revised Estimates; </w:t>
      </w:r>
      <w:r w:rsidRPr="001F779E">
        <w:rPr>
          <w:rFonts w:ascii="Garamond" w:hAnsi="Garamond"/>
          <w:b/>
          <w:bCs/>
          <w:i/>
          <w:iCs/>
          <w:lang w:val="en-IN"/>
        </w:rPr>
        <w:t>PE</w:t>
      </w:r>
      <w:r w:rsidRPr="001F779E">
        <w:rPr>
          <w:rFonts w:ascii="Garamond" w:hAnsi="Garamond"/>
          <w:i/>
          <w:iCs/>
          <w:lang w:val="en-IN"/>
        </w:rPr>
        <w:t>- Provisional Estimates</w:t>
      </w:r>
    </w:p>
    <w:p w:rsidR="007B588C" w:rsidRPr="001F779E" w:rsidRDefault="007B588C" w:rsidP="007B588C">
      <w:pPr>
        <w:autoSpaceDE w:val="0"/>
        <w:autoSpaceDN w:val="0"/>
        <w:adjustRightInd w:val="0"/>
        <w:spacing w:after="0"/>
        <w:contextualSpacing/>
        <w:rPr>
          <w:rFonts w:ascii="Garamond" w:hAnsi="Garamond"/>
          <w:i/>
          <w:iCs/>
          <w:lang w:val="en-IN"/>
        </w:rPr>
      </w:pPr>
      <w:r w:rsidRPr="001F779E">
        <w:rPr>
          <w:rFonts w:ascii="Garamond" w:hAnsi="Garamond"/>
          <w:b/>
          <w:bCs/>
          <w:i/>
          <w:iCs/>
          <w:lang w:val="en-IN"/>
        </w:rPr>
        <w:t xml:space="preserve">Source: </w:t>
      </w:r>
      <w:r w:rsidRPr="001F779E">
        <w:rPr>
          <w:rFonts w:ascii="Garamond" w:hAnsi="Garamond"/>
          <w:i/>
          <w:iCs/>
          <w:lang w:val="en-IN"/>
        </w:rPr>
        <w:t>CSO</w:t>
      </w:r>
    </w:p>
    <w:p w:rsidR="007B588C" w:rsidRPr="004952CC" w:rsidRDefault="007B588C" w:rsidP="007B588C">
      <w:pPr>
        <w:autoSpaceDE w:val="0"/>
        <w:autoSpaceDN w:val="0"/>
        <w:adjustRightInd w:val="0"/>
        <w:spacing w:after="0"/>
        <w:contextualSpacing/>
        <w:rPr>
          <w:rFonts w:ascii="Garamond" w:hAnsi="Garamond"/>
          <w:i/>
          <w:iCs/>
          <w:strike/>
          <w:lang w:val="en-IN"/>
        </w:rPr>
      </w:pPr>
    </w:p>
    <w:p w:rsidR="007B588C" w:rsidRPr="007B588C" w:rsidRDefault="007B588C" w:rsidP="007B588C">
      <w:pPr>
        <w:spacing w:after="0"/>
        <w:rPr>
          <w:rFonts w:ascii="Garamond" w:hAnsi="Garamond"/>
          <w:b/>
          <w:sz w:val="24"/>
          <w:szCs w:val="24"/>
        </w:rPr>
      </w:pPr>
      <w:r w:rsidRPr="007B588C">
        <w:rPr>
          <w:rFonts w:ascii="Garamond" w:hAnsi="Garamond"/>
          <w:b/>
          <w:sz w:val="24"/>
          <w:szCs w:val="24"/>
        </w:rPr>
        <w:t>Index of Industrial Production</w:t>
      </w:r>
    </w:p>
    <w:p w:rsidR="007B588C" w:rsidRPr="007B588C" w:rsidRDefault="007B588C" w:rsidP="004677BD">
      <w:pPr>
        <w:numPr>
          <w:ilvl w:val="1"/>
          <w:numId w:val="9"/>
        </w:numPr>
        <w:spacing w:after="0" w:line="240" w:lineRule="auto"/>
        <w:ind w:hanging="650"/>
        <w:contextualSpacing/>
        <w:jc w:val="both"/>
        <w:rPr>
          <w:rFonts w:ascii="Garamond" w:hAnsi="Garamond"/>
          <w:sz w:val="24"/>
          <w:szCs w:val="24"/>
        </w:rPr>
      </w:pPr>
      <w:r w:rsidRPr="007B588C">
        <w:rPr>
          <w:rFonts w:ascii="Garamond" w:hAnsi="Garamond"/>
          <w:sz w:val="24"/>
          <w:szCs w:val="24"/>
        </w:rPr>
        <w:t xml:space="preserve">India’s General Index of Industrial Production (IIP) growth by 1.7 percent in May 2017, against 8.0 percent growth recorded in May 2016 (both over the corresponding period in the previous year), with manufacturing </w:t>
      </w:r>
      <w:r w:rsidRPr="004677BD">
        <w:rPr>
          <w:rFonts w:ascii="Garamond" w:hAnsi="Garamond"/>
          <w:color w:val="000000" w:themeColor="text1"/>
          <w:sz w:val="24"/>
          <w:szCs w:val="24"/>
          <w:lang w:val="en-GB"/>
        </w:rPr>
        <w:t>grew</w:t>
      </w:r>
      <w:r w:rsidRPr="007B588C">
        <w:rPr>
          <w:rFonts w:ascii="Garamond" w:hAnsi="Garamond"/>
          <w:sz w:val="24"/>
          <w:szCs w:val="24"/>
        </w:rPr>
        <w:t xml:space="preserve"> by 1.2 percent as compared to its 8.6 percent growth in previous year. Electricity grew at 8.7 percent in May as compared to 6.1 percent growth in previous year. Mining contracted by 0.9 percent in May, compared to a growth of 5.7 percent in previous year. During April-May 2017-18, the IIP grew 2.3 percent, against 7.3 percent growth recorded in April-March 2016-17.</w:t>
      </w:r>
    </w:p>
    <w:p w:rsidR="007B588C" w:rsidRPr="007B588C" w:rsidRDefault="007B588C" w:rsidP="007B588C">
      <w:pPr>
        <w:spacing w:after="0"/>
        <w:ind w:left="792"/>
        <w:contextualSpacing/>
        <w:rPr>
          <w:rFonts w:ascii="Garamond" w:hAnsi="Garamond"/>
          <w:strike/>
        </w:rPr>
      </w:pPr>
    </w:p>
    <w:p w:rsidR="007B588C" w:rsidRPr="007B588C" w:rsidRDefault="007B588C" w:rsidP="007B588C">
      <w:pPr>
        <w:spacing w:after="0"/>
        <w:rPr>
          <w:rFonts w:ascii="Garamond" w:hAnsi="Garamond"/>
          <w:b/>
          <w:sz w:val="24"/>
          <w:szCs w:val="24"/>
        </w:rPr>
      </w:pPr>
      <w:r w:rsidRPr="007B588C">
        <w:rPr>
          <w:rFonts w:ascii="Garamond" w:hAnsi="Garamond"/>
          <w:b/>
          <w:sz w:val="24"/>
          <w:szCs w:val="24"/>
        </w:rPr>
        <w:t>Inflation</w:t>
      </w:r>
    </w:p>
    <w:p w:rsidR="007B588C" w:rsidRPr="007B588C" w:rsidRDefault="007B588C" w:rsidP="004677BD">
      <w:pPr>
        <w:numPr>
          <w:ilvl w:val="1"/>
          <w:numId w:val="9"/>
        </w:numPr>
        <w:spacing w:after="0" w:line="240" w:lineRule="auto"/>
        <w:ind w:hanging="650"/>
        <w:contextualSpacing/>
        <w:jc w:val="both"/>
        <w:rPr>
          <w:rFonts w:ascii="Garamond" w:hAnsi="Garamond"/>
          <w:strike/>
          <w:sz w:val="24"/>
          <w:szCs w:val="24"/>
        </w:rPr>
      </w:pPr>
      <w:r w:rsidRPr="007B588C">
        <w:rPr>
          <w:rFonts w:ascii="Garamond" w:hAnsi="Garamond"/>
          <w:sz w:val="24"/>
          <w:szCs w:val="24"/>
        </w:rPr>
        <w:t xml:space="preserve">India's CPI inflation grew by 1.54 percent in June, as compared to 2.18 percent in May. Food prices (as measured </w:t>
      </w:r>
      <w:r w:rsidRPr="004677BD">
        <w:rPr>
          <w:rFonts w:ascii="Garamond" w:hAnsi="Garamond"/>
          <w:color w:val="000000" w:themeColor="text1"/>
          <w:sz w:val="24"/>
          <w:szCs w:val="24"/>
          <w:lang w:val="en-GB"/>
        </w:rPr>
        <w:t>by</w:t>
      </w:r>
      <w:r w:rsidRPr="007B588C">
        <w:rPr>
          <w:rFonts w:ascii="Garamond" w:hAnsi="Garamond"/>
          <w:sz w:val="24"/>
          <w:szCs w:val="24"/>
        </w:rPr>
        <w:t xml:space="preserve"> CFPI) showed a contraction of 2.12 percent in June as compared to 1.05 percent in May. The Repo rate currently stands at 6.25 percent. </w:t>
      </w:r>
    </w:p>
    <w:p w:rsidR="007B588C" w:rsidRPr="007B588C" w:rsidRDefault="007B588C" w:rsidP="007B588C">
      <w:pPr>
        <w:spacing w:after="0"/>
        <w:rPr>
          <w:rFonts w:ascii="Garamond" w:hAnsi="Garamond"/>
          <w:strike/>
          <w:sz w:val="24"/>
          <w:szCs w:val="24"/>
        </w:rPr>
      </w:pPr>
    </w:p>
    <w:p w:rsidR="007B588C" w:rsidRPr="007B588C" w:rsidRDefault="007B588C" w:rsidP="007B588C">
      <w:pPr>
        <w:spacing w:after="0"/>
        <w:rPr>
          <w:rFonts w:ascii="Garamond" w:hAnsi="Garamond"/>
          <w:b/>
          <w:color w:val="283214"/>
          <w:sz w:val="24"/>
          <w:szCs w:val="24"/>
        </w:rPr>
      </w:pPr>
      <w:r w:rsidRPr="007B588C">
        <w:rPr>
          <w:rFonts w:ascii="Garamond" w:hAnsi="Garamond"/>
          <w:b/>
          <w:color w:val="283214"/>
          <w:sz w:val="24"/>
          <w:szCs w:val="24"/>
        </w:rPr>
        <w:t>Trade – Exports and Imports</w:t>
      </w:r>
    </w:p>
    <w:p w:rsidR="007B588C" w:rsidRPr="007B588C" w:rsidRDefault="007B588C" w:rsidP="004677BD">
      <w:pPr>
        <w:numPr>
          <w:ilvl w:val="1"/>
          <w:numId w:val="9"/>
        </w:numPr>
        <w:spacing w:after="0" w:line="240" w:lineRule="auto"/>
        <w:ind w:hanging="650"/>
        <w:contextualSpacing/>
        <w:jc w:val="both"/>
        <w:rPr>
          <w:rFonts w:ascii="Garamond" w:hAnsi="Garamond"/>
          <w:color w:val="000000"/>
          <w:sz w:val="24"/>
          <w:szCs w:val="24"/>
        </w:rPr>
      </w:pPr>
      <w:r w:rsidRPr="007B588C">
        <w:rPr>
          <w:rFonts w:ascii="Garamond" w:hAnsi="Garamond"/>
          <w:color w:val="000000"/>
          <w:sz w:val="24"/>
          <w:szCs w:val="24"/>
        </w:rPr>
        <w:t xml:space="preserve">Exports </w:t>
      </w:r>
      <w:r w:rsidRPr="004677BD">
        <w:rPr>
          <w:rFonts w:ascii="Garamond" w:hAnsi="Garamond"/>
          <w:color w:val="000000" w:themeColor="text1"/>
          <w:sz w:val="24"/>
          <w:szCs w:val="24"/>
          <w:lang w:val="en-GB"/>
        </w:rPr>
        <w:t>during</w:t>
      </w:r>
      <w:r w:rsidRPr="007B588C">
        <w:rPr>
          <w:rFonts w:ascii="Garamond" w:hAnsi="Garamond"/>
          <w:color w:val="000000"/>
          <w:sz w:val="24"/>
          <w:szCs w:val="24"/>
        </w:rPr>
        <w:t xml:space="preserve"> June 2017 growing by 4.39 percent in dollar terms valued at US$ 23.56 billion as compared to US$ 22.57 billion during June 2016. Imports increased by 19.01 percent to USD 36.52 billion in June 2017 from 30.69 billion in June 2016. The merchandise trade deficit was USD 12.96 billion in during June 2017, against the deficit of USD 8.12 billion of June 2016. Taking merchandise and services together, overall trade deficit for April- June 2017-18 was estimated at USD 28.6 billion, against the deficit of USD 8.0 billion during April-June 2016-17.</w:t>
      </w:r>
    </w:p>
    <w:p w:rsidR="007B588C" w:rsidRPr="007B588C" w:rsidRDefault="007B588C" w:rsidP="007B588C">
      <w:pPr>
        <w:spacing w:after="0"/>
        <w:rPr>
          <w:rFonts w:ascii="Garamond" w:hAnsi="Garamond"/>
          <w:b/>
          <w:strike/>
          <w:color w:val="283214"/>
          <w:sz w:val="24"/>
          <w:szCs w:val="24"/>
        </w:rPr>
      </w:pPr>
    </w:p>
    <w:p w:rsidR="007B588C" w:rsidRPr="007B588C" w:rsidRDefault="007B588C" w:rsidP="007B588C">
      <w:pPr>
        <w:spacing w:after="0"/>
        <w:rPr>
          <w:rFonts w:ascii="Garamond" w:hAnsi="Garamond"/>
          <w:b/>
          <w:color w:val="283214"/>
          <w:sz w:val="24"/>
          <w:szCs w:val="24"/>
        </w:rPr>
      </w:pPr>
      <w:r w:rsidRPr="007B588C">
        <w:rPr>
          <w:rFonts w:ascii="Garamond" w:hAnsi="Garamond"/>
          <w:b/>
          <w:color w:val="283214"/>
          <w:sz w:val="24"/>
          <w:szCs w:val="24"/>
        </w:rPr>
        <w:t>Foreign Exchange Reserves</w:t>
      </w:r>
    </w:p>
    <w:p w:rsidR="007B588C" w:rsidRPr="007B588C" w:rsidRDefault="007B588C" w:rsidP="004677BD">
      <w:pPr>
        <w:numPr>
          <w:ilvl w:val="1"/>
          <w:numId w:val="9"/>
        </w:numPr>
        <w:spacing w:after="0" w:line="240" w:lineRule="auto"/>
        <w:ind w:hanging="650"/>
        <w:contextualSpacing/>
        <w:jc w:val="both"/>
        <w:rPr>
          <w:rFonts w:ascii="Garamond" w:hAnsi="Garamond"/>
          <w:color w:val="000000"/>
          <w:sz w:val="24"/>
          <w:szCs w:val="24"/>
        </w:rPr>
      </w:pPr>
      <w:r w:rsidRPr="007B588C">
        <w:rPr>
          <w:rFonts w:ascii="Garamond" w:hAnsi="Garamond"/>
          <w:color w:val="283214"/>
          <w:sz w:val="24"/>
          <w:szCs w:val="24"/>
        </w:rPr>
        <w:t xml:space="preserve"> </w:t>
      </w:r>
      <w:r w:rsidRPr="007B588C">
        <w:rPr>
          <w:rFonts w:ascii="Garamond" w:hAnsi="Garamond"/>
          <w:color w:val="000000" w:themeColor="text1"/>
          <w:sz w:val="24"/>
          <w:szCs w:val="24"/>
        </w:rPr>
        <w:t>Since</w:t>
      </w:r>
      <w:r w:rsidRPr="007B588C">
        <w:rPr>
          <w:rFonts w:ascii="Garamond" w:hAnsi="Garamond"/>
          <w:color w:val="000000"/>
          <w:sz w:val="24"/>
          <w:szCs w:val="24"/>
        </w:rPr>
        <w:t xml:space="preserve"> the end of March 2017, forex reserves have increased by about USD 16,584.70 million. The reserves were </w:t>
      </w:r>
      <w:r w:rsidRPr="004677BD">
        <w:rPr>
          <w:rFonts w:ascii="Garamond" w:hAnsi="Garamond"/>
          <w:color w:val="000000" w:themeColor="text1"/>
          <w:sz w:val="24"/>
          <w:szCs w:val="24"/>
          <w:lang w:val="en-GB"/>
        </w:rPr>
        <w:t>recorded</w:t>
      </w:r>
      <w:r w:rsidRPr="007B588C">
        <w:rPr>
          <w:rFonts w:ascii="Garamond" w:hAnsi="Garamond"/>
          <w:color w:val="000000"/>
          <w:sz w:val="24"/>
          <w:szCs w:val="24"/>
        </w:rPr>
        <w:t xml:space="preserve"> at USD 386.54 billion as on 30 June 2017. (Exhibit 4)</w:t>
      </w:r>
    </w:p>
    <w:p w:rsidR="007B588C" w:rsidRPr="004952CC" w:rsidRDefault="007B588C" w:rsidP="007B588C">
      <w:pPr>
        <w:spacing w:after="0"/>
        <w:ind w:left="480"/>
        <w:contextualSpacing/>
        <w:rPr>
          <w:rFonts w:ascii="Garamond" w:hAnsi="Garamond"/>
          <w:strike/>
          <w:color w:val="000000"/>
        </w:rPr>
      </w:pPr>
    </w:p>
    <w:p w:rsidR="007B588C" w:rsidRPr="006F4A50" w:rsidRDefault="007B588C" w:rsidP="007B588C">
      <w:pPr>
        <w:tabs>
          <w:tab w:val="left" w:pos="0"/>
        </w:tabs>
        <w:spacing w:after="0"/>
        <w:contextualSpacing/>
        <w:jc w:val="center"/>
        <w:rPr>
          <w:rFonts w:ascii="Garamond" w:hAnsi="Garamond"/>
          <w:b/>
          <w:bCs/>
          <w:lang w:val="en-IN"/>
        </w:rPr>
      </w:pPr>
      <w:r w:rsidRPr="006F4A50">
        <w:rPr>
          <w:rFonts w:ascii="Garamond" w:hAnsi="Garamond"/>
          <w:b/>
          <w:bCs/>
          <w:lang w:val="en-IN"/>
        </w:rPr>
        <w:t>Exhibit 4: Foreign Exchange Reserves                                                               (USD billion)</w:t>
      </w:r>
    </w:p>
    <w:tbl>
      <w:tblPr>
        <w:tblW w:w="10063" w:type="dxa"/>
        <w:tblLook w:val="04A0" w:firstRow="1" w:lastRow="0" w:firstColumn="1" w:lastColumn="0" w:noHBand="0" w:noVBand="1"/>
      </w:tblPr>
      <w:tblGrid>
        <w:gridCol w:w="3271"/>
        <w:gridCol w:w="1698"/>
        <w:gridCol w:w="1698"/>
        <w:gridCol w:w="1698"/>
        <w:gridCol w:w="1698"/>
      </w:tblGrid>
      <w:tr w:rsidR="007B588C" w:rsidRPr="00250E4C" w:rsidTr="00460024">
        <w:trPr>
          <w:trHeight w:val="234"/>
        </w:trPr>
        <w:tc>
          <w:tcPr>
            <w:tcW w:w="3271"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7B588C" w:rsidRPr="00250E4C" w:rsidRDefault="007B588C" w:rsidP="00460024">
            <w:pPr>
              <w:spacing w:after="0"/>
              <w:jc w:val="center"/>
              <w:rPr>
                <w:rFonts w:ascii="Garamond" w:eastAsia="Times New Roman" w:hAnsi="Garamond" w:cs="Calibri"/>
                <w:color w:val="000000"/>
              </w:rPr>
            </w:pPr>
            <w:r w:rsidRPr="00250E4C">
              <w:rPr>
                <w:rFonts w:ascii="Garamond" w:eastAsia="Times New Roman" w:hAnsi="Garamond" w:cs="Calibri"/>
                <w:color w:val="000000"/>
              </w:rPr>
              <w:t> </w:t>
            </w:r>
          </w:p>
        </w:tc>
        <w:tc>
          <w:tcPr>
            <w:tcW w:w="1698" w:type="dxa"/>
            <w:tcBorders>
              <w:top w:val="single" w:sz="8" w:space="0" w:color="4F81BD"/>
              <w:left w:val="nil"/>
              <w:bottom w:val="single" w:sz="8" w:space="0" w:color="4F81BD"/>
              <w:right w:val="single" w:sz="8" w:space="0" w:color="4F81BD"/>
            </w:tcBorders>
            <w:shd w:val="clear" w:color="000000" w:fill="00B050"/>
            <w:noWrap/>
            <w:vAlign w:val="center"/>
            <w:hideMark/>
          </w:tcPr>
          <w:p w:rsidR="007B588C" w:rsidRPr="00250E4C" w:rsidRDefault="007B588C" w:rsidP="00460024">
            <w:pPr>
              <w:spacing w:after="0"/>
              <w:jc w:val="right"/>
              <w:rPr>
                <w:rFonts w:ascii="Garamond" w:eastAsia="Times New Roman" w:hAnsi="Garamond" w:cs="Calibri"/>
                <w:b/>
                <w:bCs/>
                <w:color w:val="000000"/>
              </w:rPr>
            </w:pPr>
            <w:r w:rsidRPr="00250E4C">
              <w:rPr>
                <w:rFonts w:ascii="Garamond" w:eastAsia="Times New Roman" w:hAnsi="Garamond" w:cs="Calibri"/>
                <w:b/>
                <w:bCs/>
                <w:color w:val="000000"/>
              </w:rPr>
              <w:t>30 June 2017</w:t>
            </w:r>
          </w:p>
        </w:tc>
        <w:tc>
          <w:tcPr>
            <w:tcW w:w="1698" w:type="dxa"/>
            <w:tcBorders>
              <w:top w:val="single" w:sz="8" w:space="0" w:color="4F81BD"/>
              <w:left w:val="nil"/>
              <w:bottom w:val="single" w:sz="8" w:space="0" w:color="4F81BD"/>
              <w:right w:val="single" w:sz="8" w:space="0" w:color="4F81BD"/>
            </w:tcBorders>
            <w:shd w:val="clear" w:color="000000" w:fill="00B050"/>
            <w:noWrap/>
            <w:vAlign w:val="center"/>
            <w:hideMark/>
          </w:tcPr>
          <w:p w:rsidR="007B588C" w:rsidRPr="00250E4C" w:rsidRDefault="007B588C" w:rsidP="00460024">
            <w:pPr>
              <w:spacing w:after="0"/>
              <w:jc w:val="right"/>
              <w:rPr>
                <w:rFonts w:ascii="Garamond" w:eastAsia="Times New Roman" w:hAnsi="Garamond" w:cs="Calibri"/>
                <w:b/>
                <w:bCs/>
                <w:color w:val="000000"/>
              </w:rPr>
            </w:pPr>
            <w:r w:rsidRPr="00250E4C">
              <w:rPr>
                <w:rFonts w:ascii="Garamond" w:eastAsia="Times New Roman" w:hAnsi="Garamond" w:cs="Calibri"/>
                <w:b/>
                <w:bCs/>
                <w:color w:val="000000"/>
              </w:rPr>
              <w:t>26 May 2017</w:t>
            </w:r>
          </w:p>
        </w:tc>
        <w:tc>
          <w:tcPr>
            <w:tcW w:w="1698" w:type="dxa"/>
            <w:tcBorders>
              <w:top w:val="single" w:sz="8" w:space="0" w:color="4F81BD"/>
              <w:left w:val="nil"/>
              <w:bottom w:val="single" w:sz="8" w:space="0" w:color="4F81BD"/>
              <w:right w:val="single" w:sz="8" w:space="0" w:color="4F81BD"/>
            </w:tcBorders>
            <w:shd w:val="clear" w:color="000000" w:fill="00B050"/>
            <w:noWrap/>
            <w:vAlign w:val="center"/>
            <w:hideMark/>
          </w:tcPr>
          <w:p w:rsidR="007B588C" w:rsidRPr="00250E4C" w:rsidRDefault="007B588C" w:rsidP="00460024">
            <w:pPr>
              <w:spacing w:after="0"/>
              <w:jc w:val="right"/>
              <w:rPr>
                <w:rFonts w:ascii="Garamond" w:eastAsia="Times New Roman" w:hAnsi="Garamond" w:cs="Calibri"/>
                <w:b/>
                <w:bCs/>
                <w:color w:val="000000"/>
              </w:rPr>
            </w:pPr>
            <w:r w:rsidRPr="00250E4C">
              <w:rPr>
                <w:rFonts w:ascii="Garamond" w:eastAsia="Times New Roman" w:hAnsi="Garamond" w:cs="Calibri"/>
                <w:b/>
                <w:bCs/>
                <w:color w:val="000000"/>
              </w:rPr>
              <w:t>28 April 2017</w:t>
            </w:r>
          </w:p>
        </w:tc>
        <w:tc>
          <w:tcPr>
            <w:tcW w:w="1698" w:type="dxa"/>
            <w:tcBorders>
              <w:top w:val="single" w:sz="8" w:space="0" w:color="4F81BD"/>
              <w:left w:val="nil"/>
              <w:bottom w:val="single" w:sz="8" w:space="0" w:color="4F81BD"/>
              <w:right w:val="single" w:sz="8" w:space="0" w:color="4F81BD"/>
            </w:tcBorders>
            <w:shd w:val="clear" w:color="000000" w:fill="00B050"/>
            <w:noWrap/>
            <w:vAlign w:val="center"/>
            <w:hideMark/>
          </w:tcPr>
          <w:p w:rsidR="007B588C" w:rsidRPr="00250E4C" w:rsidRDefault="007B588C" w:rsidP="00460024">
            <w:pPr>
              <w:spacing w:after="0"/>
              <w:jc w:val="right"/>
              <w:rPr>
                <w:rFonts w:ascii="Garamond" w:eastAsia="Times New Roman" w:hAnsi="Garamond" w:cs="Calibri"/>
                <w:b/>
                <w:bCs/>
                <w:color w:val="000000"/>
              </w:rPr>
            </w:pPr>
            <w:r w:rsidRPr="00250E4C">
              <w:rPr>
                <w:rFonts w:ascii="Garamond" w:eastAsia="Times New Roman" w:hAnsi="Garamond" w:cs="Calibri"/>
                <w:b/>
                <w:bCs/>
                <w:color w:val="000000"/>
              </w:rPr>
              <w:t>31 March 2017</w:t>
            </w:r>
          </w:p>
        </w:tc>
      </w:tr>
      <w:tr w:rsidR="007B588C" w:rsidRPr="00250E4C" w:rsidTr="00460024">
        <w:trPr>
          <w:trHeight w:val="234"/>
        </w:trPr>
        <w:tc>
          <w:tcPr>
            <w:tcW w:w="3271" w:type="dxa"/>
            <w:tcBorders>
              <w:top w:val="nil"/>
              <w:left w:val="single" w:sz="8" w:space="0" w:color="4F81BD"/>
              <w:bottom w:val="single" w:sz="8" w:space="0" w:color="4F81BD"/>
              <w:right w:val="single" w:sz="8" w:space="0" w:color="4F81BD"/>
            </w:tcBorders>
            <w:shd w:val="clear" w:color="000000" w:fill="FFFFFF"/>
            <w:noWrap/>
            <w:vAlign w:val="center"/>
            <w:hideMark/>
          </w:tcPr>
          <w:p w:rsidR="007B588C" w:rsidRPr="00250E4C" w:rsidRDefault="007B588C" w:rsidP="00460024">
            <w:pPr>
              <w:spacing w:after="0"/>
              <w:rPr>
                <w:rFonts w:ascii="Garamond" w:eastAsia="Times New Roman" w:hAnsi="Garamond" w:cs="Calibri"/>
                <w:b/>
                <w:bCs/>
                <w:color w:val="000000"/>
              </w:rPr>
            </w:pPr>
            <w:r w:rsidRPr="00250E4C">
              <w:rPr>
                <w:rFonts w:ascii="Garamond" w:eastAsia="Times New Roman" w:hAnsi="Garamond" w:cs="Calibri"/>
                <w:b/>
                <w:bCs/>
                <w:color w:val="000000"/>
              </w:rPr>
              <w:t>Total Reserves</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386.5</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378.8</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372.7</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370.0</w:t>
            </w:r>
          </w:p>
        </w:tc>
      </w:tr>
      <w:tr w:rsidR="007B588C" w:rsidRPr="00250E4C" w:rsidTr="00460024">
        <w:trPr>
          <w:trHeight w:val="234"/>
        </w:trPr>
        <w:tc>
          <w:tcPr>
            <w:tcW w:w="3271" w:type="dxa"/>
            <w:tcBorders>
              <w:top w:val="nil"/>
              <w:left w:val="single" w:sz="8" w:space="0" w:color="4F81BD"/>
              <w:bottom w:val="single" w:sz="8" w:space="0" w:color="4F81BD"/>
              <w:right w:val="single" w:sz="8" w:space="0" w:color="4F81BD"/>
            </w:tcBorders>
            <w:shd w:val="clear" w:color="000000" w:fill="FFFFFF"/>
            <w:noWrap/>
            <w:vAlign w:val="center"/>
            <w:hideMark/>
          </w:tcPr>
          <w:p w:rsidR="007B588C" w:rsidRPr="00250E4C" w:rsidRDefault="007B588C" w:rsidP="00460024">
            <w:pPr>
              <w:spacing w:after="0"/>
              <w:rPr>
                <w:rFonts w:ascii="Garamond" w:eastAsia="Times New Roman" w:hAnsi="Garamond" w:cs="Calibri"/>
                <w:b/>
                <w:bCs/>
                <w:color w:val="000000"/>
              </w:rPr>
            </w:pPr>
            <w:r w:rsidRPr="00250E4C">
              <w:rPr>
                <w:rFonts w:ascii="Garamond" w:eastAsia="Times New Roman" w:hAnsi="Garamond" w:cs="Calibri"/>
                <w:b/>
                <w:bCs/>
                <w:color w:val="000000"/>
              </w:rPr>
              <w:t>Foreign Currency Assets</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362.4</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354.5</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349.1</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346.3</w:t>
            </w:r>
          </w:p>
        </w:tc>
      </w:tr>
      <w:tr w:rsidR="007B588C" w:rsidRPr="00250E4C" w:rsidTr="00460024">
        <w:trPr>
          <w:trHeight w:val="213"/>
        </w:trPr>
        <w:tc>
          <w:tcPr>
            <w:tcW w:w="3271" w:type="dxa"/>
            <w:tcBorders>
              <w:top w:val="nil"/>
              <w:left w:val="single" w:sz="8" w:space="0" w:color="4F81BD"/>
              <w:bottom w:val="single" w:sz="8" w:space="0" w:color="4F81BD"/>
              <w:right w:val="single" w:sz="8" w:space="0" w:color="4F81BD"/>
            </w:tcBorders>
            <w:shd w:val="clear" w:color="000000" w:fill="FFFFFF"/>
            <w:noWrap/>
            <w:vAlign w:val="center"/>
            <w:hideMark/>
          </w:tcPr>
          <w:p w:rsidR="007B588C" w:rsidRPr="00250E4C" w:rsidRDefault="007B588C" w:rsidP="00460024">
            <w:pPr>
              <w:spacing w:after="0"/>
              <w:rPr>
                <w:rFonts w:ascii="Garamond" w:eastAsia="Times New Roman" w:hAnsi="Garamond" w:cs="Calibri"/>
                <w:b/>
                <w:bCs/>
                <w:color w:val="000000"/>
              </w:rPr>
            </w:pPr>
            <w:r w:rsidRPr="00250E4C">
              <w:rPr>
                <w:rFonts w:ascii="Garamond" w:eastAsia="Times New Roman" w:hAnsi="Garamond" w:cs="Calibri"/>
                <w:b/>
                <w:bCs/>
                <w:color w:val="000000"/>
              </w:rPr>
              <w:t>Gold</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20.3</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20.4</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19.9</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19.9</w:t>
            </w:r>
          </w:p>
        </w:tc>
      </w:tr>
      <w:tr w:rsidR="007B588C" w:rsidRPr="00250E4C" w:rsidTr="00460024">
        <w:trPr>
          <w:trHeight w:val="234"/>
        </w:trPr>
        <w:tc>
          <w:tcPr>
            <w:tcW w:w="3271" w:type="dxa"/>
            <w:tcBorders>
              <w:top w:val="nil"/>
              <w:left w:val="single" w:sz="8" w:space="0" w:color="4F81BD"/>
              <w:bottom w:val="single" w:sz="8" w:space="0" w:color="4F81BD"/>
              <w:right w:val="single" w:sz="8" w:space="0" w:color="4F81BD"/>
            </w:tcBorders>
            <w:shd w:val="clear" w:color="000000" w:fill="FFFFFF"/>
            <w:noWrap/>
            <w:vAlign w:val="center"/>
            <w:hideMark/>
          </w:tcPr>
          <w:p w:rsidR="007B588C" w:rsidRPr="00250E4C" w:rsidRDefault="007B588C" w:rsidP="00460024">
            <w:pPr>
              <w:spacing w:after="0"/>
              <w:rPr>
                <w:rFonts w:ascii="Garamond" w:eastAsia="Times New Roman" w:hAnsi="Garamond" w:cs="Calibri"/>
                <w:b/>
                <w:bCs/>
                <w:color w:val="000000"/>
              </w:rPr>
            </w:pPr>
            <w:r w:rsidRPr="00250E4C">
              <w:rPr>
                <w:rFonts w:ascii="Garamond" w:eastAsia="Times New Roman" w:hAnsi="Garamond" w:cs="Calibri"/>
                <w:b/>
                <w:bCs/>
                <w:color w:val="000000"/>
              </w:rPr>
              <w:t>SDRs</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1.5</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1.5</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1.5</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1.4</w:t>
            </w:r>
          </w:p>
        </w:tc>
      </w:tr>
      <w:tr w:rsidR="007B588C" w:rsidRPr="00250E4C" w:rsidTr="00460024">
        <w:trPr>
          <w:trHeight w:val="234"/>
        </w:trPr>
        <w:tc>
          <w:tcPr>
            <w:tcW w:w="3271" w:type="dxa"/>
            <w:tcBorders>
              <w:top w:val="nil"/>
              <w:left w:val="single" w:sz="8" w:space="0" w:color="4F81BD"/>
              <w:bottom w:val="single" w:sz="8" w:space="0" w:color="4F81BD"/>
              <w:right w:val="single" w:sz="8" w:space="0" w:color="4F81BD"/>
            </w:tcBorders>
            <w:shd w:val="clear" w:color="000000" w:fill="FFFFFF"/>
            <w:noWrap/>
            <w:vAlign w:val="center"/>
            <w:hideMark/>
          </w:tcPr>
          <w:p w:rsidR="007B588C" w:rsidRPr="00250E4C" w:rsidRDefault="007B588C" w:rsidP="00460024">
            <w:pPr>
              <w:spacing w:after="0"/>
              <w:rPr>
                <w:rFonts w:ascii="Garamond" w:eastAsia="Times New Roman" w:hAnsi="Garamond" w:cs="Calibri"/>
                <w:b/>
                <w:bCs/>
                <w:color w:val="000000"/>
              </w:rPr>
            </w:pPr>
            <w:r w:rsidRPr="00250E4C">
              <w:rPr>
                <w:rFonts w:ascii="Garamond" w:eastAsia="Times New Roman" w:hAnsi="Garamond" w:cs="Calibri"/>
                <w:b/>
                <w:bCs/>
                <w:color w:val="000000"/>
              </w:rPr>
              <w:t>Reserve Position in the IMF</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2.3</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2.3</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2.3</w:t>
            </w:r>
          </w:p>
        </w:tc>
        <w:tc>
          <w:tcPr>
            <w:tcW w:w="1698" w:type="dxa"/>
            <w:tcBorders>
              <w:top w:val="nil"/>
              <w:left w:val="nil"/>
              <w:bottom w:val="single" w:sz="8" w:space="0" w:color="4F81BD"/>
              <w:right w:val="single" w:sz="8" w:space="0" w:color="4F81BD"/>
            </w:tcBorders>
            <w:shd w:val="clear" w:color="000000" w:fill="FFFFFF"/>
            <w:noWrap/>
            <w:vAlign w:val="center"/>
            <w:hideMark/>
          </w:tcPr>
          <w:p w:rsidR="007B588C" w:rsidRPr="00250E4C" w:rsidRDefault="007B588C" w:rsidP="00460024">
            <w:pPr>
              <w:spacing w:after="0"/>
              <w:jc w:val="right"/>
              <w:rPr>
                <w:rFonts w:ascii="Garamond" w:eastAsia="Times New Roman" w:hAnsi="Garamond" w:cs="Calibri"/>
                <w:color w:val="000000"/>
              </w:rPr>
            </w:pPr>
            <w:r w:rsidRPr="00250E4C">
              <w:rPr>
                <w:rFonts w:ascii="Garamond" w:eastAsia="Times New Roman" w:hAnsi="Garamond" w:cs="Calibri"/>
                <w:color w:val="000000"/>
              </w:rPr>
              <w:t>2.3</w:t>
            </w:r>
          </w:p>
        </w:tc>
      </w:tr>
    </w:tbl>
    <w:p w:rsidR="007B588C" w:rsidRPr="006F4A50" w:rsidRDefault="007B588C" w:rsidP="007B588C">
      <w:pPr>
        <w:spacing w:after="0"/>
        <w:ind w:left="480"/>
        <w:contextualSpacing/>
        <w:rPr>
          <w:rFonts w:ascii="Garamond" w:hAnsi="Garamond"/>
          <w:color w:val="000000" w:themeColor="text1"/>
        </w:rPr>
      </w:pPr>
      <w:r w:rsidRPr="006F4A50">
        <w:rPr>
          <w:rFonts w:ascii="Garamond" w:hAnsi="Garamond"/>
          <w:b/>
          <w:bCs/>
          <w:i/>
          <w:iCs/>
        </w:rPr>
        <w:t xml:space="preserve"> Source:</w:t>
      </w:r>
      <w:r w:rsidRPr="006F4A50">
        <w:rPr>
          <w:rFonts w:ascii="Garamond" w:hAnsi="Garamond"/>
          <w:i/>
          <w:iCs/>
        </w:rPr>
        <w:t xml:space="preserve"> RBI</w:t>
      </w: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7B588C" w:rsidRPr="001E2BF2" w:rsidRDefault="007B588C" w:rsidP="007B588C">
      <w:pPr>
        <w:pStyle w:val="ListParagraph"/>
        <w:spacing w:after="0" w:line="240" w:lineRule="auto"/>
        <w:ind w:left="709"/>
        <w:jc w:val="both"/>
        <w:rPr>
          <w:rFonts w:ascii="Garamond" w:hAnsi="Garamond"/>
          <w:b/>
          <w:color w:val="283214"/>
          <w:sz w:val="24"/>
          <w:szCs w:val="24"/>
          <w:highlight w:val="yellow"/>
          <w:lang w:val="en-IN"/>
        </w:rPr>
      </w:pPr>
    </w:p>
    <w:p w:rsidR="00C22134" w:rsidRPr="006B0B9A" w:rsidRDefault="00984931" w:rsidP="00B84B03">
      <w:pPr>
        <w:pStyle w:val="ListParagraph"/>
        <w:numPr>
          <w:ilvl w:val="0"/>
          <w:numId w:val="34"/>
        </w:numPr>
        <w:spacing w:after="0" w:line="20" w:lineRule="atLeast"/>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075C1B">
        <w:rPr>
          <w:rFonts w:ascii="Garamond" w:eastAsiaTheme="minorHAnsi" w:hAnsi="Garamond"/>
          <w:b/>
          <w:color w:val="000000" w:themeColor="text1"/>
          <w:sz w:val="24"/>
          <w:szCs w:val="24"/>
          <w:lang w:val="en-GB"/>
        </w:rPr>
        <w:t>Table A1: Trend in major International Indices</w:t>
      </w:r>
    </w:p>
    <w:tbl>
      <w:tblPr>
        <w:tblpPr w:leftFromText="180" w:rightFromText="180" w:vertAnchor="text" w:horzAnchor="margin" w:tblpY="256"/>
        <w:tblW w:w="11243" w:type="dxa"/>
        <w:tblLook w:val="04A0" w:firstRow="1" w:lastRow="0" w:firstColumn="1" w:lastColumn="0" w:noHBand="0" w:noVBand="1"/>
      </w:tblPr>
      <w:tblGrid>
        <w:gridCol w:w="1867"/>
        <w:gridCol w:w="2209"/>
        <w:gridCol w:w="1795"/>
        <w:gridCol w:w="1841"/>
        <w:gridCol w:w="1731"/>
        <w:gridCol w:w="1800"/>
      </w:tblGrid>
      <w:tr w:rsidR="00B84B03" w:rsidRPr="00316980" w:rsidTr="00B84B03">
        <w:trPr>
          <w:trHeight w:val="533"/>
        </w:trPr>
        <w:tc>
          <w:tcPr>
            <w:tcW w:w="1867"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B84B03" w:rsidRPr="00316980" w:rsidRDefault="00B84B03" w:rsidP="00B84B03">
            <w:pPr>
              <w:spacing w:after="0"/>
              <w:jc w:val="center"/>
              <w:rPr>
                <w:rFonts w:eastAsia="Times New Roman"/>
                <w:b/>
                <w:bCs/>
                <w:sz w:val="20"/>
                <w:szCs w:val="20"/>
              </w:rPr>
            </w:pPr>
            <w:r w:rsidRPr="00316980">
              <w:rPr>
                <w:rFonts w:eastAsia="Times New Roman"/>
                <w:b/>
                <w:bCs/>
                <w:sz w:val="20"/>
                <w:szCs w:val="20"/>
              </w:rPr>
              <w:t>Country</w:t>
            </w:r>
          </w:p>
        </w:tc>
        <w:tc>
          <w:tcPr>
            <w:tcW w:w="2209" w:type="dxa"/>
            <w:tcBorders>
              <w:top w:val="single" w:sz="8" w:space="0" w:color="auto"/>
              <w:left w:val="nil"/>
              <w:bottom w:val="single" w:sz="8" w:space="0" w:color="auto"/>
              <w:right w:val="single" w:sz="8" w:space="0" w:color="auto"/>
            </w:tcBorders>
            <w:shd w:val="clear" w:color="auto" w:fill="00B050"/>
            <w:vAlign w:val="center"/>
            <w:hideMark/>
          </w:tcPr>
          <w:p w:rsidR="00B84B03" w:rsidRPr="00316980" w:rsidRDefault="00B84B03" w:rsidP="00B84B03">
            <w:pPr>
              <w:spacing w:after="0"/>
              <w:jc w:val="center"/>
              <w:rPr>
                <w:rFonts w:eastAsia="Times New Roman"/>
                <w:b/>
                <w:bCs/>
                <w:sz w:val="20"/>
                <w:szCs w:val="20"/>
              </w:rPr>
            </w:pPr>
            <w:r w:rsidRPr="00316980">
              <w:rPr>
                <w:rFonts w:eastAsia="Times New Roman"/>
                <w:b/>
                <w:bCs/>
                <w:sz w:val="20"/>
                <w:szCs w:val="20"/>
              </w:rPr>
              <w:t>Index</w:t>
            </w:r>
          </w:p>
        </w:tc>
        <w:tc>
          <w:tcPr>
            <w:tcW w:w="1795" w:type="dxa"/>
            <w:tcBorders>
              <w:top w:val="single" w:sz="8" w:space="0" w:color="auto"/>
              <w:left w:val="nil"/>
              <w:bottom w:val="single" w:sz="8" w:space="0" w:color="auto"/>
              <w:right w:val="single" w:sz="4" w:space="0" w:color="auto"/>
            </w:tcBorders>
            <w:shd w:val="clear" w:color="auto" w:fill="00B050"/>
            <w:vAlign w:val="center"/>
            <w:hideMark/>
          </w:tcPr>
          <w:p w:rsidR="00B84B03" w:rsidRDefault="00B84B03" w:rsidP="00B84B03">
            <w:pPr>
              <w:spacing w:after="0"/>
              <w:jc w:val="center"/>
              <w:rPr>
                <w:rFonts w:eastAsia="Times New Roman"/>
                <w:b/>
                <w:bCs/>
                <w:sz w:val="20"/>
                <w:szCs w:val="20"/>
              </w:rPr>
            </w:pPr>
            <w:r w:rsidRPr="00C52346">
              <w:rPr>
                <w:rFonts w:eastAsia="Times New Roman"/>
                <w:b/>
                <w:bCs/>
                <w:sz w:val="20"/>
                <w:szCs w:val="20"/>
              </w:rPr>
              <w:t>As on</w:t>
            </w:r>
          </w:p>
          <w:p w:rsidR="00B84B03" w:rsidRPr="00316980" w:rsidRDefault="00B84B03" w:rsidP="00B84B03">
            <w:pPr>
              <w:spacing w:after="0"/>
              <w:jc w:val="center"/>
              <w:rPr>
                <w:rFonts w:eastAsia="Times New Roman"/>
                <w:b/>
                <w:bCs/>
                <w:sz w:val="20"/>
                <w:szCs w:val="20"/>
              </w:rPr>
            </w:pPr>
            <w:r>
              <w:rPr>
                <w:rFonts w:eastAsia="Times New Roman"/>
                <w:b/>
                <w:bCs/>
                <w:sz w:val="20"/>
                <w:szCs w:val="20"/>
              </w:rPr>
              <w:t>March*,2016</w:t>
            </w:r>
          </w:p>
        </w:tc>
        <w:tc>
          <w:tcPr>
            <w:tcW w:w="1841" w:type="dxa"/>
            <w:tcBorders>
              <w:top w:val="single" w:sz="4" w:space="0" w:color="auto"/>
              <w:left w:val="single" w:sz="4" w:space="0" w:color="auto"/>
              <w:bottom w:val="single" w:sz="8" w:space="0" w:color="auto"/>
              <w:right w:val="single" w:sz="4" w:space="0" w:color="auto"/>
            </w:tcBorders>
            <w:shd w:val="clear" w:color="auto" w:fill="00B050"/>
            <w:vAlign w:val="center"/>
          </w:tcPr>
          <w:p w:rsidR="00B84B03" w:rsidRPr="00210451" w:rsidRDefault="00B84B03" w:rsidP="00B84B03">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1731" w:type="dxa"/>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B84B03">
            <w:pPr>
              <w:spacing w:after="0"/>
              <w:jc w:val="center"/>
              <w:rPr>
                <w:rFonts w:eastAsia="Times New Roman"/>
                <w:b/>
                <w:sz w:val="20"/>
                <w:szCs w:val="20"/>
              </w:rPr>
            </w:pPr>
            <w:r>
              <w:rPr>
                <w:rFonts w:eastAsia="Times New Roman"/>
                <w:b/>
                <w:sz w:val="20"/>
                <w:szCs w:val="20"/>
              </w:rPr>
              <w:t>As on</w:t>
            </w:r>
          </w:p>
          <w:p w:rsidR="00B84B03" w:rsidRPr="00544AC7" w:rsidRDefault="00B84B03" w:rsidP="00B84B03">
            <w:pPr>
              <w:spacing w:after="0"/>
              <w:jc w:val="center"/>
              <w:rPr>
                <w:rFonts w:eastAsia="Times New Roman"/>
                <w:b/>
                <w:sz w:val="20"/>
                <w:szCs w:val="20"/>
              </w:rPr>
            </w:pPr>
            <w:r>
              <w:rPr>
                <w:rFonts w:eastAsia="Times New Roman"/>
                <w:b/>
                <w:sz w:val="20"/>
                <w:szCs w:val="20"/>
              </w:rPr>
              <w:t>May* , 2017</w:t>
            </w:r>
          </w:p>
        </w:tc>
        <w:tc>
          <w:tcPr>
            <w:tcW w:w="1800" w:type="dxa"/>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B84B03">
            <w:pPr>
              <w:spacing w:after="0"/>
              <w:jc w:val="center"/>
              <w:rPr>
                <w:rFonts w:eastAsia="Times New Roman"/>
                <w:b/>
                <w:sz w:val="20"/>
                <w:szCs w:val="20"/>
              </w:rPr>
            </w:pPr>
            <w:r>
              <w:rPr>
                <w:rFonts w:eastAsia="Times New Roman"/>
                <w:b/>
                <w:sz w:val="20"/>
                <w:szCs w:val="20"/>
              </w:rPr>
              <w:t>As on</w:t>
            </w:r>
          </w:p>
          <w:p w:rsidR="00B84B03" w:rsidRPr="00BC0828" w:rsidRDefault="00B84B03" w:rsidP="00B84B03">
            <w:pPr>
              <w:spacing w:after="0"/>
              <w:jc w:val="center"/>
              <w:rPr>
                <w:rFonts w:eastAsia="Times New Roman"/>
                <w:b/>
                <w:sz w:val="20"/>
                <w:szCs w:val="20"/>
              </w:rPr>
            </w:pPr>
            <w:r>
              <w:rPr>
                <w:rFonts w:eastAsia="Times New Roman"/>
                <w:b/>
                <w:sz w:val="20"/>
                <w:szCs w:val="20"/>
              </w:rPr>
              <w:t>June*, 2017</w:t>
            </w:r>
          </w:p>
        </w:tc>
      </w:tr>
      <w:tr w:rsidR="00B84B03" w:rsidRPr="00316980" w:rsidTr="00B84B03">
        <w:trPr>
          <w:trHeight w:val="150"/>
        </w:trPr>
        <w:tc>
          <w:tcPr>
            <w:tcW w:w="1867" w:type="dxa"/>
            <w:tcBorders>
              <w:top w:val="nil"/>
              <w:left w:val="single" w:sz="8" w:space="0" w:color="auto"/>
              <w:bottom w:val="single" w:sz="8" w:space="0" w:color="auto"/>
              <w:right w:val="single" w:sz="8" w:space="0" w:color="auto"/>
            </w:tcBorders>
            <w:shd w:val="clear" w:color="auto" w:fill="00B050"/>
            <w:vAlign w:val="center"/>
            <w:hideMark/>
          </w:tcPr>
          <w:p w:rsidR="00B84B03" w:rsidRPr="00316980" w:rsidRDefault="00B84B03" w:rsidP="00B84B03">
            <w:pPr>
              <w:spacing w:after="0"/>
              <w:jc w:val="center"/>
              <w:rPr>
                <w:rFonts w:eastAsia="Times New Roman"/>
                <w:i/>
                <w:iCs/>
                <w:sz w:val="20"/>
                <w:szCs w:val="20"/>
              </w:rPr>
            </w:pPr>
            <w:r w:rsidRPr="00316980">
              <w:rPr>
                <w:rFonts w:eastAsia="Times New Roman"/>
                <w:i/>
                <w:iCs/>
                <w:sz w:val="20"/>
                <w:szCs w:val="20"/>
              </w:rPr>
              <w:t>1</w:t>
            </w:r>
          </w:p>
        </w:tc>
        <w:tc>
          <w:tcPr>
            <w:tcW w:w="2209" w:type="dxa"/>
            <w:tcBorders>
              <w:top w:val="nil"/>
              <w:left w:val="nil"/>
              <w:bottom w:val="single" w:sz="8" w:space="0" w:color="auto"/>
              <w:right w:val="single" w:sz="8" w:space="0" w:color="auto"/>
            </w:tcBorders>
            <w:shd w:val="clear" w:color="auto" w:fill="00B050"/>
            <w:vAlign w:val="center"/>
            <w:hideMark/>
          </w:tcPr>
          <w:p w:rsidR="00B84B03" w:rsidRPr="00316980" w:rsidRDefault="00B84B03" w:rsidP="00B84B03">
            <w:pPr>
              <w:spacing w:after="0"/>
              <w:jc w:val="center"/>
              <w:rPr>
                <w:rFonts w:eastAsia="Times New Roman"/>
                <w:i/>
                <w:iCs/>
                <w:sz w:val="20"/>
                <w:szCs w:val="20"/>
              </w:rPr>
            </w:pPr>
            <w:r w:rsidRPr="00316980">
              <w:rPr>
                <w:rFonts w:eastAsia="Times New Roman"/>
                <w:i/>
                <w:iCs/>
                <w:sz w:val="20"/>
                <w:szCs w:val="20"/>
              </w:rPr>
              <w:t>2</w:t>
            </w:r>
          </w:p>
        </w:tc>
        <w:tc>
          <w:tcPr>
            <w:tcW w:w="1795" w:type="dxa"/>
            <w:tcBorders>
              <w:top w:val="nil"/>
              <w:left w:val="single" w:sz="8" w:space="0" w:color="auto"/>
              <w:bottom w:val="single" w:sz="8" w:space="0" w:color="auto"/>
              <w:right w:val="single" w:sz="4" w:space="0" w:color="auto"/>
            </w:tcBorders>
            <w:shd w:val="clear" w:color="auto" w:fill="00B050"/>
            <w:vAlign w:val="center"/>
            <w:hideMark/>
          </w:tcPr>
          <w:p w:rsidR="00B84B03" w:rsidRPr="00316980" w:rsidRDefault="00B84B03" w:rsidP="00B84B03">
            <w:pPr>
              <w:spacing w:after="0"/>
              <w:jc w:val="center"/>
              <w:rPr>
                <w:rFonts w:eastAsia="Times New Roman"/>
                <w:i/>
                <w:iCs/>
                <w:sz w:val="20"/>
                <w:szCs w:val="20"/>
              </w:rPr>
            </w:pPr>
            <w:r>
              <w:rPr>
                <w:rFonts w:eastAsia="Times New Roman"/>
                <w:i/>
                <w:iCs/>
                <w:sz w:val="20"/>
                <w:szCs w:val="20"/>
              </w:rPr>
              <w:t>3</w:t>
            </w:r>
          </w:p>
        </w:tc>
        <w:tc>
          <w:tcPr>
            <w:tcW w:w="1841" w:type="dxa"/>
            <w:tcBorders>
              <w:top w:val="nil"/>
              <w:left w:val="single" w:sz="4" w:space="0" w:color="auto"/>
              <w:bottom w:val="single" w:sz="8" w:space="0" w:color="auto"/>
              <w:right w:val="single" w:sz="4" w:space="0" w:color="auto"/>
            </w:tcBorders>
            <w:shd w:val="clear" w:color="auto" w:fill="00B050"/>
            <w:vAlign w:val="center"/>
          </w:tcPr>
          <w:p w:rsidR="00B84B03" w:rsidRDefault="00B84B03" w:rsidP="00B84B03">
            <w:pPr>
              <w:spacing w:after="0"/>
              <w:jc w:val="center"/>
              <w:rPr>
                <w:rFonts w:eastAsia="Times New Roman"/>
                <w:i/>
                <w:iCs/>
                <w:sz w:val="20"/>
                <w:szCs w:val="20"/>
              </w:rPr>
            </w:pPr>
            <w:r>
              <w:rPr>
                <w:rFonts w:eastAsia="Times New Roman"/>
                <w:i/>
                <w:iCs/>
                <w:sz w:val="20"/>
                <w:szCs w:val="20"/>
              </w:rPr>
              <w:t>4</w:t>
            </w:r>
          </w:p>
        </w:tc>
        <w:tc>
          <w:tcPr>
            <w:tcW w:w="1731" w:type="dxa"/>
            <w:tcBorders>
              <w:top w:val="nil"/>
              <w:left w:val="single" w:sz="4" w:space="0" w:color="auto"/>
              <w:bottom w:val="single" w:sz="8" w:space="0" w:color="auto"/>
              <w:right w:val="single" w:sz="8" w:space="0" w:color="auto"/>
            </w:tcBorders>
            <w:shd w:val="clear" w:color="auto" w:fill="00B050"/>
            <w:vAlign w:val="center"/>
          </w:tcPr>
          <w:p w:rsidR="00B84B03" w:rsidRDefault="00B84B03" w:rsidP="00B84B03">
            <w:pPr>
              <w:spacing w:after="0"/>
              <w:jc w:val="center"/>
              <w:rPr>
                <w:rFonts w:eastAsia="Times New Roman"/>
                <w:i/>
                <w:iCs/>
                <w:sz w:val="20"/>
                <w:szCs w:val="20"/>
              </w:rPr>
            </w:pPr>
            <w:r>
              <w:rPr>
                <w:rFonts w:eastAsia="Times New Roman"/>
                <w:i/>
                <w:iCs/>
                <w:sz w:val="20"/>
                <w:szCs w:val="20"/>
              </w:rPr>
              <w:t>5</w:t>
            </w:r>
          </w:p>
        </w:tc>
        <w:tc>
          <w:tcPr>
            <w:tcW w:w="1800" w:type="dxa"/>
            <w:tcBorders>
              <w:top w:val="nil"/>
              <w:left w:val="single" w:sz="4" w:space="0" w:color="auto"/>
              <w:bottom w:val="single" w:sz="8" w:space="0" w:color="auto"/>
              <w:right w:val="single" w:sz="8" w:space="0" w:color="auto"/>
            </w:tcBorders>
            <w:shd w:val="clear" w:color="auto" w:fill="00B050"/>
            <w:vAlign w:val="center"/>
          </w:tcPr>
          <w:p w:rsidR="00B84B03" w:rsidRDefault="00B84B03" w:rsidP="00B84B03">
            <w:pPr>
              <w:spacing w:after="0"/>
              <w:jc w:val="center"/>
              <w:rPr>
                <w:rFonts w:eastAsia="Times New Roman"/>
                <w:i/>
                <w:iCs/>
                <w:sz w:val="20"/>
                <w:szCs w:val="20"/>
              </w:rPr>
            </w:pPr>
            <w:r>
              <w:rPr>
                <w:rFonts w:eastAsia="Times New Roman"/>
                <w:i/>
                <w:iCs/>
                <w:sz w:val="20"/>
                <w:szCs w:val="20"/>
              </w:rPr>
              <w:t>6</w:t>
            </w:r>
          </w:p>
        </w:tc>
      </w:tr>
      <w:tr w:rsidR="00B84B03" w:rsidRPr="00316980" w:rsidTr="00B84B03">
        <w:trPr>
          <w:trHeight w:val="193"/>
        </w:trPr>
        <w:tc>
          <w:tcPr>
            <w:tcW w:w="1867" w:type="dxa"/>
            <w:tcBorders>
              <w:top w:val="single" w:sz="8" w:space="0" w:color="auto"/>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Australia</w:t>
            </w:r>
          </w:p>
        </w:tc>
        <w:tc>
          <w:tcPr>
            <w:tcW w:w="2209" w:type="dxa"/>
            <w:tcBorders>
              <w:top w:val="single" w:sz="8" w:space="0" w:color="auto"/>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All Ordinaries</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5151.8</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5903.8</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5761.3</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5764.0</w:t>
            </w:r>
          </w:p>
        </w:tc>
      </w:tr>
      <w:tr w:rsidR="00B84B03" w:rsidRPr="00316980" w:rsidTr="00B84B03">
        <w:trPr>
          <w:trHeight w:val="187"/>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France</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CAC 40</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4385.1</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5089.6</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5283.6</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5120.7</w:t>
            </w:r>
          </w:p>
        </w:tc>
      </w:tr>
      <w:tr w:rsidR="00B84B03" w:rsidRPr="00316980" w:rsidTr="00B84B03">
        <w:trPr>
          <w:trHeight w:val="161"/>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Germany</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proofErr w:type="spellStart"/>
            <w:r w:rsidRPr="006A570B">
              <w:rPr>
                <w:sz w:val="20"/>
              </w:rPr>
              <w:t>Dax</w:t>
            </w:r>
            <w:proofErr w:type="spellEnd"/>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9965.5</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12256.4</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12615.1</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12325.1</w:t>
            </w:r>
          </w:p>
        </w:tc>
      </w:tr>
      <w:tr w:rsidR="00B84B03" w:rsidRPr="00316980" w:rsidTr="00B84B03">
        <w:trPr>
          <w:trHeight w:val="252"/>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Hong Kong HSI</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Hang Seng</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20776.7</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24111.6</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25660.7</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25764.6</w:t>
            </w:r>
          </w:p>
        </w:tc>
      </w:tr>
      <w:tr w:rsidR="00B84B03" w:rsidRPr="00316980" w:rsidTr="00B84B03">
        <w:trPr>
          <w:trHeight w:val="195"/>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Japan NIKKEI</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Nikkei 225</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16758.7</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18909.3</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19650.6</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20033.4</w:t>
            </w:r>
          </w:p>
        </w:tc>
      </w:tr>
      <w:tr w:rsidR="00B84B03" w:rsidRPr="00316980" w:rsidTr="00B84B03">
        <w:trPr>
          <w:trHeight w:val="252"/>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Singapore STI</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Straits Times</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2840.9</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3175.1</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3210.8</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3226.5</w:t>
            </w:r>
          </w:p>
        </w:tc>
      </w:tr>
      <w:tr w:rsidR="00B84B03" w:rsidRPr="00316980" w:rsidTr="00B84B03">
        <w:trPr>
          <w:trHeight w:val="441"/>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 xml:space="preserve">UK </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FTSE 100</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6174.9</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7322.9</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7520.0</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7312.7</w:t>
            </w:r>
          </w:p>
        </w:tc>
      </w:tr>
      <w:tr w:rsidR="00B84B03" w:rsidRPr="00316980" w:rsidTr="00B84B03">
        <w:trPr>
          <w:trHeight w:val="449"/>
        </w:trPr>
        <w:tc>
          <w:tcPr>
            <w:tcW w:w="1867" w:type="dxa"/>
            <w:tcBorders>
              <w:top w:val="nil"/>
              <w:left w:val="single" w:sz="8" w:space="0" w:color="auto"/>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USA DOW JONES</w:t>
            </w:r>
          </w:p>
        </w:tc>
        <w:tc>
          <w:tcPr>
            <w:tcW w:w="2209" w:type="dxa"/>
            <w:tcBorders>
              <w:top w:val="nil"/>
              <w:left w:val="nil"/>
              <w:bottom w:val="nil"/>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sidRPr="006A570B">
              <w:rPr>
                <w:sz w:val="20"/>
              </w:rPr>
              <w:t>Dow Jones Industrial Average</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17685.1</w:t>
            </w:r>
          </w:p>
        </w:tc>
        <w:tc>
          <w:tcPr>
            <w:tcW w:w="1841" w:type="dxa"/>
            <w:tcBorders>
              <w:top w:val="nil"/>
              <w:left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20663.2</w:t>
            </w:r>
          </w:p>
        </w:tc>
        <w:tc>
          <w:tcPr>
            <w:tcW w:w="1731" w:type="dxa"/>
            <w:tcBorders>
              <w:top w:val="nil"/>
              <w:left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21008.7</w:t>
            </w:r>
          </w:p>
        </w:tc>
        <w:tc>
          <w:tcPr>
            <w:tcW w:w="1800" w:type="dxa"/>
            <w:tcBorders>
              <w:top w:val="nil"/>
              <w:left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21349.6</w:t>
            </w:r>
          </w:p>
        </w:tc>
      </w:tr>
      <w:tr w:rsidR="00B84B03" w:rsidRPr="00316980" w:rsidTr="00B84B03">
        <w:trPr>
          <w:trHeight w:val="467"/>
        </w:trPr>
        <w:tc>
          <w:tcPr>
            <w:tcW w:w="1867" w:type="dxa"/>
            <w:tcBorders>
              <w:top w:val="nil"/>
              <w:left w:val="single" w:sz="8" w:space="0" w:color="auto"/>
              <w:bottom w:val="single" w:sz="4" w:space="0" w:color="auto"/>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r>
              <w:rPr>
                <w:sz w:val="20"/>
              </w:rPr>
              <w:t xml:space="preserve">USA </w:t>
            </w:r>
            <w:r w:rsidRPr="006A570B">
              <w:rPr>
                <w:sz w:val="20"/>
              </w:rPr>
              <w:t>NASDAQ Composite</w:t>
            </w:r>
          </w:p>
        </w:tc>
        <w:tc>
          <w:tcPr>
            <w:tcW w:w="2209" w:type="dxa"/>
            <w:tcBorders>
              <w:top w:val="nil"/>
              <w:left w:val="nil"/>
              <w:bottom w:val="single" w:sz="4" w:space="0" w:color="auto"/>
              <w:right w:val="single" w:sz="8" w:space="0" w:color="auto"/>
            </w:tcBorders>
            <w:shd w:val="clear" w:color="auto" w:fill="auto"/>
            <w:vAlign w:val="center"/>
            <w:hideMark/>
          </w:tcPr>
          <w:p w:rsidR="00B84B03" w:rsidRPr="006A570B" w:rsidRDefault="00B84B03" w:rsidP="00B84B03">
            <w:pPr>
              <w:pStyle w:val="NoSpacing"/>
              <w:spacing w:line="360" w:lineRule="auto"/>
              <w:rPr>
                <w:sz w:val="20"/>
              </w:rPr>
            </w:pPr>
            <w:proofErr w:type="spellStart"/>
            <w:r w:rsidRPr="006A570B">
              <w:rPr>
                <w:sz w:val="20"/>
              </w:rPr>
              <w:t>Nasdaq</w:t>
            </w:r>
            <w:proofErr w:type="spellEnd"/>
            <w:r w:rsidRPr="006A570B">
              <w:rPr>
                <w:sz w:val="20"/>
              </w:rPr>
              <w:t xml:space="preserve"> Composite</w:t>
            </w:r>
          </w:p>
        </w:tc>
        <w:tc>
          <w:tcPr>
            <w:tcW w:w="1795" w:type="dxa"/>
            <w:tcBorders>
              <w:top w:val="nil"/>
              <w:left w:val="single" w:sz="8" w:space="0" w:color="auto"/>
              <w:bottom w:val="single" w:sz="8" w:space="0" w:color="auto"/>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4869.8</w:t>
            </w:r>
          </w:p>
        </w:tc>
        <w:tc>
          <w:tcPr>
            <w:tcW w:w="1841" w:type="dxa"/>
            <w:tcBorders>
              <w:top w:val="nil"/>
              <w:left w:val="nil"/>
              <w:bottom w:val="single" w:sz="4" w:space="0" w:color="auto"/>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5911.7</w:t>
            </w:r>
          </w:p>
        </w:tc>
        <w:tc>
          <w:tcPr>
            <w:tcW w:w="1731" w:type="dxa"/>
            <w:tcBorders>
              <w:top w:val="nil"/>
              <w:left w:val="nil"/>
              <w:bottom w:val="single" w:sz="4" w:space="0" w:color="auto"/>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6198.5</w:t>
            </w:r>
          </w:p>
        </w:tc>
        <w:tc>
          <w:tcPr>
            <w:tcW w:w="1800" w:type="dxa"/>
            <w:tcBorders>
              <w:top w:val="nil"/>
              <w:left w:val="nil"/>
              <w:bottom w:val="single" w:sz="4" w:space="0" w:color="auto"/>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6140.4</w:t>
            </w:r>
          </w:p>
        </w:tc>
      </w:tr>
      <w:tr w:rsidR="00B84B03" w:rsidRPr="00316980" w:rsidTr="00B84B03">
        <w:trPr>
          <w:trHeight w:val="321"/>
        </w:trPr>
        <w:tc>
          <w:tcPr>
            <w:tcW w:w="1867" w:type="dxa"/>
            <w:tcBorders>
              <w:top w:val="single" w:sz="4" w:space="0" w:color="auto"/>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India (BSE)</w:t>
            </w:r>
          </w:p>
        </w:tc>
        <w:tc>
          <w:tcPr>
            <w:tcW w:w="2209" w:type="dxa"/>
            <w:tcBorders>
              <w:top w:val="single" w:sz="4" w:space="0" w:color="auto"/>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Sensex</w:t>
            </w:r>
          </w:p>
        </w:tc>
        <w:tc>
          <w:tcPr>
            <w:tcW w:w="1795" w:type="dxa"/>
            <w:tcBorders>
              <w:top w:val="single" w:sz="8" w:space="0" w:color="auto"/>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25341.9</w:t>
            </w:r>
          </w:p>
        </w:tc>
        <w:tc>
          <w:tcPr>
            <w:tcW w:w="1841" w:type="dxa"/>
            <w:tcBorders>
              <w:top w:val="single" w:sz="4" w:space="0" w:color="auto"/>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29620.5</w:t>
            </w:r>
          </w:p>
        </w:tc>
        <w:tc>
          <w:tcPr>
            <w:tcW w:w="1731" w:type="dxa"/>
            <w:tcBorders>
              <w:top w:val="single" w:sz="4" w:space="0" w:color="auto"/>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31145.8</w:t>
            </w:r>
          </w:p>
        </w:tc>
        <w:tc>
          <w:tcPr>
            <w:tcW w:w="1800" w:type="dxa"/>
            <w:tcBorders>
              <w:top w:val="single" w:sz="4" w:space="0" w:color="auto"/>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30921.6</w:t>
            </w:r>
          </w:p>
        </w:tc>
      </w:tr>
      <w:tr w:rsidR="00B84B03" w:rsidRPr="00316980" w:rsidTr="00B84B03">
        <w:trPr>
          <w:trHeight w:val="195"/>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India (NSE)</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Nifty</w:t>
            </w:r>
            <w:r>
              <w:rPr>
                <w:sz w:val="20"/>
              </w:rPr>
              <w:t xml:space="preserve"> 50</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7738.4</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9173.8</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9621.3</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9520.9</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Brazil</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proofErr w:type="spellStart"/>
            <w:r w:rsidRPr="008331BE">
              <w:rPr>
                <w:sz w:val="20"/>
              </w:rPr>
              <w:t>Bovespa</w:t>
            </w:r>
            <w:proofErr w:type="spellEnd"/>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50055.3</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64984.1</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62711.5</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62900.0</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Chile</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Stock Market Select</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3937.5</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4783.4</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4855.8</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4747.2</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China</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Shanghai SE Composite IX</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3003.9</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3222.5</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3117.2</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3192.4</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Colombia</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IGBC General</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9871.5</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10150.7</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10678.2</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10891.3</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Egypt</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Hermes</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687.3</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1167.8</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1196.3</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1216.9</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Hungary</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Budapest Stock Exchange</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26451.0</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31634.3</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34551.9</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35205.4</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Indonesia</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proofErr w:type="spellStart"/>
            <w:r w:rsidRPr="008331BE">
              <w:rPr>
                <w:sz w:val="20"/>
              </w:rPr>
              <w:t>Jakatra</w:t>
            </w:r>
            <w:proofErr w:type="spellEnd"/>
            <w:r w:rsidRPr="008331BE">
              <w:rPr>
                <w:sz w:val="20"/>
              </w:rPr>
              <w:t xml:space="preserve"> Composite</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4845.4</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5568.1</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5738.2</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5829.7</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Malaysia</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FTSE Bursa Malaysia KLCI</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1717.6</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1740.1</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1765.9</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1763.7</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Mexico</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proofErr w:type="spellStart"/>
            <w:r w:rsidRPr="008331BE">
              <w:rPr>
                <w:sz w:val="20"/>
              </w:rPr>
              <w:t>Bolsa</w:t>
            </w:r>
            <w:proofErr w:type="spellEnd"/>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45881.1</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48541.6</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48788.4</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49857.5</w:t>
            </w:r>
          </w:p>
        </w:tc>
      </w:tr>
      <w:tr w:rsidR="00B84B03" w:rsidRPr="00316980" w:rsidTr="00B84B03">
        <w:trPr>
          <w:trHeight w:val="195"/>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Pakistan</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Karachi 30</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19167.5</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25615.6</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26689.0</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24250.8</w:t>
            </w:r>
          </w:p>
        </w:tc>
      </w:tr>
      <w:tr w:rsidR="00B84B03" w:rsidRPr="00316980" w:rsidTr="00B84B03">
        <w:trPr>
          <w:trHeight w:val="178"/>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Russia</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Russian Traded</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1203.3</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1509.7</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1426.5</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1353.6</w:t>
            </w:r>
          </w:p>
        </w:tc>
      </w:tr>
      <w:tr w:rsidR="00B84B03" w:rsidRPr="00316980" w:rsidTr="00B84B03">
        <w:trPr>
          <w:trHeight w:val="203"/>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South Africa</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FTSE/JSE Africa All Share</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52250.3</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52056.1</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53562.6</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51611.0</w:t>
            </w:r>
          </w:p>
        </w:tc>
      </w:tr>
      <w:tr w:rsidR="00B84B03" w:rsidRPr="00316980" w:rsidTr="00B84B03">
        <w:trPr>
          <w:trHeight w:val="252"/>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Taiwan</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 xml:space="preserve">Taiwan </w:t>
            </w:r>
            <w:proofErr w:type="spellStart"/>
            <w:r w:rsidRPr="008331BE">
              <w:rPr>
                <w:sz w:val="20"/>
              </w:rPr>
              <w:t>Taiex</w:t>
            </w:r>
            <w:proofErr w:type="spellEnd"/>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8744.8</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9811.5</w:t>
            </w:r>
          </w:p>
        </w:tc>
        <w:tc>
          <w:tcPr>
            <w:tcW w:w="173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10040.7</w:t>
            </w:r>
          </w:p>
        </w:tc>
        <w:tc>
          <w:tcPr>
            <w:tcW w:w="1800"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10395.1</w:t>
            </w:r>
          </w:p>
        </w:tc>
      </w:tr>
      <w:tr w:rsidR="00B84B03" w:rsidRPr="00316980" w:rsidTr="00B84B03">
        <w:trPr>
          <w:trHeight w:val="408"/>
        </w:trPr>
        <w:tc>
          <w:tcPr>
            <w:tcW w:w="1867" w:type="dxa"/>
            <w:tcBorders>
              <w:top w:val="nil"/>
              <w:left w:val="single" w:sz="8" w:space="0" w:color="auto"/>
              <w:bottom w:val="nil"/>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Thailand</w:t>
            </w:r>
          </w:p>
        </w:tc>
        <w:tc>
          <w:tcPr>
            <w:tcW w:w="2209" w:type="dxa"/>
            <w:tcBorders>
              <w:top w:val="nil"/>
              <w:left w:val="single" w:sz="8" w:space="0" w:color="auto"/>
              <w:bottom w:val="nil"/>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Stock Exchange of Thai</w:t>
            </w:r>
          </w:p>
        </w:tc>
        <w:tc>
          <w:tcPr>
            <w:tcW w:w="1795" w:type="dxa"/>
            <w:tcBorders>
              <w:top w:val="nil"/>
              <w:left w:val="single" w:sz="8" w:space="0" w:color="auto"/>
              <w:bottom w:val="nil"/>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1407.7</w:t>
            </w:r>
          </w:p>
        </w:tc>
        <w:tc>
          <w:tcPr>
            <w:tcW w:w="1841" w:type="dxa"/>
            <w:tcBorders>
              <w:top w:val="nil"/>
              <w:left w:val="nil"/>
              <w:bottom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1575.1</w:t>
            </w:r>
          </w:p>
        </w:tc>
        <w:tc>
          <w:tcPr>
            <w:tcW w:w="1731" w:type="dxa"/>
            <w:tcBorders>
              <w:top w:val="nil"/>
              <w:left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1561.7</w:t>
            </w:r>
          </w:p>
        </w:tc>
        <w:tc>
          <w:tcPr>
            <w:tcW w:w="1800" w:type="dxa"/>
            <w:tcBorders>
              <w:top w:val="nil"/>
              <w:left w:val="nil"/>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1574.7</w:t>
            </w:r>
          </w:p>
        </w:tc>
      </w:tr>
      <w:tr w:rsidR="00B84B03" w:rsidRPr="00316980" w:rsidTr="00B84B03">
        <w:trPr>
          <w:trHeight w:val="74"/>
        </w:trPr>
        <w:tc>
          <w:tcPr>
            <w:tcW w:w="1867" w:type="dxa"/>
            <w:tcBorders>
              <w:top w:val="nil"/>
              <w:left w:val="single" w:sz="8" w:space="0" w:color="auto"/>
              <w:bottom w:val="single" w:sz="8" w:space="0" w:color="auto"/>
              <w:right w:val="nil"/>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Turkey</w:t>
            </w:r>
          </w:p>
        </w:tc>
        <w:tc>
          <w:tcPr>
            <w:tcW w:w="2209" w:type="dxa"/>
            <w:tcBorders>
              <w:top w:val="nil"/>
              <w:left w:val="single" w:sz="8" w:space="0" w:color="auto"/>
              <w:bottom w:val="single" w:sz="8" w:space="0" w:color="auto"/>
              <w:right w:val="single" w:sz="8" w:space="0" w:color="auto"/>
            </w:tcBorders>
            <w:shd w:val="clear" w:color="auto" w:fill="auto"/>
            <w:vAlign w:val="center"/>
            <w:hideMark/>
          </w:tcPr>
          <w:p w:rsidR="00B84B03" w:rsidRPr="008331BE" w:rsidRDefault="00B84B03" w:rsidP="00B84B03">
            <w:pPr>
              <w:pStyle w:val="NoSpacing"/>
              <w:spacing w:line="360" w:lineRule="auto"/>
              <w:rPr>
                <w:sz w:val="20"/>
              </w:rPr>
            </w:pPr>
            <w:r w:rsidRPr="008331BE">
              <w:rPr>
                <w:sz w:val="20"/>
              </w:rPr>
              <w:t>ISE National 100</w:t>
            </w:r>
          </w:p>
        </w:tc>
        <w:tc>
          <w:tcPr>
            <w:tcW w:w="1795" w:type="dxa"/>
            <w:tcBorders>
              <w:top w:val="nil"/>
              <w:left w:val="single" w:sz="8" w:space="0" w:color="auto"/>
              <w:bottom w:val="single" w:sz="8" w:space="0" w:color="auto"/>
              <w:right w:val="single" w:sz="8" w:space="0" w:color="auto"/>
            </w:tcBorders>
            <w:shd w:val="clear" w:color="auto" w:fill="auto"/>
            <w:vAlign w:val="center"/>
          </w:tcPr>
          <w:p w:rsidR="00B84B03" w:rsidRDefault="00B84B03" w:rsidP="00B84B03">
            <w:pPr>
              <w:spacing w:after="0"/>
              <w:jc w:val="right"/>
              <w:rPr>
                <w:color w:val="000000"/>
                <w:sz w:val="20"/>
                <w:szCs w:val="20"/>
              </w:rPr>
            </w:pPr>
            <w:r>
              <w:rPr>
                <w:color w:val="000000"/>
                <w:sz w:val="20"/>
                <w:szCs w:val="20"/>
              </w:rPr>
              <w:t>83268.0</w:t>
            </w:r>
          </w:p>
        </w:tc>
        <w:tc>
          <w:tcPr>
            <w:tcW w:w="1841" w:type="dxa"/>
            <w:tcBorders>
              <w:top w:val="nil"/>
              <w:left w:val="nil"/>
              <w:bottom w:val="single" w:sz="8" w:space="0" w:color="auto"/>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88947.4</w:t>
            </w:r>
          </w:p>
        </w:tc>
        <w:tc>
          <w:tcPr>
            <w:tcW w:w="1731" w:type="dxa"/>
            <w:tcBorders>
              <w:top w:val="nil"/>
              <w:left w:val="nil"/>
              <w:bottom w:val="single" w:sz="4" w:space="0" w:color="auto"/>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97541.6</w:t>
            </w:r>
          </w:p>
        </w:tc>
        <w:tc>
          <w:tcPr>
            <w:tcW w:w="1800" w:type="dxa"/>
            <w:tcBorders>
              <w:top w:val="nil"/>
              <w:left w:val="nil"/>
              <w:bottom w:val="single" w:sz="4" w:space="0" w:color="auto"/>
              <w:right w:val="single" w:sz="8" w:space="0" w:color="auto"/>
            </w:tcBorders>
            <w:shd w:val="clear" w:color="auto" w:fill="auto"/>
            <w:vAlign w:val="center"/>
          </w:tcPr>
          <w:p w:rsidR="00B84B03" w:rsidRDefault="00B84B03" w:rsidP="00B84B03">
            <w:pPr>
              <w:spacing w:after="0"/>
              <w:jc w:val="right"/>
              <w:rPr>
                <w:sz w:val="20"/>
                <w:szCs w:val="20"/>
              </w:rPr>
            </w:pPr>
            <w:r>
              <w:rPr>
                <w:sz w:val="20"/>
                <w:szCs w:val="20"/>
              </w:rPr>
              <w:t>100440.4</w:t>
            </w:r>
          </w:p>
        </w:tc>
      </w:tr>
    </w:tbl>
    <w:p w:rsidR="00B84B03" w:rsidRDefault="00B84B03" w:rsidP="00E158C5">
      <w:pPr>
        <w:spacing w:after="0" w:line="20" w:lineRule="atLeast"/>
        <w:jc w:val="both"/>
        <w:rPr>
          <w:rFonts w:ascii="Garamond" w:eastAsiaTheme="minorHAnsi" w:hAnsi="Garamond"/>
          <w:color w:val="000000" w:themeColor="text1"/>
          <w:sz w:val="18"/>
          <w:szCs w:val="18"/>
          <w:lang w:val="en-GB"/>
        </w:rPr>
      </w:pPr>
    </w:p>
    <w:p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C77D1D">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C02CD9">
        <w:rPr>
          <w:rFonts w:ascii="Garamond" w:hAnsi="Garamond"/>
          <w:b/>
          <w:color w:val="000000" w:themeColor="text1"/>
        </w:rPr>
        <w:lastRenderedPageBreak/>
        <w:t>Table A2: Volatility and P/E Ratio of Major International Indices</w:t>
      </w:r>
    </w:p>
    <w:p w:rsidR="00C02CD9" w:rsidRDefault="00C02CD9" w:rsidP="00C77D1D">
      <w:pPr>
        <w:spacing w:after="0"/>
        <w:rPr>
          <w:rFonts w:ascii="Garamond" w:hAnsi="Garamond"/>
          <w:b/>
          <w:color w:val="000000" w:themeColor="text1"/>
          <w:sz w:val="24"/>
          <w:szCs w:val="24"/>
        </w:rPr>
      </w:pPr>
    </w:p>
    <w:tbl>
      <w:tblPr>
        <w:tblW w:w="8720" w:type="dxa"/>
        <w:tblLook w:val="04A0" w:firstRow="1" w:lastRow="0" w:firstColumn="1" w:lastColumn="0" w:noHBand="0" w:noVBand="1"/>
      </w:tblPr>
      <w:tblGrid>
        <w:gridCol w:w="2300"/>
        <w:gridCol w:w="2580"/>
        <w:gridCol w:w="1009"/>
        <w:gridCol w:w="911"/>
        <w:gridCol w:w="1009"/>
        <w:gridCol w:w="911"/>
      </w:tblGrid>
      <w:tr w:rsidR="00C02CD9" w:rsidRPr="00C02CD9" w:rsidTr="00460024">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 xml:space="preserve">P/E Ratio </w:t>
            </w:r>
          </w:p>
        </w:tc>
      </w:tr>
      <w:tr w:rsidR="00C02CD9" w:rsidRPr="00C02CD9" w:rsidTr="00460024">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C02CD9" w:rsidRPr="00C02CD9" w:rsidRDefault="00C02CD9" w:rsidP="00C02CD9">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C02CD9" w:rsidRPr="00C02CD9" w:rsidRDefault="00C02CD9" w:rsidP="00C02CD9">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C02CD9" w:rsidRPr="00C02CD9" w:rsidRDefault="00C02CD9" w:rsidP="00C02CD9">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C02CD9" w:rsidRPr="00C02CD9" w:rsidRDefault="00C02CD9" w:rsidP="00C02CD9">
            <w:pPr>
              <w:spacing w:after="0" w:line="240" w:lineRule="auto"/>
              <w:rPr>
                <w:rFonts w:ascii="Times New Roman" w:eastAsia="Times New Roman" w:hAnsi="Times New Roman"/>
                <w:b/>
                <w:bCs/>
                <w:color w:val="000000"/>
                <w:sz w:val="20"/>
                <w:szCs w:val="20"/>
              </w:rPr>
            </w:pPr>
          </w:p>
        </w:tc>
      </w:tr>
      <w:tr w:rsidR="00C02CD9" w:rsidRPr="00C02CD9" w:rsidTr="00460024">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C02CD9" w:rsidRPr="00C02CD9" w:rsidRDefault="00C02CD9" w:rsidP="00C02CD9">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C02CD9" w:rsidRPr="00C02CD9" w:rsidRDefault="00C02CD9" w:rsidP="00C02CD9">
            <w:pPr>
              <w:spacing w:after="0" w:line="240" w:lineRule="auto"/>
              <w:rPr>
                <w:rFonts w:ascii="Times New Roman" w:eastAsia="Times New Roman" w:hAnsi="Times New Roman"/>
                <w:b/>
                <w:bCs/>
                <w:color w:val="000000"/>
                <w:sz w:val="20"/>
                <w:szCs w:val="20"/>
              </w:rPr>
            </w:pPr>
          </w:p>
        </w:tc>
        <w:tc>
          <w:tcPr>
            <w:tcW w:w="1009" w:type="dxa"/>
            <w:tcBorders>
              <w:top w:val="nil"/>
              <w:left w:val="nil"/>
              <w:bottom w:val="nil"/>
              <w:right w:val="single" w:sz="8" w:space="0" w:color="auto"/>
            </w:tcBorders>
            <w:shd w:val="clear" w:color="000000" w:fill="00B050"/>
            <w:noWrap/>
            <w:vAlign w:val="bottom"/>
            <w:hideMark/>
          </w:tcPr>
          <w:p w:rsidR="00C02CD9" w:rsidRPr="00C02CD9" w:rsidRDefault="00C02CD9" w:rsidP="00C02CD9">
            <w:pPr>
              <w:spacing w:after="0" w:line="240" w:lineRule="auto"/>
              <w:jc w:val="right"/>
              <w:rPr>
                <w:rFonts w:ascii="Times New Roman" w:eastAsia="Times New Roman" w:hAnsi="Times New Roman"/>
                <w:b/>
                <w:bCs/>
                <w:color w:val="000000"/>
              </w:rPr>
            </w:pPr>
            <w:r w:rsidRPr="00C02CD9">
              <w:rPr>
                <w:rFonts w:ascii="Times New Roman" w:eastAsia="Times New Roman" w:hAnsi="Times New Roman"/>
                <w:b/>
                <w:bCs/>
                <w:color w:val="000000"/>
              </w:rPr>
              <w:t>May-17</w:t>
            </w:r>
          </w:p>
        </w:tc>
        <w:tc>
          <w:tcPr>
            <w:tcW w:w="911" w:type="dxa"/>
            <w:tcBorders>
              <w:top w:val="nil"/>
              <w:left w:val="nil"/>
              <w:bottom w:val="nil"/>
              <w:right w:val="single" w:sz="8" w:space="0" w:color="auto"/>
            </w:tcBorders>
            <w:shd w:val="clear" w:color="000000" w:fill="00B050"/>
            <w:noWrap/>
            <w:vAlign w:val="bottom"/>
            <w:hideMark/>
          </w:tcPr>
          <w:p w:rsidR="00C02CD9" w:rsidRPr="00C02CD9" w:rsidRDefault="00C02CD9" w:rsidP="00C02CD9">
            <w:pPr>
              <w:spacing w:after="0" w:line="240" w:lineRule="auto"/>
              <w:jc w:val="right"/>
              <w:rPr>
                <w:rFonts w:ascii="Times New Roman" w:eastAsia="Times New Roman" w:hAnsi="Times New Roman"/>
                <w:b/>
                <w:bCs/>
                <w:color w:val="000000"/>
              </w:rPr>
            </w:pPr>
            <w:r w:rsidRPr="00C02CD9">
              <w:rPr>
                <w:rFonts w:ascii="Times New Roman" w:eastAsia="Times New Roman" w:hAnsi="Times New Roman"/>
                <w:b/>
                <w:bCs/>
                <w:color w:val="000000"/>
              </w:rPr>
              <w:t>Jun-17</w:t>
            </w:r>
          </w:p>
        </w:tc>
        <w:tc>
          <w:tcPr>
            <w:tcW w:w="1009" w:type="dxa"/>
            <w:tcBorders>
              <w:top w:val="nil"/>
              <w:left w:val="nil"/>
              <w:bottom w:val="nil"/>
              <w:right w:val="single" w:sz="8" w:space="0" w:color="auto"/>
            </w:tcBorders>
            <w:shd w:val="clear" w:color="000000" w:fill="00B050"/>
            <w:noWrap/>
            <w:vAlign w:val="bottom"/>
            <w:hideMark/>
          </w:tcPr>
          <w:p w:rsidR="00C02CD9" w:rsidRPr="00C02CD9" w:rsidRDefault="00C02CD9" w:rsidP="00C02CD9">
            <w:pPr>
              <w:spacing w:after="0" w:line="240" w:lineRule="auto"/>
              <w:jc w:val="right"/>
              <w:rPr>
                <w:rFonts w:ascii="Times New Roman" w:eastAsia="Times New Roman" w:hAnsi="Times New Roman"/>
                <w:b/>
                <w:bCs/>
                <w:color w:val="000000"/>
              </w:rPr>
            </w:pPr>
            <w:r w:rsidRPr="00C02CD9">
              <w:rPr>
                <w:rFonts w:ascii="Times New Roman" w:eastAsia="Times New Roman" w:hAnsi="Times New Roman"/>
                <w:b/>
                <w:bCs/>
                <w:color w:val="000000"/>
              </w:rPr>
              <w:t>May-17</w:t>
            </w:r>
          </w:p>
        </w:tc>
        <w:tc>
          <w:tcPr>
            <w:tcW w:w="911" w:type="dxa"/>
            <w:tcBorders>
              <w:top w:val="nil"/>
              <w:left w:val="nil"/>
              <w:bottom w:val="nil"/>
              <w:right w:val="single" w:sz="8" w:space="0" w:color="auto"/>
            </w:tcBorders>
            <w:shd w:val="clear" w:color="000000" w:fill="00B050"/>
            <w:noWrap/>
            <w:vAlign w:val="bottom"/>
            <w:hideMark/>
          </w:tcPr>
          <w:p w:rsidR="00C02CD9" w:rsidRPr="00C02CD9" w:rsidRDefault="00C02CD9" w:rsidP="00C02CD9">
            <w:pPr>
              <w:spacing w:after="0" w:line="240" w:lineRule="auto"/>
              <w:jc w:val="right"/>
              <w:rPr>
                <w:rFonts w:ascii="Times New Roman" w:eastAsia="Times New Roman" w:hAnsi="Times New Roman"/>
                <w:b/>
                <w:bCs/>
                <w:color w:val="000000"/>
              </w:rPr>
            </w:pPr>
            <w:r w:rsidRPr="00C02CD9">
              <w:rPr>
                <w:rFonts w:ascii="Times New Roman" w:eastAsia="Times New Roman" w:hAnsi="Times New Roman"/>
                <w:b/>
                <w:bCs/>
                <w:color w:val="000000"/>
              </w:rPr>
              <w:t>Jun-17</w:t>
            </w:r>
          </w:p>
        </w:tc>
      </w:tr>
      <w:tr w:rsidR="00C02CD9" w:rsidRPr="00C02CD9" w:rsidTr="00460024">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1</w:t>
            </w:r>
          </w:p>
        </w:tc>
        <w:tc>
          <w:tcPr>
            <w:tcW w:w="2580" w:type="dxa"/>
            <w:tcBorders>
              <w:top w:val="nil"/>
              <w:left w:val="nil"/>
              <w:bottom w:val="single" w:sz="8" w:space="0" w:color="auto"/>
              <w:right w:val="nil"/>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2</w:t>
            </w:r>
          </w:p>
        </w:tc>
        <w:tc>
          <w:tcPr>
            <w:tcW w:w="1009"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3</w:t>
            </w:r>
          </w:p>
        </w:tc>
        <w:tc>
          <w:tcPr>
            <w:tcW w:w="911" w:type="dxa"/>
            <w:tcBorders>
              <w:top w:val="single" w:sz="8" w:space="0" w:color="auto"/>
              <w:left w:val="nil"/>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4</w:t>
            </w:r>
          </w:p>
        </w:tc>
        <w:tc>
          <w:tcPr>
            <w:tcW w:w="1009" w:type="dxa"/>
            <w:tcBorders>
              <w:top w:val="single" w:sz="8" w:space="0" w:color="auto"/>
              <w:left w:val="nil"/>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5</w:t>
            </w:r>
          </w:p>
        </w:tc>
        <w:tc>
          <w:tcPr>
            <w:tcW w:w="911" w:type="dxa"/>
            <w:tcBorders>
              <w:top w:val="single" w:sz="8" w:space="0" w:color="auto"/>
              <w:left w:val="nil"/>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jc w:val="center"/>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6</w:t>
            </w:r>
          </w:p>
        </w:tc>
      </w:tr>
      <w:tr w:rsidR="00C02CD9" w:rsidRPr="00C02CD9" w:rsidTr="00460024">
        <w:trPr>
          <w:trHeight w:val="315"/>
        </w:trPr>
        <w:tc>
          <w:tcPr>
            <w:tcW w:w="2300" w:type="dxa"/>
            <w:tcBorders>
              <w:top w:val="nil"/>
              <w:left w:val="single" w:sz="8" w:space="0" w:color="auto"/>
              <w:bottom w:val="nil"/>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Developed Markets</w:t>
            </w:r>
          </w:p>
        </w:tc>
        <w:tc>
          <w:tcPr>
            <w:tcW w:w="2580" w:type="dxa"/>
            <w:tcBorders>
              <w:top w:val="nil"/>
              <w:left w:val="nil"/>
              <w:bottom w:val="single" w:sz="8" w:space="0" w:color="auto"/>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1009" w:type="dxa"/>
            <w:tcBorders>
              <w:top w:val="nil"/>
              <w:left w:val="nil"/>
              <w:bottom w:val="single" w:sz="8" w:space="0" w:color="auto"/>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911" w:type="dxa"/>
            <w:tcBorders>
              <w:top w:val="nil"/>
              <w:left w:val="nil"/>
              <w:bottom w:val="single" w:sz="8" w:space="0" w:color="auto"/>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1009" w:type="dxa"/>
            <w:tcBorders>
              <w:top w:val="nil"/>
              <w:left w:val="nil"/>
              <w:bottom w:val="single" w:sz="8" w:space="0" w:color="auto"/>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911" w:type="dxa"/>
            <w:tcBorders>
              <w:top w:val="nil"/>
              <w:left w:val="nil"/>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r>
      <w:tr w:rsidR="00C02CD9" w:rsidRPr="00C02CD9" w:rsidTr="00460024">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Australia</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All Ordinaries</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0.9</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16.2</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16.3</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France</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CAC 40</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2.0</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15.2</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Germany</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Dax</w:t>
            </w:r>
            <w:proofErr w:type="spellEnd"/>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13.9</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13.6</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Hong Kong HSI</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Hang Seng</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12.6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12.4</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Japan NIKKEI</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Nikkei 225</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1.8</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0.6</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NA</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NA</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Singapore STI</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Straits Times</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14.7</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xml:space="preserve">UK </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FTSE 100</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15.2</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15.0</w:t>
            </w:r>
          </w:p>
        </w:tc>
      </w:tr>
      <w:tr w:rsidR="00C02CD9" w:rsidRPr="00C02CD9" w:rsidTr="00460024">
        <w:trPr>
          <w:trHeight w:val="300"/>
        </w:trPr>
        <w:tc>
          <w:tcPr>
            <w:tcW w:w="2300"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USA DOW JONES</w:t>
            </w:r>
          </w:p>
        </w:tc>
        <w:tc>
          <w:tcPr>
            <w:tcW w:w="2580" w:type="dxa"/>
            <w:tcBorders>
              <w:top w:val="nil"/>
              <w:left w:val="nil"/>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Dow Jones Industrial Average</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0.9</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17.3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17.7</w:t>
            </w:r>
          </w:p>
        </w:tc>
      </w:tr>
      <w:tr w:rsidR="00C02CD9" w:rsidRPr="00C02CD9" w:rsidTr="00460024">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USA NASDAQ Composite</w:t>
            </w:r>
          </w:p>
        </w:tc>
        <w:tc>
          <w:tcPr>
            <w:tcW w:w="2580" w:type="dxa"/>
            <w:tcBorders>
              <w:top w:val="nil"/>
              <w:left w:val="nil"/>
              <w:bottom w:val="single" w:sz="8" w:space="0" w:color="auto"/>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Nasdaq</w:t>
            </w:r>
            <w:proofErr w:type="spellEnd"/>
            <w:r w:rsidRPr="00C02CD9">
              <w:rPr>
                <w:rFonts w:ascii="Times New Roman" w:eastAsia="Times New Roman" w:hAnsi="Times New Roman"/>
                <w:color w:val="000000"/>
                <w:sz w:val="20"/>
                <w:szCs w:val="20"/>
              </w:rPr>
              <w:t xml:space="preserve"> Composite</w:t>
            </w:r>
          </w:p>
        </w:tc>
        <w:tc>
          <w:tcPr>
            <w:tcW w:w="1009" w:type="dxa"/>
            <w:tcBorders>
              <w:top w:val="nil"/>
              <w:left w:val="single" w:sz="8" w:space="0" w:color="auto"/>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911" w:type="dxa"/>
            <w:tcBorders>
              <w:top w:val="nil"/>
              <w:left w:val="nil"/>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0.9</w:t>
            </w:r>
          </w:p>
        </w:tc>
        <w:tc>
          <w:tcPr>
            <w:tcW w:w="1009" w:type="dxa"/>
            <w:tcBorders>
              <w:top w:val="nil"/>
              <w:left w:val="nil"/>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23.5</w:t>
            </w:r>
          </w:p>
        </w:tc>
        <w:tc>
          <w:tcPr>
            <w:tcW w:w="911" w:type="dxa"/>
            <w:tcBorders>
              <w:top w:val="nil"/>
              <w:left w:val="nil"/>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23.4</w:t>
            </w:r>
          </w:p>
        </w:tc>
      </w:tr>
      <w:tr w:rsidR="00C02CD9" w:rsidRPr="00C02CD9" w:rsidTr="00460024">
        <w:trPr>
          <w:trHeight w:val="315"/>
        </w:trPr>
        <w:tc>
          <w:tcPr>
            <w:tcW w:w="2300" w:type="dxa"/>
            <w:tcBorders>
              <w:top w:val="nil"/>
              <w:left w:val="single" w:sz="8" w:space="0" w:color="auto"/>
              <w:bottom w:val="nil"/>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b/>
                <w:bCs/>
                <w:color w:val="000000"/>
                <w:sz w:val="20"/>
                <w:szCs w:val="20"/>
              </w:rPr>
            </w:pPr>
            <w:r w:rsidRPr="00C02CD9">
              <w:rPr>
                <w:rFonts w:ascii="Times New Roman" w:eastAsia="Times New Roman" w:hAnsi="Times New Roman"/>
                <w:b/>
                <w:bCs/>
                <w:color w:val="000000"/>
                <w:sz w:val="20"/>
                <w:szCs w:val="20"/>
              </w:rPr>
              <w:t>Emerging Markets</w:t>
            </w:r>
          </w:p>
        </w:tc>
        <w:tc>
          <w:tcPr>
            <w:tcW w:w="2580" w:type="dxa"/>
            <w:tcBorders>
              <w:top w:val="nil"/>
              <w:left w:val="nil"/>
              <w:bottom w:val="single" w:sz="8" w:space="0" w:color="auto"/>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1009" w:type="dxa"/>
            <w:tcBorders>
              <w:top w:val="nil"/>
              <w:left w:val="single" w:sz="8" w:space="0" w:color="auto"/>
              <w:bottom w:val="nil"/>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911" w:type="dxa"/>
            <w:tcBorders>
              <w:top w:val="nil"/>
              <w:left w:val="single" w:sz="8" w:space="0" w:color="auto"/>
              <w:bottom w:val="nil"/>
              <w:right w:val="nil"/>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1009" w:type="dxa"/>
            <w:tcBorders>
              <w:top w:val="nil"/>
              <w:left w:val="nil"/>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c>
          <w:tcPr>
            <w:tcW w:w="911" w:type="dxa"/>
            <w:tcBorders>
              <w:top w:val="nil"/>
              <w:left w:val="nil"/>
              <w:bottom w:val="single" w:sz="8" w:space="0" w:color="auto"/>
              <w:right w:val="single" w:sz="8" w:space="0" w:color="auto"/>
            </w:tcBorders>
            <w:shd w:val="clear" w:color="000000" w:fill="00B050"/>
            <w:noWrap/>
            <w:vAlign w:val="bottom"/>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w:t>
            </w:r>
          </w:p>
        </w:tc>
      </w:tr>
      <w:tr w:rsidR="00C02CD9" w:rsidRPr="00C02CD9" w:rsidTr="00460024">
        <w:trPr>
          <w:trHeight w:val="300"/>
        </w:trPr>
        <w:tc>
          <w:tcPr>
            <w:tcW w:w="2300" w:type="dxa"/>
            <w:tcBorders>
              <w:top w:val="single" w:sz="8" w:space="0" w:color="auto"/>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India (BSE)</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S&amp;P Sensex</w:t>
            </w:r>
          </w:p>
        </w:tc>
        <w:tc>
          <w:tcPr>
            <w:tcW w:w="1009" w:type="dxa"/>
            <w:tcBorders>
              <w:top w:val="single" w:sz="8" w:space="0" w:color="auto"/>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911" w:type="dxa"/>
            <w:tcBorders>
              <w:top w:val="single" w:sz="8" w:space="0" w:color="auto"/>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0.3</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20.7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20.9</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India (NSE)</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Nifty 50</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0.3</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20.0</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19.6</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Argentina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Indice</w:t>
            </w:r>
            <w:proofErr w:type="spellEnd"/>
            <w:r w:rsidRPr="00C02CD9">
              <w:rPr>
                <w:rFonts w:ascii="Times New Roman" w:eastAsia="Times New Roman" w:hAnsi="Times New Roman"/>
                <w:color w:val="000000"/>
                <w:sz w:val="20"/>
                <w:szCs w:val="20"/>
              </w:rPr>
              <w:t xml:space="preserve"> </w:t>
            </w:r>
            <w:proofErr w:type="spellStart"/>
            <w:r w:rsidRPr="00C02CD9">
              <w:rPr>
                <w:rFonts w:ascii="Times New Roman" w:eastAsia="Times New Roman" w:hAnsi="Times New Roman"/>
                <w:color w:val="000000"/>
                <w:sz w:val="20"/>
                <w:szCs w:val="20"/>
              </w:rPr>
              <w:t>Bolsa</w:t>
            </w:r>
            <w:proofErr w:type="spellEnd"/>
            <w:r w:rsidRPr="00C02CD9">
              <w:rPr>
                <w:rFonts w:ascii="Times New Roman" w:eastAsia="Times New Roman" w:hAnsi="Times New Roman"/>
                <w:color w:val="000000"/>
                <w:sz w:val="20"/>
                <w:szCs w:val="20"/>
              </w:rPr>
              <w:t xml:space="preserve"> General</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19.3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17.2</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Brazil</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Bovespa</w:t>
            </w:r>
            <w:proofErr w:type="spellEnd"/>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11.6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11.8</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Chile</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Stock Market Select</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17.8</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17.5</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China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Shanghai SE Composite IX</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14.0</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Colombia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IGBC General</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0.6</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14.7</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14.7</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Egypt</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Hermes</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11.3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12.2</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Hungary</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Budapest Stock Exchange</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1.0</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11.6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11.4</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Indonesia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Jakatra</w:t>
            </w:r>
            <w:proofErr w:type="spellEnd"/>
            <w:r w:rsidRPr="00C02CD9">
              <w:rPr>
                <w:rFonts w:ascii="Times New Roman" w:eastAsia="Times New Roman" w:hAnsi="Times New Roman"/>
                <w:color w:val="000000"/>
                <w:sz w:val="20"/>
                <w:szCs w:val="20"/>
              </w:rPr>
              <w:t xml:space="preserve"> Composite</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0.6</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16.1</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NA</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Malaysia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FTSE Bursa Malaysia KLCI</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0.3</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16.6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16.3</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Mexico</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Bolsa</w:t>
            </w:r>
            <w:proofErr w:type="spellEnd"/>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17.8</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18.3</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Pakistan</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Karachi 30</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2.1</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11.4</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10.6</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Russia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Russian Traded</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1.0</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6.2</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6.2</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South Korea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proofErr w:type="spellStart"/>
            <w:r w:rsidRPr="00C02CD9">
              <w:rPr>
                <w:rFonts w:ascii="Times New Roman" w:eastAsia="Times New Roman" w:hAnsi="Times New Roman"/>
                <w:color w:val="000000"/>
                <w:sz w:val="20"/>
                <w:szCs w:val="20"/>
              </w:rPr>
              <w:t>Kospi</w:t>
            </w:r>
            <w:proofErr w:type="spellEnd"/>
            <w:r w:rsidRPr="00C02CD9">
              <w:rPr>
                <w:rFonts w:ascii="Times New Roman" w:eastAsia="Times New Roman" w:hAnsi="Times New Roman"/>
                <w:color w:val="000000"/>
                <w:sz w:val="20"/>
                <w:szCs w:val="20"/>
              </w:rPr>
              <w:t xml:space="preserve"> Index</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1.0</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0.5</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NA</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NA</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South Africa</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FTSE/JSE Africa All Share</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15.0</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14.8</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Taiwan</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 xml:space="preserve">Taiwan </w:t>
            </w:r>
            <w:proofErr w:type="spellStart"/>
            <w:r w:rsidRPr="00C02CD9">
              <w:rPr>
                <w:rFonts w:ascii="Times New Roman" w:eastAsia="Times New Roman" w:hAnsi="Times New Roman"/>
                <w:color w:val="000000"/>
                <w:sz w:val="20"/>
                <w:szCs w:val="20"/>
              </w:rPr>
              <w:t>Taiex</w:t>
            </w:r>
            <w:proofErr w:type="spellEnd"/>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0.6</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13.6</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14.1</w:t>
            </w:r>
          </w:p>
        </w:tc>
      </w:tr>
      <w:tr w:rsidR="00C02CD9" w:rsidRPr="00C02CD9" w:rsidTr="00460024">
        <w:trPr>
          <w:trHeight w:val="300"/>
        </w:trPr>
        <w:tc>
          <w:tcPr>
            <w:tcW w:w="230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Thailand</w:t>
            </w:r>
          </w:p>
        </w:tc>
        <w:tc>
          <w:tcPr>
            <w:tcW w:w="2580" w:type="dxa"/>
            <w:tcBorders>
              <w:top w:val="nil"/>
              <w:left w:val="single" w:sz="8" w:space="0" w:color="auto"/>
              <w:bottom w:val="nil"/>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Stock Exchange of Thai</w:t>
            </w:r>
          </w:p>
        </w:tc>
        <w:tc>
          <w:tcPr>
            <w:tcW w:w="1009" w:type="dxa"/>
            <w:tcBorders>
              <w:top w:val="nil"/>
              <w:left w:val="single" w:sz="8" w:space="0" w:color="auto"/>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0.4</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0.2</w:t>
            </w:r>
          </w:p>
        </w:tc>
        <w:tc>
          <w:tcPr>
            <w:tcW w:w="1009"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15.2</w:t>
            </w:r>
          </w:p>
        </w:tc>
        <w:tc>
          <w:tcPr>
            <w:tcW w:w="911" w:type="dxa"/>
            <w:tcBorders>
              <w:top w:val="nil"/>
              <w:left w:val="nil"/>
              <w:bottom w:val="nil"/>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15.4</w:t>
            </w:r>
          </w:p>
        </w:tc>
      </w:tr>
      <w:tr w:rsidR="00C02CD9" w:rsidRPr="00C02CD9" w:rsidTr="00460024">
        <w:trPr>
          <w:trHeight w:val="315"/>
        </w:trPr>
        <w:tc>
          <w:tcPr>
            <w:tcW w:w="2300" w:type="dxa"/>
            <w:tcBorders>
              <w:top w:val="nil"/>
              <w:left w:val="single" w:sz="8" w:space="0" w:color="auto"/>
              <w:bottom w:val="single" w:sz="8" w:space="0" w:color="auto"/>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Turkey</w:t>
            </w:r>
          </w:p>
        </w:tc>
        <w:tc>
          <w:tcPr>
            <w:tcW w:w="2580" w:type="dxa"/>
            <w:tcBorders>
              <w:top w:val="nil"/>
              <w:left w:val="single" w:sz="8" w:space="0" w:color="auto"/>
              <w:bottom w:val="single" w:sz="8" w:space="0" w:color="auto"/>
              <w:right w:val="nil"/>
            </w:tcBorders>
            <w:shd w:val="clear" w:color="auto" w:fill="auto"/>
            <w:noWrap/>
            <w:hideMark/>
          </w:tcPr>
          <w:p w:rsidR="00C02CD9" w:rsidRPr="00C02CD9" w:rsidRDefault="00C02CD9" w:rsidP="00C02CD9">
            <w:pPr>
              <w:spacing w:after="0" w:line="240" w:lineRule="auto"/>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ISE National 100</w:t>
            </w:r>
          </w:p>
        </w:tc>
        <w:tc>
          <w:tcPr>
            <w:tcW w:w="1009" w:type="dxa"/>
            <w:tcBorders>
              <w:top w:val="nil"/>
              <w:left w:val="single" w:sz="8" w:space="0" w:color="auto"/>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0.8</w:t>
            </w:r>
          </w:p>
        </w:tc>
        <w:tc>
          <w:tcPr>
            <w:tcW w:w="911" w:type="dxa"/>
            <w:tcBorders>
              <w:top w:val="nil"/>
              <w:left w:val="nil"/>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0.7</w:t>
            </w:r>
          </w:p>
        </w:tc>
        <w:tc>
          <w:tcPr>
            <w:tcW w:w="1009" w:type="dxa"/>
            <w:tcBorders>
              <w:top w:val="nil"/>
              <w:left w:val="nil"/>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9.3</w:t>
            </w:r>
          </w:p>
        </w:tc>
        <w:tc>
          <w:tcPr>
            <w:tcW w:w="911" w:type="dxa"/>
            <w:tcBorders>
              <w:top w:val="nil"/>
              <w:left w:val="nil"/>
              <w:bottom w:val="single" w:sz="8" w:space="0" w:color="auto"/>
              <w:right w:val="single" w:sz="8" w:space="0" w:color="auto"/>
            </w:tcBorders>
            <w:shd w:val="clear" w:color="auto" w:fill="auto"/>
            <w:noWrap/>
            <w:hideMark/>
          </w:tcPr>
          <w:p w:rsidR="00C02CD9" w:rsidRPr="00C02CD9" w:rsidRDefault="00C02CD9" w:rsidP="00C02CD9">
            <w:pPr>
              <w:spacing w:after="0" w:line="240" w:lineRule="auto"/>
              <w:jc w:val="right"/>
              <w:rPr>
                <w:rFonts w:ascii="Times New Roman" w:eastAsia="Times New Roman" w:hAnsi="Times New Roman"/>
                <w:color w:val="000000"/>
                <w:sz w:val="20"/>
                <w:szCs w:val="20"/>
              </w:rPr>
            </w:pPr>
            <w:r w:rsidRPr="00C02CD9">
              <w:rPr>
                <w:rFonts w:ascii="Times New Roman" w:eastAsia="Times New Roman" w:hAnsi="Times New Roman"/>
                <w:color w:val="000000"/>
                <w:sz w:val="20"/>
                <w:szCs w:val="20"/>
              </w:rPr>
              <w:t>9.3</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65D4D" w:rsidRDefault="00C77D1D" w:rsidP="00C77D1D">
      <w:pPr>
        <w:spacing w:after="0"/>
        <w:rPr>
          <w:rFonts w:ascii="Garamond" w:hAnsi="Garamond"/>
          <w:b/>
          <w:color w:val="000000" w:themeColor="text1"/>
        </w:rPr>
      </w:pPr>
      <w:r w:rsidRPr="00965D4D">
        <w:rPr>
          <w:rFonts w:ascii="Garamond" w:hAnsi="Garamond"/>
          <w:b/>
          <w:color w:val="000000" w:themeColor="text1"/>
        </w:rPr>
        <w:lastRenderedPageBreak/>
        <w:t>Table A3: Investment Flows – New capital Raised by Shares and Bonds in the Major Exchanges</w:t>
      </w:r>
    </w:p>
    <w:p w:rsidR="00965D4D" w:rsidRDefault="00965D4D" w:rsidP="00C77D1D">
      <w:pPr>
        <w:spacing w:after="0"/>
        <w:rPr>
          <w:rFonts w:ascii="Garamond" w:hAnsi="Garamond"/>
          <w:b/>
          <w:color w:val="000000" w:themeColor="text1"/>
        </w:rPr>
      </w:pP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9119" w:type="dxa"/>
        <w:tblLook w:val="04A0" w:firstRow="1" w:lastRow="0" w:firstColumn="1" w:lastColumn="0" w:noHBand="0" w:noVBand="1"/>
      </w:tblPr>
      <w:tblGrid>
        <w:gridCol w:w="2785"/>
        <w:gridCol w:w="1055"/>
        <w:gridCol w:w="1055"/>
        <w:gridCol w:w="1057"/>
        <w:gridCol w:w="1055"/>
        <w:gridCol w:w="1055"/>
        <w:gridCol w:w="1057"/>
      </w:tblGrid>
      <w:tr w:rsidR="00965D4D" w:rsidRPr="00965D4D" w:rsidTr="00460024">
        <w:trPr>
          <w:trHeight w:val="426"/>
        </w:trPr>
        <w:tc>
          <w:tcPr>
            <w:tcW w:w="2785"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965D4D" w:rsidRPr="00965D4D" w:rsidRDefault="00965D4D" w:rsidP="00965D4D">
            <w:pPr>
              <w:spacing w:after="0" w:line="240" w:lineRule="auto"/>
              <w:jc w:val="center"/>
              <w:rPr>
                <w:rFonts w:eastAsia="Times New Roman" w:cs="Calibri"/>
                <w:b/>
                <w:bCs/>
                <w:color w:val="000000"/>
              </w:rPr>
            </w:pPr>
            <w:r w:rsidRPr="00965D4D">
              <w:rPr>
                <w:rFonts w:eastAsia="Times New Roman" w:cs="Calibri"/>
                <w:b/>
                <w:bCs/>
                <w:color w:val="000000"/>
              </w:rPr>
              <w:t>Stock Exchange</w:t>
            </w:r>
          </w:p>
        </w:tc>
        <w:tc>
          <w:tcPr>
            <w:tcW w:w="3167"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965D4D" w:rsidRPr="00965D4D" w:rsidRDefault="00965D4D" w:rsidP="00965D4D">
            <w:pPr>
              <w:spacing w:after="0" w:line="240" w:lineRule="auto"/>
              <w:jc w:val="center"/>
              <w:rPr>
                <w:rFonts w:eastAsia="Times New Roman" w:cs="Calibri"/>
                <w:b/>
                <w:bCs/>
                <w:color w:val="000000"/>
              </w:rPr>
            </w:pPr>
            <w:r w:rsidRPr="00965D4D">
              <w:rPr>
                <w:rFonts w:eastAsia="Times New Roman" w:cs="Calibri"/>
                <w:b/>
                <w:bCs/>
                <w:color w:val="000000"/>
              </w:rPr>
              <w:t>May-17</w:t>
            </w:r>
          </w:p>
        </w:tc>
        <w:tc>
          <w:tcPr>
            <w:tcW w:w="3167"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965D4D" w:rsidRPr="00965D4D" w:rsidRDefault="00965D4D" w:rsidP="00965D4D">
            <w:pPr>
              <w:spacing w:after="0" w:line="240" w:lineRule="auto"/>
              <w:jc w:val="center"/>
              <w:rPr>
                <w:rFonts w:eastAsia="Times New Roman" w:cs="Calibri"/>
                <w:b/>
                <w:bCs/>
                <w:color w:val="000000"/>
              </w:rPr>
            </w:pPr>
            <w:r w:rsidRPr="00965D4D">
              <w:rPr>
                <w:rFonts w:eastAsia="Times New Roman" w:cs="Calibri"/>
                <w:b/>
                <w:bCs/>
                <w:color w:val="000000"/>
              </w:rPr>
              <w:t>Jun-17</w:t>
            </w:r>
          </w:p>
        </w:tc>
      </w:tr>
      <w:tr w:rsidR="00965D4D" w:rsidRPr="00965D4D" w:rsidTr="00460024">
        <w:trPr>
          <w:trHeight w:val="691"/>
        </w:trPr>
        <w:tc>
          <w:tcPr>
            <w:tcW w:w="2785" w:type="dxa"/>
            <w:vMerge/>
            <w:tcBorders>
              <w:top w:val="single" w:sz="8" w:space="0" w:color="auto"/>
              <w:left w:val="single" w:sz="8" w:space="0" w:color="auto"/>
              <w:bottom w:val="single" w:sz="4" w:space="0" w:color="000000"/>
              <w:right w:val="single" w:sz="4" w:space="0" w:color="auto"/>
            </w:tcBorders>
            <w:vAlign w:val="center"/>
            <w:hideMark/>
          </w:tcPr>
          <w:p w:rsidR="00965D4D" w:rsidRPr="00965D4D" w:rsidRDefault="00965D4D" w:rsidP="00965D4D">
            <w:pPr>
              <w:spacing w:after="0" w:line="240" w:lineRule="auto"/>
              <w:rPr>
                <w:rFonts w:eastAsia="Times New Roman" w:cs="Calibri"/>
                <w:b/>
                <w:bCs/>
                <w:color w:val="000000"/>
              </w:rPr>
            </w:pPr>
          </w:p>
        </w:tc>
        <w:tc>
          <w:tcPr>
            <w:tcW w:w="1055" w:type="dxa"/>
            <w:tcBorders>
              <w:top w:val="nil"/>
              <w:left w:val="nil"/>
              <w:bottom w:val="single" w:sz="4" w:space="0" w:color="auto"/>
              <w:right w:val="single" w:sz="4" w:space="0" w:color="auto"/>
            </w:tcBorders>
            <w:shd w:val="clear" w:color="000000" w:fill="00B050"/>
            <w:vAlign w:val="center"/>
            <w:hideMark/>
          </w:tcPr>
          <w:p w:rsidR="00965D4D" w:rsidRPr="00965D4D" w:rsidRDefault="00965D4D" w:rsidP="00965D4D">
            <w:pPr>
              <w:spacing w:after="0" w:line="240" w:lineRule="auto"/>
              <w:jc w:val="center"/>
              <w:rPr>
                <w:rFonts w:eastAsia="Times New Roman" w:cs="Calibri"/>
                <w:b/>
                <w:bCs/>
                <w:color w:val="000000"/>
                <w:sz w:val="20"/>
                <w:szCs w:val="20"/>
              </w:rPr>
            </w:pPr>
            <w:r w:rsidRPr="00965D4D">
              <w:rPr>
                <w:rFonts w:eastAsia="Times New Roman" w:cs="Calibri"/>
                <w:b/>
                <w:bCs/>
                <w:color w:val="000000"/>
                <w:sz w:val="20"/>
                <w:szCs w:val="20"/>
              </w:rPr>
              <w:t>Bonds</w:t>
            </w:r>
            <w:r w:rsidRPr="00965D4D">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965D4D" w:rsidRPr="00965D4D" w:rsidRDefault="00965D4D" w:rsidP="00965D4D">
            <w:pPr>
              <w:spacing w:after="0" w:line="240" w:lineRule="auto"/>
              <w:jc w:val="center"/>
              <w:rPr>
                <w:rFonts w:eastAsia="Times New Roman" w:cs="Calibri"/>
                <w:b/>
                <w:bCs/>
                <w:color w:val="000000"/>
                <w:sz w:val="20"/>
                <w:szCs w:val="20"/>
              </w:rPr>
            </w:pPr>
            <w:r w:rsidRPr="00965D4D">
              <w:rPr>
                <w:rFonts w:eastAsia="Times New Roman" w:cs="Calibri"/>
                <w:b/>
                <w:bCs/>
                <w:color w:val="000000"/>
                <w:sz w:val="20"/>
                <w:szCs w:val="20"/>
              </w:rPr>
              <w:t>Equity</w:t>
            </w:r>
            <w:r w:rsidRPr="00965D4D">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965D4D" w:rsidRPr="00965D4D" w:rsidRDefault="00965D4D" w:rsidP="00965D4D">
            <w:pPr>
              <w:spacing w:after="0" w:line="240" w:lineRule="auto"/>
              <w:jc w:val="center"/>
              <w:rPr>
                <w:rFonts w:eastAsia="Times New Roman" w:cs="Calibri"/>
                <w:b/>
                <w:bCs/>
                <w:color w:val="000000"/>
                <w:sz w:val="20"/>
                <w:szCs w:val="20"/>
              </w:rPr>
            </w:pPr>
            <w:r w:rsidRPr="00965D4D">
              <w:rPr>
                <w:rFonts w:eastAsia="Times New Roman" w:cs="Calibri"/>
                <w:b/>
                <w:bCs/>
                <w:color w:val="000000"/>
                <w:sz w:val="20"/>
                <w:szCs w:val="20"/>
              </w:rPr>
              <w:t>Total</w:t>
            </w:r>
            <w:r w:rsidRPr="00965D4D">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965D4D" w:rsidRPr="00965D4D" w:rsidRDefault="00965D4D" w:rsidP="00965D4D">
            <w:pPr>
              <w:spacing w:after="0" w:line="240" w:lineRule="auto"/>
              <w:jc w:val="center"/>
              <w:rPr>
                <w:rFonts w:eastAsia="Times New Roman" w:cs="Calibri"/>
                <w:b/>
                <w:bCs/>
                <w:color w:val="000000"/>
                <w:sz w:val="20"/>
                <w:szCs w:val="20"/>
              </w:rPr>
            </w:pPr>
            <w:r w:rsidRPr="00965D4D">
              <w:rPr>
                <w:rFonts w:eastAsia="Times New Roman" w:cs="Calibri"/>
                <w:b/>
                <w:bCs/>
                <w:color w:val="000000"/>
                <w:sz w:val="20"/>
                <w:szCs w:val="20"/>
              </w:rPr>
              <w:t>Bonds</w:t>
            </w:r>
            <w:r w:rsidRPr="00965D4D">
              <w:rPr>
                <w:rFonts w:eastAsia="Times New Roman" w:cs="Calibri"/>
                <w:b/>
                <w:bCs/>
                <w:color w:val="000000"/>
                <w:sz w:val="20"/>
                <w:szCs w:val="20"/>
              </w:rPr>
              <w:br/>
              <w:t>(USD Million)</w:t>
            </w:r>
          </w:p>
        </w:tc>
        <w:tc>
          <w:tcPr>
            <w:tcW w:w="1055" w:type="dxa"/>
            <w:tcBorders>
              <w:top w:val="nil"/>
              <w:left w:val="nil"/>
              <w:bottom w:val="single" w:sz="4" w:space="0" w:color="auto"/>
              <w:right w:val="single" w:sz="4" w:space="0" w:color="auto"/>
            </w:tcBorders>
            <w:shd w:val="clear" w:color="000000" w:fill="00B050"/>
            <w:vAlign w:val="center"/>
            <w:hideMark/>
          </w:tcPr>
          <w:p w:rsidR="00965D4D" w:rsidRPr="00965D4D" w:rsidRDefault="00965D4D" w:rsidP="00965D4D">
            <w:pPr>
              <w:spacing w:after="0" w:line="240" w:lineRule="auto"/>
              <w:jc w:val="center"/>
              <w:rPr>
                <w:rFonts w:eastAsia="Times New Roman" w:cs="Calibri"/>
                <w:b/>
                <w:bCs/>
                <w:color w:val="000000"/>
                <w:sz w:val="20"/>
                <w:szCs w:val="20"/>
              </w:rPr>
            </w:pPr>
            <w:r w:rsidRPr="00965D4D">
              <w:rPr>
                <w:rFonts w:eastAsia="Times New Roman" w:cs="Calibri"/>
                <w:b/>
                <w:bCs/>
                <w:color w:val="000000"/>
                <w:sz w:val="20"/>
                <w:szCs w:val="20"/>
              </w:rPr>
              <w:t>Equity</w:t>
            </w:r>
            <w:r w:rsidRPr="00965D4D">
              <w:rPr>
                <w:rFonts w:eastAsia="Times New Roman" w:cs="Calibri"/>
                <w:b/>
                <w:bCs/>
                <w:color w:val="000000"/>
                <w:sz w:val="20"/>
                <w:szCs w:val="20"/>
              </w:rPr>
              <w:br/>
              <w:t>(USD Million)</w:t>
            </w:r>
          </w:p>
        </w:tc>
        <w:tc>
          <w:tcPr>
            <w:tcW w:w="1055" w:type="dxa"/>
            <w:tcBorders>
              <w:top w:val="nil"/>
              <w:left w:val="nil"/>
              <w:bottom w:val="single" w:sz="4" w:space="0" w:color="auto"/>
              <w:right w:val="single" w:sz="8" w:space="0" w:color="auto"/>
            </w:tcBorders>
            <w:shd w:val="clear" w:color="000000" w:fill="00B050"/>
            <w:vAlign w:val="center"/>
            <w:hideMark/>
          </w:tcPr>
          <w:p w:rsidR="00965D4D" w:rsidRPr="00965D4D" w:rsidRDefault="00965D4D" w:rsidP="00965D4D">
            <w:pPr>
              <w:spacing w:after="0" w:line="240" w:lineRule="auto"/>
              <w:jc w:val="center"/>
              <w:rPr>
                <w:rFonts w:eastAsia="Times New Roman" w:cs="Calibri"/>
                <w:b/>
                <w:bCs/>
                <w:color w:val="000000"/>
                <w:sz w:val="20"/>
                <w:szCs w:val="20"/>
              </w:rPr>
            </w:pPr>
            <w:r w:rsidRPr="00965D4D">
              <w:rPr>
                <w:rFonts w:eastAsia="Times New Roman" w:cs="Calibri"/>
                <w:b/>
                <w:bCs/>
                <w:color w:val="000000"/>
                <w:sz w:val="20"/>
                <w:szCs w:val="20"/>
              </w:rPr>
              <w:t>Total</w:t>
            </w:r>
            <w:r w:rsidRPr="00965D4D">
              <w:rPr>
                <w:rFonts w:eastAsia="Times New Roman" w:cs="Calibri"/>
                <w:b/>
                <w:bCs/>
                <w:color w:val="000000"/>
                <w:sz w:val="20"/>
                <w:szCs w:val="20"/>
              </w:rPr>
              <w:br/>
              <w:t>(USD Million)</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Australian Securities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2,395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2,395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1,832</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1,832</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BME Spanish Exchanges</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657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657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1,041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1,041</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proofErr w:type="spellStart"/>
            <w:r w:rsidRPr="00965D4D">
              <w:rPr>
                <w:rFonts w:eastAsia="Times New Roman" w:cs="Calibri"/>
                <w:color w:val="000000"/>
                <w:sz w:val="18"/>
                <w:szCs w:val="18"/>
              </w:rPr>
              <w:t>Bolsa</w:t>
            </w:r>
            <w:proofErr w:type="spellEnd"/>
            <w:r w:rsidRPr="00965D4D">
              <w:rPr>
                <w:rFonts w:eastAsia="Times New Roman" w:cs="Calibri"/>
                <w:color w:val="000000"/>
                <w:sz w:val="18"/>
                <w:szCs w:val="18"/>
              </w:rPr>
              <w:t xml:space="preserve"> de </w:t>
            </w:r>
            <w:proofErr w:type="spellStart"/>
            <w:r w:rsidRPr="00965D4D">
              <w:rPr>
                <w:rFonts w:eastAsia="Times New Roman" w:cs="Calibri"/>
                <w:color w:val="000000"/>
                <w:sz w:val="18"/>
                <w:szCs w:val="18"/>
              </w:rPr>
              <w:t>Comercio</w:t>
            </w:r>
            <w:proofErr w:type="spellEnd"/>
            <w:r w:rsidRPr="00965D4D">
              <w:rPr>
                <w:rFonts w:eastAsia="Times New Roman" w:cs="Calibri"/>
                <w:color w:val="000000"/>
                <w:sz w:val="18"/>
                <w:szCs w:val="18"/>
              </w:rPr>
              <w:t xml:space="preserve"> de Buenos Aires</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4,755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4,755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10,615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10,620</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proofErr w:type="spellStart"/>
            <w:r w:rsidRPr="00965D4D">
              <w:rPr>
                <w:rFonts w:eastAsia="Times New Roman" w:cs="Calibri"/>
                <w:color w:val="000000"/>
                <w:sz w:val="18"/>
                <w:szCs w:val="18"/>
              </w:rPr>
              <w:t>Borsa</w:t>
            </w:r>
            <w:proofErr w:type="spellEnd"/>
            <w:r w:rsidRPr="00965D4D">
              <w:rPr>
                <w:rFonts w:eastAsia="Times New Roman" w:cs="Calibri"/>
                <w:color w:val="000000"/>
                <w:sz w:val="18"/>
                <w:szCs w:val="18"/>
              </w:rPr>
              <w:t xml:space="preserve"> Istanbul</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6,307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6,332</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8,592</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8,951</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Euronext</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3,740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3,740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13,363</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13,363</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Hong Kong Exchanges and Clearing</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14,170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2,956</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17,126</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9,694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5,380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15,074</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Irish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1,217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1,217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1,885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1,887</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Japan Exchange Group Inc.</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4,945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293</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5,237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Johannesburg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3,345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66</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3,411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4,795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1,493</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6,289</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Korea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41,253</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3,389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44,642</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42,900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525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43,425</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London SE Group</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29,901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2,840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32,741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34,231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2,579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36,811</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Moscow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21,500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21,508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23,718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23,718</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proofErr w:type="spellStart"/>
            <w:r w:rsidRPr="00965D4D">
              <w:rPr>
                <w:rFonts w:eastAsia="Times New Roman" w:cs="Calibri"/>
                <w:color w:val="000000"/>
                <w:sz w:val="18"/>
                <w:szCs w:val="18"/>
              </w:rPr>
              <w:t>Nasdaq</w:t>
            </w:r>
            <w:proofErr w:type="spellEnd"/>
            <w:r w:rsidRPr="00965D4D">
              <w:rPr>
                <w:rFonts w:eastAsia="Times New Roman" w:cs="Calibri"/>
                <w:color w:val="000000"/>
                <w:sz w:val="18"/>
                <w:szCs w:val="18"/>
              </w:rPr>
              <w:t xml:space="preserve"> - US</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519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519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553</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553</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proofErr w:type="spellStart"/>
            <w:r w:rsidRPr="00965D4D">
              <w:rPr>
                <w:rFonts w:eastAsia="Times New Roman" w:cs="Calibri"/>
                <w:color w:val="000000"/>
                <w:sz w:val="18"/>
                <w:szCs w:val="18"/>
              </w:rPr>
              <w:t>Nasdaq</w:t>
            </w:r>
            <w:proofErr w:type="spellEnd"/>
            <w:r w:rsidRPr="00965D4D">
              <w:rPr>
                <w:rFonts w:eastAsia="Times New Roman" w:cs="Calibri"/>
                <w:color w:val="000000"/>
                <w:sz w:val="18"/>
                <w:szCs w:val="18"/>
              </w:rPr>
              <w:t xml:space="preserve"> Nordic Exchanges</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12,257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12,257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4,246</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240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4,486</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NYSE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18,230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18,230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10,064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10,064</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 xml:space="preserve">Oslo </w:t>
            </w:r>
            <w:proofErr w:type="spellStart"/>
            <w:r w:rsidRPr="00965D4D">
              <w:rPr>
                <w:rFonts w:eastAsia="Times New Roman" w:cs="Calibri"/>
                <w:color w:val="000000"/>
                <w:sz w:val="18"/>
                <w:szCs w:val="18"/>
              </w:rPr>
              <w:t>Bors</w:t>
            </w:r>
            <w:proofErr w:type="spellEnd"/>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3,624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504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4,128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8,514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1,036</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9,550</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Shanghai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6,254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6,254</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7,303</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7,303</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Shenzhen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598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2,655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3,252</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2,817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3,758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6,575</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Singapore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29,799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2,390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32,189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36,065</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179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36,244</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SIX Swiss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6,008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6,008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6,250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6,250</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Tel-Aviv Stock Exchange</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1,960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161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2,121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2,457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457</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2,914</w:t>
            </w:r>
          </w:p>
        </w:tc>
      </w:tr>
      <w:tr w:rsidR="00965D4D" w:rsidRPr="00965D4D" w:rsidTr="00460024">
        <w:trPr>
          <w:trHeight w:val="294"/>
        </w:trPr>
        <w:tc>
          <w:tcPr>
            <w:tcW w:w="2785" w:type="dxa"/>
            <w:tcBorders>
              <w:top w:val="nil"/>
              <w:left w:val="single" w:sz="8" w:space="0" w:color="auto"/>
              <w:bottom w:val="nil"/>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TMX Group</w:t>
            </w:r>
          </w:p>
        </w:tc>
        <w:tc>
          <w:tcPr>
            <w:tcW w:w="1055" w:type="dxa"/>
            <w:tcBorders>
              <w:top w:val="nil"/>
              <w:left w:val="single" w:sz="8" w:space="0" w:color="auto"/>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149</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5,120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5,270</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241</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3,878</w:t>
            </w:r>
          </w:p>
        </w:tc>
        <w:tc>
          <w:tcPr>
            <w:tcW w:w="1055" w:type="dxa"/>
            <w:tcBorders>
              <w:top w:val="nil"/>
              <w:left w:val="nil"/>
              <w:bottom w:val="nil"/>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4,119</w:t>
            </w:r>
          </w:p>
        </w:tc>
      </w:tr>
      <w:tr w:rsidR="00965D4D" w:rsidRPr="00965D4D" w:rsidTr="00460024">
        <w:trPr>
          <w:trHeight w:val="309"/>
        </w:trPr>
        <w:tc>
          <w:tcPr>
            <w:tcW w:w="2785" w:type="dxa"/>
            <w:tcBorders>
              <w:top w:val="nil"/>
              <w:left w:val="single" w:sz="8" w:space="0" w:color="auto"/>
              <w:bottom w:val="single" w:sz="8" w:space="0" w:color="auto"/>
              <w:right w:val="nil"/>
            </w:tcBorders>
            <w:shd w:val="clear" w:color="auto" w:fill="auto"/>
            <w:noWrap/>
            <w:vAlign w:val="bottom"/>
            <w:hideMark/>
          </w:tcPr>
          <w:p w:rsidR="00965D4D" w:rsidRPr="00965D4D" w:rsidRDefault="00965D4D" w:rsidP="00965D4D">
            <w:pPr>
              <w:spacing w:after="0" w:line="240" w:lineRule="auto"/>
              <w:rPr>
                <w:rFonts w:eastAsia="Times New Roman" w:cs="Calibri"/>
                <w:color w:val="000000"/>
                <w:sz w:val="18"/>
                <w:szCs w:val="18"/>
              </w:rPr>
            </w:pPr>
            <w:r w:rsidRPr="00965D4D">
              <w:rPr>
                <w:rFonts w:eastAsia="Times New Roman" w:cs="Calibri"/>
                <w:color w:val="000000"/>
                <w:sz w:val="18"/>
                <w:szCs w:val="18"/>
              </w:rPr>
              <w:t>Warsaw Stock Exchange</w:t>
            </w:r>
          </w:p>
        </w:tc>
        <w:tc>
          <w:tcPr>
            <w:tcW w:w="1055" w:type="dxa"/>
            <w:tcBorders>
              <w:top w:val="nil"/>
              <w:left w:val="single" w:sz="8" w:space="0" w:color="auto"/>
              <w:bottom w:val="single" w:sz="8" w:space="0" w:color="auto"/>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single" w:sz="8" w:space="0" w:color="auto"/>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125</w:t>
            </w:r>
          </w:p>
        </w:tc>
        <w:tc>
          <w:tcPr>
            <w:tcW w:w="1055" w:type="dxa"/>
            <w:tcBorders>
              <w:top w:val="nil"/>
              <w:left w:val="nil"/>
              <w:bottom w:val="single" w:sz="8" w:space="0" w:color="auto"/>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125</w:t>
            </w:r>
          </w:p>
        </w:tc>
        <w:tc>
          <w:tcPr>
            <w:tcW w:w="1055" w:type="dxa"/>
            <w:tcBorders>
              <w:top w:val="nil"/>
              <w:left w:val="nil"/>
              <w:bottom w:val="single" w:sz="8" w:space="0" w:color="auto"/>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NA</w:t>
            </w:r>
          </w:p>
        </w:tc>
        <w:tc>
          <w:tcPr>
            <w:tcW w:w="1055" w:type="dxa"/>
            <w:tcBorders>
              <w:top w:val="nil"/>
              <w:left w:val="nil"/>
              <w:bottom w:val="single" w:sz="8" w:space="0" w:color="auto"/>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366</w:t>
            </w:r>
          </w:p>
        </w:tc>
        <w:tc>
          <w:tcPr>
            <w:tcW w:w="1055" w:type="dxa"/>
            <w:tcBorders>
              <w:top w:val="nil"/>
              <w:left w:val="nil"/>
              <w:bottom w:val="single" w:sz="8" w:space="0" w:color="auto"/>
              <w:right w:val="single" w:sz="8" w:space="0" w:color="auto"/>
            </w:tcBorders>
            <w:shd w:val="clear" w:color="auto" w:fill="auto"/>
            <w:noWrap/>
            <w:vAlign w:val="bottom"/>
            <w:hideMark/>
          </w:tcPr>
          <w:p w:rsidR="00965D4D" w:rsidRPr="00965D4D" w:rsidRDefault="00965D4D" w:rsidP="00965D4D">
            <w:pPr>
              <w:spacing w:after="0" w:line="240" w:lineRule="auto"/>
              <w:jc w:val="right"/>
              <w:rPr>
                <w:rFonts w:ascii="Times New Roman" w:eastAsia="Times New Roman" w:hAnsi="Times New Roman"/>
                <w:color w:val="000000"/>
              </w:rPr>
            </w:pPr>
            <w:r w:rsidRPr="00965D4D">
              <w:rPr>
                <w:rFonts w:ascii="Times New Roman" w:eastAsia="Times New Roman" w:hAnsi="Times New Roman"/>
                <w:color w:val="000000"/>
              </w:rPr>
              <w:t>366</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sidRPr="00B04E29">
        <w:rPr>
          <w:rFonts w:ascii="Garamond" w:hAnsi="Garamond"/>
          <w:b/>
          <w:color w:val="000000" w:themeColor="text1"/>
        </w:rPr>
        <w:lastRenderedPageBreak/>
        <w:t>Table A4: Monthly Turnover in Derivatives (Stock options and Stock futures) in major Stock Exchanges</w:t>
      </w:r>
      <w:r>
        <w:rPr>
          <w:rFonts w:ascii="Garamond" w:hAnsi="Garamond"/>
          <w:b/>
          <w:color w:val="000000" w:themeColor="text1"/>
        </w:rPr>
        <w:t xml:space="preserve">    </w:t>
      </w:r>
    </w:p>
    <w:p w:rsidR="00B04E29" w:rsidRDefault="00B04E29" w:rsidP="00C77D1D">
      <w:pPr>
        <w:spacing w:after="0"/>
        <w:rPr>
          <w:rFonts w:ascii="Garamond" w:hAnsi="Garamond"/>
          <w:b/>
          <w:color w:val="000000" w:themeColor="text1"/>
        </w:rPr>
      </w:pPr>
    </w:p>
    <w:tbl>
      <w:tblPr>
        <w:tblW w:w="8234" w:type="dxa"/>
        <w:tblLook w:val="04A0" w:firstRow="1" w:lastRow="0" w:firstColumn="1" w:lastColumn="0" w:noHBand="0" w:noVBand="1"/>
      </w:tblPr>
      <w:tblGrid>
        <w:gridCol w:w="2726"/>
        <w:gridCol w:w="1498"/>
        <w:gridCol w:w="1355"/>
        <w:gridCol w:w="1408"/>
        <w:gridCol w:w="1247"/>
      </w:tblGrid>
      <w:tr w:rsidR="00B04E29" w:rsidRPr="00B04E29" w:rsidTr="00460024">
        <w:trPr>
          <w:trHeight w:val="229"/>
        </w:trPr>
        <w:tc>
          <w:tcPr>
            <w:tcW w:w="2726"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Exchange</w:t>
            </w:r>
          </w:p>
        </w:tc>
        <w:tc>
          <w:tcPr>
            <w:tcW w:w="5508"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Jun-17</w:t>
            </w:r>
          </w:p>
        </w:tc>
      </w:tr>
      <w:tr w:rsidR="00B04E29" w:rsidRPr="00B04E29" w:rsidTr="00460024">
        <w:trPr>
          <w:trHeight w:val="269"/>
        </w:trPr>
        <w:tc>
          <w:tcPr>
            <w:tcW w:w="2726" w:type="dxa"/>
            <w:vMerge/>
            <w:tcBorders>
              <w:top w:val="single" w:sz="8" w:space="0" w:color="auto"/>
              <w:left w:val="single" w:sz="8" w:space="0" w:color="auto"/>
              <w:bottom w:val="single" w:sz="8" w:space="0" w:color="000000"/>
              <w:right w:val="nil"/>
            </w:tcBorders>
            <w:vAlign w:val="center"/>
            <w:hideMark/>
          </w:tcPr>
          <w:p w:rsidR="00B04E29" w:rsidRPr="00B04E29" w:rsidRDefault="00B04E29" w:rsidP="00B04E29">
            <w:pPr>
              <w:spacing w:after="0" w:line="240" w:lineRule="auto"/>
              <w:rPr>
                <w:rFonts w:ascii="Times New Roman" w:eastAsia="Times New Roman" w:hAnsi="Times New Roman"/>
                <w:b/>
                <w:bCs/>
                <w:color w:val="000000"/>
                <w:sz w:val="20"/>
                <w:szCs w:val="20"/>
              </w:rPr>
            </w:pPr>
          </w:p>
        </w:tc>
        <w:tc>
          <w:tcPr>
            <w:tcW w:w="2853"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Stock options</w:t>
            </w:r>
          </w:p>
        </w:tc>
        <w:tc>
          <w:tcPr>
            <w:tcW w:w="2654"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Stock futures</w:t>
            </w:r>
          </w:p>
        </w:tc>
      </w:tr>
      <w:tr w:rsidR="00B04E29" w:rsidRPr="00B04E29" w:rsidTr="00460024">
        <w:trPr>
          <w:trHeight w:val="929"/>
        </w:trPr>
        <w:tc>
          <w:tcPr>
            <w:tcW w:w="2726" w:type="dxa"/>
            <w:vMerge/>
            <w:tcBorders>
              <w:top w:val="single" w:sz="8" w:space="0" w:color="auto"/>
              <w:left w:val="single" w:sz="8" w:space="0" w:color="auto"/>
              <w:bottom w:val="single" w:sz="8" w:space="0" w:color="000000"/>
              <w:right w:val="nil"/>
            </w:tcBorders>
            <w:vAlign w:val="center"/>
            <w:hideMark/>
          </w:tcPr>
          <w:p w:rsidR="00B04E29" w:rsidRPr="00B04E29" w:rsidRDefault="00B04E29" w:rsidP="00B04E29">
            <w:pPr>
              <w:spacing w:after="0" w:line="240" w:lineRule="auto"/>
              <w:rPr>
                <w:rFonts w:ascii="Times New Roman" w:eastAsia="Times New Roman" w:hAnsi="Times New Roman"/>
                <w:b/>
                <w:bCs/>
                <w:color w:val="000000"/>
                <w:sz w:val="20"/>
                <w:szCs w:val="20"/>
              </w:rPr>
            </w:pPr>
          </w:p>
        </w:tc>
        <w:tc>
          <w:tcPr>
            <w:tcW w:w="1498" w:type="dxa"/>
            <w:tcBorders>
              <w:top w:val="nil"/>
              <w:left w:val="single" w:sz="8" w:space="0" w:color="auto"/>
              <w:bottom w:val="nil"/>
              <w:right w:val="single" w:sz="4" w:space="0" w:color="auto"/>
            </w:tcBorders>
            <w:shd w:val="clear" w:color="000000" w:fill="00B050"/>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Number of</w:t>
            </w:r>
            <w:r w:rsidRPr="00B04E29">
              <w:rPr>
                <w:rFonts w:ascii="Times New Roman" w:eastAsia="Times New Roman" w:hAnsi="Times New Roman"/>
                <w:b/>
                <w:bCs/>
                <w:color w:val="000000"/>
                <w:sz w:val="20"/>
                <w:szCs w:val="20"/>
              </w:rPr>
              <w:br/>
              <w:t>contracts traded</w:t>
            </w:r>
          </w:p>
        </w:tc>
        <w:tc>
          <w:tcPr>
            <w:tcW w:w="1354" w:type="dxa"/>
            <w:tcBorders>
              <w:top w:val="nil"/>
              <w:left w:val="nil"/>
              <w:bottom w:val="nil"/>
              <w:right w:val="single" w:sz="4" w:space="0" w:color="auto"/>
            </w:tcBorders>
            <w:shd w:val="clear" w:color="000000" w:fill="00B050"/>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Notional</w:t>
            </w:r>
            <w:r w:rsidRPr="00B04E29">
              <w:rPr>
                <w:rFonts w:ascii="Times New Roman" w:eastAsia="Times New Roman" w:hAnsi="Times New Roman"/>
                <w:b/>
                <w:bCs/>
                <w:color w:val="000000"/>
                <w:sz w:val="20"/>
                <w:szCs w:val="20"/>
              </w:rPr>
              <w:br/>
              <w:t>turnover</w:t>
            </w:r>
            <w:r w:rsidRPr="00B04E29">
              <w:rPr>
                <w:rFonts w:ascii="Times New Roman" w:eastAsia="Times New Roman" w:hAnsi="Times New Roman"/>
                <w:b/>
                <w:bCs/>
                <w:color w:val="000000"/>
                <w:sz w:val="20"/>
                <w:szCs w:val="20"/>
              </w:rPr>
              <w:br/>
              <w:t>(USD Million)</w:t>
            </w:r>
          </w:p>
        </w:tc>
        <w:tc>
          <w:tcPr>
            <w:tcW w:w="1408" w:type="dxa"/>
            <w:tcBorders>
              <w:top w:val="nil"/>
              <w:left w:val="nil"/>
              <w:bottom w:val="nil"/>
              <w:right w:val="single" w:sz="4" w:space="0" w:color="auto"/>
            </w:tcBorders>
            <w:shd w:val="clear" w:color="000000" w:fill="00B050"/>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Number of</w:t>
            </w:r>
            <w:r w:rsidRPr="00B04E29">
              <w:rPr>
                <w:rFonts w:ascii="Times New Roman" w:eastAsia="Times New Roman" w:hAnsi="Times New Roman"/>
                <w:b/>
                <w:bCs/>
                <w:color w:val="000000"/>
                <w:sz w:val="20"/>
                <w:szCs w:val="20"/>
              </w:rPr>
              <w:br/>
              <w:t>contracts traded</w:t>
            </w:r>
          </w:p>
        </w:tc>
        <w:tc>
          <w:tcPr>
            <w:tcW w:w="1246" w:type="dxa"/>
            <w:tcBorders>
              <w:top w:val="nil"/>
              <w:left w:val="nil"/>
              <w:bottom w:val="nil"/>
              <w:right w:val="single" w:sz="8" w:space="0" w:color="auto"/>
            </w:tcBorders>
            <w:shd w:val="clear" w:color="000000" w:fill="00B050"/>
            <w:vAlign w:val="center"/>
            <w:hideMark/>
          </w:tcPr>
          <w:p w:rsidR="00B04E29" w:rsidRPr="00B04E29" w:rsidRDefault="00B04E29" w:rsidP="00B04E29">
            <w:pPr>
              <w:spacing w:after="0" w:line="240" w:lineRule="auto"/>
              <w:jc w:val="center"/>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Notional</w:t>
            </w:r>
            <w:r w:rsidRPr="00B04E29">
              <w:rPr>
                <w:rFonts w:ascii="Times New Roman" w:eastAsia="Times New Roman" w:hAnsi="Times New Roman"/>
                <w:b/>
                <w:bCs/>
                <w:color w:val="000000"/>
                <w:sz w:val="20"/>
                <w:szCs w:val="20"/>
              </w:rPr>
              <w:br/>
              <w:t>turnover (USD Million)</w:t>
            </w:r>
          </w:p>
        </w:tc>
      </w:tr>
      <w:tr w:rsidR="00B04E29" w:rsidRPr="00B04E29" w:rsidTr="00460024">
        <w:trPr>
          <w:trHeight w:val="256"/>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Americas</w:t>
            </w:r>
          </w:p>
        </w:tc>
        <w:tc>
          <w:tcPr>
            <w:tcW w:w="1498" w:type="dxa"/>
            <w:tcBorders>
              <w:top w:val="single" w:sz="8" w:space="0" w:color="auto"/>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354" w:type="dxa"/>
            <w:tcBorders>
              <w:top w:val="single" w:sz="8" w:space="0" w:color="auto"/>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08" w:type="dxa"/>
            <w:tcBorders>
              <w:top w:val="single" w:sz="8" w:space="0" w:color="auto"/>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246" w:type="dxa"/>
            <w:tcBorders>
              <w:top w:val="single" w:sz="8" w:space="0" w:color="auto"/>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BM&amp;FBOVESPA</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4,94,57,247</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28,500</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proofErr w:type="spellStart"/>
            <w:r w:rsidRPr="00B04E29">
              <w:rPr>
                <w:rFonts w:ascii="Times New Roman" w:eastAsia="Times New Roman" w:hAnsi="Times New Roman"/>
                <w:color w:val="000000"/>
                <w:sz w:val="20"/>
                <w:szCs w:val="20"/>
              </w:rPr>
              <w:t>Bolsa</w:t>
            </w:r>
            <w:proofErr w:type="spellEnd"/>
            <w:r w:rsidRPr="00B04E29">
              <w:rPr>
                <w:rFonts w:ascii="Times New Roman" w:eastAsia="Times New Roman" w:hAnsi="Times New Roman"/>
                <w:color w:val="000000"/>
                <w:sz w:val="20"/>
                <w:szCs w:val="20"/>
              </w:rPr>
              <w:t xml:space="preserve"> de </w:t>
            </w:r>
            <w:proofErr w:type="spellStart"/>
            <w:r w:rsidRPr="00B04E29">
              <w:rPr>
                <w:rFonts w:ascii="Times New Roman" w:eastAsia="Times New Roman" w:hAnsi="Times New Roman"/>
                <w:color w:val="000000"/>
                <w:sz w:val="20"/>
                <w:szCs w:val="20"/>
              </w:rPr>
              <w:t>Comercio</w:t>
            </w:r>
            <w:proofErr w:type="spellEnd"/>
            <w:r w:rsidRPr="00B04E29">
              <w:rPr>
                <w:rFonts w:ascii="Times New Roman" w:eastAsia="Times New Roman" w:hAnsi="Times New Roman"/>
                <w:color w:val="000000"/>
                <w:sz w:val="20"/>
                <w:szCs w:val="20"/>
              </w:rPr>
              <w:t xml:space="preserve"> de Buenos Aires</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19,33,398</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Chicago Board Options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3,77,18,298</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proofErr w:type="spellStart"/>
            <w:r w:rsidRPr="00B04E29">
              <w:rPr>
                <w:rFonts w:ascii="Times New Roman" w:eastAsia="Times New Roman" w:hAnsi="Times New Roman"/>
                <w:color w:val="000000"/>
                <w:sz w:val="20"/>
                <w:szCs w:val="20"/>
              </w:rPr>
              <w:t>Nasdaq</w:t>
            </w:r>
            <w:proofErr w:type="spellEnd"/>
            <w:r w:rsidRPr="00B04E29">
              <w:rPr>
                <w:rFonts w:ascii="Times New Roman" w:eastAsia="Times New Roman" w:hAnsi="Times New Roman"/>
                <w:color w:val="000000"/>
                <w:sz w:val="20"/>
                <w:szCs w:val="20"/>
              </w:rPr>
              <w:t xml:space="preserve"> - US</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5,09,20,154</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NYSE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3,17,06,985</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7,177</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Asia - Pacific</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Australian Securities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75,64,389</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13,417</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7,85,528</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851</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Hong Kong Exchanges and Clearing</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84,40,612</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22,337</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11,756</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68</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Japan Exchange Group</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49,317</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Korea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11,39,214</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2,29,56,530</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19,102</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TAIFEX</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19,066</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58</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14,37,387</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8,392</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Thailand Futures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39,49,856</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b/>
                <w:bCs/>
                <w:color w:val="000000"/>
                <w:sz w:val="20"/>
                <w:szCs w:val="20"/>
              </w:rPr>
            </w:pPr>
            <w:r w:rsidRPr="00B04E29">
              <w:rPr>
                <w:rFonts w:ascii="Times New Roman" w:eastAsia="Times New Roman" w:hAnsi="Times New Roman"/>
                <w:b/>
                <w:bCs/>
                <w:color w:val="000000"/>
                <w:sz w:val="20"/>
                <w:szCs w:val="20"/>
              </w:rPr>
              <w:t>Europe - Africa - Middle East</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Athens Derivatives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1,768</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21,30,501</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235</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BME Spanish Exchanges</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19,38,624</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2,016</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24,44,715</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1,852</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proofErr w:type="spellStart"/>
            <w:r w:rsidRPr="00B04E29">
              <w:rPr>
                <w:rFonts w:ascii="Times New Roman" w:eastAsia="Times New Roman" w:hAnsi="Times New Roman"/>
                <w:color w:val="000000"/>
                <w:sz w:val="20"/>
                <w:szCs w:val="20"/>
              </w:rPr>
              <w:t>Borsa</w:t>
            </w:r>
            <w:proofErr w:type="spellEnd"/>
            <w:r w:rsidRPr="00B04E29">
              <w:rPr>
                <w:rFonts w:ascii="Times New Roman" w:eastAsia="Times New Roman" w:hAnsi="Times New Roman"/>
                <w:color w:val="000000"/>
                <w:sz w:val="20"/>
                <w:szCs w:val="20"/>
              </w:rPr>
              <w:t xml:space="preserve"> Istanbul</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3,00,944</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69</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20,33,563</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323</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EUREX</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1,39,92,267</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61,516</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1,40,07,924</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48,643</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Euronext</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1,01,62,768</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27,116</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58,529</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146</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Johannesburg Stock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9,45,608</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22</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28,08,331</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2,094</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Moscow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1,54,250</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37</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2,02,74,035</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4,997</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proofErr w:type="spellStart"/>
            <w:r w:rsidRPr="00B04E29">
              <w:rPr>
                <w:rFonts w:ascii="Times New Roman" w:eastAsia="Times New Roman" w:hAnsi="Times New Roman"/>
                <w:color w:val="000000"/>
                <w:sz w:val="20"/>
                <w:szCs w:val="20"/>
              </w:rPr>
              <w:t>Nasdaq</w:t>
            </w:r>
            <w:proofErr w:type="spellEnd"/>
            <w:r w:rsidRPr="00B04E29">
              <w:rPr>
                <w:rFonts w:ascii="Times New Roman" w:eastAsia="Times New Roman" w:hAnsi="Times New Roman"/>
                <w:color w:val="000000"/>
                <w:sz w:val="20"/>
                <w:szCs w:val="20"/>
              </w:rPr>
              <w:t xml:space="preserve"> Nordic Exchanges</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18,75,167</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3,399</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3,79,715</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408</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 xml:space="preserve">Oslo </w:t>
            </w:r>
            <w:proofErr w:type="spellStart"/>
            <w:r w:rsidRPr="00B04E29">
              <w:rPr>
                <w:rFonts w:ascii="Times New Roman" w:eastAsia="Times New Roman" w:hAnsi="Times New Roman"/>
                <w:color w:val="000000"/>
                <w:sz w:val="20"/>
                <w:szCs w:val="20"/>
              </w:rPr>
              <w:t>Bors</w:t>
            </w:r>
            <w:proofErr w:type="spellEnd"/>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r>
      <w:tr w:rsidR="00B04E29" w:rsidRPr="00B04E29" w:rsidTr="00460024">
        <w:trPr>
          <w:trHeight w:val="229"/>
        </w:trPr>
        <w:tc>
          <w:tcPr>
            <w:tcW w:w="2726" w:type="dxa"/>
            <w:tcBorders>
              <w:top w:val="nil"/>
              <w:left w:val="single" w:sz="8" w:space="0" w:color="auto"/>
              <w:bottom w:val="nil"/>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Tehran Stock Exchange</w:t>
            </w:r>
          </w:p>
        </w:tc>
        <w:tc>
          <w:tcPr>
            <w:tcW w:w="149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8,81,502</w:t>
            </w:r>
          </w:p>
        </w:tc>
        <w:tc>
          <w:tcPr>
            <w:tcW w:w="1354"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w:t>
            </w:r>
          </w:p>
        </w:tc>
        <w:tc>
          <w:tcPr>
            <w:tcW w:w="1408"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c>
          <w:tcPr>
            <w:tcW w:w="1246" w:type="dxa"/>
            <w:tcBorders>
              <w:top w:val="nil"/>
              <w:left w:val="nil"/>
              <w:bottom w:val="nil"/>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0</w:t>
            </w:r>
          </w:p>
        </w:tc>
      </w:tr>
      <w:tr w:rsidR="00B04E29" w:rsidRPr="00B04E29" w:rsidTr="00460024">
        <w:trPr>
          <w:trHeight w:val="242"/>
        </w:trPr>
        <w:tc>
          <w:tcPr>
            <w:tcW w:w="2726" w:type="dxa"/>
            <w:tcBorders>
              <w:top w:val="nil"/>
              <w:left w:val="single" w:sz="8" w:space="0" w:color="auto"/>
              <w:bottom w:val="single" w:sz="8" w:space="0" w:color="auto"/>
              <w:right w:val="single" w:sz="8" w:space="0" w:color="auto"/>
            </w:tcBorders>
            <w:shd w:val="clear" w:color="auto" w:fill="auto"/>
            <w:noWrap/>
            <w:vAlign w:val="bottom"/>
            <w:hideMark/>
          </w:tcPr>
          <w:p w:rsidR="00B04E29" w:rsidRPr="00B04E29" w:rsidRDefault="00B04E29" w:rsidP="00B04E29">
            <w:pPr>
              <w:spacing w:after="0" w:line="240" w:lineRule="auto"/>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Tel-Aviv Stock Exchange</w:t>
            </w:r>
          </w:p>
        </w:tc>
        <w:tc>
          <w:tcPr>
            <w:tcW w:w="1498" w:type="dxa"/>
            <w:tcBorders>
              <w:top w:val="nil"/>
              <w:left w:val="nil"/>
              <w:bottom w:val="single" w:sz="8" w:space="0" w:color="auto"/>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57,205</w:t>
            </w:r>
          </w:p>
        </w:tc>
        <w:tc>
          <w:tcPr>
            <w:tcW w:w="1354" w:type="dxa"/>
            <w:tcBorders>
              <w:top w:val="nil"/>
              <w:left w:val="nil"/>
              <w:bottom w:val="single" w:sz="8" w:space="0" w:color="auto"/>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345</w:t>
            </w:r>
          </w:p>
        </w:tc>
        <w:tc>
          <w:tcPr>
            <w:tcW w:w="1408" w:type="dxa"/>
            <w:tcBorders>
              <w:top w:val="nil"/>
              <w:left w:val="nil"/>
              <w:bottom w:val="single" w:sz="8" w:space="0" w:color="auto"/>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c>
          <w:tcPr>
            <w:tcW w:w="1246" w:type="dxa"/>
            <w:tcBorders>
              <w:top w:val="nil"/>
              <w:left w:val="nil"/>
              <w:bottom w:val="single" w:sz="8" w:space="0" w:color="auto"/>
              <w:right w:val="single" w:sz="8" w:space="0" w:color="auto"/>
            </w:tcBorders>
            <w:shd w:val="clear" w:color="auto" w:fill="auto"/>
            <w:noWrap/>
            <w:vAlign w:val="bottom"/>
            <w:hideMark/>
          </w:tcPr>
          <w:p w:rsidR="00B04E29" w:rsidRPr="00B04E29" w:rsidRDefault="00B04E29" w:rsidP="00B04E29">
            <w:pPr>
              <w:spacing w:after="0" w:line="240" w:lineRule="auto"/>
              <w:jc w:val="right"/>
              <w:rPr>
                <w:rFonts w:ascii="Times New Roman" w:eastAsia="Times New Roman" w:hAnsi="Times New Roman"/>
                <w:color w:val="000000"/>
                <w:sz w:val="20"/>
                <w:szCs w:val="20"/>
              </w:rPr>
            </w:pPr>
            <w:r w:rsidRPr="00B04E29">
              <w:rPr>
                <w:rFonts w:ascii="Times New Roman" w:eastAsia="Times New Roman" w:hAnsi="Times New Roman"/>
                <w:color w:val="000000"/>
                <w:sz w:val="20"/>
                <w:szCs w:val="20"/>
              </w:rPr>
              <w:t>NA</w:t>
            </w:r>
          </w:p>
        </w:tc>
      </w:tr>
    </w:tbl>
    <w:p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123EC" w:rsidRDefault="00C77D1D" w:rsidP="00C77D1D">
      <w:pPr>
        <w:spacing w:after="0"/>
        <w:rPr>
          <w:rFonts w:ascii="Garamond" w:hAnsi="Garamond"/>
          <w:b/>
          <w:color w:val="000000" w:themeColor="text1"/>
        </w:rPr>
      </w:pPr>
      <w:r w:rsidRPr="009123EC">
        <w:rPr>
          <w:rFonts w:ascii="Garamond" w:hAnsi="Garamond"/>
          <w:b/>
          <w:color w:val="000000" w:themeColor="text1"/>
        </w:rPr>
        <w:lastRenderedPageBreak/>
        <w:t xml:space="preserve">Table A5: Monthly Turnover in Derivatives (Index options and Index futures) in major </w:t>
      </w:r>
      <w:r w:rsidRPr="007E04D2">
        <w:rPr>
          <w:rFonts w:ascii="Garamond" w:hAnsi="Garamond"/>
          <w:b/>
          <w:color w:val="000000" w:themeColor="text1"/>
        </w:rPr>
        <w:t>Stock Exchanges</w:t>
      </w:r>
      <w:r>
        <w:rPr>
          <w:rFonts w:ascii="Garamond" w:hAnsi="Garamond"/>
          <w:b/>
          <w:color w:val="000000" w:themeColor="text1"/>
        </w:rPr>
        <w:t xml:space="preserve"> </w:t>
      </w: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8382" w:type="dxa"/>
        <w:tblLook w:val="04A0" w:firstRow="1" w:lastRow="0" w:firstColumn="1" w:lastColumn="0" w:noHBand="0" w:noVBand="1"/>
      </w:tblPr>
      <w:tblGrid>
        <w:gridCol w:w="2821"/>
        <w:gridCol w:w="1409"/>
        <w:gridCol w:w="1409"/>
        <w:gridCol w:w="1447"/>
        <w:gridCol w:w="1296"/>
      </w:tblGrid>
      <w:tr w:rsidR="009123EC" w:rsidRPr="009123EC" w:rsidTr="00460024">
        <w:trPr>
          <w:trHeight w:val="237"/>
        </w:trPr>
        <w:tc>
          <w:tcPr>
            <w:tcW w:w="2821" w:type="dxa"/>
            <w:vMerge w:val="restart"/>
            <w:tcBorders>
              <w:top w:val="single" w:sz="8" w:space="0" w:color="auto"/>
              <w:left w:val="single" w:sz="8" w:space="0" w:color="auto"/>
              <w:bottom w:val="nil"/>
              <w:right w:val="nil"/>
            </w:tcBorders>
            <w:shd w:val="clear" w:color="000000" w:fill="00B050"/>
            <w:noWrap/>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Exchange</w:t>
            </w:r>
          </w:p>
        </w:tc>
        <w:tc>
          <w:tcPr>
            <w:tcW w:w="5561"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Jun-17</w:t>
            </w:r>
          </w:p>
        </w:tc>
      </w:tr>
      <w:tr w:rsidR="009123EC" w:rsidRPr="009123EC" w:rsidTr="00460024">
        <w:trPr>
          <w:trHeight w:val="279"/>
        </w:trPr>
        <w:tc>
          <w:tcPr>
            <w:tcW w:w="2821" w:type="dxa"/>
            <w:vMerge/>
            <w:tcBorders>
              <w:top w:val="single" w:sz="8" w:space="0" w:color="auto"/>
              <w:left w:val="single" w:sz="8" w:space="0" w:color="auto"/>
              <w:bottom w:val="nil"/>
              <w:right w:val="nil"/>
            </w:tcBorders>
            <w:vAlign w:val="center"/>
            <w:hideMark/>
          </w:tcPr>
          <w:p w:rsidR="009123EC" w:rsidRPr="009123EC" w:rsidRDefault="009123EC" w:rsidP="009123EC">
            <w:pPr>
              <w:spacing w:after="0" w:line="240" w:lineRule="auto"/>
              <w:rPr>
                <w:rFonts w:ascii="Times New Roman" w:eastAsia="Times New Roman" w:hAnsi="Times New Roman"/>
                <w:b/>
                <w:bCs/>
                <w:color w:val="000000"/>
                <w:sz w:val="20"/>
                <w:szCs w:val="20"/>
              </w:rPr>
            </w:pPr>
          </w:p>
        </w:tc>
        <w:tc>
          <w:tcPr>
            <w:tcW w:w="2818"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Stock index options</w:t>
            </w:r>
          </w:p>
        </w:tc>
        <w:tc>
          <w:tcPr>
            <w:tcW w:w="2742"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Stock index futures</w:t>
            </w:r>
          </w:p>
        </w:tc>
      </w:tr>
      <w:tr w:rsidR="009123EC" w:rsidRPr="009123EC" w:rsidTr="00460024">
        <w:trPr>
          <w:trHeight w:val="964"/>
        </w:trPr>
        <w:tc>
          <w:tcPr>
            <w:tcW w:w="2821" w:type="dxa"/>
            <w:vMerge/>
            <w:tcBorders>
              <w:top w:val="single" w:sz="8" w:space="0" w:color="auto"/>
              <w:left w:val="single" w:sz="8" w:space="0" w:color="auto"/>
              <w:bottom w:val="nil"/>
              <w:right w:val="nil"/>
            </w:tcBorders>
            <w:vAlign w:val="center"/>
            <w:hideMark/>
          </w:tcPr>
          <w:p w:rsidR="009123EC" w:rsidRPr="009123EC" w:rsidRDefault="009123EC" w:rsidP="009123EC">
            <w:pPr>
              <w:spacing w:after="0" w:line="240" w:lineRule="auto"/>
              <w:rPr>
                <w:rFonts w:ascii="Times New Roman" w:eastAsia="Times New Roman" w:hAnsi="Times New Roman"/>
                <w:b/>
                <w:bCs/>
                <w:color w:val="000000"/>
                <w:sz w:val="20"/>
                <w:szCs w:val="20"/>
              </w:rPr>
            </w:pPr>
          </w:p>
        </w:tc>
        <w:tc>
          <w:tcPr>
            <w:tcW w:w="1409" w:type="dxa"/>
            <w:tcBorders>
              <w:top w:val="nil"/>
              <w:left w:val="single" w:sz="8" w:space="0" w:color="auto"/>
              <w:bottom w:val="nil"/>
              <w:right w:val="single" w:sz="4" w:space="0" w:color="auto"/>
            </w:tcBorders>
            <w:shd w:val="clear" w:color="000000" w:fill="00B050"/>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Number of contracts traded</w:t>
            </w:r>
          </w:p>
        </w:tc>
        <w:tc>
          <w:tcPr>
            <w:tcW w:w="1409" w:type="dxa"/>
            <w:tcBorders>
              <w:top w:val="nil"/>
              <w:left w:val="nil"/>
              <w:bottom w:val="nil"/>
              <w:right w:val="single" w:sz="4" w:space="0" w:color="auto"/>
            </w:tcBorders>
            <w:shd w:val="clear" w:color="000000" w:fill="00B050"/>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Notional</w:t>
            </w:r>
            <w:r w:rsidRPr="009123EC">
              <w:rPr>
                <w:rFonts w:ascii="Times New Roman" w:eastAsia="Times New Roman" w:hAnsi="Times New Roman"/>
                <w:b/>
                <w:bCs/>
                <w:color w:val="000000"/>
                <w:sz w:val="20"/>
                <w:szCs w:val="20"/>
              </w:rPr>
              <w:br/>
              <w:t>turnover</w:t>
            </w:r>
            <w:r w:rsidRPr="009123EC">
              <w:rPr>
                <w:rFonts w:ascii="Times New Roman" w:eastAsia="Times New Roman" w:hAnsi="Times New Roman"/>
                <w:b/>
                <w:bCs/>
                <w:color w:val="000000"/>
                <w:sz w:val="20"/>
                <w:szCs w:val="20"/>
              </w:rPr>
              <w:br/>
              <w:t>(USD Million)</w:t>
            </w:r>
          </w:p>
        </w:tc>
        <w:tc>
          <w:tcPr>
            <w:tcW w:w="1447" w:type="dxa"/>
            <w:tcBorders>
              <w:top w:val="nil"/>
              <w:left w:val="nil"/>
              <w:bottom w:val="nil"/>
              <w:right w:val="single" w:sz="4" w:space="0" w:color="auto"/>
            </w:tcBorders>
            <w:shd w:val="clear" w:color="000000" w:fill="00B050"/>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Number of contracts traded</w:t>
            </w:r>
          </w:p>
        </w:tc>
        <w:tc>
          <w:tcPr>
            <w:tcW w:w="1295" w:type="dxa"/>
            <w:tcBorders>
              <w:top w:val="nil"/>
              <w:left w:val="nil"/>
              <w:bottom w:val="nil"/>
              <w:right w:val="single" w:sz="4" w:space="0" w:color="auto"/>
            </w:tcBorders>
            <w:shd w:val="clear" w:color="000000" w:fill="00B050"/>
            <w:vAlign w:val="center"/>
            <w:hideMark/>
          </w:tcPr>
          <w:p w:rsidR="009123EC" w:rsidRPr="009123EC" w:rsidRDefault="009123EC" w:rsidP="009123EC">
            <w:pPr>
              <w:spacing w:after="0" w:line="240" w:lineRule="auto"/>
              <w:jc w:val="center"/>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Notional</w:t>
            </w:r>
            <w:r w:rsidRPr="009123EC">
              <w:rPr>
                <w:rFonts w:ascii="Times New Roman" w:eastAsia="Times New Roman" w:hAnsi="Times New Roman"/>
                <w:b/>
                <w:bCs/>
                <w:color w:val="000000"/>
                <w:sz w:val="20"/>
                <w:szCs w:val="20"/>
              </w:rPr>
              <w:br/>
              <w:t>turnover</w:t>
            </w:r>
            <w:r w:rsidRPr="009123EC">
              <w:rPr>
                <w:rFonts w:ascii="Times New Roman" w:eastAsia="Times New Roman" w:hAnsi="Times New Roman"/>
                <w:b/>
                <w:bCs/>
                <w:color w:val="000000"/>
                <w:sz w:val="20"/>
                <w:szCs w:val="20"/>
              </w:rPr>
              <w:br/>
              <w:t>(USD Million)</w:t>
            </w:r>
          </w:p>
        </w:tc>
      </w:tr>
      <w:tr w:rsidR="009123EC" w:rsidRPr="009123EC" w:rsidTr="00460024">
        <w:trPr>
          <w:trHeight w:val="223"/>
        </w:trPr>
        <w:tc>
          <w:tcPr>
            <w:tcW w:w="2821" w:type="dxa"/>
            <w:tcBorders>
              <w:top w:val="single" w:sz="8" w:space="0" w:color="auto"/>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Americas</w:t>
            </w:r>
          </w:p>
        </w:tc>
        <w:tc>
          <w:tcPr>
            <w:tcW w:w="1409" w:type="dxa"/>
            <w:tcBorders>
              <w:top w:val="single" w:sz="8" w:space="0" w:color="auto"/>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single" w:sz="8" w:space="0" w:color="auto"/>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47" w:type="dxa"/>
            <w:tcBorders>
              <w:top w:val="single" w:sz="8" w:space="0" w:color="auto"/>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295" w:type="dxa"/>
            <w:tcBorders>
              <w:top w:val="single" w:sz="8" w:space="0" w:color="auto"/>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BM&amp;FBOVESPA</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15,28,008</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14,566</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2,23,16,893</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1,08,583</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Chicago Board Options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3,76,18,892</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CME Group</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1,39,63,616</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22,34,830</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5,55,71,679</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66,82,440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ICE Futures US</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3,066</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348</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94,55,408</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8,86,200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proofErr w:type="spellStart"/>
            <w:r w:rsidRPr="009123EC">
              <w:rPr>
                <w:rFonts w:ascii="Times New Roman" w:eastAsia="Times New Roman" w:hAnsi="Times New Roman"/>
                <w:color w:val="000000"/>
                <w:sz w:val="20"/>
                <w:szCs w:val="20"/>
              </w:rPr>
              <w:t>MexDer</w:t>
            </w:r>
            <w:proofErr w:type="spellEnd"/>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2,969</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81</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1,77,004</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4,120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proofErr w:type="spellStart"/>
            <w:r w:rsidRPr="009123EC">
              <w:rPr>
                <w:rFonts w:ascii="Times New Roman" w:eastAsia="Times New Roman" w:hAnsi="Times New Roman"/>
                <w:color w:val="000000"/>
                <w:sz w:val="20"/>
                <w:szCs w:val="20"/>
              </w:rPr>
              <w:t>Nasdaq</w:t>
            </w:r>
            <w:proofErr w:type="spellEnd"/>
            <w:r w:rsidRPr="009123EC">
              <w:rPr>
                <w:rFonts w:ascii="Times New Roman" w:eastAsia="Times New Roman" w:hAnsi="Times New Roman"/>
                <w:color w:val="000000"/>
                <w:sz w:val="20"/>
                <w:szCs w:val="20"/>
              </w:rPr>
              <w:t xml:space="preserve"> - US</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2,87,371</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Asia - Pacific</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Australian Securities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9,65,786</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42,475</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76,901</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1,99,012</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Hong Kong Exchanges and Clearing</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24,59,623</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2,32,344</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63,19,693</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6,25,430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Japan Exchange Group</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25,45,725</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2,56,15,308</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12,62,490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Korea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4,65,19,444</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30,71,400</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68,53,730</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3,69,587</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Singapore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5,66,083</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1,26,69,344</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TAIFEX</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1,76,94,925</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2,99,130</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51,66,670</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2,45,955</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Thailand Futures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75,527</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22,36,410</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b/>
                <w:bCs/>
                <w:color w:val="000000"/>
                <w:sz w:val="20"/>
                <w:szCs w:val="20"/>
              </w:rPr>
            </w:pPr>
            <w:r w:rsidRPr="009123EC">
              <w:rPr>
                <w:rFonts w:ascii="Times New Roman" w:eastAsia="Times New Roman" w:hAnsi="Times New Roman"/>
                <w:b/>
                <w:bCs/>
                <w:color w:val="000000"/>
                <w:sz w:val="20"/>
                <w:szCs w:val="20"/>
              </w:rPr>
              <w:t>Europe - Africa - Middle East</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Athens Derivatives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7,383</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36</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57,161</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276</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BME Spanish Exchanges</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3,39,242</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4,012</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6,65,520</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64,058</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proofErr w:type="spellStart"/>
            <w:r w:rsidRPr="009123EC">
              <w:rPr>
                <w:rFonts w:ascii="Times New Roman" w:eastAsia="Times New Roman" w:hAnsi="Times New Roman"/>
                <w:color w:val="000000"/>
                <w:sz w:val="20"/>
                <w:szCs w:val="20"/>
              </w:rPr>
              <w:t>Borsa</w:t>
            </w:r>
            <w:proofErr w:type="spellEnd"/>
            <w:r w:rsidRPr="009123EC">
              <w:rPr>
                <w:rFonts w:ascii="Times New Roman" w:eastAsia="Times New Roman" w:hAnsi="Times New Roman"/>
                <w:color w:val="000000"/>
                <w:sz w:val="20"/>
                <w:szCs w:val="20"/>
              </w:rPr>
              <w:t xml:space="preserve"> Istanbul</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22,391</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76</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38,91,261</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13,576</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EUREX</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3,22,63,055</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13,30,010</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5,16,75,295</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25,69,630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Euronext</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13,40,933</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79,509</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41,03,816</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2,92,170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Johannesburg Stock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3,81,451</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201</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31,94,471</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63,769</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Moscow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39,84,056</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6,400</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1,53,01,362</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28,372</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proofErr w:type="spellStart"/>
            <w:r w:rsidRPr="009123EC">
              <w:rPr>
                <w:rFonts w:ascii="Times New Roman" w:eastAsia="Times New Roman" w:hAnsi="Times New Roman"/>
                <w:color w:val="000000"/>
                <w:sz w:val="20"/>
                <w:szCs w:val="20"/>
              </w:rPr>
              <w:t>Nasdaq</w:t>
            </w:r>
            <w:proofErr w:type="spellEnd"/>
            <w:r w:rsidRPr="009123EC">
              <w:rPr>
                <w:rFonts w:ascii="Times New Roman" w:eastAsia="Times New Roman" w:hAnsi="Times New Roman"/>
                <w:color w:val="000000"/>
                <w:sz w:val="20"/>
                <w:szCs w:val="20"/>
              </w:rPr>
              <w:t xml:space="preserve"> Nordic Exchanges</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4,26,071</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8,265</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35,02,441</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51,823</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 xml:space="preserve">Oslo </w:t>
            </w:r>
            <w:proofErr w:type="spellStart"/>
            <w:r w:rsidRPr="009123EC">
              <w:rPr>
                <w:rFonts w:ascii="Times New Roman" w:eastAsia="Times New Roman" w:hAnsi="Times New Roman"/>
                <w:color w:val="000000"/>
                <w:sz w:val="20"/>
                <w:szCs w:val="20"/>
              </w:rPr>
              <w:t>Bors</w:t>
            </w:r>
            <w:proofErr w:type="spellEnd"/>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0</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0</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0</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0</w:t>
            </w:r>
          </w:p>
        </w:tc>
      </w:tr>
      <w:tr w:rsidR="009123EC" w:rsidRPr="009123EC" w:rsidTr="00460024">
        <w:trPr>
          <w:trHeight w:val="237"/>
        </w:trPr>
        <w:tc>
          <w:tcPr>
            <w:tcW w:w="2821" w:type="dxa"/>
            <w:tcBorders>
              <w:top w:val="nil"/>
              <w:left w:val="single" w:sz="8" w:space="0" w:color="auto"/>
              <w:bottom w:val="nil"/>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Tel-Aviv Stock Exchange</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21,98,799</w:t>
            </w:r>
          </w:p>
        </w:tc>
        <w:tc>
          <w:tcPr>
            <w:tcW w:w="1409"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447"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c>
          <w:tcPr>
            <w:tcW w:w="1295" w:type="dxa"/>
            <w:tcBorders>
              <w:top w:val="nil"/>
              <w:left w:val="nil"/>
              <w:bottom w:val="nil"/>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NA</w:t>
            </w:r>
          </w:p>
        </w:tc>
      </w:tr>
      <w:tr w:rsidR="009123EC" w:rsidRPr="009123EC" w:rsidTr="00460024">
        <w:trPr>
          <w:trHeight w:val="251"/>
        </w:trPr>
        <w:tc>
          <w:tcPr>
            <w:tcW w:w="2821" w:type="dxa"/>
            <w:tcBorders>
              <w:top w:val="nil"/>
              <w:left w:val="single" w:sz="8" w:space="0" w:color="auto"/>
              <w:bottom w:val="single" w:sz="8" w:space="0" w:color="auto"/>
              <w:right w:val="single" w:sz="8" w:space="0" w:color="auto"/>
            </w:tcBorders>
            <w:shd w:val="clear" w:color="auto" w:fill="auto"/>
            <w:noWrap/>
            <w:vAlign w:val="bottom"/>
            <w:hideMark/>
          </w:tcPr>
          <w:p w:rsidR="009123EC" w:rsidRPr="009123EC" w:rsidRDefault="009123EC" w:rsidP="009123EC">
            <w:pPr>
              <w:spacing w:after="0" w:line="240" w:lineRule="auto"/>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Warsaw Stock Exchange</w:t>
            </w:r>
          </w:p>
        </w:tc>
        <w:tc>
          <w:tcPr>
            <w:tcW w:w="1409" w:type="dxa"/>
            <w:tcBorders>
              <w:top w:val="nil"/>
              <w:left w:val="nil"/>
              <w:bottom w:val="single" w:sz="8" w:space="0" w:color="auto"/>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25,997</w:t>
            </w:r>
          </w:p>
        </w:tc>
        <w:tc>
          <w:tcPr>
            <w:tcW w:w="1409" w:type="dxa"/>
            <w:tcBorders>
              <w:top w:val="nil"/>
              <w:left w:val="nil"/>
              <w:bottom w:val="single" w:sz="8" w:space="0" w:color="auto"/>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163</w:t>
            </w:r>
          </w:p>
        </w:tc>
        <w:tc>
          <w:tcPr>
            <w:tcW w:w="1447" w:type="dxa"/>
            <w:tcBorders>
              <w:top w:val="nil"/>
              <w:left w:val="nil"/>
              <w:bottom w:val="single" w:sz="8" w:space="0" w:color="auto"/>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5,16,718</w:t>
            </w:r>
          </w:p>
        </w:tc>
        <w:tc>
          <w:tcPr>
            <w:tcW w:w="1295" w:type="dxa"/>
            <w:tcBorders>
              <w:top w:val="nil"/>
              <w:left w:val="nil"/>
              <w:bottom w:val="single" w:sz="8" w:space="0" w:color="auto"/>
              <w:right w:val="single" w:sz="8" w:space="0" w:color="auto"/>
            </w:tcBorders>
            <w:shd w:val="clear" w:color="auto" w:fill="auto"/>
            <w:noWrap/>
            <w:vAlign w:val="bottom"/>
            <w:hideMark/>
          </w:tcPr>
          <w:p w:rsidR="009123EC" w:rsidRPr="009123EC" w:rsidRDefault="009123EC" w:rsidP="009123EC">
            <w:pPr>
              <w:spacing w:after="0" w:line="240" w:lineRule="auto"/>
              <w:jc w:val="right"/>
              <w:rPr>
                <w:rFonts w:ascii="Times New Roman" w:eastAsia="Times New Roman" w:hAnsi="Times New Roman"/>
                <w:color w:val="000000"/>
                <w:sz w:val="20"/>
                <w:szCs w:val="20"/>
              </w:rPr>
            </w:pPr>
            <w:r w:rsidRPr="009123EC">
              <w:rPr>
                <w:rFonts w:ascii="Times New Roman" w:eastAsia="Times New Roman" w:hAnsi="Times New Roman"/>
                <w:color w:val="000000"/>
                <w:sz w:val="20"/>
                <w:szCs w:val="20"/>
              </w:rPr>
              <w:t>6,473</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255151">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325" w:type="dxa"/>
        <w:tblLook w:val="04A0" w:firstRow="1" w:lastRow="0" w:firstColumn="1" w:lastColumn="0" w:noHBand="0" w:noVBand="1"/>
      </w:tblPr>
      <w:tblGrid>
        <w:gridCol w:w="3145"/>
        <w:gridCol w:w="1572"/>
        <w:gridCol w:w="1945"/>
        <w:gridCol w:w="1759"/>
        <w:gridCol w:w="1904"/>
      </w:tblGrid>
      <w:tr w:rsidR="00464F53" w:rsidRPr="00464F53" w:rsidTr="00255151">
        <w:trPr>
          <w:trHeight w:val="594"/>
        </w:trPr>
        <w:tc>
          <w:tcPr>
            <w:tcW w:w="3145"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Stock Exchange</w:t>
            </w:r>
          </w:p>
        </w:tc>
        <w:tc>
          <w:tcPr>
            <w:tcW w:w="1572" w:type="dxa"/>
            <w:tcBorders>
              <w:top w:val="single" w:sz="8" w:space="0" w:color="auto"/>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Apr-17</w:t>
            </w:r>
          </w:p>
        </w:tc>
        <w:tc>
          <w:tcPr>
            <w:tcW w:w="1945" w:type="dxa"/>
            <w:tcBorders>
              <w:top w:val="single" w:sz="8" w:space="0" w:color="auto"/>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May-17</w:t>
            </w:r>
          </w:p>
        </w:tc>
        <w:tc>
          <w:tcPr>
            <w:tcW w:w="1759" w:type="dxa"/>
            <w:tcBorders>
              <w:top w:val="single" w:sz="8" w:space="0" w:color="auto"/>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Jun-17</w:t>
            </w:r>
          </w:p>
        </w:tc>
        <w:tc>
          <w:tcPr>
            <w:tcW w:w="1904" w:type="dxa"/>
            <w:tcBorders>
              <w:top w:val="single" w:sz="8" w:space="0" w:color="auto"/>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 xml:space="preserve">M-o-M </w:t>
            </w:r>
            <w:proofErr w:type="gramStart"/>
            <w:r w:rsidRPr="00464F53">
              <w:rPr>
                <w:rFonts w:ascii="Times New Roman" w:eastAsia="Times New Roman" w:hAnsi="Times New Roman"/>
                <w:b/>
                <w:bCs/>
                <w:color w:val="000000"/>
                <w:lang w:val="en-IN" w:eastAsia="en-IN" w:bidi="hi-IN"/>
              </w:rPr>
              <w:t>change(</w:t>
            </w:r>
            <w:proofErr w:type="gramEnd"/>
            <w:r w:rsidRPr="00464F53">
              <w:rPr>
                <w:rFonts w:ascii="Times New Roman" w:eastAsia="Times New Roman" w:hAnsi="Times New Roman"/>
                <w:b/>
                <w:bCs/>
                <w:color w:val="000000"/>
                <w:lang w:val="en-IN" w:eastAsia="en-IN" w:bidi="hi-IN"/>
              </w:rPr>
              <w:t>%)</w:t>
            </w:r>
          </w:p>
        </w:tc>
      </w:tr>
      <w:tr w:rsidR="00464F53" w:rsidRPr="00464F53" w:rsidTr="00464F53">
        <w:trPr>
          <w:trHeight w:val="286"/>
        </w:trPr>
        <w:tc>
          <w:tcPr>
            <w:tcW w:w="3145" w:type="dxa"/>
            <w:tcBorders>
              <w:top w:val="nil"/>
              <w:left w:val="single" w:sz="8" w:space="0" w:color="auto"/>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i/>
                <w:iCs/>
                <w:color w:val="000000"/>
                <w:lang w:val="en-IN" w:eastAsia="en-IN" w:bidi="hi-IN"/>
              </w:rPr>
            </w:pPr>
            <w:r w:rsidRPr="00464F53">
              <w:rPr>
                <w:rFonts w:ascii="Times New Roman" w:eastAsia="Times New Roman" w:hAnsi="Times New Roman"/>
                <w:i/>
                <w:iCs/>
                <w:color w:val="000000"/>
                <w:lang w:val="en-IN" w:eastAsia="en-IN" w:bidi="hi-IN"/>
              </w:rPr>
              <w:t>1</w:t>
            </w:r>
          </w:p>
        </w:tc>
        <w:tc>
          <w:tcPr>
            <w:tcW w:w="1572" w:type="dxa"/>
            <w:tcBorders>
              <w:top w:val="nil"/>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i/>
                <w:iCs/>
                <w:color w:val="000000"/>
                <w:lang w:val="en-IN" w:eastAsia="en-IN" w:bidi="hi-IN"/>
              </w:rPr>
            </w:pPr>
            <w:r w:rsidRPr="00464F53">
              <w:rPr>
                <w:rFonts w:ascii="Times New Roman" w:eastAsia="Times New Roman" w:hAnsi="Times New Roman"/>
                <w:i/>
                <w:iCs/>
                <w:color w:val="000000"/>
                <w:lang w:val="en-IN" w:eastAsia="en-IN" w:bidi="hi-IN"/>
              </w:rPr>
              <w:t>2</w:t>
            </w:r>
          </w:p>
        </w:tc>
        <w:tc>
          <w:tcPr>
            <w:tcW w:w="1945" w:type="dxa"/>
            <w:tcBorders>
              <w:top w:val="nil"/>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i/>
                <w:iCs/>
                <w:color w:val="000000"/>
                <w:lang w:val="en-IN" w:eastAsia="en-IN" w:bidi="hi-IN"/>
              </w:rPr>
            </w:pPr>
            <w:r w:rsidRPr="00464F53">
              <w:rPr>
                <w:rFonts w:ascii="Times New Roman" w:eastAsia="Times New Roman" w:hAnsi="Times New Roman"/>
                <w:i/>
                <w:iCs/>
                <w:color w:val="000000"/>
                <w:lang w:val="en-IN" w:eastAsia="en-IN" w:bidi="hi-IN"/>
              </w:rPr>
              <w:t>3</w:t>
            </w:r>
          </w:p>
        </w:tc>
        <w:tc>
          <w:tcPr>
            <w:tcW w:w="1759" w:type="dxa"/>
            <w:tcBorders>
              <w:top w:val="nil"/>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i/>
                <w:iCs/>
                <w:color w:val="000000"/>
                <w:lang w:val="en-IN" w:eastAsia="en-IN" w:bidi="hi-IN"/>
              </w:rPr>
            </w:pPr>
            <w:r w:rsidRPr="00464F53">
              <w:rPr>
                <w:rFonts w:ascii="Times New Roman" w:eastAsia="Times New Roman" w:hAnsi="Times New Roman"/>
                <w:i/>
                <w:iCs/>
                <w:color w:val="000000"/>
                <w:lang w:val="en-IN" w:eastAsia="en-IN" w:bidi="hi-IN"/>
              </w:rPr>
              <w:t>4</w:t>
            </w:r>
          </w:p>
        </w:tc>
        <w:tc>
          <w:tcPr>
            <w:tcW w:w="1904" w:type="dxa"/>
            <w:tcBorders>
              <w:top w:val="nil"/>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jc w:val="center"/>
              <w:rPr>
                <w:rFonts w:ascii="Times New Roman" w:eastAsia="Times New Roman" w:hAnsi="Times New Roman"/>
                <w:i/>
                <w:iCs/>
                <w:color w:val="000000"/>
                <w:lang w:val="en-IN" w:eastAsia="en-IN" w:bidi="hi-IN"/>
              </w:rPr>
            </w:pPr>
            <w:r w:rsidRPr="00464F53">
              <w:rPr>
                <w:rFonts w:ascii="Times New Roman" w:eastAsia="Times New Roman" w:hAnsi="Times New Roman"/>
                <w:i/>
                <w:iCs/>
                <w:color w:val="000000"/>
                <w:lang w:val="en-IN" w:eastAsia="en-IN" w:bidi="hi-IN"/>
              </w:rPr>
              <w:t>5</w:t>
            </w:r>
          </w:p>
        </w:tc>
      </w:tr>
      <w:tr w:rsidR="00464F53" w:rsidRPr="00464F53" w:rsidTr="00464F53">
        <w:trPr>
          <w:trHeight w:val="286"/>
        </w:trPr>
        <w:tc>
          <w:tcPr>
            <w:tcW w:w="3145" w:type="dxa"/>
            <w:tcBorders>
              <w:top w:val="nil"/>
              <w:left w:val="single" w:sz="8" w:space="0" w:color="auto"/>
              <w:bottom w:val="single" w:sz="8" w:space="0" w:color="auto"/>
              <w:right w:val="nil"/>
            </w:tcBorders>
            <w:shd w:val="clear" w:color="000000" w:fill="00B050"/>
            <w:noWrap/>
            <w:vAlign w:val="bottom"/>
            <w:hideMark/>
          </w:tcPr>
          <w:p w:rsidR="00464F53" w:rsidRPr="00464F53" w:rsidRDefault="00464F53" w:rsidP="00464F53">
            <w:pPr>
              <w:spacing w:after="0" w:line="240" w:lineRule="auto"/>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Developed Markets</w:t>
            </w:r>
          </w:p>
        </w:tc>
        <w:tc>
          <w:tcPr>
            <w:tcW w:w="1572" w:type="dxa"/>
            <w:tcBorders>
              <w:top w:val="nil"/>
              <w:left w:val="nil"/>
              <w:bottom w:val="single" w:sz="8" w:space="0" w:color="auto"/>
              <w:right w:val="nil"/>
            </w:tcBorders>
            <w:shd w:val="clear" w:color="000000" w:fill="00B050"/>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945" w:type="dxa"/>
            <w:tcBorders>
              <w:top w:val="nil"/>
              <w:left w:val="nil"/>
              <w:bottom w:val="single" w:sz="8" w:space="0" w:color="auto"/>
              <w:right w:val="nil"/>
            </w:tcBorders>
            <w:shd w:val="clear" w:color="000000" w:fill="00B050"/>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759" w:type="dxa"/>
            <w:tcBorders>
              <w:top w:val="nil"/>
              <w:left w:val="nil"/>
              <w:bottom w:val="single" w:sz="8" w:space="0" w:color="auto"/>
              <w:right w:val="nil"/>
            </w:tcBorders>
            <w:shd w:val="clear" w:color="000000" w:fill="00B050"/>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904" w:type="dxa"/>
            <w:tcBorders>
              <w:top w:val="nil"/>
              <w:left w:val="nil"/>
              <w:bottom w:val="single" w:sz="8" w:space="0" w:color="auto"/>
              <w:right w:val="single" w:sz="8" w:space="0" w:color="auto"/>
            </w:tcBorders>
            <w:shd w:val="clear" w:color="000000" w:fill="00B050"/>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Australia</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12,52,435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12,01,963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12,51,211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4.1</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France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22,31,242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23,45,096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23,47,027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0.1</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Germany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21,01,156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21,81,049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21,61,548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(0.9)</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Hong Kong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44,39,803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45,66,084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45,77,354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0.2</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Japan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53,89,187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55,56,568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56,52,599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1.7</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Singapore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5,32,691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5,36,587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5,42,662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1.1</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UK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33,70,064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34,85,003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34,32,329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(1.5)</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USA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2,66,96,106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2,69,13,467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2,69,97,561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0.3</w:t>
            </w:r>
          </w:p>
        </w:tc>
      </w:tr>
      <w:tr w:rsidR="00464F53" w:rsidRPr="00464F53" w:rsidTr="00464F53">
        <w:trPr>
          <w:trHeight w:val="274"/>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945" w:type="dxa"/>
            <w:tcBorders>
              <w:top w:val="nil"/>
              <w:left w:val="nil"/>
              <w:bottom w:val="single" w:sz="8" w:space="0" w:color="auto"/>
              <w:right w:val="single" w:sz="8" w:space="0" w:color="auto"/>
            </w:tcBorders>
            <w:shd w:val="clear" w:color="000000" w:fill="FFFFFF"/>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759" w:type="dxa"/>
            <w:tcBorders>
              <w:top w:val="nil"/>
              <w:left w:val="nil"/>
              <w:bottom w:val="nil"/>
              <w:right w:val="nil"/>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p>
        </w:tc>
        <w:tc>
          <w:tcPr>
            <w:tcW w:w="1904" w:type="dxa"/>
            <w:tcBorders>
              <w:top w:val="nil"/>
              <w:left w:val="single" w:sz="8" w:space="0" w:color="auto"/>
              <w:bottom w:val="single" w:sz="8" w:space="0" w:color="auto"/>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p>
        </w:tc>
      </w:tr>
      <w:tr w:rsidR="00464F53" w:rsidRPr="00464F53" w:rsidTr="00464F53">
        <w:trPr>
          <w:trHeight w:val="286"/>
        </w:trPr>
        <w:tc>
          <w:tcPr>
            <w:tcW w:w="3145" w:type="dxa"/>
            <w:tcBorders>
              <w:top w:val="single" w:sz="8" w:space="0" w:color="auto"/>
              <w:left w:val="single" w:sz="8" w:space="0" w:color="auto"/>
              <w:bottom w:val="single" w:sz="8" w:space="0" w:color="auto"/>
              <w:right w:val="nil"/>
            </w:tcBorders>
            <w:shd w:val="clear" w:color="000000" w:fill="00B050"/>
            <w:vAlign w:val="bottom"/>
            <w:hideMark/>
          </w:tcPr>
          <w:p w:rsidR="00464F53" w:rsidRPr="00464F53" w:rsidRDefault="00464F53" w:rsidP="00464F53">
            <w:pPr>
              <w:spacing w:after="0" w:line="240" w:lineRule="auto"/>
              <w:rPr>
                <w:rFonts w:ascii="Times New Roman" w:eastAsia="Times New Roman" w:hAnsi="Times New Roman"/>
                <w:b/>
                <w:bCs/>
                <w:color w:val="000000"/>
                <w:lang w:val="en-IN" w:eastAsia="en-IN" w:bidi="hi-IN"/>
              </w:rPr>
            </w:pPr>
            <w:r w:rsidRPr="00464F53">
              <w:rPr>
                <w:rFonts w:ascii="Times New Roman" w:eastAsia="Times New Roman" w:hAnsi="Times New Roman"/>
                <w:b/>
                <w:bCs/>
                <w:color w:val="000000"/>
                <w:lang w:val="en-IN" w:eastAsia="en-IN" w:bidi="hi-IN"/>
              </w:rPr>
              <w:t>Emerging Markets</w:t>
            </w:r>
          </w:p>
        </w:tc>
        <w:tc>
          <w:tcPr>
            <w:tcW w:w="1572" w:type="dxa"/>
            <w:tcBorders>
              <w:top w:val="single" w:sz="8" w:space="0" w:color="auto"/>
              <w:left w:val="nil"/>
              <w:bottom w:val="single" w:sz="8" w:space="0" w:color="auto"/>
              <w:right w:val="nil"/>
            </w:tcBorders>
            <w:shd w:val="clear" w:color="000000" w:fill="00B050"/>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945" w:type="dxa"/>
            <w:tcBorders>
              <w:top w:val="nil"/>
              <w:left w:val="nil"/>
              <w:bottom w:val="single" w:sz="8" w:space="0" w:color="auto"/>
              <w:right w:val="nil"/>
            </w:tcBorders>
            <w:shd w:val="clear" w:color="000000" w:fill="00B050"/>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759" w:type="dxa"/>
            <w:tcBorders>
              <w:top w:val="single" w:sz="8" w:space="0" w:color="auto"/>
              <w:left w:val="nil"/>
              <w:bottom w:val="single" w:sz="8" w:space="0" w:color="auto"/>
              <w:right w:val="nil"/>
            </w:tcBorders>
            <w:shd w:val="clear" w:color="000000" w:fill="00B050"/>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w:t>
            </w:r>
          </w:p>
        </w:tc>
        <w:tc>
          <w:tcPr>
            <w:tcW w:w="1904" w:type="dxa"/>
            <w:tcBorders>
              <w:top w:val="nil"/>
              <w:left w:val="nil"/>
              <w:bottom w:val="single" w:sz="8" w:space="0" w:color="auto"/>
              <w:right w:val="single" w:sz="8" w:space="0" w:color="auto"/>
            </w:tcBorders>
            <w:shd w:val="clear" w:color="000000" w:fill="00B050"/>
            <w:vAlign w:val="bottom"/>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India</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19,61,125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19,61,200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19,50,997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(0.5)</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Argentina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79,972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85,548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81,623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(4.6)</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Brazil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7,87,363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7,63,218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7,35,076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(3.7)</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Chile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2,36,712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2,38,354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2,34,502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(1.6)</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China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68,08,335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66,99,969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69,96,993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4.4</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Colombia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1,06,129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1,06,666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1,01,477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(4.9)</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Egypt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38,272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39,011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39,915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2.3</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Hungary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23,585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25,200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25,994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3.2</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Indonesia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4,62,364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4,67,627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4,75,382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1.7</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Malaysia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4,04,250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4,09,015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4,08,102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(0.2)</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Mexico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3,72,830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3,75,816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3,87,145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3.0</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Pakistan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94,260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97,815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89,007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(9.0)</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Russia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5,75,204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5,57,933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5,22,597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(6.3)</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South Korea</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13,91,297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14,98,106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15,02,685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0.3</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South Africa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4,54,320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4,66,504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4,42,066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(5.2)</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Taiwan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10,89,805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11,18,798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11,40,915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2.0</w:t>
            </w:r>
          </w:p>
        </w:tc>
      </w:tr>
      <w:tr w:rsidR="00464F53" w:rsidRPr="00464F53" w:rsidTr="00464F53">
        <w:trPr>
          <w:trHeight w:val="262"/>
        </w:trPr>
        <w:tc>
          <w:tcPr>
            <w:tcW w:w="3145" w:type="dxa"/>
            <w:tcBorders>
              <w:top w:val="nil"/>
              <w:left w:val="single" w:sz="8" w:space="0" w:color="auto"/>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Thailand </w:t>
            </w:r>
          </w:p>
        </w:tc>
        <w:tc>
          <w:tcPr>
            <w:tcW w:w="1572"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4,36,694 </w:t>
            </w:r>
          </w:p>
        </w:tc>
        <w:tc>
          <w:tcPr>
            <w:tcW w:w="1945"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4,45,015 </w:t>
            </w:r>
          </w:p>
        </w:tc>
        <w:tc>
          <w:tcPr>
            <w:tcW w:w="1759" w:type="dxa"/>
            <w:tcBorders>
              <w:top w:val="nil"/>
              <w:left w:val="nil"/>
              <w:bottom w:val="nil"/>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4,49,716 </w:t>
            </w:r>
          </w:p>
        </w:tc>
        <w:tc>
          <w:tcPr>
            <w:tcW w:w="1904" w:type="dxa"/>
            <w:tcBorders>
              <w:top w:val="nil"/>
              <w:left w:val="nil"/>
              <w:bottom w:val="nil"/>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1.1</w:t>
            </w:r>
          </w:p>
        </w:tc>
      </w:tr>
      <w:tr w:rsidR="00464F53" w:rsidRPr="00464F53" w:rsidTr="00464F53">
        <w:trPr>
          <w:trHeight w:val="274"/>
        </w:trPr>
        <w:tc>
          <w:tcPr>
            <w:tcW w:w="3145" w:type="dxa"/>
            <w:tcBorders>
              <w:top w:val="nil"/>
              <w:left w:val="single" w:sz="8" w:space="0" w:color="auto"/>
              <w:bottom w:val="single" w:sz="8" w:space="0" w:color="auto"/>
              <w:right w:val="nil"/>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Turkey </w:t>
            </w:r>
          </w:p>
        </w:tc>
        <w:tc>
          <w:tcPr>
            <w:tcW w:w="1572" w:type="dxa"/>
            <w:tcBorders>
              <w:top w:val="nil"/>
              <w:left w:val="single" w:sz="8" w:space="0" w:color="auto"/>
              <w:bottom w:val="single" w:sz="8" w:space="0" w:color="auto"/>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1,98,805 </w:t>
            </w:r>
          </w:p>
        </w:tc>
        <w:tc>
          <w:tcPr>
            <w:tcW w:w="1945" w:type="dxa"/>
            <w:tcBorders>
              <w:top w:val="nil"/>
              <w:left w:val="nil"/>
              <w:bottom w:val="single" w:sz="8" w:space="0" w:color="auto"/>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2,04,728 </w:t>
            </w:r>
          </w:p>
        </w:tc>
        <w:tc>
          <w:tcPr>
            <w:tcW w:w="1759" w:type="dxa"/>
            <w:tcBorders>
              <w:top w:val="nil"/>
              <w:left w:val="nil"/>
              <w:bottom w:val="single" w:sz="8" w:space="0" w:color="auto"/>
              <w:right w:val="single" w:sz="8" w:space="0" w:color="auto"/>
            </w:tcBorders>
            <w:shd w:val="clear" w:color="auto" w:fill="auto"/>
            <w:noWrap/>
            <w:vAlign w:val="bottom"/>
            <w:hideMark/>
          </w:tcPr>
          <w:p w:rsidR="00464F53" w:rsidRPr="00464F53" w:rsidRDefault="00464F53" w:rsidP="00464F53">
            <w:pPr>
              <w:spacing w:after="0" w:line="240" w:lineRule="auto"/>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 xml:space="preserve">             2,12,196 </w:t>
            </w:r>
          </w:p>
        </w:tc>
        <w:tc>
          <w:tcPr>
            <w:tcW w:w="1904" w:type="dxa"/>
            <w:tcBorders>
              <w:top w:val="nil"/>
              <w:left w:val="nil"/>
              <w:bottom w:val="single" w:sz="8" w:space="0" w:color="auto"/>
              <w:right w:val="single" w:sz="8" w:space="0" w:color="auto"/>
            </w:tcBorders>
            <w:shd w:val="clear" w:color="auto" w:fill="auto"/>
            <w:noWrap/>
            <w:vAlign w:val="center"/>
            <w:hideMark/>
          </w:tcPr>
          <w:p w:rsidR="00464F53" w:rsidRPr="00464F53" w:rsidRDefault="00464F53" w:rsidP="001B4261">
            <w:pPr>
              <w:spacing w:after="0" w:line="240" w:lineRule="auto"/>
              <w:jc w:val="center"/>
              <w:rPr>
                <w:rFonts w:ascii="Arial" w:eastAsia="Times New Roman" w:hAnsi="Arial" w:cs="Arial"/>
                <w:color w:val="000000"/>
                <w:sz w:val="20"/>
                <w:szCs w:val="20"/>
                <w:lang w:val="en-IN" w:eastAsia="en-IN" w:bidi="hi-IN"/>
              </w:rPr>
            </w:pPr>
            <w:r w:rsidRPr="00464F53">
              <w:rPr>
                <w:rFonts w:ascii="Arial" w:eastAsia="Times New Roman" w:hAnsi="Arial" w:cs="Arial"/>
                <w:color w:val="000000"/>
                <w:sz w:val="20"/>
                <w:szCs w:val="20"/>
                <w:lang w:val="en-IN" w:eastAsia="en-IN" w:bidi="hi-IN"/>
              </w:rPr>
              <w:t>3.6</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proofErr w:type="spellStart"/>
      <w:r w:rsidRPr="00560465">
        <w:rPr>
          <w:rFonts w:ascii="Garamond" w:eastAsiaTheme="minorHAnsi" w:hAnsi="Garamond"/>
          <w:i/>
          <w:color w:val="000000" w:themeColor="text1"/>
          <w:sz w:val="24"/>
          <w:szCs w:val="24"/>
          <w:lang w:val="en-GB"/>
        </w:rPr>
        <w:t>InstitutoBrasileiro</w:t>
      </w:r>
      <w:proofErr w:type="spellEnd"/>
      <w:r w:rsidRPr="00560465">
        <w:rPr>
          <w:rFonts w:ascii="Garamond" w:eastAsiaTheme="minorHAnsi" w:hAnsi="Garamond"/>
          <w:i/>
          <w:color w:val="000000" w:themeColor="text1"/>
          <w:sz w:val="24"/>
          <w:szCs w:val="24"/>
          <w:lang w:val="en-GB"/>
        </w:rPr>
        <w:t xml:space="preserve"> de </w:t>
      </w:r>
      <w:proofErr w:type="spellStart"/>
      <w:r w:rsidRPr="00560465">
        <w:rPr>
          <w:rFonts w:ascii="Garamond" w:eastAsiaTheme="minorHAnsi" w:hAnsi="Garamond"/>
          <w:i/>
          <w:color w:val="000000" w:themeColor="text1"/>
          <w:sz w:val="24"/>
          <w:szCs w:val="24"/>
          <w:lang w:val="en-GB"/>
        </w:rPr>
        <w:t>Geografia</w:t>
      </w:r>
      <w:proofErr w:type="spellEnd"/>
      <w:r w:rsidRPr="00560465">
        <w:rPr>
          <w:rFonts w:ascii="Garamond" w:eastAsiaTheme="minorHAnsi" w:hAnsi="Garamond"/>
          <w:i/>
          <w:color w:val="000000" w:themeColor="text1"/>
          <w:sz w:val="24"/>
          <w:szCs w:val="24"/>
          <w:lang w:val="en-GB"/>
        </w:rPr>
        <w:t xml:space="preserve"> e </w:t>
      </w:r>
      <w:proofErr w:type="spellStart"/>
      <w:r w:rsidRPr="00560465">
        <w:rPr>
          <w:rFonts w:ascii="Garamond" w:eastAsiaTheme="minorHAnsi" w:hAnsi="Garamond"/>
          <w:i/>
          <w:color w:val="000000" w:themeColor="text1"/>
          <w:sz w:val="24"/>
          <w:szCs w:val="24"/>
          <w:lang w:val="en-GB"/>
        </w:rPr>
        <w:t>Estatística</w:t>
      </w:r>
      <w:proofErr w:type="spellEnd"/>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proofErr w:type="spellStart"/>
      <w:r w:rsidRPr="00560465">
        <w:rPr>
          <w:rFonts w:ascii="Garamond" w:eastAsiaTheme="minorHAnsi" w:hAnsi="Garamond"/>
          <w:i/>
          <w:color w:val="000000" w:themeColor="text1"/>
          <w:sz w:val="24"/>
          <w:szCs w:val="24"/>
          <w:lang w:val="en-GB"/>
        </w:rPr>
        <w:t>Banco</w:t>
      </w:r>
      <w:proofErr w:type="spellEnd"/>
      <w:r w:rsidRPr="00560465">
        <w:rPr>
          <w:rFonts w:ascii="Garamond" w:eastAsiaTheme="minorHAnsi" w:hAnsi="Garamond"/>
          <w:i/>
          <w:color w:val="000000" w:themeColor="text1"/>
          <w:sz w:val="24"/>
          <w:szCs w:val="24"/>
          <w:lang w:val="en-GB"/>
        </w:rPr>
        <w:t xml:space="preserve"> Central do </w:t>
      </w:r>
      <w:proofErr w:type="spellStart"/>
      <w:r w:rsidRPr="00560465">
        <w:rPr>
          <w:rFonts w:ascii="Garamond" w:eastAsiaTheme="minorHAnsi" w:hAnsi="Garamond"/>
          <w:i/>
          <w:color w:val="000000" w:themeColor="text1"/>
          <w:sz w:val="24"/>
          <w:szCs w:val="24"/>
          <w:lang w:val="en-GB"/>
        </w:rPr>
        <w:t>Brasil</w:t>
      </w:r>
      <w:proofErr w:type="spellEnd"/>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5126E0" w:rsidRPr="00560465" w:rsidRDefault="005126E0" w:rsidP="00E158C5">
      <w:pPr>
        <w:spacing w:after="0" w:line="20" w:lineRule="atLeast"/>
        <w:rPr>
          <w:rFonts w:ascii="Garamond" w:eastAsia="Times New Roman" w:hAnsi="Garamond" w:cs="Garamond"/>
          <w:sz w:val="24"/>
          <w:szCs w:val="24"/>
        </w:rPr>
      </w:pPr>
    </w:p>
    <w:p w:rsidR="005126E0" w:rsidRDefault="005126E0" w:rsidP="00E158C5">
      <w:pPr>
        <w:spacing w:after="0" w:line="20" w:lineRule="atLeast"/>
        <w:rPr>
          <w:rFonts w:ascii="Garamond" w:eastAsia="Times New Roman" w:hAnsi="Garamond" w:cs="Garamond"/>
          <w:sz w:val="24"/>
          <w:szCs w:val="24"/>
        </w:rPr>
      </w:pPr>
    </w:p>
    <w:p w:rsidR="00F36584" w:rsidRPr="00560465" w:rsidRDefault="00F3658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306007" w:rsidRPr="00560465" w:rsidRDefault="00306007" w:rsidP="00E158C5">
      <w:pPr>
        <w:spacing w:after="0" w:line="20" w:lineRule="atLeast"/>
        <w:rPr>
          <w:rFonts w:ascii="Garamond" w:eastAsia="Times New Roman" w:hAnsi="Garamond" w:cs="Garamond"/>
          <w:sz w:val="24"/>
          <w:szCs w:val="24"/>
        </w:rPr>
      </w:pPr>
    </w:p>
    <w:p w:rsidR="003B413E" w:rsidRPr="00255151" w:rsidRDefault="003B413E" w:rsidP="003B413E">
      <w:pPr>
        <w:spacing w:after="0" w:line="240" w:lineRule="auto"/>
        <w:jc w:val="center"/>
        <w:rPr>
          <w:rFonts w:ascii="Garamond" w:hAnsi="Garamond"/>
          <w:color w:val="215868" w:themeColor="accent5" w:themeShade="80"/>
          <w:sz w:val="36"/>
        </w:rPr>
      </w:pPr>
      <w:r w:rsidRPr="00255151">
        <w:rPr>
          <w:rFonts w:ascii="Garamond" w:hAnsi="Garamond"/>
          <w:color w:val="215868" w:themeColor="accent5" w:themeShade="80"/>
          <w:sz w:val="36"/>
        </w:rPr>
        <w:t xml:space="preserve">HIGHLIGHTS OF DEVELOPMENTS IN </w:t>
      </w:r>
    </w:p>
    <w:p w:rsidR="003B413E" w:rsidRDefault="003B413E" w:rsidP="003B413E">
      <w:pPr>
        <w:spacing w:after="0" w:line="240" w:lineRule="auto"/>
        <w:jc w:val="center"/>
        <w:rPr>
          <w:rFonts w:ascii="Garamond" w:hAnsi="Garamond"/>
          <w:color w:val="215868" w:themeColor="accent5" w:themeShade="80"/>
          <w:sz w:val="36"/>
        </w:rPr>
      </w:pPr>
      <w:r w:rsidRPr="00255151">
        <w:rPr>
          <w:rFonts w:ascii="Garamond" w:hAnsi="Garamond"/>
          <w:color w:val="215868" w:themeColor="accent5" w:themeShade="80"/>
          <w:sz w:val="36"/>
        </w:rPr>
        <w:t>INTERNATIONAL SECURITIES MARKETS</w:t>
      </w:r>
    </w:p>
    <w:p w:rsidR="003B413E" w:rsidRDefault="003B413E" w:rsidP="003B413E">
      <w:pPr>
        <w:spacing w:after="0" w:line="240" w:lineRule="auto"/>
        <w:ind w:left="142" w:right="-290" w:hanging="142"/>
        <w:jc w:val="center"/>
        <w:rPr>
          <w:rFonts w:ascii="Garamond" w:hAnsi="Garamond"/>
          <w:color w:val="215868" w:themeColor="accent5" w:themeShade="80"/>
          <w:sz w:val="24"/>
        </w:rPr>
      </w:pPr>
    </w:p>
    <w:p w:rsidR="003B413E" w:rsidRPr="00451E0D" w:rsidRDefault="003B413E" w:rsidP="003B413E">
      <w:pPr>
        <w:spacing w:after="0" w:line="240" w:lineRule="auto"/>
        <w:ind w:left="142" w:right="-290" w:hanging="142"/>
        <w:jc w:val="center"/>
        <w:rPr>
          <w:rFonts w:ascii="Garamond" w:hAnsi="Garamond"/>
          <w:color w:val="215868" w:themeColor="accent5" w:themeShade="80"/>
        </w:rPr>
        <w:sectPr w:rsidR="003B413E" w:rsidRPr="00451E0D" w:rsidSect="00B62951">
          <w:pgSz w:w="12240" w:h="15840"/>
          <w:pgMar w:top="426" w:right="1440" w:bottom="1440" w:left="709" w:header="720" w:footer="720" w:gutter="0"/>
          <w:cols w:space="720"/>
          <w:docGrid w:linePitch="360"/>
        </w:sectPr>
      </w:pPr>
    </w:p>
    <w:p w:rsidR="003B413E" w:rsidRPr="00783357" w:rsidRDefault="003B413E" w:rsidP="003B413E">
      <w:pPr>
        <w:pStyle w:val="ListParagraph"/>
        <w:numPr>
          <w:ilvl w:val="0"/>
          <w:numId w:val="44"/>
        </w:numPr>
        <w:spacing w:after="160"/>
        <w:ind w:left="567" w:right="-290"/>
        <w:rPr>
          <w:rFonts w:ascii="Garamond" w:hAnsi="Garamond"/>
          <w:color w:val="002060"/>
          <w:sz w:val="24"/>
          <w:szCs w:val="24"/>
        </w:rPr>
      </w:pPr>
      <w:r w:rsidRPr="00E45195">
        <w:rPr>
          <w:rFonts w:ascii="Garamond" w:hAnsi="Garamond"/>
          <w:color w:val="002060"/>
          <w:sz w:val="24"/>
          <w:szCs w:val="24"/>
        </w:rPr>
        <w:lastRenderedPageBreak/>
        <w:t>SEC's Division of Corporation Finance Expands Popular JOBS Act Benefit to All Companies</w:t>
      </w:r>
    </w:p>
    <w:p w:rsidR="003B413E" w:rsidRDefault="003B413E" w:rsidP="003B413E">
      <w:pPr>
        <w:pStyle w:val="ListParagraph"/>
        <w:ind w:left="142" w:right="-290"/>
        <w:jc w:val="both"/>
        <w:rPr>
          <w:rFonts w:ascii="Garamond" w:hAnsi="Garamond"/>
          <w:sz w:val="24"/>
          <w:szCs w:val="24"/>
        </w:rPr>
      </w:pPr>
      <w:r>
        <w:rPr>
          <w:rFonts w:ascii="Garamond" w:hAnsi="Garamond"/>
          <w:i/>
          <w:color w:val="002060"/>
          <w:sz w:val="24"/>
          <w:szCs w:val="24"/>
        </w:rPr>
        <w:t>29</w:t>
      </w:r>
      <w:r w:rsidRPr="00E45195">
        <w:rPr>
          <w:rFonts w:ascii="Garamond" w:hAnsi="Garamond"/>
          <w:i/>
          <w:color w:val="002060"/>
          <w:sz w:val="24"/>
          <w:szCs w:val="24"/>
          <w:vertAlign w:val="superscript"/>
        </w:rPr>
        <w:t>th</w:t>
      </w:r>
      <w:r>
        <w:rPr>
          <w:rFonts w:ascii="Garamond" w:hAnsi="Garamond"/>
          <w:i/>
          <w:color w:val="002060"/>
          <w:sz w:val="24"/>
          <w:szCs w:val="24"/>
        </w:rPr>
        <w:t xml:space="preserve"> June</w:t>
      </w:r>
      <w:r w:rsidRPr="00FE7252">
        <w:rPr>
          <w:rFonts w:ascii="Garamond" w:hAnsi="Garamond"/>
          <w:i/>
          <w:color w:val="002060"/>
          <w:sz w:val="24"/>
          <w:szCs w:val="24"/>
        </w:rPr>
        <w:t>, 2017</w:t>
      </w:r>
      <w:r>
        <w:rPr>
          <w:rFonts w:ascii="Garamond" w:hAnsi="Garamond"/>
          <w:color w:val="002060"/>
          <w:sz w:val="24"/>
          <w:szCs w:val="24"/>
        </w:rPr>
        <w:t xml:space="preserve">: </w:t>
      </w:r>
      <w:r w:rsidRPr="00E45195">
        <w:rPr>
          <w:rFonts w:ascii="Garamond" w:hAnsi="Garamond"/>
          <w:color w:val="000000" w:themeColor="text1"/>
          <w:sz w:val="24"/>
          <w:szCs w:val="24"/>
        </w:rPr>
        <w:t>The Securities and Exchange Commission today announced that the Division of Corporation Finance will permit all companies to submit draft registration statements relating to initial public offerings for review on a non-public basis. This process will be available for IPOs as well as most offerings made in the first year after a company has entered the public reporting system. It will take effect on July 10, 2017</w:t>
      </w:r>
      <w:r>
        <w:rPr>
          <w:rFonts w:ascii="Garamond" w:hAnsi="Garamond"/>
          <w:color w:val="000000" w:themeColor="text1"/>
          <w:sz w:val="24"/>
          <w:szCs w:val="24"/>
        </w:rPr>
        <w:t xml:space="preserve">. </w:t>
      </w:r>
      <w:r w:rsidRPr="00E45195">
        <w:rPr>
          <w:rFonts w:ascii="Garamond" w:hAnsi="Garamond"/>
          <w:color w:val="000000" w:themeColor="text1"/>
          <w:sz w:val="24"/>
          <w:szCs w:val="24"/>
        </w:rPr>
        <w:t>Permitting all companies to submit registration statements for non-public review, similar to the benefit used by emerging growth companies (EGC) under the JOBS Act, will provide companies with more flexibility to plan their offering. The non-public review process after the IPO reduces the potential for lengthy exposure to market fluctuations that can adversely affect the offering process and harm existing public shareholders</w:t>
      </w:r>
      <w:r>
        <w:rPr>
          <w:rFonts w:ascii="Garamond" w:hAnsi="Garamond"/>
          <w:color w:val="000000" w:themeColor="text1"/>
          <w:sz w:val="24"/>
          <w:szCs w:val="24"/>
        </w:rPr>
        <w:t xml:space="preserve">. </w:t>
      </w:r>
      <w:r w:rsidRPr="00E45195">
        <w:rPr>
          <w:rFonts w:ascii="Garamond" w:hAnsi="Garamond"/>
          <w:color w:val="000000" w:themeColor="text1"/>
          <w:sz w:val="24"/>
          <w:szCs w:val="24"/>
        </w:rPr>
        <w:t>By requiring a public filing period prior to the launch of marketing, the process incorporates a feature of the EGC review process that provides an opportunity for the public to evaluate those offerings</w:t>
      </w:r>
      <w:r>
        <w:rPr>
          <w:rFonts w:ascii="Garamond" w:hAnsi="Garamond"/>
          <w:sz w:val="24"/>
          <w:szCs w:val="24"/>
        </w:rPr>
        <w:t xml:space="preserve">. </w:t>
      </w:r>
    </w:p>
    <w:p w:rsidR="003B413E" w:rsidRDefault="00B62951" w:rsidP="003B413E">
      <w:pPr>
        <w:pStyle w:val="ListParagraph"/>
        <w:ind w:left="142" w:right="-290" w:hanging="142"/>
        <w:rPr>
          <w:rFonts w:ascii="Garamond" w:hAnsi="Garamond"/>
          <w:i/>
          <w:color w:val="002060"/>
          <w:szCs w:val="24"/>
        </w:rPr>
      </w:pPr>
      <w:r>
        <w:rPr>
          <w:rFonts w:ascii="Garamond" w:hAnsi="Garamond"/>
          <w:i/>
          <w:color w:val="002060"/>
          <w:szCs w:val="24"/>
        </w:rPr>
        <w:t xml:space="preserve">   </w:t>
      </w:r>
      <w:r w:rsidR="003B413E" w:rsidRPr="00151773">
        <w:rPr>
          <w:rFonts w:ascii="Garamond" w:hAnsi="Garamond"/>
          <w:i/>
          <w:color w:val="002060"/>
          <w:szCs w:val="24"/>
        </w:rPr>
        <w:t>Source: https://www.s</w:t>
      </w:r>
      <w:r w:rsidR="003B413E">
        <w:rPr>
          <w:rFonts w:ascii="Garamond" w:hAnsi="Garamond"/>
          <w:i/>
          <w:color w:val="002060"/>
          <w:szCs w:val="24"/>
        </w:rPr>
        <w:t>ec.gov/news/pressrelease/2017-121</w:t>
      </w:r>
      <w:r w:rsidR="003B413E" w:rsidRPr="00151773">
        <w:rPr>
          <w:rFonts w:ascii="Garamond" w:hAnsi="Garamond"/>
          <w:i/>
          <w:color w:val="002060"/>
          <w:szCs w:val="24"/>
        </w:rPr>
        <w:t>.html</w:t>
      </w:r>
    </w:p>
    <w:p w:rsidR="003B413E" w:rsidRPr="00FE7252" w:rsidRDefault="003B413E" w:rsidP="003B413E">
      <w:pPr>
        <w:pStyle w:val="ListParagraph"/>
        <w:ind w:left="142" w:right="-290" w:hanging="142"/>
        <w:rPr>
          <w:rFonts w:ascii="Garamond" w:hAnsi="Garamond"/>
          <w:i/>
          <w:color w:val="002060"/>
          <w:szCs w:val="24"/>
        </w:rPr>
      </w:pPr>
    </w:p>
    <w:p w:rsidR="003B413E" w:rsidRPr="00783357" w:rsidRDefault="003B413E" w:rsidP="003B413E">
      <w:pPr>
        <w:pStyle w:val="ListParagraph"/>
        <w:numPr>
          <w:ilvl w:val="0"/>
          <w:numId w:val="44"/>
        </w:numPr>
        <w:spacing w:after="160"/>
        <w:ind w:left="567" w:right="-290"/>
        <w:rPr>
          <w:rFonts w:ascii="Garamond" w:hAnsi="Garamond"/>
          <w:color w:val="002060"/>
          <w:sz w:val="24"/>
          <w:szCs w:val="24"/>
        </w:rPr>
      </w:pPr>
      <w:r w:rsidRPr="00E45195">
        <w:rPr>
          <w:rFonts w:ascii="Garamond" w:hAnsi="Garamond"/>
          <w:color w:val="002060"/>
          <w:sz w:val="24"/>
          <w:szCs w:val="24"/>
        </w:rPr>
        <w:t>Additional Charges Announced in Case Involving Pre-Released ADRs</w:t>
      </w:r>
      <w:r>
        <w:rPr>
          <w:rFonts w:ascii="Garamond" w:hAnsi="Garamond"/>
          <w:color w:val="002060"/>
          <w:sz w:val="24"/>
          <w:szCs w:val="24"/>
        </w:rPr>
        <w:t>.</w:t>
      </w:r>
    </w:p>
    <w:p w:rsidR="003B413E" w:rsidRPr="00E25130" w:rsidRDefault="00B62951" w:rsidP="003B413E">
      <w:pPr>
        <w:pStyle w:val="ListParagraph"/>
        <w:ind w:left="142" w:right="-290" w:hanging="142"/>
        <w:jc w:val="both"/>
        <w:rPr>
          <w:rFonts w:ascii="Garamond" w:hAnsi="Garamond"/>
          <w:sz w:val="24"/>
          <w:szCs w:val="24"/>
        </w:rPr>
      </w:pPr>
      <w:r>
        <w:rPr>
          <w:rFonts w:ascii="Garamond" w:hAnsi="Garamond"/>
          <w:i/>
          <w:color w:val="002060"/>
          <w:sz w:val="24"/>
          <w:szCs w:val="24"/>
        </w:rPr>
        <w:t xml:space="preserve">   </w:t>
      </w:r>
      <w:r w:rsidR="003B413E">
        <w:rPr>
          <w:rFonts w:ascii="Garamond" w:hAnsi="Garamond"/>
          <w:i/>
          <w:color w:val="002060"/>
          <w:sz w:val="24"/>
          <w:szCs w:val="24"/>
        </w:rPr>
        <w:t>22</w:t>
      </w:r>
      <w:r w:rsidR="003B413E">
        <w:rPr>
          <w:rFonts w:ascii="Garamond" w:hAnsi="Garamond"/>
          <w:i/>
          <w:color w:val="002060"/>
          <w:sz w:val="24"/>
          <w:szCs w:val="24"/>
          <w:vertAlign w:val="superscript"/>
        </w:rPr>
        <w:t xml:space="preserve">nd </w:t>
      </w:r>
      <w:r w:rsidR="003B413E">
        <w:rPr>
          <w:rFonts w:ascii="Garamond" w:hAnsi="Garamond"/>
          <w:i/>
          <w:color w:val="002060"/>
          <w:sz w:val="24"/>
          <w:szCs w:val="24"/>
        </w:rPr>
        <w:t>June, 2017</w:t>
      </w:r>
      <w:r w:rsidR="003B413E" w:rsidRPr="00151773">
        <w:rPr>
          <w:rFonts w:ascii="Garamond" w:hAnsi="Garamond"/>
          <w:i/>
          <w:color w:val="002060"/>
          <w:sz w:val="24"/>
          <w:szCs w:val="24"/>
        </w:rPr>
        <w:t xml:space="preserve">: </w:t>
      </w:r>
      <w:r w:rsidR="003B413E" w:rsidRPr="00F46A7B">
        <w:rPr>
          <w:rFonts w:ascii="Garamond" w:hAnsi="Garamond"/>
          <w:sz w:val="24"/>
          <w:szCs w:val="24"/>
        </w:rPr>
        <w:t>The Securities and Exchange Com</w:t>
      </w:r>
      <w:r w:rsidR="003B413E">
        <w:rPr>
          <w:rFonts w:ascii="Garamond" w:hAnsi="Garamond"/>
          <w:sz w:val="24"/>
          <w:szCs w:val="24"/>
        </w:rPr>
        <w:t xml:space="preserve">mission </w:t>
      </w:r>
      <w:r w:rsidR="003B413E" w:rsidRPr="00E45195">
        <w:rPr>
          <w:rFonts w:ascii="Garamond" w:hAnsi="Garamond"/>
          <w:sz w:val="24"/>
          <w:szCs w:val="24"/>
        </w:rPr>
        <w:t>announced additional charges in an enforcement investigation involving the improper handling of American Depositary Receipts (ADRs) by a Wall Street firm’s securities lending desk</w:t>
      </w:r>
      <w:r w:rsidR="003B413E" w:rsidRPr="00E25130">
        <w:rPr>
          <w:rFonts w:ascii="Garamond" w:hAnsi="Garamond"/>
          <w:sz w:val="24"/>
          <w:szCs w:val="24"/>
        </w:rPr>
        <w:t>.</w:t>
      </w:r>
      <w:r w:rsidR="003B413E" w:rsidRPr="00E45195">
        <w:t xml:space="preserve"> </w:t>
      </w:r>
      <w:r w:rsidR="003B413E" w:rsidRPr="00E45195">
        <w:rPr>
          <w:rFonts w:ascii="Garamond" w:hAnsi="Garamond"/>
          <w:sz w:val="24"/>
          <w:szCs w:val="24"/>
        </w:rPr>
        <w:t xml:space="preserve">The SEC’s order finds supervisory failures by Anthony </w:t>
      </w:r>
      <w:proofErr w:type="spellStart"/>
      <w:r w:rsidR="003B413E" w:rsidRPr="00E45195">
        <w:rPr>
          <w:rFonts w:ascii="Garamond" w:hAnsi="Garamond"/>
          <w:sz w:val="24"/>
          <w:szCs w:val="24"/>
        </w:rPr>
        <w:t>Portelli</w:t>
      </w:r>
      <w:proofErr w:type="spellEnd"/>
      <w:r w:rsidR="003B413E" w:rsidRPr="00E45195">
        <w:rPr>
          <w:rFonts w:ascii="Garamond" w:hAnsi="Garamond"/>
          <w:sz w:val="24"/>
          <w:szCs w:val="24"/>
        </w:rPr>
        <w:t xml:space="preserve">, a former managing director and head of operations at </w:t>
      </w:r>
      <w:r w:rsidR="003B413E">
        <w:rPr>
          <w:rFonts w:ascii="Garamond" w:hAnsi="Garamond"/>
          <w:sz w:val="24"/>
          <w:szCs w:val="24"/>
        </w:rPr>
        <w:t xml:space="preserve">broker-dealer ITG Inc. </w:t>
      </w:r>
      <w:proofErr w:type="spellStart"/>
      <w:r w:rsidR="003B413E" w:rsidRPr="00E45195">
        <w:rPr>
          <w:rFonts w:ascii="Garamond" w:hAnsi="Garamond"/>
          <w:sz w:val="24"/>
          <w:szCs w:val="24"/>
        </w:rPr>
        <w:t>Portelli</w:t>
      </w:r>
      <w:proofErr w:type="spellEnd"/>
      <w:r w:rsidR="003B413E" w:rsidRPr="00E45195">
        <w:rPr>
          <w:rFonts w:ascii="Garamond" w:hAnsi="Garamond"/>
          <w:sz w:val="24"/>
          <w:szCs w:val="24"/>
        </w:rPr>
        <w:t xml:space="preserve"> supervised ITG’s securities lending operations and was responsible for the firm’s compliance with “pre-release agreements” for ADR transactions.  ADRs are U.S. securities that represent foreign shares of a foreign company.  Before obtaining a “pre-released ADR” to lend to a customer, </w:t>
      </w:r>
      <w:r w:rsidR="003B413E" w:rsidRPr="00E45195">
        <w:rPr>
          <w:rFonts w:ascii="Garamond" w:hAnsi="Garamond"/>
          <w:sz w:val="24"/>
          <w:szCs w:val="24"/>
        </w:rPr>
        <w:lastRenderedPageBreak/>
        <w:t xml:space="preserve">brokers like ITG must own, or determine that a customer owns, the number of foreign shares that corresponds to the number of shares the ADR represents.  Under </w:t>
      </w:r>
      <w:proofErr w:type="spellStart"/>
      <w:r w:rsidR="003B413E" w:rsidRPr="00E45195">
        <w:rPr>
          <w:rFonts w:ascii="Garamond" w:hAnsi="Garamond"/>
          <w:sz w:val="24"/>
          <w:szCs w:val="24"/>
        </w:rPr>
        <w:t>Portelli’s</w:t>
      </w:r>
      <w:proofErr w:type="spellEnd"/>
      <w:r w:rsidR="003B413E" w:rsidRPr="00E45195">
        <w:rPr>
          <w:rFonts w:ascii="Garamond" w:hAnsi="Garamond"/>
          <w:sz w:val="24"/>
          <w:szCs w:val="24"/>
        </w:rPr>
        <w:t xml:space="preserve"> watch, personnel on ITG’s securities lending desk failed to take reasonable steps to determine whether the proper amounts of foreign shares were owned and held by ITG’s customers.  This failure opened up the possibility that the ADRs could be used improperly for short selling or </w:t>
      </w:r>
      <w:r w:rsidR="003B413E">
        <w:rPr>
          <w:rFonts w:ascii="Garamond" w:hAnsi="Garamond"/>
          <w:sz w:val="24"/>
          <w:szCs w:val="24"/>
        </w:rPr>
        <w:t>dividend arbitrage.</w:t>
      </w:r>
    </w:p>
    <w:p w:rsidR="003B413E" w:rsidRDefault="00B62951" w:rsidP="003B413E">
      <w:pPr>
        <w:pStyle w:val="ListParagraph"/>
        <w:ind w:left="142" w:right="-290" w:hanging="142"/>
        <w:rPr>
          <w:rFonts w:ascii="Garamond" w:hAnsi="Garamond"/>
          <w:i/>
          <w:color w:val="002060"/>
          <w:szCs w:val="24"/>
        </w:rPr>
      </w:pPr>
      <w:r>
        <w:rPr>
          <w:rFonts w:ascii="Garamond" w:hAnsi="Garamond"/>
          <w:i/>
          <w:color w:val="002060"/>
          <w:szCs w:val="24"/>
        </w:rPr>
        <w:t xml:space="preserve">   </w:t>
      </w:r>
      <w:r w:rsidR="003B413E" w:rsidRPr="00151773">
        <w:rPr>
          <w:rFonts w:ascii="Garamond" w:hAnsi="Garamond"/>
          <w:i/>
          <w:color w:val="002060"/>
          <w:szCs w:val="24"/>
        </w:rPr>
        <w:t xml:space="preserve">Source: </w:t>
      </w:r>
      <w:r w:rsidR="003B413E" w:rsidRPr="00FE7252">
        <w:rPr>
          <w:rFonts w:ascii="Garamond" w:hAnsi="Garamond"/>
          <w:i/>
          <w:color w:val="002060"/>
          <w:szCs w:val="24"/>
        </w:rPr>
        <w:t>https://www.s</w:t>
      </w:r>
      <w:r w:rsidR="003B413E">
        <w:rPr>
          <w:rFonts w:ascii="Garamond" w:hAnsi="Garamond"/>
          <w:i/>
          <w:color w:val="002060"/>
          <w:szCs w:val="24"/>
        </w:rPr>
        <w:t>ec.gov/news/pressrelease/2017-119</w:t>
      </w:r>
      <w:r w:rsidR="003B413E" w:rsidRPr="00FE7252">
        <w:rPr>
          <w:rFonts w:ascii="Garamond" w:hAnsi="Garamond"/>
          <w:i/>
          <w:color w:val="002060"/>
          <w:szCs w:val="24"/>
        </w:rPr>
        <w:t>.html</w:t>
      </w:r>
    </w:p>
    <w:p w:rsidR="003B413E" w:rsidRPr="00FE7252" w:rsidRDefault="003B413E" w:rsidP="003B413E">
      <w:pPr>
        <w:pStyle w:val="ListParagraph"/>
        <w:ind w:left="142" w:right="-290" w:hanging="142"/>
        <w:rPr>
          <w:rFonts w:ascii="Garamond" w:hAnsi="Garamond"/>
          <w:i/>
          <w:color w:val="002060"/>
          <w:szCs w:val="24"/>
        </w:rPr>
      </w:pPr>
    </w:p>
    <w:p w:rsidR="003B413E" w:rsidRPr="00F64756" w:rsidRDefault="003B413E" w:rsidP="003B413E">
      <w:pPr>
        <w:pStyle w:val="ListParagraph"/>
        <w:numPr>
          <w:ilvl w:val="0"/>
          <w:numId w:val="44"/>
        </w:numPr>
        <w:spacing w:after="160"/>
        <w:ind w:left="567" w:right="-290"/>
        <w:rPr>
          <w:rFonts w:ascii="Garamond" w:eastAsia="Times New Roman" w:hAnsi="Garamond" w:cs="Helvetica"/>
          <w:color w:val="002060"/>
          <w:sz w:val="24"/>
          <w:szCs w:val="24"/>
        </w:rPr>
      </w:pPr>
      <w:r w:rsidRPr="00451E0D">
        <w:rPr>
          <w:rFonts w:ascii="Garamond" w:eastAsia="Times New Roman" w:hAnsi="Garamond" w:cs="Helvetica"/>
          <w:color w:val="002060"/>
          <w:sz w:val="24"/>
          <w:szCs w:val="24"/>
        </w:rPr>
        <w:t>IOSCO Publishes Country Review of Sri Lanka’s Im</w:t>
      </w:r>
      <w:r>
        <w:rPr>
          <w:rFonts w:ascii="Garamond" w:eastAsia="Times New Roman" w:hAnsi="Garamond" w:cs="Helvetica"/>
          <w:color w:val="002060"/>
          <w:sz w:val="24"/>
          <w:szCs w:val="24"/>
        </w:rPr>
        <w:t>plementation of IOSCO Principles</w:t>
      </w:r>
    </w:p>
    <w:p w:rsidR="003B413E" w:rsidRPr="00451E0D" w:rsidRDefault="00B62951" w:rsidP="003B413E">
      <w:pPr>
        <w:pStyle w:val="ListParagraph"/>
        <w:ind w:left="142" w:right="-290" w:hanging="142"/>
        <w:jc w:val="both"/>
        <w:rPr>
          <w:rFonts w:ascii="Garamond" w:hAnsi="Garamond"/>
          <w:sz w:val="24"/>
          <w:szCs w:val="24"/>
        </w:rPr>
      </w:pPr>
      <w:r>
        <w:rPr>
          <w:rFonts w:ascii="Garamond" w:hAnsi="Garamond"/>
          <w:i/>
          <w:color w:val="002060"/>
          <w:sz w:val="24"/>
        </w:rPr>
        <w:t xml:space="preserve">   </w:t>
      </w:r>
      <w:r w:rsidR="003B413E">
        <w:rPr>
          <w:rFonts w:ascii="Garamond" w:hAnsi="Garamond"/>
          <w:i/>
          <w:color w:val="002060"/>
          <w:sz w:val="24"/>
        </w:rPr>
        <w:t>30</w:t>
      </w:r>
      <w:r w:rsidR="003B413E" w:rsidRPr="00F64756">
        <w:rPr>
          <w:rFonts w:ascii="Garamond" w:hAnsi="Garamond"/>
          <w:i/>
          <w:color w:val="002060"/>
          <w:sz w:val="24"/>
          <w:vertAlign w:val="superscript"/>
        </w:rPr>
        <w:t>th</w:t>
      </w:r>
      <w:r w:rsidR="003B413E">
        <w:rPr>
          <w:rFonts w:ascii="Garamond" w:hAnsi="Garamond"/>
          <w:i/>
          <w:color w:val="002060"/>
          <w:sz w:val="24"/>
        </w:rPr>
        <w:t xml:space="preserve"> June 2017</w:t>
      </w:r>
      <w:r w:rsidR="003B413E" w:rsidRPr="00F64756">
        <w:rPr>
          <w:rFonts w:ascii="Garamond" w:hAnsi="Garamond"/>
          <w:i/>
          <w:color w:val="002060"/>
          <w:sz w:val="24"/>
        </w:rPr>
        <w:t>:</w:t>
      </w:r>
      <w:r w:rsidR="003B413E">
        <w:rPr>
          <w:rFonts w:ascii="Garamond" w:hAnsi="Garamond"/>
          <w:i/>
          <w:color w:val="002060"/>
          <w:sz w:val="24"/>
        </w:rPr>
        <w:t xml:space="preserve"> </w:t>
      </w:r>
      <w:r w:rsidR="003B413E">
        <w:rPr>
          <w:rFonts w:ascii="Garamond" w:hAnsi="Garamond"/>
          <w:sz w:val="24"/>
          <w:szCs w:val="24"/>
        </w:rPr>
        <w:t>The IOSCO Board</w:t>
      </w:r>
      <w:r w:rsidR="003B413E" w:rsidRPr="00451E0D">
        <w:t xml:space="preserve"> </w:t>
      </w:r>
      <w:r w:rsidR="003B413E">
        <w:rPr>
          <w:rFonts w:ascii="Garamond" w:hAnsi="Garamond"/>
          <w:sz w:val="24"/>
          <w:szCs w:val="24"/>
        </w:rPr>
        <w:t xml:space="preserve">published its </w:t>
      </w:r>
      <w:r w:rsidR="003B413E" w:rsidRPr="00451E0D">
        <w:rPr>
          <w:rFonts w:ascii="Garamond" w:hAnsi="Garamond"/>
          <w:sz w:val="24"/>
          <w:szCs w:val="24"/>
        </w:rPr>
        <w:t xml:space="preserve">Assessment Committee’s </w:t>
      </w:r>
      <w:r w:rsidR="003B413E" w:rsidRPr="00451E0D">
        <w:rPr>
          <w:rFonts w:ascii="Garamond" w:hAnsi="Garamond"/>
          <w:i/>
          <w:sz w:val="24"/>
          <w:szCs w:val="24"/>
          <w:u w:val="single"/>
        </w:rPr>
        <w:t>Country Review of the Democratic Socialist Republic of Sri Lanka</w:t>
      </w:r>
      <w:r w:rsidR="003B413E" w:rsidRPr="00451E0D">
        <w:rPr>
          <w:rFonts w:ascii="Garamond" w:hAnsi="Garamond"/>
          <w:sz w:val="24"/>
          <w:szCs w:val="24"/>
        </w:rPr>
        <w:t>.</w:t>
      </w:r>
      <w:r w:rsidR="003B413E" w:rsidRPr="00451E0D">
        <w:t xml:space="preserve"> </w:t>
      </w:r>
      <w:r w:rsidR="003B413E" w:rsidRPr="00451E0D">
        <w:rPr>
          <w:rFonts w:ascii="Garamond" w:hAnsi="Garamond"/>
          <w:sz w:val="24"/>
          <w:szCs w:val="24"/>
        </w:rPr>
        <w:t>This is the third Country Review conducted by IOSCO’s Assessment Committee.</w:t>
      </w:r>
      <w:r w:rsidR="003B413E">
        <w:rPr>
          <w:rFonts w:ascii="Garamond" w:hAnsi="Garamond"/>
          <w:sz w:val="24"/>
          <w:szCs w:val="24"/>
        </w:rPr>
        <w:t xml:space="preserve"> </w:t>
      </w:r>
      <w:r w:rsidR="003B413E" w:rsidRPr="00451E0D">
        <w:rPr>
          <w:rFonts w:ascii="Garamond" w:hAnsi="Garamond"/>
          <w:sz w:val="24"/>
          <w:szCs w:val="24"/>
        </w:rPr>
        <w:t>The Country Review</w:t>
      </w:r>
      <w:r w:rsidR="003B413E">
        <w:rPr>
          <w:rFonts w:ascii="Garamond" w:hAnsi="Garamond"/>
          <w:sz w:val="24"/>
          <w:szCs w:val="24"/>
        </w:rPr>
        <w:t xml:space="preserve"> identifies challenges that </w:t>
      </w:r>
      <w:r w:rsidR="003B413E" w:rsidRPr="00451E0D">
        <w:rPr>
          <w:rFonts w:ascii="Garamond" w:hAnsi="Garamond"/>
          <w:sz w:val="24"/>
          <w:szCs w:val="24"/>
        </w:rPr>
        <w:t>Sri Lanka Sec</w:t>
      </w:r>
      <w:r w:rsidR="003B413E">
        <w:rPr>
          <w:rFonts w:ascii="Garamond" w:hAnsi="Garamond"/>
          <w:sz w:val="24"/>
          <w:szCs w:val="24"/>
        </w:rPr>
        <w:t>urities and Exchange Commission</w:t>
      </w:r>
      <w:r w:rsidR="003B413E" w:rsidRPr="00451E0D">
        <w:rPr>
          <w:rFonts w:ascii="Garamond" w:hAnsi="Garamond"/>
          <w:sz w:val="24"/>
          <w:szCs w:val="24"/>
        </w:rPr>
        <w:t xml:space="preserve"> </w:t>
      </w:r>
      <w:r w:rsidR="003B413E">
        <w:rPr>
          <w:rFonts w:ascii="Garamond" w:hAnsi="Garamond"/>
          <w:sz w:val="24"/>
          <w:szCs w:val="24"/>
        </w:rPr>
        <w:t>(</w:t>
      </w:r>
      <w:r w:rsidR="003B413E" w:rsidRPr="00451E0D">
        <w:rPr>
          <w:rFonts w:ascii="Garamond" w:hAnsi="Garamond"/>
          <w:sz w:val="24"/>
          <w:szCs w:val="24"/>
        </w:rPr>
        <w:t>SEC</w:t>
      </w:r>
      <w:r w:rsidR="003B413E">
        <w:rPr>
          <w:rFonts w:ascii="Garamond" w:hAnsi="Garamond"/>
          <w:sz w:val="24"/>
          <w:szCs w:val="24"/>
        </w:rPr>
        <w:t>)</w:t>
      </w:r>
      <w:r w:rsidR="003B413E" w:rsidRPr="00451E0D">
        <w:rPr>
          <w:rFonts w:ascii="Garamond" w:hAnsi="Garamond"/>
          <w:sz w:val="24"/>
          <w:szCs w:val="24"/>
        </w:rPr>
        <w:t xml:space="preserve"> faces in meeting international regulatory</w:t>
      </w:r>
      <w:r w:rsidR="003B413E">
        <w:rPr>
          <w:rFonts w:ascii="Garamond" w:hAnsi="Garamond"/>
          <w:sz w:val="24"/>
          <w:szCs w:val="24"/>
        </w:rPr>
        <w:t xml:space="preserve"> standards</w:t>
      </w:r>
      <w:r w:rsidR="003B413E" w:rsidRPr="00451E0D">
        <w:rPr>
          <w:rFonts w:ascii="Garamond" w:hAnsi="Garamond"/>
          <w:sz w:val="24"/>
          <w:szCs w:val="24"/>
        </w:rPr>
        <w:t>.</w:t>
      </w:r>
      <w:r w:rsidR="003B413E">
        <w:rPr>
          <w:rFonts w:ascii="Garamond" w:hAnsi="Garamond"/>
          <w:sz w:val="24"/>
          <w:szCs w:val="24"/>
        </w:rPr>
        <w:t xml:space="preserve"> </w:t>
      </w:r>
      <w:r w:rsidR="003B413E" w:rsidRPr="00451E0D">
        <w:rPr>
          <w:rFonts w:ascii="Garamond" w:hAnsi="Garamond"/>
          <w:sz w:val="24"/>
          <w:szCs w:val="24"/>
        </w:rPr>
        <w:t xml:space="preserve">With respect to the framework´s design, the Country Review </w:t>
      </w:r>
      <w:r w:rsidR="003B413E">
        <w:rPr>
          <w:rFonts w:ascii="Garamond" w:hAnsi="Garamond"/>
          <w:sz w:val="24"/>
          <w:szCs w:val="24"/>
        </w:rPr>
        <w:t xml:space="preserve">finds that the independence and </w:t>
      </w:r>
      <w:r w:rsidR="003B413E" w:rsidRPr="00451E0D">
        <w:rPr>
          <w:rFonts w:ascii="Garamond" w:hAnsi="Garamond"/>
          <w:sz w:val="24"/>
          <w:szCs w:val="24"/>
        </w:rPr>
        <w:t>regulatory remit of the regulator should be extended as a matter of priority. In addition, the framework</w:t>
      </w:r>
      <w:r w:rsidR="003B413E">
        <w:rPr>
          <w:rFonts w:ascii="Garamond" w:hAnsi="Garamond"/>
          <w:sz w:val="24"/>
          <w:szCs w:val="24"/>
        </w:rPr>
        <w:t xml:space="preserve"> </w:t>
      </w:r>
      <w:r w:rsidR="003B413E" w:rsidRPr="00451E0D">
        <w:rPr>
          <w:rFonts w:ascii="Garamond" w:hAnsi="Garamond"/>
          <w:sz w:val="24"/>
          <w:szCs w:val="24"/>
        </w:rPr>
        <w:t>needs further revisions to clarify the SEC’s powers (particularly enforcement and cooperation) and</w:t>
      </w:r>
      <w:r w:rsidR="003B413E">
        <w:rPr>
          <w:rFonts w:ascii="Garamond" w:hAnsi="Garamond"/>
          <w:sz w:val="24"/>
          <w:szCs w:val="24"/>
        </w:rPr>
        <w:t xml:space="preserve"> </w:t>
      </w:r>
      <w:r w:rsidR="003B413E" w:rsidRPr="00451E0D">
        <w:rPr>
          <w:rFonts w:ascii="Garamond" w:hAnsi="Garamond"/>
          <w:sz w:val="24"/>
          <w:szCs w:val="24"/>
        </w:rPr>
        <w:t>set out clear and consisten</w:t>
      </w:r>
      <w:r w:rsidR="003B413E">
        <w:rPr>
          <w:rFonts w:ascii="Garamond" w:hAnsi="Garamond"/>
          <w:sz w:val="24"/>
          <w:szCs w:val="24"/>
        </w:rPr>
        <w:t>t guidance across all standards</w:t>
      </w:r>
      <w:r w:rsidR="003B413E" w:rsidRPr="00451E0D">
        <w:rPr>
          <w:rFonts w:ascii="Garamond" w:hAnsi="Garamond"/>
          <w:sz w:val="24"/>
          <w:szCs w:val="24"/>
        </w:rPr>
        <w:t>.</w:t>
      </w:r>
      <w:r w:rsidR="003B413E">
        <w:rPr>
          <w:rFonts w:ascii="Garamond" w:hAnsi="Garamond"/>
          <w:sz w:val="24"/>
          <w:szCs w:val="24"/>
        </w:rPr>
        <w:t xml:space="preserve"> </w:t>
      </w:r>
      <w:r w:rsidR="003B413E" w:rsidRPr="00451E0D">
        <w:rPr>
          <w:rFonts w:ascii="Garamond" w:hAnsi="Garamond"/>
          <w:sz w:val="24"/>
          <w:szCs w:val="24"/>
        </w:rPr>
        <w:t>Regarding the framework´s operation, the Country Review recommends risk-based supervision, staff</w:t>
      </w:r>
      <w:r w:rsidR="003B413E">
        <w:rPr>
          <w:rFonts w:ascii="Garamond" w:hAnsi="Garamond"/>
          <w:sz w:val="24"/>
          <w:szCs w:val="24"/>
        </w:rPr>
        <w:t xml:space="preserve"> </w:t>
      </w:r>
      <w:r w:rsidR="003B413E" w:rsidRPr="00451E0D">
        <w:rPr>
          <w:rFonts w:ascii="Garamond" w:hAnsi="Garamond"/>
          <w:sz w:val="24"/>
          <w:szCs w:val="24"/>
        </w:rPr>
        <w:t>development, raising standards for regulatory action as well as improving prosecutions, policy</w:t>
      </w:r>
      <w:r w:rsidR="003B413E">
        <w:rPr>
          <w:rFonts w:ascii="Garamond" w:hAnsi="Garamond"/>
          <w:sz w:val="24"/>
          <w:szCs w:val="24"/>
        </w:rPr>
        <w:t xml:space="preserve"> </w:t>
      </w:r>
      <w:r w:rsidR="003B413E" w:rsidRPr="00451E0D">
        <w:rPr>
          <w:rFonts w:ascii="Garamond" w:hAnsi="Garamond"/>
          <w:sz w:val="24"/>
          <w:szCs w:val="24"/>
        </w:rPr>
        <w:t>communication, emerging risk identification, internal audit processes and supervision of the audit</w:t>
      </w:r>
      <w:r w:rsidR="003B413E">
        <w:rPr>
          <w:rFonts w:ascii="Garamond" w:hAnsi="Garamond"/>
          <w:sz w:val="24"/>
          <w:szCs w:val="24"/>
        </w:rPr>
        <w:t xml:space="preserve"> </w:t>
      </w:r>
      <w:r w:rsidR="003B413E" w:rsidRPr="00451E0D">
        <w:rPr>
          <w:rFonts w:ascii="Garamond" w:hAnsi="Garamond"/>
          <w:sz w:val="24"/>
          <w:szCs w:val="24"/>
        </w:rPr>
        <w:t>profession.</w:t>
      </w:r>
      <w:r w:rsidR="003B413E" w:rsidRPr="00451E0D">
        <w:t xml:space="preserve"> </w:t>
      </w:r>
      <w:r w:rsidR="003B413E" w:rsidRPr="00451E0D">
        <w:rPr>
          <w:rFonts w:ascii="Garamond" w:hAnsi="Garamond"/>
          <w:sz w:val="24"/>
          <w:szCs w:val="24"/>
        </w:rPr>
        <w:t>This Country Review was carried out by a Review Team of seven experts nominated by member</w:t>
      </w:r>
    </w:p>
    <w:p w:rsidR="003B413E" w:rsidRPr="00451E0D" w:rsidRDefault="00B62951" w:rsidP="003B413E">
      <w:pPr>
        <w:pStyle w:val="ListParagraph"/>
        <w:ind w:left="142" w:right="-290" w:hanging="142"/>
        <w:jc w:val="both"/>
        <w:rPr>
          <w:rFonts w:ascii="Garamond" w:hAnsi="Garamond"/>
          <w:sz w:val="24"/>
          <w:szCs w:val="24"/>
        </w:rPr>
      </w:pPr>
      <w:r>
        <w:rPr>
          <w:rFonts w:ascii="Garamond" w:hAnsi="Garamond"/>
          <w:sz w:val="24"/>
          <w:szCs w:val="24"/>
        </w:rPr>
        <w:t xml:space="preserve">  </w:t>
      </w:r>
      <w:proofErr w:type="gramStart"/>
      <w:r w:rsidR="003B413E" w:rsidRPr="00451E0D">
        <w:rPr>
          <w:rFonts w:ascii="Garamond" w:hAnsi="Garamond"/>
          <w:sz w:val="24"/>
          <w:szCs w:val="24"/>
        </w:rPr>
        <w:t>organizations</w:t>
      </w:r>
      <w:proofErr w:type="gramEnd"/>
      <w:r w:rsidR="003B413E" w:rsidRPr="00451E0D">
        <w:rPr>
          <w:rFonts w:ascii="Garamond" w:hAnsi="Garamond"/>
          <w:sz w:val="24"/>
          <w:szCs w:val="24"/>
        </w:rPr>
        <w:t xml:space="preserve"> from Australia ASIC, India SEBI, the Netherlands AFM, Singapore MAS and Québec</w:t>
      </w:r>
    </w:p>
    <w:p w:rsidR="003B413E" w:rsidRPr="00451E0D" w:rsidRDefault="00B62951" w:rsidP="003B413E">
      <w:pPr>
        <w:pStyle w:val="ListParagraph"/>
        <w:ind w:left="142" w:right="-290" w:hanging="142"/>
        <w:jc w:val="both"/>
        <w:rPr>
          <w:rFonts w:ascii="Garamond" w:hAnsi="Garamond"/>
          <w:sz w:val="24"/>
          <w:szCs w:val="24"/>
        </w:rPr>
      </w:pPr>
      <w:r>
        <w:rPr>
          <w:rFonts w:ascii="Garamond" w:hAnsi="Garamond"/>
          <w:sz w:val="24"/>
          <w:szCs w:val="24"/>
        </w:rPr>
        <w:t xml:space="preserve">   </w:t>
      </w:r>
      <w:r w:rsidR="003B413E" w:rsidRPr="00451E0D">
        <w:rPr>
          <w:rFonts w:ascii="Garamond" w:hAnsi="Garamond"/>
          <w:sz w:val="24"/>
          <w:szCs w:val="24"/>
        </w:rPr>
        <w:t>AMF, and the IOSCO General Secretariat</w:t>
      </w:r>
      <w:r w:rsidR="003B413E">
        <w:rPr>
          <w:rFonts w:ascii="Garamond" w:hAnsi="Garamond"/>
          <w:sz w:val="24"/>
          <w:szCs w:val="24"/>
        </w:rPr>
        <w:t>.</w:t>
      </w:r>
    </w:p>
    <w:p w:rsidR="003B413E" w:rsidRPr="00451E0D" w:rsidRDefault="00B62951" w:rsidP="003B413E">
      <w:pPr>
        <w:pStyle w:val="ListParagraph"/>
        <w:ind w:left="142" w:right="-290" w:hanging="142"/>
        <w:rPr>
          <w:rFonts w:ascii="Garamond" w:hAnsi="Garamond"/>
          <w:i/>
          <w:color w:val="002060"/>
          <w:szCs w:val="24"/>
        </w:rPr>
      </w:pPr>
      <w:r>
        <w:rPr>
          <w:rFonts w:ascii="Garamond" w:hAnsi="Garamond"/>
          <w:i/>
          <w:color w:val="002060"/>
          <w:szCs w:val="24"/>
        </w:rPr>
        <w:t xml:space="preserve">   </w:t>
      </w:r>
      <w:r w:rsidR="003B413E" w:rsidRPr="0055457C">
        <w:rPr>
          <w:rFonts w:ascii="Garamond" w:hAnsi="Garamond"/>
          <w:i/>
          <w:color w:val="002060"/>
          <w:szCs w:val="24"/>
        </w:rPr>
        <w:t xml:space="preserve">Source: </w:t>
      </w:r>
      <w:r w:rsidR="003B413E" w:rsidRPr="00E91C9F">
        <w:rPr>
          <w:rFonts w:ascii="Garamond" w:hAnsi="Garamond"/>
          <w:i/>
          <w:color w:val="002060"/>
          <w:szCs w:val="24"/>
        </w:rPr>
        <w:t>www.</w:t>
      </w:r>
      <w:r w:rsidR="003B413E" w:rsidRPr="00FE7252">
        <w:t xml:space="preserve"> </w:t>
      </w:r>
      <w:r w:rsidR="003B413E">
        <w:rPr>
          <w:rFonts w:ascii="Garamond" w:hAnsi="Garamond"/>
          <w:i/>
          <w:color w:val="002060"/>
          <w:szCs w:val="24"/>
        </w:rPr>
        <w:t>iosco.org/news/pdf/IOSCONEWS465</w:t>
      </w:r>
      <w:r w:rsidR="003B413E" w:rsidRPr="00FE7252">
        <w:rPr>
          <w:rFonts w:ascii="Garamond" w:hAnsi="Garamond"/>
          <w:i/>
          <w:color w:val="002060"/>
          <w:szCs w:val="24"/>
        </w:rPr>
        <w:t>.pdf</w:t>
      </w:r>
    </w:p>
    <w:p w:rsidR="005126E0" w:rsidRPr="006A4AA5" w:rsidRDefault="005126E0" w:rsidP="006A4AA5">
      <w:pPr>
        <w:jc w:val="both"/>
        <w:rPr>
          <w:rFonts w:ascii="Garamond" w:hAnsi="Garamond"/>
          <w:i/>
          <w:color w:val="002060"/>
          <w:szCs w:val="24"/>
        </w:rPr>
        <w:sectPr w:rsidR="005126E0" w:rsidRPr="006A4AA5" w:rsidSect="00B62951">
          <w:footerReference w:type="default" r:id="rId35"/>
          <w:type w:val="continuous"/>
          <w:pgSz w:w="12240" w:h="15840"/>
          <w:pgMar w:top="1440" w:right="900" w:bottom="993" w:left="851" w:header="720" w:footer="720" w:gutter="0"/>
          <w:pgNumType w:start="0"/>
          <w:cols w:num="2" w:space="720"/>
          <w:titlePg/>
          <w:docGrid w:linePitch="360"/>
        </w:sectPr>
      </w:pPr>
    </w:p>
    <w:p w:rsidR="005126E0" w:rsidRPr="006A4AA5" w:rsidRDefault="005126E0" w:rsidP="006A4AA5">
      <w:pPr>
        <w:jc w:val="both"/>
        <w:rPr>
          <w:rFonts w:ascii="Garamond" w:hAnsi="Garamond"/>
          <w:i/>
          <w:color w:val="002060"/>
          <w:szCs w:val="24"/>
        </w:rPr>
      </w:pPr>
    </w:p>
    <w:sectPr w:rsidR="005126E0" w:rsidRPr="006A4AA5" w:rsidSect="0022100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7A" w:rsidRDefault="00D0777A" w:rsidP="00725651">
      <w:pPr>
        <w:spacing w:after="0" w:line="240" w:lineRule="auto"/>
      </w:pPr>
      <w:r>
        <w:separator/>
      </w:r>
    </w:p>
  </w:endnote>
  <w:endnote w:type="continuationSeparator" w:id="0">
    <w:p w:rsidR="00D0777A" w:rsidRDefault="00D0777A"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93" w:rsidRPr="00B345E4" w:rsidRDefault="008C7B93" w:rsidP="00B345E4">
    <w:pPr>
      <w:pStyle w:val="Footer"/>
      <w:jc w:val="center"/>
      <w:rPr>
        <w:rFonts w:ascii="Garamond" w:hAnsi="Garamond"/>
      </w:rPr>
    </w:pPr>
    <w:r w:rsidRPr="00B345E4">
      <w:rPr>
        <w:rFonts w:ascii="Garamond" w:hAnsi="Garamond"/>
      </w:rPr>
      <w:fldChar w:fldCharType="begin"/>
    </w:r>
    <w:r w:rsidRPr="00B345E4">
      <w:rPr>
        <w:rFonts w:ascii="Garamond" w:hAnsi="Garamond"/>
      </w:rPr>
      <w:instrText xml:space="preserve"> PAGE   \* MERGEFORMAT </w:instrText>
    </w:r>
    <w:r w:rsidRPr="00B345E4">
      <w:rPr>
        <w:rFonts w:ascii="Garamond" w:hAnsi="Garamond"/>
      </w:rPr>
      <w:fldChar w:fldCharType="separate"/>
    </w:r>
    <w:r>
      <w:rPr>
        <w:rFonts w:ascii="Garamond" w:hAnsi="Garamond"/>
        <w:noProof/>
      </w:rPr>
      <w:t>1</w:t>
    </w:r>
    <w:r w:rsidRPr="00B345E4">
      <w:rPr>
        <w:rFonts w:ascii="Garamond" w:hAnsi="Garamond"/>
      </w:rPr>
      <w:fldChar w:fldCharType="end"/>
    </w:r>
  </w:p>
  <w:p w:rsidR="008C7B93" w:rsidRDefault="008C7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7A" w:rsidRDefault="00D0777A" w:rsidP="00725651">
      <w:pPr>
        <w:spacing w:after="0" w:line="240" w:lineRule="auto"/>
      </w:pPr>
      <w:r>
        <w:separator/>
      </w:r>
    </w:p>
  </w:footnote>
  <w:footnote w:type="continuationSeparator" w:id="0">
    <w:p w:rsidR="00D0777A" w:rsidRDefault="00D0777A" w:rsidP="00725651">
      <w:pPr>
        <w:spacing w:after="0" w:line="240" w:lineRule="auto"/>
      </w:pPr>
      <w:r>
        <w:continuationSeparator/>
      </w:r>
    </w:p>
  </w:footnote>
  <w:footnote w:id="1">
    <w:p w:rsidR="008C7B93" w:rsidRPr="007E306B" w:rsidRDefault="008C7B93"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8C7B93" w:rsidRPr="005D569E" w:rsidRDefault="008C7B93"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w:t>
      </w:r>
      <w:proofErr w:type="spellStart"/>
      <w:r w:rsidRPr="005D569E">
        <w:rPr>
          <w:rFonts w:ascii="Garamond" w:hAnsi="Garamond"/>
        </w:rPr>
        <w:t>Organisation</w:t>
      </w:r>
      <w:proofErr w:type="spellEnd"/>
      <w:r w:rsidRPr="005D569E">
        <w:rPr>
          <w:rFonts w:ascii="Garamond" w:hAnsi="Garamond"/>
        </w:rPr>
        <w:t xml:space="preserve"> for Economic Co-operation and Development (OECD) was born on 30 September 1961. It is an </w:t>
      </w:r>
      <w:proofErr w:type="spellStart"/>
      <w:r w:rsidRPr="005D569E">
        <w:rPr>
          <w:rFonts w:ascii="Garamond" w:hAnsi="Garamond"/>
        </w:rPr>
        <w:t>organisation</w:t>
      </w:r>
      <w:proofErr w:type="spellEnd"/>
      <w:r w:rsidRPr="005D569E">
        <w:rPr>
          <w:rFonts w:ascii="Garamond" w:hAnsi="Garamond"/>
        </w:rPr>
        <w:t xml:space="preserve"> of 35 member countries worldwide. Most OECD members are high-income economies with a very high Human Development Index (HDI) and are regarded as developed countries.</w:t>
      </w:r>
    </w:p>
  </w:footnote>
  <w:footnote w:id="3">
    <w:p w:rsidR="008C7B93" w:rsidRPr="0042712D" w:rsidRDefault="008C7B93">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8CF"/>
    <w:multiLevelType w:val="multilevel"/>
    <w:tmpl w:val="0E007C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6F7399"/>
    <w:multiLevelType w:val="multilevel"/>
    <w:tmpl w:val="7B68E2EC"/>
    <w:lvl w:ilvl="0">
      <w:start w:val="1"/>
      <w:numFmt w:val="decimal"/>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195103"/>
    <w:multiLevelType w:val="multilevel"/>
    <w:tmpl w:val="7B68E2EC"/>
    <w:lvl w:ilvl="0">
      <w:start w:val="1"/>
      <w:numFmt w:val="decimal"/>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26D07"/>
    <w:multiLevelType w:val="hybridMultilevel"/>
    <w:tmpl w:val="9254483A"/>
    <w:lvl w:ilvl="0" w:tplc="2A020B0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16BEF"/>
    <w:multiLevelType w:val="multilevel"/>
    <w:tmpl w:val="0ECAA5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C7C70"/>
    <w:multiLevelType w:val="hybridMultilevel"/>
    <w:tmpl w:val="57501F56"/>
    <w:lvl w:ilvl="0" w:tplc="1BA25ADC">
      <w:start w:val="1"/>
      <w:numFmt w:val="lowerRoman"/>
      <w:lvlText w:val="(%1)"/>
      <w:lvlJc w:val="left"/>
      <w:pPr>
        <w:ind w:left="8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F69E2"/>
    <w:multiLevelType w:val="multilevel"/>
    <w:tmpl w:val="0A6E5C84"/>
    <w:lvl w:ilvl="0">
      <w:start w:val="1"/>
      <w:numFmt w:val="decimal"/>
      <w:lvlText w:val="%1."/>
      <w:lvlJc w:val="left"/>
      <w:pPr>
        <w:ind w:left="864" w:hanging="648"/>
      </w:pPr>
      <w:rPr>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b w:val="0"/>
      </w:rPr>
    </w:lvl>
    <w:lvl w:ilvl="3">
      <w:start w:val="1"/>
      <w:numFmt w:val="decimal"/>
      <w:lvlText w:val="%1.%2.%3.%4."/>
      <w:lvlJc w:val="left"/>
      <w:pPr>
        <w:ind w:left="2592" w:hanging="1728"/>
      </w:pPr>
    </w:lvl>
    <w:lvl w:ilvl="4">
      <w:start w:val="1"/>
      <w:numFmt w:val="decimal"/>
      <w:lvlText w:val="%1.%2.%3.%4.%5."/>
      <w:lvlJc w:val="left"/>
      <w:pPr>
        <w:ind w:left="3168" w:hanging="2160"/>
      </w:pPr>
    </w:lvl>
    <w:lvl w:ilvl="5">
      <w:start w:val="1"/>
      <w:numFmt w:val="decimal"/>
      <w:lvlText w:val="%1.%2.%3.%4.%5.%6."/>
      <w:lvlJc w:val="left"/>
      <w:pPr>
        <w:ind w:left="3744" w:hanging="2592"/>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14431508"/>
    <w:multiLevelType w:val="multilevel"/>
    <w:tmpl w:val="0A6E5C84"/>
    <w:lvl w:ilvl="0">
      <w:start w:val="1"/>
      <w:numFmt w:val="decimal"/>
      <w:lvlText w:val="%1."/>
      <w:lvlJc w:val="left"/>
      <w:pPr>
        <w:ind w:left="864" w:hanging="648"/>
      </w:pPr>
      <w:rPr>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b w:val="0"/>
      </w:rPr>
    </w:lvl>
    <w:lvl w:ilvl="3">
      <w:start w:val="1"/>
      <w:numFmt w:val="decimal"/>
      <w:lvlText w:val="%1.%2.%3.%4."/>
      <w:lvlJc w:val="left"/>
      <w:pPr>
        <w:ind w:left="2592" w:hanging="1728"/>
      </w:pPr>
    </w:lvl>
    <w:lvl w:ilvl="4">
      <w:start w:val="1"/>
      <w:numFmt w:val="decimal"/>
      <w:lvlText w:val="%1.%2.%3.%4.%5."/>
      <w:lvlJc w:val="left"/>
      <w:pPr>
        <w:ind w:left="3168" w:hanging="2160"/>
      </w:pPr>
    </w:lvl>
    <w:lvl w:ilvl="5">
      <w:start w:val="1"/>
      <w:numFmt w:val="decimal"/>
      <w:lvlText w:val="%1.%2.%3.%4.%5.%6."/>
      <w:lvlJc w:val="left"/>
      <w:pPr>
        <w:ind w:left="3744" w:hanging="2592"/>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nsid w:val="160F7D46"/>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17B05"/>
    <w:multiLevelType w:val="multilevel"/>
    <w:tmpl w:val="0A6E5C84"/>
    <w:lvl w:ilvl="0">
      <w:start w:val="1"/>
      <w:numFmt w:val="decimal"/>
      <w:lvlText w:val="%1."/>
      <w:lvlJc w:val="left"/>
      <w:pPr>
        <w:ind w:left="864" w:hanging="648"/>
      </w:pPr>
      <w:rPr>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b w:val="0"/>
      </w:rPr>
    </w:lvl>
    <w:lvl w:ilvl="3">
      <w:start w:val="1"/>
      <w:numFmt w:val="decimal"/>
      <w:lvlText w:val="%1.%2.%3.%4."/>
      <w:lvlJc w:val="left"/>
      <w:pPr>
        <w:ind w:left="2592" w:hanging="1728"/>
      </w:pPr>
    </w:lvl>
    <w:lvl w:ilvl="4">
      <w:start w:val="1"/>
      <w:numFmt w:val="decimal"/>
      <w:lvlText w:val="%1.%2.%3.%4.%5."/>
      <w:lvlJc w:val="left"/>
      <w:pPr>
        <w:ind w:left="3168" w:hanging="2160"/>
      </w:pPr>
    </w:lvl>
    <w:lvl w:ilvl="5">
      <w:start w:val="1"/>
      <w:numFmt w:val="decimal"/>
      <w:lvlText w:val="%1.%2.%3.%4.%5.%6."/>
      <w:lvlJc w:val="left"/>
      <w:pPr>
        <w:ind w:left="3744" w:hanging="2592"/>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AF43D4E"/>
    <w:multiLevelType w:val="multilevel"/>
    <w:tmpl w:val="7B68E2EC"/>
    <w:lvl w:ilvl="0">
      <w:start w:val="1"/>
      <w:numFmt w:val="decimal"/>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7178C"/>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C26E5"/>
    <w:multiLevelType w:val="multilevel"/>
    <w:tmpl w:val="9A509D22"/>
    <w:lvl w:ilvl="0">
      <w:start w:val="1"/>
      <w:numFmt w:val="decimal"/>
      <w:lvlText w:val="%1."/>
      <w:lvlJc w:val="left"/>
      <w:pPr>
        <w:ind w:left="6840" w:hanging="360"/>
      </w:pPr>
      <w:rPr>
        <w:rFonts w:hint="default"/>
      </w:rPr>
    </w:lvl>
    <w:lvl w:ilvl="1">
      <w:start w:val="1"/>
      <w:numFmt w:val="decimal"/>
      <w:lvlText w:val="%1.%2."/>
      <w:lvlJc w:val="left"/>
      <w:pPr>
        <w:ind w:left="573" w:hanging="432"/>
      </w:pPr>
      <w:rPr>
        <w:rFonts w:hint="default"/>
        <w:b w:val="0"/>
        <w:sz w:val="24"/>
      </w:rPr>
    </w:lvl>
    <w:lvl w:ilvl="2">
      <w:start w:val="1"/>
      <w:numFmt w:val="decimal"/>
      <w:lvlText w:val="%1.%2.%3."/>
      <w:lvlJc w:val="left"/>
      <w:pPr>
        <w:ind w:left="7884" w:hanging="504"/>
      </w:pPr>
      <w:rPr>
        <w:rFonts w:hint="default"/>
        <w:b w:val="0"/>
      </w:rPr>
    </w:lvl>
    <w:lvl w:ilvl="3">
      <w:start w:val="1"/>
      <w:numFmt w:val="decimal"/>
      <w:lvlText w:val="%1.%2.%3.%4."/>
      <w:lvlJc w:val="left"/>
      <w:pPr>
        <w:ind w:left="8208" w:hanging="648"/>
      </w:pPr>
      <w:rPr>
        <w:rFonts w:hint="default"/>
      </w:rPr>
    </w:lvl>
    <w:lvl w:ilvl="4">
      <w:start w:val="1"/>
      <w:numFmt w:val="decimal"/>
      <w:lvlText w:val="%1.%2.%3.%4.%5."/>
      <w:lvlJc w:val="left"/>
      <w:pPr>
        <w:ind w:left="8712" w:hanging="792"/>
      </w:pPr>
      <w:rPr>
        <w:rFonts w:hint="default"/>
      </w:rPr>
    </w:lvl>
    <w:lvl w:ilvl="5">
      <w:start w:val="1"/>
      <w:numFmt w:val="decimal"/>
      <w:lvlText w:val="%1.%2.%3.%4.%5.%6."/>
      <w:lvlJc w:val="left"/>
      <w:pPr>
        <w:ind w:left="9216" w:hanging="936"/>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0224" w:hanging="1224"/>
      </w:pPr>
      <w:rPr>
        <w:rFonts w:hint="default"/>
      </w:rPr>
    </w:lvl>
    <w:lvl w:ilvl="8">
      <w:start w:val="1"/>
      <w:numFmt w:val="decimal"/>
      <w:lvlText w:val="%1.%2.%3.%4.%5.%6.%7.%8.%9."/>
      <w:lvlJc w:val="left"/>
      <w:pPr>
        <w:ind w:left="10800" w:hanging="1440"/>
      </w:pPr>
      <w:rPr>
        <w:rFonts w:hint="default"/>
      </w:rPr>
    </w:lvl>
  </w:abstractNum>
  <w:abstractNum w:abstractNumId="16">
    <w:nsid w:val="30BF3F75"/>
    <w:multiLevelType w:val="multilevel"/>
    <w:tmpl w:val="493024D6"/>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167AD0"/>
    <w:multiLevelType w:val="multilevel"/>
    <w:tmpl w:val="69845D92"/>
    <w:lvl w:ilvl="0">
      <w:start w:val="1"/>
      <w:numFmt w:val="decimal"/>
      <w:lvlText w:val="%1."/>
      <w:lvlJc w:val="left"/>
      <w:pPr>
        <w:ind w:left="360" w:hanging="360"/>
      </w:pPr>
      <w:rPr>
        <w:b/>
        <w:color w:val="283214"/>
      </w:rPr>
    </w:lvl>
    <w:lvl w:ilvl="1">
      <w:start w:val="1"/>
      <w:numFmt w:val="decimal"/>
      <w:lvlText w:val="%1.%2."/>
      <w:lvlJc w:val="left"/>
      <w:pPr>
        <w:ind w:left="612" w:hanging="432"/>
      </w:pPr>
      <w:rPr>
        <w:rFonts w:asciiTheme="majorHAnsi" w:hAnsiTheme="majorHAnsi" w:cs="Times New Roman" w:hint="default"/>
        <w:b w:val="0"/>
        <w:bCs w:val="0"/>
        <w:i w:val="0"/>
        <w:i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432769"/>
    <w:multiLevelType w:val="hybridMultilevel"/>
    <w:tmpl w:val="E18C74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EF0116"/>
    <w:multiLevelType w:val="hybridMultilevel"/>
    <w:tmpl w:val="D180A7B2"/>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0">
    <w:nsid w:val="35217B1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981896"/>
    <w:multiLevelType w:val="multilevel"/>
    <w:tmpl w:val="BB288082"/>
    <w:lvl w:ilvl="0">
      <w:start w:val="3"/>
      <w:numFmt w:val="decimal"/>
      <w:lvlText w:val="%1."/>
      <w:lvlJc w:val="left"/>
      <w:pPr>
        <w:ind w:left="7200" w:hanging="360"/>
      </w:pPr>
      <w:rPr>
        <w:rFonts w:hint="default"/>
      </w:rPr>
    </w:lvl>
    <w:lvl w:ilvl="1">
      <w:start w:val="1"/>
      <w:numFmt w:val="decimal"/>
      <w:isLgl/>
      <w:lvlText w:val="%1.%2"/>
      <w:lvlJc w:val="left"/>
      <w:pPr>
        <w:ind w:left="7560" w:hanging="72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828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000" w:hanging="2160"/>
      </w:pPr>
      <w:rPr>
        <w:rFonts w:hint="default"/>
      </w:rPr>
    </w:lvl>
  </w:abstractNum>
  <w:abstractNum w:abstractNumId="22">
    <w:nsid w:val="3BD51594"/>
    <w:multiLevelType w:val="hybridMultilevel"/>
    <w:tmpl w:val="F3A4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90AFD"/>
    <w:multiLevelType w:val="hybridMultilevel"/>
    <w:tmpl w:val="2FB8FE7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0352E5"/>
    <w:multiLevelType w:val="hybridMultilevel"/>
    <w:tmpl w:val="D59C6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B934C6"/>
    <w:multiLevelType w:val="hybridMultilevel"/>
    <w:tmpl w:val="BFBE8248"/>
    <w:lvl w:ilvl="0" w:tplc="E068772E">
      <w:start w:val="1"/>
      <w:numFmt w:val="upp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7">
    <w:nsid w:val="48442071"/>
    <w:multiLevelType w:val="multilevel"/>
    <w:tmpl w:val="F72280FA"/>
    <w:lvl w:ilvl="0">
      <w:start w:val="2"/>
      <w:numFmt w:val="decimal"/>
      <w:lvlText w:val="%1."/>
      <w:lvlJc w:val="left"/>
      <w:pPr>
        <w:ind w:left="7200" w:hanging="360"/>
      </w:pPr>
      <w:rPr>
        <w:rFonts w:hint="default"/>
      </w:rPr>
    </w:lvl>
    <w:lvl w:ilvl="1">
      <w:start w:val="1"/>
      <w:numFmt w:val="decimal"/>
      <w:isLgl/>
      <w:lvlText w:val="%1.%2"/>
      <w:lvlJc w:val="left"/>
      <w:pPr>
        <w:ind w:left="7560" w:hanging="72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828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000" w:hanging="2160"/>
      </w:pPr>
      <w:rPr>
        <w:rFonts w:hint="default"/>
      </w:rPr>
    </w:lvl>
  </w:abstractNum>
  <w:abstractNum w:abstractNumId="28">
    <w:nsid w:val="48E52F00"/>
    <w:multiLevelType w:val="hybridMultilevel"/>
    <w:tmpl w:val="BDBEA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7831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625C61"/>
    <w:multiLevelType w:val="multilevel"/>
    <w:tmpl w:val="978E88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16585"/>
    <w:multiLevelType w:val="multilevel"/>
    <w:tmpl w:val="54F47634"/>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56144E"/>
    <w:multiLevelType w:val="multilevel"/>
    <w:tmpl w:val="573AD07C"/>
    <w:lvl w:ilvl="0">
      <w:start w:val="1"/>
      <w:numFmt w:val="decimal"/>
      <w:lvlText w:val="%1"/>
      <w:lvlJc w:val="left"/>
      <w:pPr>
        <w:ind w:left="405" w:hanging="405"/>
      </w:pPr>
      <w:rPr>
        <w:rFonts w:hint="default"/>
      </w:rPr>
    </w:lvl>
    <w:lvl w:ilvl="1">
      <w:start w:val="1"/>
      <w:numFmt w:val="decimal"/>
      <w:lvlText w:val="%1.%2"/>
      <w:lvlJc w:val="left"/>
      <w:pPr>
        <w:ind w:left="6480" w:hanging="72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360" w:hanging="108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30240" w:hanging="144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416" w:hanging="1800"/>
      </w:pPr>
      <w:rPr>
        <w:rFonts w:hint="default"/>
      </w:rPr>
    </w:lvl>
    <w:lvl w:ilvl="8">
      <w:start w:val="1"/>
      <w:numFmt w:val="decimal"/>
      <w:lvlText w:val="%1.%2.%3.%4.%5.%6.%7.%8.%9"/>
      <w:lvlJc w:val="left"/>
      <w:pPr>
        <w:ind w:left="-17296" w:hanging="2160"/>
      </w:pPr>
      <w:rPr>
        <w:rFonts w:hint="default"/>
      </w:rPr>
    </w:lvl>
  </w:abstractNum>
  <w:abstractNum w:abstractNumId="34">
    <w:nsid w:val="5B9812CF"/>
    <w:multiLevelType w:val="multilevel"/>
    <w:tmpl w:val="493024D6"/>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8A1609"/>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C6CEC"/>
    <w:multiLevelType w:val="hybridMultilevel"/>
    <w:tmpl w:val="C45A4D4C"/>
    <w:lvl w:ilvl="0" w:tplc="0809000F">
      <w:start w:val="1"/>
      <w:numFmt w:val="decimal"/>
      <w:lvlText w:val="%1."/>
      <w:lvlJc w:val="lef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EE69C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71215C"/>
    <w:multiLevelType w:val="multilevel"/>
    <w:tmpl w:val="0A6E5C84"/>
    <w:lvl w:ilvl="0">
      <w:start w:val="1"/>
      <w:numFmt w:val="decimal"/>
      <w:lvlText w:val="%1."/>
      <w:lvlJc w:val="left"/>
      <w:pPr>
        <w:ind w:left="864" w:hanging="648"/>
      </w:pPr>
      <w:rPr>
        <w:rFonts w:hint="default"/>
        <w:b/>
        <w:color w:val="283214"/>
      </w:rPr>
    </w:lvl>
    <w:lvl w:ilvl="1">
      <w:start w:val="1"/>
      <w:numFmt w:val="decimal"/>
      <w:lvlText w:val="%1.%2."/>
      <w:lvlJc w:val="left"/>
      <w:pPr>
        <w:tabs>
          <w:tab w:val="num" w:pos="720"/>
        </w:tabs>
        <w:ind w:left="1152" w:hanging="720"/>
      </w:pPr>
      <w:rPr>
        <w:rFonts w:ascii="Garamond" w:eastAsia="Cambria" w:hAnsi="Garamond" w:cs="Times New Roman" w:hint="default"/>
        <w:b/>
        <w:i w:val="0"/>
        <w:sz w:val="24"/>
        <w:szCs w:val="24"/>
      </w:rPr>
    </w:lvl>
    <w:lvl w:ilvl="2">
      <w:start w:val="1"/>
      <w:numFmt w:val="decimal"/>
      <w:lvlText w:val="%1.%2.%3."/>
      <w:lvlJc w:val="left"/>
      <w:pPr>
        <w:tabs>
          <w:tab w:val="num" w:pos="720"/>
        </w:tabs>
        <w:ind w:left="1728" w:hanging="1008"/>
      </w:pPr>
      <w:rPr>
        <w:rFonts w:hint="default"/>
        <w:b w:val="0"/>
      </w:rPr>
    </w:lvl>
    <w:lvl w:ilvl="3">
      <w:start w:val="1"/>
      <w:numFmt w:val="decimal"/>
      <w:lvlText w:val="%1.%2.%3.%4."/>
      <w:lvlJc w:val="left"/>
      <w:pPr>
        <w:ind w:left="2592" w:hanging="1728"/>
      </w:pPr>
      <w:rPr>
        <w:rFonts w:hint="default"/>
      </w:rPr>
    </w:lvl>
    <w:lvl w:ilvl="4">
      <w:start w:val="1"/>
      <w:numFmt w:val="decimal"/>
      <w:lvlText w:val="%1.%2.%3.%4.%5."/>
      <w:lvlJc w:val="left"/>
      <w:pPr>
        <w:ind w:left="3168" w:hanging="2160"/>
      </w:pPr>
      <w:rPr>
        <w:rFonts w:hint="default"/>
      </w:rPr>
    </w:lvl>
    <w:lvl w:ilvl="5">
      <w:start w:val="1"/>
      <w:numFmt w:val="decimal"/>
      <w:lvlText w:val="%1.%2.%3.%4.%5.%6."/>
      <w:lvlJc w:val="left"/>
      <w:pPr>
        <w:ind w:left="3744" w:hanging="2592"/>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9">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0F0EF9"/>
    <w:multiLevelType w:val="hybridMultilevel"/>
    <w:tmpl w:val="1FB0F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F66BBA"/>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8A0EE4"/>
    <w:multiLevelType w:val="hybridMultilevel"/>
    <w:tmpl w:val="C87A98CE"/>
    <w:lvl w:ilvl="0" w:tplc="DF426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23"/>
  </w:num>
  <w:num w:numId="2">
    <w:abstractNumId w:val="39"/>
  </w:num>
  <w:num w:numId="3">
    <w:abstractNumId w:val="31"/>
  </w:num>
  <w:num w:numId="4">
    <w:abstractNumId w:val="12"/>
  </w:num>
  <w:num w:numId="5">
    <w:abstractNumId w:val="43"/>
  </w:num>
  <w:num w:numId="6">
    <w:abstractNumId w:val="10"/>
  </w:num>
  <w:num w:numId="7">
    <w:abstractNumId w:val="15"/>
  </w:num>
  <w:num w:numId="8">
    <w:abstractNumId w:val="4"/>
  </w:num>
  <w:num w:numId="9">
    <w:abstractNumId w:val="13"/>
  </w:num>
  <w:num w:numId="10">
    <w:abstractNumId w:val="14"/>
  </w:num>
  <w:num w:numId="11">
    <w:abstractNumId w:val="5"/>
  </w:num>
  <w:num w:numId="12">
    <w:abstractNumId w:val="35"/>
  </w:num>
  <w:num w:numId="13">
    <w:abstractNumId w:val="30"/>
  </w:num>
  <w:num w:numId="14">
    <w:abstractNumId w:val="32"/>
  </w:num>
  <w:num w:numId="15">
    <w:abstractNumId w:val="38"/>
  </w:num>
  <w:num w:numId="16">
    <w:abstractNumId w:val="17"/>
  </w:num>
  <w:num w:numId="17">
    <w:abstractNumId w:val="0"/>
  </w:num>
  <w:num w:numId="18">
    <w:abstractNumId w:val="41"/>
  </w:num>
  <w:num w:numId="19">
    <w:abstractNumId w:val="3"/>
  </w:num>
  <w:num w:numId="20">
    <w:abstractNumId w:val="29"/>
  </w:num>
  <w:num w:numId="21">
    <w:abstractNumId w:val="33"/>
  </w:num>
  <w:num w:numId="22">
    <w:abstractNumId w:val="22"/>
  </w:num>
  <w:num w:numId="23">
    <w:abstractNumId w:val="21"/>
  </w:num>
  <w:num w:numId="24">
    <w:abstractNumId w:val="27"/>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26"/>
  </w:num>
  <w:num w:numId="29">
    <w:abstractNumId w:val="40"/>
  </w:num>
  <w:num w:numId="30">
    <w:abstractNumId w:val="8"/>
  </w:num>
  <w:num w:numId="31">
    <w:abstractNumId w:val="42"/>
  </w:num>
  <w:num w:numId="32">
    <w:abstractNumId w:val="6"/>
  </w:num>
  <w:num w:numId="33">
    <w:abstractNumId w:val="37"/>
  </w:num>
  <w:num w:numId="34">
    <w:abstractNumId w:val="20"/>
  </w:num>
  <w:num w:numId="35">
    <w:abstractNumId w:val="18"/>
  </w:num>
  <w:num w:numId="36">
    <w:abstractNumId w:val="34"/>
  </w:num>
  <w:num w:numId="37">
    <w:abstractNumId w:val="16"/>
  </w:num>
  <w:num w:numId="38">
    <w:abstractNumId w:val="28"/>
  </w:num>
  <w:num w:numId="39">
    <w:abstractNumId w:val="25"/>
  </w:num>
  <w:num w:numId="40">
    <w:abstractNumId w:val="2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 w:numId="44">
    <w:abstractNumId w:val="1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31AC"/>
    <w:rsid w:val="000042FC"/>
    <w:rsid w:val="000043D3"/>
    <w:rsid w:val="00004477"/>
    <w:rsid w:val="0000565A"/>
    <w:rsid w:val="000068BB"/>
    <w:rsid w:val="0000788C"/>
    <w:rsid w:val="000109AF"/>
    <w:rsid w:val="000109C7"/>
    <w:rsid w:val="00010C84"/>
    <w:rsid w:val="00011383"/>
    <w:rsid w:val="00011466"/>
    <w:rsid w:val="0001257A"/>
    <w:rsid w:val="000128A1"/>
    <w:rsid w:val="00012B75"/>
    <w:rsid w:val="00013204"/>
    <w:rsid w:val="0001424E"/>
    <w:rsid w:val="00014AFD"/>
    <w:rsid w:val="0001587E"/>
    <w:rsid w:val="00015A08"/>
    <w:rsid w:val="00016F03"/>
    <w:rsid w:val="00017894"/>
    <w:rsid w:val="00021540"/>
    <w:rsid w:val="000217F0"/>
    <w:rsid w:val="0002195A"/>
    <w:rsid w:val="0002209E"/>
    <w:rsid w:val="00022DC2"/>
    <w:rsid w:val="0002353C"/>
    <w:rsid w:val="00024EF2"/>
    <w:rsid w:val="00024F41"/>
    <w:rsid w:val="00024F6C"/>
    <w:rsid w:val="000250C5"/>
    <w:rsid w:val="00025979"/>
    <w:rsid w:val="00025C67"/>
    <w:rsid w:val="00030D46"/>
    <w:rsid w:val="000311C2"/>
    <w:rsid w:val="0003124E"/>
    <w:rsid w:val="00031D7C"/>
    <w:rsid w:val="00031DF5"/>
    <w:rsid w:val="00031EDE"/>
    <w:rsid w:val="0003281D"/>
    <w:rsid w:val="00032862"/>
    <w:rsid w:val="00032A59"/>
    <w:rsid w:val="00033352"/>
    <w:rsid w:val="00034B04"/>
    <w:rsid w:val="00037DCD"/>
    <w:rsid w:val="0004006C"/>
    <w:rsid w:val="0004048A"/>
    <w:rsid w:val="0004163D"/>
    <w:rsid w:val="00041707"/>
    <w:rsid w:val="00042E2B"/>
    <w:rsid w:val="00043CA4"/>
    <w:rsid w:val="000461C4"/>
    <w:rsid w:val="0004640C"/>
    <w:rsid w:val="000465E8"/>
    <w:rsid w:val="000478BE"/>
    <w:rsid w:val="00047C78"/>
    <w:rsid w:val="000505F8"/>
    <w:rsid w:val="00051301"/>
    <w:rsid w:val="0005186B"/>
    <w:rsid w:val="00052B72"/>
    <w:rsid w:val="00052CD2"/>
    <w:rsid w:val="0005446E"/>
    <w:rsid w:val="00056665"/>
    <w:rsid w:val="00056EF7"/>
    <w:rsid w:val="00057BCB"/>
    <w:rsid w:val="00057C5E"/>
    <w:rsid w:val="00060A45"/>
    <w:rsid w:val="00062B5C"/>
    <w:rsid w:val="000634CC"/>
    <w:rsid w:val="00063A5F"/>
    <w:rsid w:val="00066159"/>
    <w:rsid w:val="0006618D"/>
    <w:rsid w:val="00067005"/>
    <w:rsid w:val="00067A08"/>
    <w:rsid w:val="0007026B"/>
    <w:rsid w:val="00070C38"/>
    <w:rsid w:val="00071301"/>
    <w:rsid w:val="00071592"/>
    <w:rsid w:val="00071DE3"/>
    <w:rsid w:val="000732A0"/>
    <w:rsid w:val="0007498B"/>
    <w:rsid w:val="00075C1B"/>
    <w:rsid w:val="00076226"/>
    <w:rsid w:val="00077AA9"/>
    <w:rsid w:val="0008110C"/>
    <w:rsid w:val="000812D4"/>
    <w:rsid w:val="00083475"/>
    <w:rsid w:val="000835C9"/>
    <w:rsid w:val="00084414"/>
    <w:rsid w:val="00085BB3"/>
    <w:rsid w:val="000876AF"/>
    <w:rsid w:val="00087FA6"/>
    <w:rsid w:val="0009181C"/>
    <w:rsid w:val="00092240"/>
    <w:rsid w:val="0009288E"/>
    <w:rsid w:val="00094435"/>
    <w:rsid w:val="0009509D"/>
    <w:rsid w:val="000961DC"/>
    <w:rsid w:val="000978FF"/>
    <w:rsid w:val="000A1404"/>
    <w:rsid w:val="000A152C"/>
    <w:rsid w:val="000A1F48"/>
    <w:rsid w:val="000A2CCD"/>
    <w:rsid w:val="000A35F9"/>
    <w:rsid w:val="000A3602"/>
    <w:rsid w:val="000A4E0B"/>
    <w:rsid w:val="000A5668"/>
    <w:rsid w:val="000A638E"/>
    <w:rsid w:val="000A6E0B"/>
    <w:rsid w:val="000A7F5E"/>
    <w:rsid w:val="000B046F"/>
    <w:rsid w:val="000B0BB4"/>
    <w:rsid w:val="000B0E9B"/>
    <w:rsid w:val="000B1215"/>
    <w:rsid w:val="000B2235"/>
    <w:rsid w:val="000B244C"/>
    <w:rsid w:val="000B41CD"/>
    <w:rsid w:val="000B5A13"/>
    <w:rsid w:val="000B60AA"/>
    <w:rsid w:val="000B7D58"/>
    <w:rsid w:val="000B7D84"/>
    <w:rsid w:val="000C00E5"/>
    <w:rsid w:val="000C1105"/>
    <w:rsid w:val="000C1823"/>
    <w:rsid w:val="000C4827"/>
    <w:rsid w:val="000C5B09"/>
    <w:rsid w:val="000C5C3E"/>
    <w:rsid w:val="000C718F"/>
    <w:rsid w:val="000C7A0F"/>
    <w:rsid w:val="000D09CC"/>
    <w:rsid w:val="000D2428"/>
    <w:rsid w:val="000D37D5"/>
    <w:rsid w:val="000D3F04"/>
    <w:rsid w:val="000D5719"/>
    <w:rsid w:val="000D5E80"/>
    <w:rsid w:val="000D7976"/>
    <w:rsid w:val="000E0E4C"/>
    <w:rsid w:val="000E3608"/>
    <w:rsid w:val="000E3C42"/>
    <w:rsid w:val="000E51AF"/>
    <w:rsid w:val="000E6B26"/>
    <w:rsid w:val="000F164B"/>
    <w:rsid w:val="000F1C72"/>
    <w:rsid w:val="000F3512"/>
    <w:rsid w:val="000F43CF"/>
    <w:rsid w:val="000F5DB4"/>
    <w:rsid w:val="000F61BC"/>
    <w:rsid w:val="000F6243"/>
    <w:rsid w:val="001004ED"/>
    <w:rsid w:val="00100B75"/>
    <w:rsid w:val="0010164D"/>
    <w:rsid w:val="0010186F"/>
    <w:rsid w:val="0010231B"/>
    <w:rsid w:val="00102C4E"/>
    <w:rsid w:val="001048E8"/>
    <w:rsid w:val="00105885"/>
    <w:rsid w:val="00105A24"/>
    <w:rsid w:val="0010754A"/>
    <w:rsid w:val="00107D4F"/>
    <w:rsid w:val="00107FB4"/>
    <w:rsid w:val="00110034"/>
    <w:rsid w:val="001123E8"/>
    <w:rsid w:val="0011260C"/>
    <w:rsid w:val="0011377D"/>
    <w:rsid w:val="00114585"/>
    <w:rsid w:val="00120741"/>
    <w:rsid w:val="0012089A"/>
    <w:rsid w:val="00120F7F"/>
    <w:rsid w:val="00121048"/>
    <w:rsid w:val="001213FD"/>
    <w:rsid w:val="001215BB"/>
    <w:rsid w:val="00122079"/>
    <w:rsid w:val="00122357"/>
    <w:rsid w:val="00123A79"/>
    <w:rsid w:val="00123B07"/>
    <w:rsid w:val="00123C5E"/>
    <w:rsid w:val="001241C8"/>
    <w:rsid w:val="00124F75"/>
    <w:rsid w:val="001256B8"/>
    <w:rsid w:val="00125AA8"/>
    <w:rsid w:val="00126912"/>
    <w:rsid w:val="00127BC5"/>
    <w:rsid w:val="00131624"/>
    <w:rsid w:val="001316D5"/>
    <w:rsid w:val="00131825"/>
    <w:rsid w:val="001326BB"/>
    <w:rsid w:val="001330F3"/>
    <w:rsid w:val="001344BA"/>
    <w:rsid w:val="00135135"/>
    <w:rsid w:val="001356D7"/>
    <w:rsid w:val="001359CF"/>
    <w:rsid w:val="001363E6"/>
    <w:rsid w:val="001401A2"/>
    <w:rsid w:val="001401A9"/>
    <w:rsid w:val="00140207"/>
    <w:rsid w:val="00140674"/>
    <w:rsid w:val="00141C60"/>
    <w:rsid w:val="00142C79"/>
    <w:rsid w:val="0014488F"/>
    <w:rsid w:val="00144D1B"/>
    <w:rsid w:val="0014503B"/>
    <w:rsid w:val="001469C7"/>
    <w:rsid w:val="00146A14"/>
    <w:rsid w:val="0014731E"/>
    <w:rsid w:val="00147411"/>
    <w:rsid w:val="001479A4"/>
    <w:rsid w:val="00151B1F"/>
    <w:rsid w:val="00153DB4"/>
    <w:rsid w:val="001541A9"/>
    <w:rsid w:val="00155099"/>
    <w:rsid w:val="00155B83"/>
    <w:rsid w:val="00155E84"/>
    <w:rsid w:val="00156C37"/>
    <w:rsid w:val="0015765F"/>
    <w:rsid w:val="0015783C"/>
    <w:rsid w:val="00157AE1"/>
    <w:rsid w:val="00160C81"/>
    <w:rsid w:val="00161568"/>
    <w:rsid w:val="00161D61"/>
    <w:rsid w:val="001625EE"/>
    <w:rsid w:val="00162E0D"/>
    <w:rsid w:val="001637DC"/>
    <w:rsid w:val="00163D3A"/>
    <w:rsid w:val="00165FF0"/>
    <w:rsid w:val="00167118"/>
    <w:rsid w:val="00167131"/>
    <w:rsid w:val="00172633"/>
    <w:rsid w:val="00173123"/>
    <w:rsid w:val="00174153"/>
    <w:rsid w:val="0017483D"/>
    <w:rsid w:val="00174A99"/>
    <w:rsid w:val="00174D5C"/>
    <w:rsid w:val="00181BC6"/>
    <w:rsid w:val="00182799"/>
    <w:rsid w:val="001856AE"/>
    <w:rsid w:val="001866D3"/>
    <w:rsid w:val="00186ACC"/>
    <w:rsid w:val="00186DC0"/>
    <w:rsid w:val="00190162"/>
    <w:rsid w:val="001903E5"/>
    <w:rsid w:val="0019194D"/>
    <w:rsid w:val="00191A73"/>
    <w:rsid w:val="00191CD4"/>
    <w:rsid w:val="0019311D"/>
    <w:rsid w:val="00196EA7"/>
    <w:rsid w:val="001A0E32"/>
    <w:rsid w:val="001A2077"/>
    <w:rsid w:val="001A2CD6"/>
    <w:rsid w:val="001A394F"/>
    <w:rsid w:val="001A3BC4"/>
    <w:rsid w:val="001A4010"/>
    <w:rsid w:val="001A48C3"/>
    <w:rsid w:val="001A4D09"/>
    <w:rsid w:val="001A52DD"/>
    <w:rsid w:val="001A6D01"/>
    <w:rsid w:val="001A7DF0"/>
    <w:rsid w:val="001B00DE"/>
    <w:rsid w:val="001B1873"/>
    <w:rsid w:val="001B1E05"/>
    <w:rsid w:val="001B2273"/>
    <w:rsid w:val="001B2635"/>
    <w:rsid w:val="001B2FD9"/>
    <w:rsid w:val="001B3357"/>
    <w:rsid w:val="001B4261"/>
    <w:rsid w:val="001B4C61"/>
    <w:rsid w:val="001B589B"/>
    <w:rsid w:val="001B5D88"/>
    <w:rsid w:val="001B6EAE"/>
    <w:rsid w:val="001B7020"/>
    <w:rsid w:val="001C1237"/>
    <w:rsid w:val="001C21A4"/>
    <w:rsid w:val="001C24D2"/>
    <w:rsid w:val="001C2827"/>
    <w:rsid w:val="001C2C38"/>
    <w:rsid w:val="001C2DBB"/>
    <w:rsid w:val="001C40B9"/>
    <w:rsid w:val="001C4314"/>
    <w:rsid w:val="001C4BA4"/>
    <w:rsid w:val="001C4C69"/>
    <w:rsid w:val="001C4F99"/>
    <w:rsid w:val="001C5320"/>
    <w:rsid w:val="001C75D9"/>
    <w:rsid w:val="001D0362"/>
    <w:rsid w:val="001D073F"/>
    <w:rsid w:val="001D13EB"/>
    <w:rsid w:val="001D2E83"/>
    <w:rsid w:val="001D42ED"/>
    <w:rsid w:val="001D4636"/>
    <w:rsid w:val="001D4684"/>
    <w:rsid w:val="001D514F"/>
    <w:rsid w:val="001D6312"/>
    <w:rsid w:val="001D6F34"/>
    <w:rsid w:val="001D7025"/>
    <w:rsid w:val="001E0611"/>
    <w:rsid w:val="001E0D7F"/>
    <w:rsid w:val="001E16B7"/>
    <w:rsid w:val="001E1ECB"/>
    <w:rsid w:val="001E2326"/>
    <w:rsid w:val="001E2BF2"/>
    <w:rsid w:val="001E3285"/>
    <w:rsid w:val="001E36FE"/>
    <w:rsid w:val="001E52A5"/>
    <w:rsid w:val="001E654A"/>
    <w:rsid w:val="001E7CC6"/>
    <w:rsid w:val="001F1735"/>
    <w:rsid w:val="001F1F1A"/>
    <w:rsid w:val="001F2A34"/>
    <w:rsid w:val="001F2FA7"/>
    <w:rsid w:val="001F32C6"/>
    <w:rsid w:val="001F483E"/>
    <w:rsid w:val="001F484A"/>
    <w:rsid w:val="001F4C4F"/>
    <w:rsid w:val="001F4D9A"/>
    <w:rsid w:val="001F6E3A"/>
    <w:rsid w:val="001F72D1"/>
    <w:rsid w:val="001F7621"/>
    <w:rsid w:val="00200E5D"/>
    <w:rsid w:val="00201139"/>
    <w:rsid w:val="002021E8"/>
    <w:rsid w:val="00202DB9"/>
    <w:rsid w:val="00203EB7"/>
    <w:rsid w:val="002041E6"/>
    <w:rsid w:val="00204323"/>
    <w:rsid w:val="00204994"/>
    <w:rsid w:val="0020534C"/>
    <w:rsid w:val="00205378"/>
    <w:rsid w:val="00205F0F"/>
    <w:rsid w:val="00207E44"/>
    <w:rsid w:val="00211380"/>
    <w:rsid w:val="00212276"/>
    <w:rsid w:val="002142C8"/>
    <w:rsid w:val="00214F2D"/>
    <w:rsid w:val="00215474"/>
    <w:rsid w:val="00216B2B"/>
    <w:rsid w:val="00220D77"/>
    <w:rsid w:val="00220EA9"/>
    <w:rsid w:val="00221007"/>
    <w:rsid w:val="00221AC9"/>
    <w:rsid w:val="0022361E"/>
    <w:rsid w:val="00224F9D"/>
    <w:rsid w:val="0022667F"/>
    <w:rsid w:val="002270A5"/>
    <w:rsid w:val="00227531"/>
    <w:rsid w:val="00227C8B"/>
    <w:rsid w:val="00230DCE"/>
    <w:rsid w:val="00231D63"/>
    <w:rsid w:val="00233A32"/>
    <w:rsid w:val="00233BD2"/>
    <w:rsid w:val="002341BB"/>
    <w:rsid w:val="00234A55"/>
    <w:rsid w:val="00240394"/>
    <w:rsid w:val="00240788"/>
    <w:rsid w:val="002408C9"/>
    <w:rsid w:val="002415FA"/>
    <w:rsid w:val="00241D83"/>
    <w:rsid w:val="00241DA9"/>
    <w:rsid w:val="00242732"/>
    <w:rsid w:val="00243568"/>
    <w:rsid w:val="00243DCA"/>
    <w:rsid w:val="00245730"/>
    <w:rsid w:val="00246DB5"/>
    <w:rsid w:val="002471BB"/>
    <w:rsid w:val="002473FB"/>
    <w:rsid w:val="00250A2E"/>
    <w:rsid w:val="00252AE3"/>
    <w:rsid w:val="00252F85"/>
    <w:rsid w:val="00253841"/>
    <w:rsid w:val="00254591"/>
    <w:rsid w:val="00254AC1"/>
    <w:rsid w:val="00255151"/>
    <w:rsid w:val="00255B8B"/>
    <w:rsid w:val="0025695B"/>
    <w:rsid w:val="0026156A"/>
    <w:rsid w:val="0026199C"/>
    <w:rsid w:val="00261F46"/>
    <w:rsid w:val="00262E47"/>
    <w:rsid w:val="00263142"/>
    <w:rsid w:val="0026400D"/>
    <w:rsid w:val="00264A75"/>
    <w:rsid w:val="0026516E"/>
    <w:rsid w:val="002656DD"/>
    <w:rsid w:val="00265A2B"/>
    <w:rsid w:val="00265E46"/>
    <w:rsid w:val="00267061"/>
    <w:rsid w:val="002677D4"/>
    <w:rsid w:val="002705A0"/>
    <w:rsid w:val="00271260"/>
    <w:rsid w:val="002719C8"/>
    <w:rsid w:val="0027243F"/>
    <w:rsid w:val="002725A0"/>
    <w:rsid w:val="0027298F"/>
    <w:rsid w:val="00272FD6"/>
    <w:rsid w:val="002755B4"/>
    <w:rsid w:val="00276433"/>
    <w:rsid w:val="002764B6"/>
    <w:rsid w:val="00277642"/>
    <w:rsid w:val="002777E3"/>
    <w:rsid w:val="00280087"/>
    <w:rsid w:val="002802D6"/>
    <w:rsid w:val="00280769"/>
    <w:rsid w:val="00280F78"/>
    <w:rsid w:val="002812C5"/>
    <w:rsid w:val="00281382"/>
    <w:rsid w:val="00281790"/>
    <w:rsid w:val="002828C0"/>
    <w:rsid w:val="00282C34"/>
    <w:rsid w:val="00282FFF"/>
    <w:rsid w:val="0028327C"/>
    <w:rsid w:val="00283A2E"/>
    <w:rsid w:val="00283C06"/>
    <w:rsid w:val="00284522"/>
    <w:rsid w:val="00284A1E"/>
    <w:rsid w:val="002857D6"/>
    <w:rsid w:val="0028580F"/>
    <w:rsid w:val="00286CAF"/>
    <w:rsid w:val="00287458"/>
    <w:rsid w:val="002918A7"/>
    <w:rsid w:val="00292433"/>
    <w:rsid w:val="00292748"/>
    <w:rsid w:val="00293B65"/>
    <w:rsid w:val="00293BFD"/>
    <w:rsid w:val="002944C1"/>
    <w:rsid w:val="00296808"/>
    <w:rsid w:val="002970D2"/>
    <w:rsid w:val="002A0B88"/>
    <w:rsid w:val="002A17D9"/>
    <w:rsid w:val="002A17E0"/>
    <w:rsid w:val="002A48D7"/>
    <w:rsid w:val="002A54CE"/>
    <w:rsid w:val="002A6902"/>
    <w:rsid w:val="002A7968"/>
    <w:rsid w:val="002B09A6"/>
    <w:rsid w:val="002B0F3F"/>
    <w:rsid w:val="002B23D3"/>
    <w:rsid w:val="002B2A1D"/>
    <w:rsid w:val="002B2DCC"/>
    <w:rsid w:val="002B2E03"/>
    <w:rsid w:val="002B42D8"/>
    <w:rsid w:val="002B47CE"/>
    <w:rsid w:val="002B5469"/>
    <w:rsid w:val="002B630F"/>
    <w:rsid w:val="002B63E9"/>
    <w:rsid w:val="002B6C1E"/>
    <w:rsid w:val="002B6E25"/>
    <w:rsid w:val="002C0AE8"/>
    <w:rsid w:val="002C2ACD"/>
    <w:rsid w:val="002C34FC"/>
    <w:rsid w:val="002C3CB4"/>
    <w:rsid w:val="002C46AD"/>
    <w:rsid w:val="002C4D7F"/>
    <w:rsid w:val="002C58E4"/>
    <w:rsid w:val="002C5B3D"/>
    <w:rsid w:val="002C5B7C"/>
    <w:rsid w:val="002D0671"/>
    <w:rsid w:val="002D2B06"/>
    <w:rsid w:val="002D312B"/>
    <w:rsid w:val="002D31A7"/>
    <w:rsid w:val="002D3200"/>
    <w:rsid w:val="002D7CD5"/>
    <w:rsid w:val="002E01EB"/>
    <w:rsid w:val="002E041A"/>
    <w:rsid w:val="002E049C"/>
    <w:rsid w:val="002E1A28"/>
    <w:rsid w:val="002E45F7"/>
    <w:rsid w:val="002E4FE8"/>
    <w:rsid w:val="002E6F3D"/>
    <w:rsid w:val="002E75C4"/>
    <w:rsid w:val="002F0E43"/>
    <w:rsid w:val="002F35C6"/>
    <w:rsid w:val="002F436F"/>
    <w:rsid w:val="002F49E6"/>
    <w:rsid w:val="002F65C0"/>
    <w:rsid w:val="00300332"/>
    <w:rsid w:val="00303B3E"/>
    <w:rsid w:val="00303E9B"/>
    <w:rsid w:val="0030501B"/>
    <w:rsid w:val="00305614"/>
    <w:rsid w:val="00305AE0"/>
    <w:rsid w:val="00306007"/>
    <w:rsid w:val="003062EC"/>
    <w:rsid w:val="0030678C"/>
    <w:rsid w:val="00306C1F"/>
    <w:rsid w:val="00306DB3"/>
    <w:rsid w:val="00307003"/>
    <w:rsid w:val="00312443"/>
    <w:rsid w:val="003130FB"/>
    <w:rsid w:val="00313EDD"/>
    <w:rsid w:val="00314137"/>
    <w:rsid w:val="00316E60"/>
    <w:rsid w:val="0031736A"/>
    <w:rsid w:val="00317E00"/>
    <w:rsid w:val="00317F85"/>
    <w:rsid w:val="00320AEF"/>
    <w:rsid w:val="00321628"/>
    <w:rsid w:val="00321A6B"/>
    <w:rsid w:val="00321C2E"/>
    <w:rsid w:val="003242E4"/>
    <w:rsid w:val="00326717"/>
    <w:rsid w:val="0032692F"/>
    <w:rsid w:val="00326B53"/>
    <w:rsid w:val="00327B22"/>
    <w:rsid w:val="00330C9D"/>
    <w:rsid w:val="00330E1E"/>
    <w:rsid w:val="00331EC7"/>
    <w:rsid w:val="00332B0F"/>
    <w:rsid w:val="003337C7"/>
    <w:rsid w:val="00334605"/>
    <w:rsid w:val="00334B90"/>
    <w:rsid w:val="00334EFD"/>
    <w:rsid w:val="00335C1C"/>
    <w:rsid w:val="00335E8C"/>
    <w:rsid w:val="003360B8"/>
    <w:rsid w:val="003402CA"/>
    <w:rsid w:val="0034144F"/>
    <w:rsid w:val="00342400"/>
    <w:rsid w:val="0034428B"/>
    <w:rsid w:val="00347A28"/>
    <w:rsid w:val="00353C9C"/>
    <w:rsid w:val="00353E85"/>
    <w:rsid w:val="00354649"/>
    <w:rsid w:val="00355223"/>
    <w:rsid w:val="00355333"/>
    <w:rsid w:val="0035585C"/>
    <w:rsid w:val="00357BE5"/>
    <w:rsid w:val="00360436"/>
    <w:rsid w:val="00361C3C"/>
    <w:rsid w:val="00362B54"/>
    <w:rsid w:val="00364FD3"/>
    <w:rsid w:val="0036541E"/>
    <w:rsid w:val="00366811"/>
    <w:rsid w:val="0036751D"/>
    <w:rsid w:val="00367A37"/>
    <w:rsid w:val="0037080C"/>
    <w:rsid w:val="00371364"/>
    <w:rsid w:val="003724E6"/>
    <w:rsid w:val="00372A7B"/>
    <w:rsid w:val="0037359E"/>
    <w:rsid w:val="00373A0F"/>
    <w:rsid w:val="003741EF"/>
    <w:rsid w:val="00375013"/>
    <w:rsid w:val="003761C9"/>
    <w:rsid w:val="003770EB"/>
    <w:rsid w:val="00377E7A"/>
    <w:rsid w:val="00380299"/>
    <w:rsid w:val="00380EE9"/>
    <w:rsid w:val="003811A9"/>
    <w:rsid w:val="003819F6"/>
    <w:rsid w:val="00381A6D"/>
    <w:rsid w:val="00381D02"/>
    <w:rsid w:val="00381F14"/>
    <w:rsid w:val="00382BF6"/>
    <w:rsid w:val="00383A32"/>
    <w:rsid w:val="00384EA3"/>
    <w:rsid w:val="003856BC"/>
    <w:rsid w:val="00387594"/>
    <w:rsid w:val="0038783F"/>
    <w:rsid w:val="00387B69"/>
    <w:rsid w:val="003907FC"/>
    <w:rsid w:val="00391D1B"/>
    <w:rsid w:val="003925AC"/>
    <w:rsid w:val="003926D9"/>
    <w:rsid w:val="00395CE9"/>
    <w:rsid w:val="003968AE"/>
    <w:rsid w:val="00397F7B"/>
    <w:rsid w:val="003A017D"/>
    <w:rsid w:val="003A0708"/>
    <w:rsid w:val="003A296E"/>
    <w:rsid w:val="003A2F3F"/>
    <w:rsid w:val="003A30B7"/>
    <w:rsid w:val="003A38A8"/>
    <w:rsid w:val="003A3BC7"/>
    <w:rsid w:val="003A4A25"/>
    <w:rsid w:val="003A5EC0"/>
    <w:rsid w:val="003A7377"/>
    <w:rsid w:val="003B0DC5"/>
    <w:rsid w:val="003B1D08"/>
    <w:rsid w:val="003B1E90"/>
    <w:rsid w:val="003B32E2"/>
    <w:rsid w:val="003B386A"/>
    <w:rsid w:val="003B3BA2"/>
    <w:rsid w:val="003B3D5A"/>
    <w:rsid w:val="003B3DCE"/>
    <w:rsid w:val="003B413E"/>
    <w:rsid w:val="003B4792"/>
    <w:rsid w:val="003B583A"/>
    <w:rsid w:val="003B5D47"/>
    <w:rsid w:val="003C31F2"/>
    <w:rsid w:val="003C3B57"/>
    <w:rsid w:val="003C3CC9"/>
    <w:rsid w:val="003C3F0A"/>
    <w:rsid w:val="003C4F1D"/>
    <w:rsid w:val="003C5359"/>
    <w:rsid w:val="003C5896"/>
    <w:rsid w:val="003C6AEF"/>
    <w:rsid w:val="003C6B37"/>
    <w:rsid w:val="003C6CD3"/>
    <w:rsid w:val="003C7129"/>
    <w:rsid w:val="003C78D7"/>
    <w:rsid w:val="003D2577"/>
    <w:rsid w:val="003D2861"/>
    <w:rsid w:val="003D38C9"/>
    <w:rsid w:val="003D3980"/>
    <w:rsid w:val="003D480E"/>
    <w:rsid w:val="003D60D5"/>
    <w:rsid w:val="003D74A9"/>
    <w:rsid w:val="003D7EC4"/>
    <w:rsid w:val="003D7F4B"/>
    <w:rsid w:val="003E0063"/>
    <w:rsid w:val="003E0534"/>
    <w:rsid w:val="003E0739"/>
    <w:rsid w:val="003E0D13"/>
    <w:rsid w:val="003E18F7"/>
    <w:rsid w:val="003E20B8"/>
    <w:rsid w:val="003E2C40"/>
    <w:rsid w:val="003E41F8"/>
    <w:rsid w:val="003E4C39"/>
    <w:rsid w:val="003E5868"/>
    <w:rsid w:val="003E5E63"/>
    <w:rsid w:val="003E5E65"/>
    <w:rsid w:val="003E5E6B"/>
    <w:rsid w:val="003E67E5"/>
    <w:rsid w:val="003E74F1"/>
    <w:rsid w:val="003F002C"/>
    <w:rsid w:val="003F0546"/>
    <w:rsid w:val="003F0D77"/>
    <w:rsid w:val="003F1837"/>
    <w:rsid w:val="003F3546"/>
    <w:rsid w:val="003F388F"/>
    <w:rsid w:val="003F4A19"/>
    <w:rsid w:val="003F4A67"/>
    <w:rsid w:val="003F5169"/>
    <w:rsid w:val="003F6107"/>
    <w:rsid w:val="003F7274"/>
    <w:rsid w:val="003F72DD"/>
    <w:rsid w:val="003F78D2"/>
    <w:rsid w:val="003F7E9F"/>
    <w:rsid w:val="00400331"/>
    <w:rsid w:val="00400A84"/>
    <w:rsid w:val="00400D91"/>
    <w:rsid w:val="0040118C"/>
    <w:rsid w:val="00401F7E"/>
    <w:rsid w:val="00403E23"/>
    <w:rsid w:val="00404532"/>
    <w:rsid w:val="00404759"/>
    <w:rsid w:val="004048F3"/>
    <w:rsid w:val="00405BC4"/>
    <w:rsid w:val="00405EC2"/>
    <w:rsid w:val="00406C22"/>
    <w:rsid w:val="00406CE9"/>
    <w:rsid w:val="004074EF"/>
    <w:rsid w:val="00407C9E"/>
    <w:rsid w:val="004138C5"/>
    <w:rsid w:val="00413D85"/>
    <w:rsid w:val="00413E3B"/>
    <w:rsid w:val="0041417A"/>
    <w:rsid w:val="00414841"/>
    <w:rsid w:val="00414D72"/>
    <w:rsid w:val="004159E8"/>
    <w:rsid w:val="0041746A"/>
    <w:rsid w:val="00420334"/>
    <w:rsid w:val="00421A0A"/>
    <w:rsid w:val="00421CC8"/>
    <w:rsid w:val="00422F94"/>
    <w:rsid w:val="004233B3"/>
    <w:rsid w:val="00423433"/>
    <w:rsid w:val="004237D6"/>
    <w:rsid w:val="0042385C"/>
    <w:rsid w:val="00423DF0"/>
    <w:rsid w:val="004240FB"/>
    <w:rsid w:val="004246E8"/>
    <w:rsid w:val="004262C5"/>
    <w:rsid w:val="00426355"/>
    <w:rsid w:val="00426419"/>
    <w:rsid w:val="0042712D"/>
    <w:rsid w:val="0042716C"/>
    <w:rsid w:val="00427542"/>
    <w:rsid w:val="00427BED"/>
    <w:rsid w:val="00430A2A"/>
    <w:rsid w:val="00432139"/>
    <w:rsid w:val="004323AC"/>
    <w:rsid w:val="00432A6E"/>
    <w:rsid w:val="0043446A"/>
    <w:rsid w:val="00434CA6"/>
    <w:rsid w:val="00435634"/>
    <w:rsid w:val="00437270"/>
    <w:rsid w:val="00437515"/>
    <w:rsid w:val="0044008C"/>
    <w:rsid w:val="0044027E"/>
    <w:rsid w:val="00440478"/>
    <w:rsid w:val="0044050C"/>
    <w:rsid w:val="0044070D"/>
    <w:rsid w:val="00441DED"/>
    <w:rsid w:val="00441FE6"/>
    <w:rsid w:val="004425A4"/>
    <w:rsid w:val="00442A26"/>
    <w:rsid w:val="00443D95"/>
    <w:rsid w:val="00444A7A"/>
    <w:rsid w:val="00444BB3"/>
    <w:rsid w:val="00444CA3"/>
    <w:rsid w:val="004455B0"/>
    <w:rsid w:val="00445FEE"/>
    <w:rsid w:val="0044786D"/>
    <w:rsid w:val="004510F7"/>
    <w:rsid w:val="004510FB"/>
    <w:rsid w:val="0045332E"/>
    <w:rsid w:val="004534C0"/>
    <w:rsid w:val="00453D5F"/>
    <w:rsid w:val="004543E9"/>
    <w:rsid w:val="00456EE4"/>
    <w:rsid w:val="00460024"/>
    <w:rsid w:val="00460DF5"/>
    <w:rsid w:val="004616A6"/>
    <w:rsid w:val="00462027"/>
    <w:rsid w:val="0046228F"/>
    <w:rsid w:val="00462553"/>
    <w:rsid w:val="00462D26"/>
    <w:rsid w:val="004637D9"/>
    <w:rsid w:val="00463E9F"/>
    <w:rsid w:val="00464B40"/>
    <w:rsid w:val="00464B5D"/>
    <w:rsid w:val="00464F49"/>
    <w:rsid w:val="00464F53"/>
    <w:rsid w:val="00465762"/>
    <w:rsid w:val="00465D4D"/>
    <w:rsid w:val="004670D4"/>
    <w:rsid w:val="004677BD"/>
    <w:rsid w:val="00467A92"/>
    <w:rsid w:val="00467E52"/>
    <w:rsid w:val="00471899"/>
    <w:rsid w:val="00471910"/>
    <w:rsid w:val="004719F2"/>
    <w:rsid w:val="004737D3"/>
    <w:rsid w:val="00473954"/>
    <w:rsid w:val="00473A4A"/>
    <w:rsid w:val="00475513"/>
    <w:rsid w:val="00475F71"/>
    <w:rsid w:val="004771F8"/>
    <w:rsid w:val="00477749"/>
    <w:rsid w:val="00477AF8"/>
    <w:rsid w:val="00480F3A"/>
    <w:rsid w:val="004817EA"/>
    <w:rsid w:val="004840C6"/>
    <w:rsid w:val="004851D9"/>
    <w:rsid w:val="00485406"/>
    <w:rsid w:val="00485C93"/>
    <w:rsid w:val="00485D36"/>
    <w:rsid w:val="00485EA5"/>
    <w:rsid w:val="00487155"/>
    <w:rsid w:val="00491732"/>
    <w:rsid w:val="0049224F"/>
    <w:rsid w:val="004922FB"/>
    <w:rsid w:val="00494A10"/>
    <w:rsid w:val="00495637"/>
    <w:rsid w:val="00495762"/>
    <w:rsid w:val="004958F1"/>
    <w:rsid w:val="004965EF"/>
    <w:rsid w:val="0049793A"/>
    <w:rsid w:val="004A02BE"/>
    <w:rsid w:val="004A059F"/>
    <w:rsid w:val="004A064A"/>
    <w:rsid w:val="004A06D0"/>
    <w:rsid w:val="004A0EBD"/>
    <w:rsid w:val="004A1310"/>
    <w:rsid w:val="004A1752"/>
    <w:rsid w:val="004A1FED"/>
    <w:rsid w:val="004A348D"/>
    <w:rsid w:val="004A4346"/>
    <w:rsid w:val="004A5672"/>
    <w:rsid w:val="004A56CF"/>
    <w:rsid w:val="004A5796"/>
    <w:rsid w:val="004A6D94"/>
    <w:rsid w:val="004A7425"/>
    <w:rsid w:val="004B0519"/>
    <w:rsid w:val="004B06A5"/>
    <w:rsid w:val="004B0BF2"/>
    <w:rsid w:val="004B0E84"/>
    <w:rsid w:val="004B2553"/>
    <w:rsid w:val="004B2A5D"/>
    <w:rsid w:val="004B360A"/>
    <w:rsid w:val="004B4288"/>
    <w:rsid w:val="004B5A87"/>
    <w:rsid w:val="004B756D"/>
    <w:rsid w:val="004C023E"/>
    <w:rsid w:val="004C030A"/>
    <w:rsid w:val="004C1019"/>
    <w:rsid w:val="004C2901"/>
    <w:rsid w:val="004C2FAF"/>
    <w:rsid w:val="004C5535"/>
    <w:rsid w:val="004C698D"/>
    <w:rsid w:val="004C6EEF"/>
    <w:rsid w:val="004C6F05"/>
    <w:rsid w:val="004D00A5"/>
    <w:rsid w:val="004D10F1"/>
    <w:rsid w:val="004D1F9D"/>
    <w:rsid w:val="004D29D4"/>
    <w:rsid w:val="004D2A95"/>
    <w:rsid w:val="004D3BE9"/>
    <w:rsid w:val="004D3D74"/>
    <w:rsid w:val="004D430A"/>
    <w:rsid w:val="004D584E"/>
    <w:rsid w:val="004D68BE"/>
    <w:rsid w:val="004D796A"/>
    <w:rsid w:val="004E2495"/>
    <w:rsid w:val="004E345D"/>
    <w:rsid w:val="004E39AF"/>
    <w:rsid w:val="004E44CD"/>
    <w:rsid w:val="004E44F9"/>
    <w:rsid w:val="004E5442"/>
    <w:rsid w:val="004E5DC0"/>
    <w:rsid w:val="004E6957"/>
    <w:rsid w:val="004E6C3E"/>
    <w:rsid w:val="004E78A0"/>
    <w:rsid w:val="004E78FC"/>
    <w:rsid w:val="004F0115"/>
    <w:rsid w:val="004F018D"/>
    <w:rsid w:val="004F0458"/>
    <w:rsid w:val="004F18D9"/>
    <w:rsid w:val="004F1D35"/>
    <w:rsid w:val="004F2723"/>
    <w:rsid w:val="004F381F"/>
    <w:rsid w:val="004F48D3"/>
    <w:rsid w:val="004F5CAE"/>
    <w:rsid w:val="004F668C"/>
    <w:rsid w:val="004F76E3"/>
    <w:rsid w:val="004F7C7C"/>
    <w:rsid w:val="0050204B"/>
    <w:rsid w:val="00502486"/>
    <w:rsid w:val="00502B17"/>
    <w:rsid w:val="0050446E"/>
    <w:rsid w:val="00504958"/>
    <w:rsid w:val="005053A3"/>
    <w:rsid w:val="00505DBA"/>
    <w:rsid w:val="0050601E"/>
    <w:rsid w:val="00506799"/>
    <w:rsid w:val="005077BE"/>
    <w:rsid w:val="00510071"/>
    <w:rsid w:val="00510560"/>
    <w:rsid w:val="005126E0"/>
    <w:rsid w:val="00512AAD"/>
    <w:rsid w:val="00512CC7"/>
    <w:rsid w:val="00514FD9"/>
    <w:rsid w:val="00515556"/>
    <w:rsid w:val="00515797"/>
    <w:rsid w:val="0051678D"/>
    <w:rsid w:val="00516938"/>
    <w:rsid w:val="005170B7"/>
    <w:rsid w:val="005173F8"/>
    <w:rsid w:val="005203DC"/>
    <w:rsid w:val="00520423"/>
    <w:rsid w:val="00521C2D"/>
    <w:rsid w:val="00522617"/>
    <w:rsid w:val="00523874"/>
    <w:rsid w:val="00523D6F"/>
    <w:rsid w:val="00523DE5"/>
    <w:rsid w:val="0052628B"/>
    <w:rsid w:val="005268BB"/>
    <w:rsid w:val="005272E6"/>
    <w:rsid w:val="0053000D"/>
    <w:rsid w:val="005302EC"/>
    <w:rsid w:val="0053038B"/>
    <w:rsid w:val="00530C4F"/>
    <w:rsid w:val="00531D9D"/>
    <w:rsid w:val="00534713"/>
    <w:rsid w:val="005359AF"/>
    <w:rsid w:val="00537D68"/>
    <w:rsid w:val="00540D18"/>
    <w:rsid w:val="005411FB"/>
    <w:rsid w:val="00541E2C"/>
    <w:rsid w:val="00542FA5"/>
    <w:rsid w:val="005433FF"/>
    <w:rsid w:val="00543932"/>
    <w:rsid w:val="00544972"/>
    <w:rsid w:val="005464F0"/>
    <w:rsid w:val="005476F2"/>
    <w:rsid w:val="005508CE"/>
    <w:rsid w:val="00550C08"/>
    <w:rsid w:val="005519BD"/>
    <w:rsid w:val="00552449"/>
    <w:rsid w:val="00552461"/>
    <w:rsid w:val="00552D3F"/>
    <w:rsid w:val="005549CE"/>
    <w:rsid w:val="00555C13"/>
    <w:rsid w:val="00556223"/>
    <w:rsid w:val="005562AA"/>
    <w:rsid w:val="00556B34"/>
    <w:rsid w:val="00557592"/>
    <w:rsid w:val="0055775D"/>
    <w:rsid w:val="00560465"/>
    <w:rsid w:val="00560788"/>
    <w:rsid w:val="005607B9"/>
    <w:rsid w:val="00560F5E"/>
    <w:rsid w:val="005611FB"/>
    <w:rsid w:val="00561AC5"/>
    <w:rsid w:val="00563DD0"/>
    <w:rsid w:val="00564580"/>
    <w:rsid w:val="00564CBF"/>
    <w:rsid w:val="00564EBA"/>
    <w:rsid w:val="00566090"/>
    <w:rsid w:val="00566436"/>
    <w:rsid w:val="00566C01"/>
    <w:rsid w:val="00566D2C"/>
    <w:rsid w:val="0057042E"/>
    <w:rsid w:val="005714F5"/>
    <w:rsid w:val="00573CA2"/>
    <w:rsid w:val="0057411C"/>
    <w:rsid w:val="00574A2A"/>
    <w:rsid w:val="00574F0A"/>
    <w:rsid w:val="00575434"/>
    <w:rsid w:val="005755EC"/>
    <w:rsid w:val="00575954"/>
    <w:rsid w:val="00580E7E"/>
    <w:rsid w:val="00581A1C"/>
    <w:rsid w:val="00582367"/>
    <w:rsid w:val="00582D9B"/>
    <w:rsid w:val="00583BAB"/>
    <w:rsid w:val="00583F0A"/>
    <w:rsid w:val="00584AF7"/>
    <w:rsid w:val="00584CD9"/>
    <w:rsid w:val="0058521E"/>
    <w:rsid w:val="0058683E"/>
    <w:rsid w:val="00586C85"/>
    <w:rsid w:val="005873F1"/>
    <w:rsid w:val="00587606"/>
    <w:rsid w:val="00587675"/>
    <w:rsid w:val="005879EB"/>
    <w:rsid w:val="005904F4"/>
    <w:rsid w:val="00590F8F"/>
    <w:rsid w:val="00590FCB"/>
    <w:rsid w:val="00591D67"/>
    <w:rsid w:val="00592EF7"/>
    <w:rsid w:val="00593DE9"/>
    <w:rsid w:val="00594A61"/>
    <w:rsid w:val="00594A9E"/>
    <w:rsid w:val="00595269"/>
    <w:rsid w:val="005965D1"/>
    <w:rsid w:val="00596821"/>
    <w:rsid w:val="00596E7A"/>
    <w:rsid w:val="00597E1A"/>
    <w:rsid w:val="005A0568"/>
    <w:rsid w:val="005A1CCD"/>
    <w:rsid w:val="005A24F4"/>
    <w:rsid w:val="005A4163"/>
    <w:rsid w:val="005A54BB"/>
    <w:rsid w:val="005A62EA"/>
    <w:rsid w:val="005B0480"/>
    <w:rsid w:val="005B085C"/>
    <w:rsid w:val="005B0F0F"/>
    <w:rsid w:val="005B159F"/>
    <w:rsid w:val="005B2D73"/>
    <w:rsid w:val="005B2E31"/>
    <w:rsid w:val="005B4E49"/>
    <w:rsid w:val="005B4F35"/>
    <w:rsid w:val="005B51E2"/>
    <w:rsid w:val="005B6096"/>
    <w:rsid w:val="005B6F28"/>
    <w:rsid w:val="005B72E0"/>
    <w:rsid w:val="005B7725"/>
    <w:rsid w:val="005B785C"/>
    <w:rsid w:val="005B7C68"/>
    <w:rsid w:val="005C1E62"/>
    <w:rsid w:val="005C26CF"/>
    <w:rsid w:val="005C31CD"/>
    <w:rsid w:val="005C3A1B"/>
    <w:rsid w:val="005C3BA3"/>
    <w:rsid w:val="005C40AD"/>
    <w:rsid w:val="005C5084"/>
    <w:rsid w:val="005C62E3"/>
    <w:rsid w:val="005C6381"/>
    <w:rsid w:val="005C63AE"/>
    <w:rsid w:val="005C64E4"/>
    <w:rsid w:val="005C6F76"/>
    <w:rsid w:val="005D01FF"/>
    <w:rsid w:val="005D097A"/>
    <w:rsid w:val="005D0E26"/>
    <w:rsid w:val="005D1DC8"/>
    <w:rsid w:val="005D3662"/>
    <w:rsid w:val="005D3D1C"/>
    <w:rsid w:val="005D420F"/>
    <w:rsid w:val="005D5085"/>
    <w:rsid w:val="005D569E"/>
    <w:rsid w:val="005D5A8E"/>
    <w:rsid w:val="005D5EB0"/>
    <w:rsid w:val="005D72D8"/>
    <w:rsid w:val="005E0D3D"/>
    <w:rsid w:val="005E30F7"/>
    <w:rsid w:val="005E70C7"/>
    <w:rsid w:val="005E7B4F"/>
    <w:rsid w:val="005F0054"/>
    <w:rsid w:val="005F0F98"/>
    <w:rsid w:val="005F105E"/>
    <w:rsid w:val="005F564C"/>
    <w:rsid w:val="005F5A80"/>
    <w:rsid w:val="005F5F20"/>
    <w:rsid w:val="005F6971"/>
    <w:rsid w:val="00600797"/>
    <w:rsid w:val="0060131C"/>
    <w:rsid w:val="0060256F"/>
    <w:rsid w:val="00602AD3"/>
    <w:rsid w:val="00603962"/>
    <w:rsid w:val="006041DA"/>
    <w:rsid w:val="0060569C"/>
    <w:rsid w:val="00606173"/>
    <w:rsid w:val="00606924"/>
    <w:rsid w:val="006069F8"/>
    <w:rsid w:val="006074CB"/>
    <w:rsid w:val="0060757E"/>
    <w:rsid w:val="00610B4D"/>
    <w:rsid w:val="00610C48"/>
    <w:rsid w:val="00610DEE"/>
    <w:rsid w:val="00611F4A"/>
    <w:rsid w:val="00613D8C"/>
    <w:rsid w:val="00613ED3"/>
    <w:rsid w:val="006140FA"/>
    <w:rsid w:val="00614355"/>
    <w:rsid w:val="00614AB0"/>
    <w:rsid w:val="006152FA"/>
    <w:rsid w:val="00615498"/>
    <w:rsid w:val="0061721C"/>
    <w:rsid w:val="00617909"/>
    <w:rsid w:val="0062094C"/>
    <w:rsid w:val="00620EBE"/>
    <w:rsid w:val="00622068"/>
    <w:rsid w:val="006220A6"/>
    <w:rsid w:val="006228B8"/>
    <w:rsid w:val="006233A2"/>
    <w:rsid w:val="006238D5"/>
    <w:rsid w:val="0062684D"/>
    <w:rsid w:val="006272D0"/>
    <w:rsid w:val="00630C2B"/>
    <w:rsid w:val="00630F91"/>
    <w:rsid w:val="006314C9"/>
    <w:rsid w:val="00632CF2"/>
    <w:rsid w:val="00633289"/>
    <w:rsid w:val="0063380D"/>
    <w:rsid w:val="00634C5E"/>
    <w:rsid w:val="00635151"/>
    <w:rsid w:val="00635769"/>
    <w:rsid w:val="00635929"/>
    <w:rsid w:val="00635BB1"/>
    <w:rsid w:val="00635CAE"/>
    <w:rsid w:val="00635E3D"/>
    <w:rsid w:val="00636189"/>
    <w:rsid w:val="0063636D"/>
    <w:rsid w:val="00640795"/>
    <w:rsid w:val="006416B7"/>
    <w:rsid w:val="00641D52"/>
    <w:rsid w:val="006434BD"/>
    <w:rsid w:val="006438DE"/>
    <w:rsid w:val="00645A7D"/>
    <w:rsid w:val="006467EF"/>
    <w:rsid w:val="00646B59"/>
    <w:rsid w:val="006506ED"/>
    <w:rsid w:val="00650891"/>
    <w:rsid w:val="00650985"/>
    <w:rsid w:val="00650CD0"/>
    <w:rsid w:val="00653ACE"/>
    <w:rsid w:val="00654560"/>
    <w:rsid w:val="00660188"/>
    <w:rsid w:val="00660608"/>
    <w:rsid w:val="00661F6A"/>
    <w:rsid w:val="0066265A"/>
    <w:rsid w:val="00665E6F"/>
    <w:rsid w:val="00666767"/>
    <w:rsid w:val="00667C90"/>
    <w:rsid w:val="00670C23"/>
    <w:rsid w:val="00670D4E"/>
    <w:rsid w:val="006721A8"/>
    <w:rsid w:val="00672552"/>
    <w:rsid w:val="00672707"/>
    <w:rsid w:val="00673191"/>
    <w:rsid w:val="006774B4"/>
    <w:rsid w:val="00677A23"/>
    <w:rsid w:val="00680437"/>
    <w:rsid w:val="00680489"/>
    <w:rsid w:val="00680E80"/>
    <w:rsid w:val="00682547"/>
    <w:rsid w:val="006832FB"/>
    <w:rsid w:val="00683CE9"/>
    <w:rsid w:val="00685DC7"/>
    <w:rsid w:val="00686E77"/>
    <w:rsid w:val="00687B2C"/>
    <w:rsid w:val="006901A0"/>
    <w:rsid w:val="00690EA1"/>
    <w:rsid w:val="006920F6"/>
    <w:rsid w:val="006927AF"/>
    <w:rsid w:val="00692B48"/>
    <w:rsid w:val="00692C06"/>
    <w:rsid w:val="00692E7A"/>
    <w:rsid w:val="00695CEA"/>
    <w:rsid w:val="00696210"/>
    <w:rsid w:val="00696946"/>
    <w:rsid w:val="00697BEF"/>
    <w:rsid w:val="006A0451"/>
    <w:rsid w:val="006A079F"/>
    <w:rsid w:val="006A1932"/>
    <w:rsid w:val="006A2325"/>
    <w:rsid w:val="006A2A88"/>
    <w:rsid w:val="006A4549"/>
    <w:rsid w:val="006A4AA5"/>
    <w:rsid w:val="006A504D"/>
    <w:rsid w:val="006A602A"/>
    <w:rsid w:val="006B0B9A"/>
    <w:rsid w:val="006B0C28"/>
    <w:rsid w:val="006B1276"/>
    <w:rsid w:val="006B2966"/>
    <w:rsid w:val="006B2A23"/>
    <w:rsid w:val="006B2D98"/>
    <w:rsid w:val="006B2FFB"/>
    <w:rsid w:val="006B49EB"/>
    <w:rsid w:val="006B5DA1"/>
    <w:rsid w:val="006B60A5"/>
    <w:rsid w:val="006B7658"/>
    <w:rsid w:val="006B7E3A"/>
    <w:rsid w:val="006C0EF8"/>
    <w:rsid w:val="006C1195"/>
    <w:rsid w:val="006C270C"/>
    <w:rsid w:val="006C2949"/>
    <w:rsid w:val="006C5267"/>
    <w:rsid w:val="006C5ED9"/>
    <w:rsid w:val="006C6C25"/>
    <w:rsid w:val="006C6FFD"/>
    <w:rsid w:val="006C73F7"/>
    <w:rsid w:val="006D13C4"/>
    <w:rsid w:val="006D1658"/>
    <w:rsid w:val="006D27AC"/>
    <w:rsid w:val="006D452B"/>
    <w:rsid w:val="006D46EB"/>
    <w:rsid w:val="006D4E67"/>
    <w:rsid w:val="006D4E7E"/>
    <w:rsid w:val="006D58C6"/>
    <w:rsid w:val="006D5A3A"/>
    <w:rsid w:val="006D5AC6"/>
    <w:rsid w:val="006D60C4"/>
    <w:rsid w:val="006D6849"/>
    <w:rsid w:val="006D6996"/>
    <w:rsid w:val="006D70B2"/>
    <w:rsid w:val="006E06F1"/>
    <w:rsid w:val="006E337E"/>
    <w:rsid w:val="006E43E3"/>
    <w:rsid w:val="006E4846"/>
    <w:rsid w:val="006E6266"/>
    <w:rsid w:val="006E6C71"/>
    <w:rsid w:val="006E6E41"/>
    <w:rsid w:val="006F0389"/>
    <w:rsid w:val="006F1A8C"/>
    <w:rsid w:val="006F4C78"/>
    <w:rsid w:val="006F4D33"/>
    <w:rsid w:val="006F5431"/>
    <w:rsid w:val="006F59D7"/>
    <w:rsid w:val="006F634D"/>
    <w:rsid w:val="006F6AB4"/>
    <w:rsid w:val="00700AFF"/>
    <w:rsid w:val="00700B52"/>
    <w:rsid w:val="00701224"/>
    <w:rsid w:val="007029BD"/>
    <w:rsid w:val="00702B6B"/>
    <w:rsid w:val="0070406F"/>
    <w:rsid w:val="007041F9"/>
    <w:rsid w:val="00704E45"/>
    <w:rsid w:val="007062EC"/>
    <w:rsid w:val="007103CD"/>
    <w:rsid w:val="00710D82"/>
    <w:rsid w:val="00710D8F"/>
    <w:rsid w:val="00710F56"/>
    <w:rsid w:val="007145AF"/>
    <w:rsid w:val="0071560C"/>
    <w:rsid w:val="0071580C"/>
    <w:rsid w:val="00716866"/>
    <w:rsid w:val="00717D8C"/>
    <w:rsid w:val="007208AB"/>
    <w:rsid w:val="007216C5"/>
    <w:rsid w:val="00721B44"/>
    <w:rsid w:val="00723035"/>
    <w:rsid w:val="00723213"/>
    <w:rsid w:val="00724FAE"/>
    <w:rsid w:val="00725651"/>
    <w:rsid w:val="00727B63"/>
    <w:rsid w:val="00730BE9"/>
    <w:rsid w:val="0073375E"/>
    <w:rsid w:val="00734689"/>
    <w:rsid w:val="0073689C"/>
    <w:rsid w:val="00740869"/>
    <w:rsid w:val="00741B8E"/>
    <w:rsid w:val="0074320E"/>
    <w:rsid w:val="00743CE3"/>
    <w:rsid w:val="00744291"/>
    <w:rsid w:val="00744D73"/>
    <w:rsid w:val="00745894"/>
    <w:rsid w:val="00746654"/>
    <w:rsid w:val="0074721D"/>
    <w:rsid w:val="00747686"/>
    <w:rsid w:val="00747B2D"/>
    <w:rsid w:val="00747B36"/>
    <w:rsid w:val="007505CA"/>
    <w:rsid w:val="00750EA8"/>
    <w:rsid w:val="00750F24"/>
    <w:rsid w:val="007519E7"/>
    <w:rsid w:val="007522E8"/>
    <w:rsid w:val="007534F8"/>
    <w:rsid w:val="00755BEF"/>
    <w:rsid w:val="00757ACC"/>
    <w:rsid w:val="00760D83"/>
    <w:rsid w:val="0076321E"/>
    <w:rsid w:val="00764851"/>
    <w:rsid w:val="00766913"/>
    <w:rsid w:val="007676AE"/>
    <w:rsid w:val="0077104D"/>
    <w:rsid w:val="007718AF"/>
    <w:rsid w:val="0077285E"/>
    <w:rsid w:val="00772AE0"/>
    <w:rsid w:val="00774A60"/>
    <w:rsid w:val="007751EB"/>
    <w:rsid w:val="00775AC7"/>
    <w:rsid w:val="00775E15"/>
    <w:rsid w:val="007760C7"/>
    <w:rsid w:val="00777184"/>
    <w:rsid w:val="00777266"/>
    <w:rsid w:val="0077771C"/>
    <w:rsid w:val="0077790E"/>
    <w:rsid w:val="00777E1D"/>
    <w:rsid w:val="007815D0"/>
    <w:rsid w:val="00781BBD"/>
    <w:rsid w:val="00782A9C"/>
    <w:rsid w:val="00783AD7"/>
    <w:rsid w:val="00783C3B"/>
    <w:rsid w:val="00784841"/>
    <w:rsid w:val="0078696E"/>
    <w:rsid w:val="00786C24"/>
    <w:rsid w:val="0078703A"/>
    <w:rsid w:val="00787BDF"/>
    <w:rsid w:val="0079046F"/>
    <w:rsid w:val="00791507"/>
    <w:rsid w:val="007918D2"/>
    <w:rsid w:val="00791D77"/>
    <w:rsid w:val="00792135"/>
    <w:rsid w:val="00792A9D"/>
    <w:rsid w:val="00792B51"/>
    <w:rsid w:val="00793653"/>
    <w:rsid w:val="00794ED2"/>
    <w:rsid w:val="0079520D"/>
    <w:rsid w:val="00795475"/>
    <w:rsid w:val="0079558B"/>
    <w:rsid w:val="00796F46"/>
    <w:rsid w:val="007A06D9"/>
    <w:rsid w:val="007A1093"/>
    <w:rsid w:val="007A1DF8"/>
    <w:rsid w:val="007A2AEA"/>
    <w:rsid w:val="007A4DB1"/>
    <w:rsid w:val="007B09FF"/>
    <w:rsid w:val="007B1A8F"/>
    <w:rsid w:val="007B26E4"/>
    <w:rsid w:val="007B2EAA"/>
    <w:rsid w:val="007B438C"/>
    <w:rsid w:val="007B561E"/>
    <w:rsid w:val="007B588C"/>
    <w:rsid w:val="007B6F49"/>
    <w:rsid w:val="007B73EF"/>
    <w:rsid w:val="007C0435"/>
    <w:rsid w:val="007C048B"/>
    <w:rsid w:val="007C1486"/>
    <w:rsid w:val="007C2D3E"/>
    <w:rsid w:val="007C4D07"/>
    <w:rsid w:val="007C57AF"/>
    <w:rsid w:val="007C698A"/>
    <w:rsid w:val="007C6D96"/>
    <w:rsid w:val="007D1209"/>
    <w:rsid w:val="007D12E1"/>
    <w:rsid w:val="007D2345"/>
    <w:rsid w:val="007D330E"/>
    <w:rsid w:val="007D343B"/>
    <w:rsid w:val="007D3601"/>
    <w:rsid w:val="007D38B4"/>
    <w:rsid w:val="007D3CB3"/>
    <w:rsid w:val="007D4146"/>
    <w:rsid w:val="007D435B"/>
    <w:rsid w:val="007D49AC"/>
    <w:rsid w:val="007D4C99"/>
    <w:rsid w:val="007D5DE8"/>
    <w:rsid w:val="007D7297"/>
    <w:rsid w:val="007D7FB3"/>
    <w:rsid w:val="007E0494"/>
    <w:rsid w:val="007E04D2"/>
    <w:rsid w:val="007E0CB2"/>
    <w:rsid w:val="007E2B84"/>
    <w:rsid w:val="007E300D"/>
    <w:rsid w:val="007E31C4"/>
    <w:rsid w:val="007E3415"/>
    <w:rsid w:val="007E46BB"/>
    <w:rsid w:val="007E5374"/>
    <w:rsid w:val="007E5506"/>
    <w:rsid w:val="007E6A61"/>
    <w:rsid w:val="007F01A5"/>
    <w:rsid w:val="007F10D2"/>
    <w:rsid w:val="007F1555"/>
    <w:rsid w:val="007F1A91"/>
    <w:rsid w:val="007F1AE2"/>
    <w:rsid w:val="007F20D6"/>
    <w:rsid w:val="007F222F"/>
    <w:rsid w:val="007F2F50"/>
    <w:rsid w:val="007F4199"/>
    <w:rsid w:val="007F4442"/>
    <w:rsid w:val="007F4F6C"/>
    <w:rsid w:val="007F5096"/>
    <w:rsid w:val="007F5B33"/>
    <w:rsid w:val="007F7340"/>
    <w:rsid w:val="008019B1"/>
    <w:rsid w:val="0080272D"/>
    <w:rsid w:val="00803426"/>
    <w:rsid w:val="00803BD4"/>
    <w:rsid w:val="00804CB9"/>
    <w:rsid w:val="00805BE7"/>
    <w:rsid w:val="00805E7D"/>
    <w:rsid w:val="0080658F"/>
    <w:rsid w:val="00806A86"/>
    <w:rsid w:val="00806CE5"/>
    <w:rsid w:val="00806E3D"/>
    <w:rsid w:val="00807740"/>
    <w:rsid w:val="0080779E"/>
    <w:rsid w:val="0080781D"/>
    <w:rsid w:val="008113B6"/>
    <w:rsid w:val="00811B19"/>
    <w:rsid w:val="00812A3E"/>
    <w:rsid w:val="00813D60"/>
    <w:rsid w:val="008150B1"/>
    <w:rsid w:val="0081605E"/>
    <w:rsid w:val="008162CB"/>
    <w:rsid w:val="0081701B"/>
    <w:rsid w:val="0081703A"/>
    <w:rsid w:val="0081730C"/>
    <w:rsid w:val="0082007C"/>
    <w:rsid w:val="0082189D"/>
    <w:rsid w:val="00821B15"/>
    <w:rsid w:val="00821E0A"/>
    <w:rsid w:val="008236E3"/>
    <w:rsid w:val="00825490"/>
    <w:rsid w:val="008258EC"/>
    <w:rsid w:val="008271FD"/>
    <w:rsid w:val="008307A8"/>
    <w:rsid w:val="00831CC9"/>
    <w:rsid w:val="00832CC9"/>
    <w:rsid w:val="008332C9"/>
    <w:rsid w:val="00834727"/>
    <w:rsid w:val="008348C5"/>
    <w:rsid w:val="0083799B"/>
    <w:rsid w:val="00840433"/>
    <w:rsid w:val="00843812"/>
    <w:rsid w:val="00843B61"/>
    <w:rsid w:val="0084609B"/>
    <w:rsid w:val="00850152"/>
    <w:rsid w:val="00850426"/>
    <w:rsid w:val="008514BB"/>
    <w:rsid w:val="00851744"/>
    <w:rsid w:val="00852061"/>
    <w:rsid w:val="0085211A"/>
    <w:rsid w:val="008528BD"/>
    <w:rsid w:val="00855125"/>
    <w:rsid w:val="00855699"/>
    <w:rsid w:val="00855AF2"/>
    <w:rsid w:val="00856554"/>
    <w:rsid w:val="008568BC"/>
    <w:rsid w:val="00856B29"/>
    <w:rsid w:val="008622E9"/>
    <w:rsid w:val="00862D3E"/>
    <w:rsid w:val="00863D6A"/>
    <w:rsid w:val="00865256"/>
    <w:rsid w:val="00865CBB"/>
    <w:rsid w:val="008672C1"/>
    <w:rsid w:val="0086771B"/>
    <w:rsid w:val="00867978"/>
    <w:rsid w:val="008706D5"/>
    <w:rsid w:val="00870AA4"/>
    <w:rsid w:val="00870AD6"/>
    <w:rsid w:val="00870DA1"/>
    <w:rsid w:val="00871C44"/>
    <w:rsid w:val="008723CC"/>
    <w:rsid w:val="00873A9D"/>
    <w:rsid w:val="008749D5"/>
    <w:rsid w:val="00874B05"/>
    <w:rsid w:val="00874E6D"/>
    <w:rsid w:val="00875580"/>
    <w:rsid w:val="00876502"/>
    <w:rsid w:val="008803C9"/>
    <w:rsid w:val="008828FF"/>
    <w:rsid w:val="0088306B"/>
    <w:rsid w:val="008865E8"/>
    <w:rsid w:val="0088684D"/>
    <w:rsid w:val="00886EB0"/>
    <w:rsid w:val="008873FD"/>
    <w:rsid w:val="00887A03"/>
    <w:rsid w:val="00887FC1"/>
    <w:rsid w:val="00891738"/>
    <w:rsid w:val="008966E0"/>
    <w:rsid w:val="00897772"/>
    <w:rsid w:val="008A0B25"/>
    <w:rsid w:val="008A0E16"/>
    <w:rsid w:val="008A1453"/>
    <w:rsid w:val="008A347A"/>
    <w:rsid w:val="008A3996"/>
    <w:rsid w:val="008A6BFB"/>
    <w:rsid w:val="008B0A95"/>
    <w:rsid w:val="008B0B6F"/>
    <w:rsid w:val="008B20B5"/>
    <w:rsid w:val="008B3097"/>
    <w:rsid w:val="008B3F9A"/>
    <w:rsid w:val="008B424D"/>
    <w:rsid w:val="008B4946"/>
    <w:rsid w:val="008B58A4"/>
    <w:rsid w:val="008B7178"/>
    <w:rsid w:val="008B784B"/>
    <w:rsid w:val="008B7887"/>
    <w:rsid w:val="008C0AEC"/>
    <w:rsid w:val="008C17A2"/>
    <w:rsid w:val="008C19F5"/>
    <w:rsid w:val="008C1AAD"/>
    <w:rsid w:val="008C2431"/>
    <w:rsid w:val="008C3614"/>
    <w:rsid w:val="008C36A6"/>
    <w:rsid w:val="008C54AD"/>
    <w:rsid w:val="008C5DDF"/>
    <w:rsid w:val="008C6438"/>
    <w:rsid w:val="008C655A"/>
    <w:rsid w:val="008C656D"/>
    <w:rsid w:val="008C6C25"/>
    <w:rsid w:val="008C7B93"/>
    <w:rsid w:val="008D0130"/>
    <w:rsid w:val="008D04AC"/>
    <w:rsid w:val="008D1071"/>
    <w:rsid w:val="008D1C05"/>
    <w:rsid w:val="008D1DD3"/>
    <w:rsid w:val="008D26C3"/>
    <w:rsid w:val="008D2876"/>
    <w:rsid w:val="008D2886"/>
    <w:rsid w:val="008D28E4"/>
    <w:rsid w:val="008D2EF9"/>
    <w:rsid w:val="008D3566"/>
    <w:rsid w:val="008D3DD3"/>
    <w:rsid w:val="008D4FAF"/>
    <w:rsid w:val="008D6D97"/>
    <w:rsid w:val="008D6DEE"/>
    <w:rsid w:val="008D7204"/>
    <w:rsid w:val="008D73CE"/>
    <w:rsid w:val="008D740D"/>
    <w:rsid w:val="008E10C8"/>
    <w:rsid w:val="008E1F73"/>
    <w:rsid w:val="008E1F87"/>
    <w:rsid w:val="008E315B"/>
    <w:rsid w:val="008E3960"/>
    <w:rsid w:val="008E3F1A"/>
    <w:rsid w:val="008E53D4"/>
    <w:rsid w:val="008E58C3"/>
    <w:rsid w:val="008E5CBD"/>
    <w:rsid w:val="008E7BCF"/>
    <w:rsid w:val="008F00CC"/>
    <w:rsid w:val="008F103D"/>
    <w:rsid w:val="008F10C8"/>
    <w:rsid w:val="008F1C6D"/>
    <w:rsid w:val="008F23A5"/>
    <w:rsid w:val="008F31CA"/>
    <w:rsid w:val="008F3996"/>
    <w:rsid w:val="008F3C3E"/>
    <w:rsid w:val="008F4188"/>
    <w:rsid w:val="008F49BE"/>
    <w:rsid w:val="008F52C0"/>
    <w:rsid w:val="008F541A"/>
    <w:rsid w:val="008F5BF2"/>
    <w:rsid w:val="008F6198"/>
    <w:rsid w:val="008F65B7"/>
    <w:rsid w:val="008F6A5F"/>
    <w:rsid w:val="008F6F0A"/>
    <w:rsid w:val="008F7B6C"/>
    <w:rsid w:val="009001F4"/>
    <w:rsid w:val="009009C8"/>
    <w:rsid w:val="00900EAC"/>
    <w:rsid w:val="009023F6"/>
    <w:rsid w:val="00902824"/>
    <w:rsid w:val="00902CD6"/>
    <w:rsid w:val="00904225"/>
    <w:rsid w:val="0090443A"/>
    <w:rsid w:val="0090519C"/>
    <w:rsid w:val="00905D5A"/>
    <w:rsid w:val="00906611"/>
    <w:rsid w:val="00906732"/>
    <w:rsid w:val="009075F9"/>
    <w:rsid w:val="00910148"/>
    <w:rsid w:val="00910B4A"/>
    <w:rsid w:val="00911866"/>
    <w:rsid w:val="009123EC"/>
    <w:rsid w:val="009125E9"/>
    <w:rsid w:val="00913362"/>
    <w:rsid w:val="00915FAA"/>
    <w:rsid w:val="00915FD1"/>
    <w:rsid w:val="0091721D"/>
    <w:rsid w:val="00917731"/>
    <w:rsid w:val="009209E6"/>
    <w:rsid w:val="00921426"/>
    <w:rsid w:val="0092157C"/>
    <w:rsid w:val="00921764"/>
    <w:rsid w:val="009235B6"/>
    <w:rsid w:val="00924C41"/>
    <w:rsid w:val="009250CE"/>
    <w:rsid w:val="0092577B"/>
    <w:rsid w:val="00926235"/>
    <w:rsid w:val="00926F35"/>
    <w:rsid w:val="009274B5"/>
    <w:rsid w:val="009276CF"/>
    <w:rsid w:val="00931CB4"/>
    <w:rsid w:val="0093325F"/>
    <w:rsid w:val="009338F3"/>
    <w:rsid w:val="00933D2A"/>
    <w:rsid w:val="009375D3"/>
    <w:rsid w:val="00937D5F"/>
    <w:rsid w:val="00940414"/>
    <w:rsid w:val="0094383B"/>
    <w:rsid w:val="00943BB3"/>
    <w:rsid w:val="00943C74"/>
    <w:rsid w:val="00944000"/>
    <w:rsid w:val="00945C12"/>
    <w:rsid w:val="009461C9"/>
    <w:rsid w:val="00947582"/>
    <w:rsid w:val="00947CD0"/>
    <w:rsid w:val="00950307"/>
    <w:rsid w:val="009503DD"/>
    <w:rsid w:val="009507FD"/>
    <w:rsid w:val="00951B0A"/>
    <w:rsid w:val="0095206A"/>
    <w:rsid w:val="00952513"/>
    <w:rsid w:val="00952D39"/>
    <w:rsid w:val="00953265"/>
    <w:rsid w:val="00955CC9"/>
    <w:rsid w:val="009562A3"/>
    <w:rsid w:val="00956381"/>
    <w:rsid w:val="00956629"/>
    <w:rsid w:val="00957AC2"/>
    <w:rsid w:val="00957B8A"/>
    <w:rsid w:val="00957F2A"/>
    <w:rsid w:val="00957F57"/>
    <w:rsid w:val="00960CBC"/>
    <w:rsid w:val="00960D49"/>
    <w:rsid w:val="00961505"/>
    <w:rsid w:val="00961963"/>
    <w:rsid w:val="00961A6E"/>
    <w:rsid w:val="0096297F"/>
    <w:rsid w:val="00963593"/>
    <w:rsid w:val="00963E95"/>
    <w:rsid w:val="00963EAC"/>
    <w:rsid w:val="00964D39"/>
    <w:rsid w:val="00964FA2"/>
    <w:rsid w:val="00965D4D"/>
    <w:rsid w:val="00966C49"/>
    <w:rsid w:val="009707C7"/>
    <w:rsid w:val="009709B8"/>
    <w:rsid w:val="009716D0"/>
    <w:rsid w:val="00972739"/>
    <w:rsid w:val="0097318A"/>
    <w:rsid w:val="00973475"/>
    <w:rsid w:val="009738F5"/>
    <w:rsid w:val="009770CB"/>
    <w:rsid w:val="009803D2"/>
    <w:rsid w:val="009806B8"/>
    <w:rsid w:val="00980C33"/>
    <w:rsid w:val="0098114F"/>
    <w:rsid w:val="009824EC"/>
    <w:rsid w:val="0098385A"/>
    <w:rsid w:val="00983E5A"/>
    <w:rsid w:val="009844FE"/>
    <w:rsid w:val="00984931"/>
    <w:rsid w:val="00985D13"/>
    <w:rsid w:val="00986938"/>
    <w:rsid w:val="00990D34"/>
    <w:rsid w:val="0099208E"/>
    <w:rsid w:val="009930A0"/>
    <w:rsid w:val="009933F2"/>
    <w:rsid w:val="00994B0D"/>
    <w:rsid w:val="0099670C"/>
    <w:rsid w:val="00997552"/>
    <w:rsid w:val="009A0050"/>
    <w:rsid w:val="009A2D06"/>
    <w:rsid w:val="009A3690"/>
    <w:rsid w:val="009A37B9"/>
    <w:rsid w:val="009A37DD"/>
    <w:rsid w:val="009A5024"/>
    <w:rsid w:val="009A55D3"/>
    <w:rsid w:val="009A5E42"/>
    <w:rsid w:val="009B0221"/>
    <w:rsid w:val="009B03E3"/>
    <w:rsid w:val="009B2C1C"/>
    <w:rsid w:val="009B2CCB"/>
    <w:rsid w:val="009B45B5"/>
    <w:rsid w:val="009B501C"/>
    <w:rsid w:val="009B5732"/>
    <w:rsid w:val="009B66CF"/>
    <w:rsid w:val="009B698E"/>
    <w:rsid w:val="009B6D81"/>
    <w:rsid w:val="009B7807"/>
    <w:rsid w:val="009C003F"/>
    <w:rsid w:val="009C26EB"/>
    <w:rsid w:val="009C2B5C"/>
    <w:rsid w:val="009C3379"/>
    <w:rsid w:val="009C3452"/>
    <w:rsid w:val="009C3908"/>
    <w:rsid w:val="009C7468"/>
    <w:rsid w:val="009D049C"/>
    <w:rsid w:val="009D079E"/>
    <w:rsid w:val="009D30A0"/>
    <w:rsid w:val="009D3EC9"/>
    <w:rsid w:val="009D487D"/>
    <w:rsid w:val="009D5994"/>
    <w:rsid w:val="009D6C09"/>
    <w:rsid w:val="009E010C"/>
    <w:rsid w:val="009E0FBD"/>
    <w:rsid w:val="009E1334"/>
    <w:rsid w:val="009E13D0"/>
    <w:rsid w:val="009E25C2"/>
    <w:rsid w:val="009E4C36"/>
    <w:rsid w:val="009E5689"/>
    <w:rsid w:val="009E60A4"/>
    <w:rsid w:val="009E63E1"/>
    <w:rsid w:val="009E6661"/>
    <w:rsid w:val="009E7288"/>
    <w:rsid w:val="009F0171"/>
    <w:rsid w:val="009F0FA9"/>
    <w:rsid w:val="009F12DF"/>
    <w:rsid w:val="009F54EC"/>
    <w:rsid w:val="009F5A31"/>
    <w:rsid w:val="009F5DF4"/>
    <w:rsid w:val="009F60E1"/>
    <w:rsid w:val="009F73BB"/>
    <w:rsid w:val="009F74DA"/>
    <w:rsid w:val="009F775C"/>
    <w:rsid w:val="009F779A"/>
    <w:rsid w:val="00A0047C"/>
    <w:rsid w:val="00A00D4C"/>
    <w:rsid w:val="00A01106"/>
    <w:rsid w:val="00A01D62"/>
    <w:rsid w:val="00A01D9D"/>
    <w:rsid w:val="00A022AB"/>
    <w:rsid w:val="00A02596"/>
    <w:rsid w:val="00A02EC7"/>
    <w:rsid w:val="00A0307B"/>
    <w:rsid w:val="00A031BE"/>
    <w:rsid w:val="00A04647"/>
    <w:rsid w:val="00A07038"/>
    <w:rsid w:val="00A07230"/>
    <w:rsid w:val="00A1000E"/>
    <w:rsid w:val="00A1114C"/>
    <w:rsid w:val="00A11CD2"/>
    <w:rsid w:val="00A129B8"/>
    <w:rsid w:val="00A12DC9"/>
    <w:rsid w:val="00A1399A"/>
    <w:rsid w:val="00A156AA"/>
    <w:rsid w:val="00A15ADD"/>
    <w:rsid w:val="00A15D8C"/>
    <w:rsid w:val="00A169CD"/>
    <w:rsid w:val="00A17D07"/>
    <w:rsid w:val="00A203C3"/>
    <w:rsid w:val="00A204F2"/>
    <w:rsid w:val="00A20A21"/>
    <w:rsid w:val="00A20ECE"/>
    <w:rsid w:val="00A21A44"/>
    <w:rsid w:val="00A21D3F"/>
    <w:rsid w:val="00A21EDE"/>
    <w:rsid w:val="00A227AA"/>
    <w:rsid w:val="00A24065"/>
    <w:rsid w:val="00A306EF"/>
    <w:rsid w:val="00A307BB"/>
    <w:rsid w:val="00A322E0"/>
    <w:rsid w:val="00A348FE"/>
    <w:rsid w:val="00A3574E"/>
    <w:rsid w:val="00A35805"/>
    <w:rsid w:val="00A3681E"/>
    <w:rsid w:val="00A37C24"/>
    <w:rsid w:val="00A403FC"/>
    <w:rsid w:val="00A42F9E"/>
    <w:rsid w:val="00A434E3"/>
    <w:rsid w:val="00A43E03"/>
    <w:rsid w:val="00A44A5D"/>
    <w:rsid w:val="00A47AE7"/>
    <w:rsid w:val="00A5037F"/>
    <w:rsid w:val="00A50555"/>
    <w:rsid w:val="00A518B9"/>
    <w:rsid w:val="00A55676"/>
    <w:rsid w:val="00A5587A"/>
    <w:rsid w:val="00A55980"/>
    <w:rsid w:val="00A55B57"/>
    <w:rsid w:val="00A563B3"/>
    <w:rsid w:val="00A56883"/>
    <w:rsid w:val="00A56F2E"/>
    <w:rsid w:val="00A57224"/>
    <w:rsid w:val="00A57B74"/>
    <w:rsid w:val="00A60ACC"/>
    <w:rsid w:val="00A6127F"/>
    <w:rsid w:val="00A62437"/>
    <w:rsid w:val="00A62A8B"/>
    <w:rsid w:val="00A62DA6"/>
    <w:rsid w:val="00A64BBE"/>
    <w:rsid w:val="00A64CE7"/>
    <w:rsid w:val="00A6798C"/>
    <w:rsid w:val="00A67A13"/>
    <w:rsid w:val="00A70884"/>
    <w:rsid w:val="00A70AE9"/>
    <w:rsid w:val="00A70D90"/>
    <w:rsid w:val="00A7142E"/>
    <w:rsid w:val="00A71C14"/>
    <w:rsid w:val="00A73038"/>
    <w:rsid w:val="00A73A76"/>
    <w:rsid w:val="00A800ED"/>
    <w:rsid w:val="00A8028B"/>
    <w:rsid w:val="00A803BF"/>
    <w:rsid w:val="00A80D64"/>
    <w:rsid w:val="00A80DF3"/>
    <w:rsid w:val="00A81AD0"/>
    <w:rsid w:val="00A81D2F"/>
    <w:rsid w:val="00A81F23"/>
    <w:rsid w:val="00A81FF0"/>
    <w:rsid w:val="00A82C27"/>
    <w:rsid w:val="00A83E2F"/>
    <w:rsid w:val="00A83EFF"/>
    <w:rsid w:val="00A842AA"/>
    <w:rsid w:val="00A84437"/>
    <w:rsid w:val="00A845BC"/>
    <w:rsid w:val="00A858D0"/>
    <w:rsid w:val="00A8629C"/>
    <w:rsid w:val="00A86EC4"/>
    <w:rsid w:val="00A9049E"/>
    <w:rsid w:val="00A906ED"/>
    <w:rsid w:val="00A90B1D"/>
    <w:rsid w:val="00A928F1"/>
    <w:rsid w:val="00A93314"/>
    <w:rsid w:val="00A94C57"/>
    <w:rsid w:val="00A95B0A"/>
    <w:rsid w:val="00A978C7"/>
    <w:rsid w:val="00AA0468"/>
    <w:rsid w:val="00AA0675"/>
    <w:rsid w:val="00AA2111"/>
    <w:rsid w:val="00AA218E"/>
    <w:rsid w:val="00AA2463"/>
    <w:rsid w:val="00AA2709"/>
    <w:rsid w:val="00AA2748"/>
    <w:rsid w:val="00AA2FAA"/>
    <w:rsid w:val="00AA31C6"/>
    <w:rsid w:val="00AA3465"/>
    <w:rsid w:val="00AA468D"/>
    <w:rsid w:val="00AA4A6D"/>
    <w:rsid w:val="00AA52E2"/>
    <w:rsid w:val="00AA5DF2"/>
    <w:rsid w:val="00AA5F1E"/>
    <w:rsid w:val="00AB07B9"/>
    <w:rsid w:val="00AB0E0B"/>
    <w:rsid w:val="00AB11DB"/>
    <w:rsid w:val="00AB17D1"/>
    <w:rsid w:val="00AB1FAE"/>
    <w:rsid w:val="00AB2B5A"/>
    <w:rsid w:val="00AB2B5D"/>
    <w:rsid w:val="00AB4151"/>
    <w:rsid w:val="00AB4516"/>
    <w:rsid w:val="00AB4BB4"/>
    <w:rsid w:val="00AB6030"/>
    <w:rsid w:val="00AB7BA8"/>
    <w:rsid w:val="00AC1C56"/>
    <w:rsid w:val="00AC2B03"/>
    <w:rsid w:val="00AC31DD"/>
    <w:rsid w:val="00AC44D8"/>
    <w:rsid w:val="00AC4C45"/>
    <w:rsid w:val="00AC4C59"/>
    <w:rsid w:val="00AC5CFE"/>
    <w:rsid w:val="00AC5E00"/>
    <w:rsid w:val="00AC62E6"/>
    <w:rsid w:val="00AC6483"/>
    <w:rsid w:val="00AC70A9"/>
    <w:rsid w:val="00AC716A"/>
    <w:rsid w:val="00AD1613"/>
    <w:rsid w:val="00AD1D15"/>
    <w:rsid w:val="00AD204E"/>
    <w:rsid w:val="00AD2857"/>
    <w:rsid w:val="00AD2D9D"/>
    <w:rsid w:val="00AD314C"/>
    <w:rsid w:val="00AD3539"/>
    <w:rsid w:val="00AD3BB2"/>
    <w:rsid w:val="00AD3BC5"/>
    <w:rsid w:val="00AD4A3C"/>
    <w:rsid w:val="00AD4D4D"/>
    <w:rsid w:val="00AD6BB5"/>
    <w:rsid w:val="00AE069C"/>
    <w:rsid w:val="00AE0A0D"/>
    <w:rsid w:val="00AE0D45"/>
    <w:rsid w:val="00AE192F"/>
    <w:rsid w:val="00AE1BBA"/>
    <w:rsid w:val="00AE21F1"/>
    <w:rsid w:val="00AE2694"/>
    <w:rsid w:val="00AE2B36"/>
    <w:rsid w:val="00AE3314"/>
    <w:rsid w:val="00AE393F"/>
    <w:rsid w:val="00AE4366"/>
    <w:rsid w:val="00AE43D2"/>
    <w:rsid w:val="00AE4794"/>
    <w:rsid w:val="00AE5341"/>
    <w:rsid w:val="00AE672C"/>
    <w:rsid w:val="00AF0C36"/>
    <w:rsid w:val="00AF1772"/>
    <w:rsid w:val="00AF25D6"/>
    <w:rsid w:val="00AF2FE1"/>
    <w:rsid w:val="00AF31FA"/>
    <w:rsid w:val="00AF5173"/>
    <w:rsid w:val="00AF5434"/>
    <w:rsid w:val="00AF5817"/>
    <w:rsid w:val="00AF62FB"/>
    <w:rsid w:val="00AF7049"/>
    <w:rsid w:val="00AF7E26"/>
    <w:rsid w:val="00AF7E56"/>
    <w:rsid w:val="00B01369"/>
    <w:rsid w:val="00B03861"/>
    <w:rsid w:val="00B03DF1"/>
    <w:rsid w:val="00B04386"/>
    <w:rsid w:val="00B046CD"/>
    <w:rsid w:val="00B04822"/>
    <w:rsid w:val="00B04A1A"/>
    <w:rsid w:val="00B04E29"/>
    <w:rsid w:val="00B06103"/>
    <w:rsid w:val="00B06D58"/>
    <w:rsid w:val="00B113C0"/>
    <w:rsid w:val="00B12277"/>
    <w:rsid w:val="00B124D5"/>
    <w:rsid w:val="00B127DA"/>
    <w:rsid w:val="00B13AD9"/>
    <w:rsid w:val="00B14313"/>
    <w:rsid w:val="00B14776"/>
    <w:rsid w:val="00B16D44"/>
    <w:rsid w:val="00B21D59"/>
    <w:rsid w:val="00B21FF9"/>
    <w:rsid w:val="00B22093"/>
    <w:rsid w:val="00B23F19"/>
    <w:rsid w:val="00B25C8D"/>
    <w:rsid w:val="00B26EC1"/>
    <w:rsid w:val="00B2706F"/>
    <w:rsid w:val="00B27311"/>
    <w:rsid w:val="00B279FA"/>
    <w:rsid w:val="00B27E62"/>
    <w:rsid w:val="00B30267"/>
    <w:rsid w:val="00B305D6"/>
    <w:rsid w:val="00B307B4"/>
    <w:rsid w:val="00B32CE8"/>
    <w:rsid w:val="00B333E8"/>
    <w:rsid w:val="00B3390A"/>
    <w:rsid w:val="00B33C29"/>
    <w:rsid w:val="00B344AC"/>
    <w:rsid w:val="00B345E4"/>
    <w:rsid w:val="00B350CA"/>
    <w:rsid w:val="00B35681"/>
    <w:rsid w:val="00B36066"/>
    <w:rsid w:val="00B366D2"/>
    <w:rsid w:val="00B40905"/>
    <w:rsid w:val="00B40F0E"/>
    <w:rsid w:val="00B411F3"/>
    <w:rsid w:val="00B4350C"/>
    <w:rsid w:val="00B43F6D"/>
    <w:rsid w:val="00B44FFD"/>
    <w:rsid w:val="00B4529F"/>
    <w:rsid w:val="00B45B49"/>
    <w:rsid w:val="00B46688"/>
    <w:rsid w:val="00B46C1C"/>
    <w:rsid w:val="00B50F2A"/>
    <w:rsid w:val="00B510DE"/>
    <w:rsid w:val="00B51258"/>
    <w:rsid w:val="00B512A1"/>
    <w:rsid w:val="00B513F0"/>
    <w:rsid w:val="00B533A5"/>
    <w:rsid w:val="00B534AD"/>
    <w:rsid w:val="00B53689"/>
    <w:rsid w:val="00B54220"/>
    <w:rsid w:val="00B568A4"/>
    <w:rsid w:val="00B56A7C"/>
    <w:rsid w:val="00B604D5"/>
    <w:rsid w:val="00B606FF"/>
    <w:rsid w:val="00B61255"/>
    <w:rsid w:val="00B6248F"/>
    <w:rsid w:val="00B62951"/>
    <w:rsid w:val="00B64B69"/>
    <w:rsid w:val="00B66DE0"/>
    <w:rsid w:val="00B70D37"/>
    <w:rsid w:val="00B71CEF"/>
    <w:rsid w:val="00B72622"/>
    <w:rsid w:val="00B727B7"/>
    <w:rsid w:val="00B72C46"/>
    <w:rsid w:val="00B72DAA"/>
    <w:rsid w:val="00B762BB"/>
    <w:rsid w:val="00B7660C"/>
    <w:rsid w:val="00B76924"/>
    <w:rsid w:val="00B77775"/>
    <w:rsid w:val="00B824A1"/>
    <w:rsid w:val="00B8463F"/>
    <w:rsid w:val="00B84B03"/>
    <w:rsid w:val="00B84B42"/>
    <w:rsid w:val="00B85832"/>
    <w:rsid w:val="00B858F5"/>
    <w:rsid w:val="00B85984"/>
    <w:rsid w:val="00B86293"/>
    <w:rsid w:val="00B86600"/>
    <w:rsid w:val="00B86D0A"/>
    <w:rsid w:val="00B87B94"/>
    <w:rsid w:val="00B92953"/>
    <w:rsid w:val="00B92E34"/>
    <w:rsid w:val="00B9577F"/>
    <w:rsid w:val="00B962E1"/>
    <w:rsid w:val="00B97DFA"/>
    <w:rsid w:val="00BA04F0"/>
    <w:rsid w:val="00BA1BB2"/>
    <w:rsid w:val="00BA2E7F"/>
    <w:rsid w:val="00BA53E5"/>
    <w:rsid w:val="00BA546D"/>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EE"/>
    <w:rsid w:val="00BC107C"/>
    <w:rsid w:val="00BC3979"/>
    <w:rsid w:val="00BC3A56"/>
    <w:rsid w:val="00BC4233"/>
    <w:rsid w:val="00BC437E"/>
    <w:rsid w:val="00BC71F5"/>
    <w:rsid w:val="00BC74D1"/>
    <w:rsid w:val="00BC796D"/>
    <w:rsid w:val="00BD27F2"/>
    <w:rsid w:val="00BD37F9"/>
    <w:rsid w:val="00BD3D33"/>
    <w:rsid w:val="00BD3F90"/>
    <w:rsid w:val="00BD65C9"/>
    <w:rsid w:val="00BD672E"/>
    <w:rsid w:val="00BD7321"/>
    <w:rsid w:val="00BD7B24"/>
    <w:rsid w:val="00BE0DEE"/>
    <w:rsid w:val="00BE1875"/>
    <w:rsid w:val="00BE3372"/>
    <w:rsid w:val="00BE3EF8"/>
    <w:rsid w:val="00BE5B4C"/>
    <w:rsid w:val="00BE5D74"/>
    <w:rsid w:val="00BE7F3C"/>
    <w:rsid w:val="00BE7FE1"/>
    <w:rsid w:val="00BF0390"/>
    <w:rsid w:val="00BF42B4"/>
    <w:rsid w:val="00BF4C0D"/>
    <w:rsid w:val="00BF64EF"/>
    <w:rsid w:val="00BF658D"/>
    <w:rsid w:val="00C00530"/>
    <w:rsid w:val="00C0168F"/>
    <w:rsid w:val="00C017F0"/>
    <w:rsid w:val="00C0254F"/>
    <w:rsid w:val="00C02B12"/>
    <w:rsid w:val="00C02CD9"/>
    <w:rsid w:val="00C059F7"/>
    <w:rsid w:val="00C05B2F"/>
    <w:rsid w:val="00C07605"/>
    <w:rsid w:val="00C07712"/>
    <w:rsid w:val="00C0798C"/>
    <w:rsid w:val="00C1205D"/>
    <w:rsid w:val="00C14909"/>
    <w:rsid w:val="00C16955"/>
    <w:rsid w:val="00C16EE3"/>
    <w:rsid w:val="00C1719C"/>
    <w:rsid w:val="00C2154B"/>
    <w:rsid w:val="00C2162B"/>
    <w:rsid w:val="00C22134"/>
    <w:rsid w:val="00C22A7F"/>
    <w:rsid w:val="00C2376C"/>
    <w:rsid w:val="00C23F5A"/>
    <w:rsid w:val="00C24331"/>
    <w:rsid w:val="00C24674"/>
    <w:rsid w:val="00C250DC"/>
    <w:rsid w:val="00C2521F"/>
    <w:rsid w:val="00C25322"/>
    <w:rsid w:val="00C25910"/>
    <w:rsid w:val="00C2634D"/>
    <w:rsid w:val="00C26517"/>
    <w:rsid w:val="00C265EA"/>
    <w:rsid w:val="00C265F4"/>
    <w:rsid w:val="00C26FA5"/>
    <w:rsid w:val="00C30235"/>
    <w:rsid w:val="00C31609"/>
    <w:rsid w:val="00C32E70"/>
    <w:rsid w:val="00C337FA"/>
    <w:rsid w:val="00C339D6"/>
    <w:rsid w:val="00C34B11"/>
    <w:rsid w:val="00C35C11"/>
    <w:rsid w:val="00C35F48"/>
    <w:rsid w:val="00C37751"/>
    <w:rsid w:val="00C414CC"/>
    <w:rsid w:val="00C41B24"/>
    <w:rsid w:val="00C43968"/>
    <w:rsid w:val="00C445D3"/>
    <w:rsid w:val="00C44892"/>
    <w:rsid w:val="00C448FB"/>
    <w:rsid w:val="00C4550B"/>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69D1"/>
    <w:rsid w:val="00C711E8"/>
    <w:rsid w:val="00C73433"/>
    <w:rsid w:val="00C735AB"/>
    <w:rsid w:val="00C7695E"/>
    <w:rsid w:val="00C7788B"/>
    <w:rsid w:val="00C77D1D"/>
    <w:rsid w:val="00C80B44"/>
    <w:rsid w:val="00C80B54"/>
    <w:rsid w:val="00C8278A"/>
    <w:rsid w:val="00C82A23"/>
    <w:rsid w:val="00C8333E"/>
    <w:rsid w:val="00C84262"/>
    <w:rsid w:val="00C84263"/>
    <w:rsid w:val="00C86CC1"/>
    <w:rsid w:val="00C87B81"/>
    <w:rsid w:val="00C933AC"/>
    <w:rsid w:val="00C9444D"/>
    <w:rsid w:val="00C94C1F"/>
    <w:rsid w:val="00C94E5D"/>
    <w:rsid w:val="00C94FEE"/>
    <w:rsid w:val="00C958B8"/>
    <w:rsid w:val="00C95D52"/>
    <w:rsid w:val="00C95DF5"/>
    <w:rsid w:val="00C9781F"/>
    <w:rsid w:val="00CA02DF"/>
    <w:rsid w:val="00CA1350"/>
    <w:rsid w:val="00CA2ECC"/>
    <w:rsid w:val="00CA3F9B"/>
    <w:rsid w:val="00CA3FB3"/>
    <w:rsid w:val="00CA437C"/>
    <w:rsid w:val="00CA4CCB"/>
    <w:rsid w:val="00CA6D56"/>
    <w:rsid w:val="00CB0843"/>
    <w:rsid w:val="00CB1B8C"/>
    <w:rsid w:val="00CB34F7"/>
    <w:rsid w:val="00CB3C9D"/>
    <w:rsid w:val="00CB4835"/>
    <w:rsid w:val="00CB5833"/>
    <w:rsid w:val="00CB59AE"/>
    <w:rsid w:val="00CB5FE0"/>
    <w:rsid w:val="00CB71A3"/>
    <w:rsid w:val="00CB7A9E"/>
    <w:rsid w:val="00CC0563"/>
    <w:rsid w:val="00CC10F1"/>
    <w:rsid w:val="00CC2537"/>
    <w:rsid w:val="00CC256C"/>
    <w:rsid w:val="00CC2599"/>
    <w:rsid w:val="00CC2CDB"/>
    <w:rsid w:val="00CC35D1"/>
    <w:rsid w:val="00CC3903"/>
    <w:rsid w:val="00CC3CB1"/>
    <w:rsid w:val="00CC3E88"/>
    <w:rsid w:val="00CC4739"/>
    <w:rsid w:val="00CC5C2D"/>
    <w:rsid w:val="00CC6A3E"/>
    <w:rsid w:val="00CC70C4"/>
    <w:rsid w:val="00CD11F6"/>
    <w:rsid w:val="00CD2CE9"/>
    <w:rsid w:val="00CD2FE4"/>
    <w:rsid w:val="00CD31B4"/>
    <w:rsid w:val="00CD37BD"/>
    <w:rsid w:val="00CE0F0B"/>
    <w:rsid w:val="00CE0FC6"/>
    <w:rsid w:val="00CE2744"/>
    <w:rsid w:val="00CE37CD"/>
    <w:rsid w:val="00CE3EB9"/>
    <w:rsid w:val="00CE4734"/>
    <w:rsid w:val="00CE4F2A"/>
    <w:rsid w:val="00CE5927"/>
    <w:rsid w:val="00CE5EFF"/>
    <w:rsid w:val="00CE5F6C"/>
    <w:rsid w:val="00CE6497"/>
    <w:rsid w:val="00CE6C50"/>
    <w:rsid w:val="00CF089F"/>
    <w:rsid w:val="00CF0AD9"/>
    <w:rsid w:val="00CF0D57"/>
    <w:rsid w:val="00CF142D"/>
    <w:rsid w:val="00CF18A4"/>
    <w:rsid w:val="00CF1A07"/>
    <w:rsid w:val="00CF1FD8"/>
    <w:rsid w:val="00CF2B0E"/>
    <w:rsid w:val="00CF3361"/>
    <w:rsid w:val="00CF5A96"/>
    <w:rsid w:val="00CF5B66"/>
    <w:rsid w:val="00CF6DD7"/>
    <w:rsid w:val="00CF7AFB"/>
    <w:rsid w:val="00CF7F7D"/>
    <w:rsid w:val="00D00329"/>
    <w:rsid w:val="00D004DA"/>
    <w:rsid w:val="00D00547"/>
    <w:rsid w:val="00D00EB0"/>
    <w:rsid w:val="00D00EBA"/>
    <w:rsid w:val="00D01F36"/>
    <w:rsid w:val="00D02436"/>
    <w:rsid w:val="00D03215"/>
    <w:rsid w:val="00D04817"/>
    <w:rsid w:val="00D04FBC"/>
    <w:rsid w:val="00D05103"/>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55E4"/>
    <w:rsid w:val="00D166A2"/>
    <w:rsid w:val="00D200CE"/>
    <w:rsid w:val="00D2153F"/>
    <w:rsid w:val="00D22FBF"/>
    <w:rsid w:val="00D2514A"/>
    <w:rsid w:val="00D257EF"/>
    <w:rsid w:val="00D25DAB"/>
    <w:rsid w:val="00D27867"/>
    <w:rsid w:val="00D305AA"/>
    <w:rsid w:val="00D30A89"/>
    <w:rsid w:val="00D30D3B"/>
    <w:rsid w:val="00D31986"/>
    <w:rsid w:val="00D322C9"/>
    <w:rsid w:val="00D328EA"/>
    <w:rsid w:val="00D32D86"/>
    <w:rsid w:val="00D33B38"/>
    <w:rsid w:val="00D33BD4"/>
    <w:rsid w:val="00D33D0C"/>
    <w:rsid w:val="00D343A7"/>
    <w:rsid w:val="00D3640B"/>
    <w:rsid w:val="00D36B16"/>
    <w:rsid w:val="00D36D33"/>
    <w:rsid w:val="00D37354"/>
    <w:rsid w:val="00D4021E"/>
    <w:rsid w:val="00D40608"/>
    <w:rsid w:val="00D40B6C"/>
    <w:rsid w:val="00D427A7"/>
    <w:rsid w:val="00D448E1"/>
    <w:rsid w:val="00D44AA0"/>
    <w:rsid w:val="00D4538C"/>
    <w:rsid w:val="00D45C36"/>
    <w:rsid w:val="00D46D4C"/>
    <w:rsid w:val="00D4753F"/>
    <w:rsid w:val="00D477A5"/>
    <w:rsid w:val="00D50229"/>
    <w:rsid w:val="00D50BCB"/>
    <w:rsid w:val="00D51A1D"/>
    <w:rsid w:val="00D51EF5"/>
    <w:rsid w:val="00D52076"/>
    <w:rsid w:val="00D523A1"/>
    <w:rsid w:val="00D5269B"/>
    <w:rsid w:val="00D52AC2"/>
    <w:rsid w:val="00D53DC9"/>
    <w:rsid w:val="00D548CC"/>
    <w:rsid w:val="00D54B12"/>
    <w:rsid w:val="00D55198"/>
    <w:rsid w:val="00D5553C"/>
    <w:rsid w:val="00D55546"/>
    <w:rsid w:val="00D56A1A"/>
    <w:rsid w:val="00D607B0"/>
    <w:rsid w:val="00D620C3"/>
    <w:rsid w:val="00D629C4"/>
    <w:rsid w:val="00D62C6D"/>
    <w:rsid w:val="00D630C1"/>
    <w:rsid w:val="00D630CD"/>
    <w:rsid w:val="00D637EC"/>
    <w:rsid w:val="00D63887"/>
    <w:rsid w:val="00D63CBB"/>
    <w:rsid w:val="00D64148"/>
    <w:rsid w:val="00D644A9"/>
    <w:rsid w:val="00D65680"/>
    <w:rsid w:val="00D656F9"/>
    <w:rsid w:val="00D65C87"/>
    <w:rsid w:val="00D666CB"/>
    <w:rsid w:val="00D6751B"/>
    <w:rsid w:val="00D67D71"/>
    <w:rsid w:val="00D67EB5"/>
    <w:rsid w:val="00D7307F"/>
    <w:rsid w:val="00D73EE5"/>
    <w:rsid w:val="00D75428"/>
    <w:rsid w:val="00D76C82"/>
    <w:rsid w:val="00D77355"/>
    <w:rsid w:val="00D77B02"/>
    <w:rsid w:val="00D834AA"/>
    <w:rsid w:val="00D83649"/>
    <w:rsid w:val="00D83D3D"/>
    <w:rsid w:val="00D85974"/>
    <w:rsid w:val="00D86F38"/>
    <w:rsid w:val="00D87FC2"/>
    <w:rsid w:val="00D90EFA"/>
    <w:rsid w:val="00D923A8"/>
    <w:rsid w:val="00D92EE2"/>
    <w:rsid w:val="00D93D37"/>
    <w:rsid w:val="00D94525"/>
    <w:rsid w:val="00D95B98"/>
    <w:rsid w:val="00D95D83"/>
    <w:rsid w:val="00D96024"/>
    <w:rsid w:val="00D96AC8"/>
    <w:rsid w:val="00D97947"/>
    <w:rsid w:val="00D97E01"/>
    <w:rsid w:val="00D97EB7"/>
    <w:rsid w:val="00DA14E6"/>
    <w:rsid w:val="00DA2CB9"/>
    <w:rsid w:val="00DA30FA"/>
    <w:rsid w:val="00DA32C2"/>
    <w:rsid w:val="00DA37E8"/>
    <w:rsid w:val="00DA4072"/>
    <w:rsid w:val="00DA44F6"/>
    <w:rsid w:val="00DA46E6"/>
    <w:rsid w:val="00DA7BA1"/>
    <w:rsid w:val="00DB03B0"/>
    <w:rsid w:val="00DB0859"/>
    <w:rsid w:val="00DB15BE"/>
    <w:rsid w:val="00DB271B"/>
    <w:rsid w:val="00DB2D60"/>
    <w:rsid w:val="00DB3091"/>
    <w:rsid w:val="00DB4D6C"/>
    <w:rsid w:val="00DB5256"/>
    <w:rsid w:val="00DB58AC"/>
    <w:rsid w:val="00DB5978"/>
    <w:rsid w:val="00DB5E0D"/>
    <w:rsid w:val="00DB68D3"/>
    <w:rsid w:val="00DB6DD1"/>
    <w:rsid w:val="00DB6E53"/>
    <w:rsid w:val="00DB76BA"/>
    <w:rsid w:val="00DC07A1"/>
    <w:rsid w:val="00DC12A0"/>
    <w:rsid w:val="00DC1983"/>
    <w:rsid w:val="00DC1E45"/>
    <w:rsid w:val="00DC2859"/>
    <w:rsid w:val="00DC2A45"/>
    <w:rsid w:val="00DC3099"/>
    <w:rsid w:val="00DC30E3"/>
    <w:rsid w:val="00DC4734"/>
    <w:rsid w:val="00DC4ED3"/>
    <w:rsid w:val="00DC66CB"/>
    <w:rsid w:val="00DC6952"/>
    <w:rsid w:val="00DC7095"/>
    <w:rsid w:val="00DC70DA"/>
    <w:rsid w:val="00DC73C8"/>
    <w:rsid w:val="00DC74B4"/>
    <w:rsid w:val="00DC78EC"/>
    <w:rsid w:val="00DC79FF"/>
    <w:rsid w:val="00DC7C67"/>
    <w:rsid w:val="00DC7CD7"/>
    <w:rsid w:val="00DD0153"/>
    <w:rsid w:val="00DD1D7B"/>
    <w:rsid w:val="00DD40BD"/>
    <w:rsid w:val="00DD4A02"/>
    <w:rsid w:val="00DD60D0"/>
    <w:rsid w:val="00DE0E6C"/>
    <w:rsid w:val="00DE12DC"/>
    <w:rsid w:val="00DE1632"/>
    <w:rsid w:val="00DE3780"/>
    <w:rsid w:val="00DE4089"/>
    <w:rsid w:val="00DE4302"/>
    <w:rsid w:val="00DE54B6"/>
    <w:rsid w:val="00DE5983"/>
    <w:rsid w:val="00DF1569"/>
    <w:rsid w:val="00DF1EAF"/>
    <w:rsid w:val="00DF2E87"/>
    <w:rsid w:val="00DF454E"/>
    <w:rsid w:val="00DF6FB6"/>
    <w:rsid w:val="00DF7C82"/>
    <w:rsid w:val="00DF7DE1"/>
    <w:rsid w:val="00DF7FC2"/>
    <w:rsid w:val="00E006CF"/>
    <w:rsid w:val="00E00B7A"/>
    <w:rsid w:val="00E0113A"/>
    <w:rsid w:val="00E02A97"/>
    <w:rsid w:val="00E050CE"/>
    <w:rsid w:val="00E06C10"/>
    <w:rsid w:val="00E06D44"/>
    <w:rsid w:val="00E072EE"/>
    <w:rsid w:val="00E07573"/>
    <w:rsid w:val="00E07C9F"/>
    <w:rsid w:val="00E100D6"/>
    <w:rsid w:val="00E114D0"/>
    <w:rsid w:val="00E11585"/>
    <w:rsid w:val="00E12889"/>
    <w:rsid w:val="00E12B28"/>
    <w:rsid w:val="00E12FA8"/>
    <w:rsid w:val="00E13556"/>
    <w:rsid w:val="00E148F3"/>
    <w:rsid w:val="00E14D69"/>
    <w:rsid w:val="00E158C5"/>
    <w:rsid w:val="00E17169"/>
    <w:rsid w:val="00E1721C"/>
    <w:rsid w:val="00E17873"/>
    <w:rsid w:val="00E17BC6"/>
    <w:rsid w:val="00E208F5"/>
    <w:rsid w:val="00E20918"/>
    <w:rsid w:val="00E21000"/>
    <w:rsid w:val="00E2154C"/>
    <w:rsid w:val="00E25192"/>
    <w:rsid w:val="00E258C6"/>
    <w:rsid w:val="00E25C79"/>
    <w:rsid w:val="00E26CFB"/>
    <w:rsid w:val="00E2717B"/>
    <w:rsid w:val="00E30ED1"/>
    <w:rsid w:val="00E31219"/>
    <w:rsid w:val="00E31B11"/>
    <w:rsid w:val="00E3445D"/>
    <w:rsid w:val="00E34E59"/>
    <w:rsid w:val="00E354F9"/>
    <w:rsid w:val="00E35E6E"/>
    <w:rsid w:val="00E37024"/>
    <w:rsid w:val="00E37CBF"/>
    <w:rsid w:val="00E41186"/>
    <w:rsid w:val="00E42020"/>
    <w:rsid w:val="00E42315"/>
    <w:rsid w:val="00E43ECF"/>
    <w:rsid w:val="00E4459F"/>
    <w:rsid w:val="00E456E4"/>
    <w:rsid w:val="00E46CA8"/>
    <w:rsid w:val="00E47D4E"/>
    <w:rsid w:val="00E50C3E"/>
    <w:rsid w:val="00E50D22"/>
    <w:rsid w:val="00E513AD"/>
    <w:rsid w:val="00E51C42"/>
    <w:rsid w:val="00E52500"/>
    <w:rsid w:val="00E542CC"/>
    <w:rsid w:val="00E54B13"/>
    <w:rsid w:val="00E5542A"/>
    <w:rsid w:val="00E55C85"/>
    <w:rsid w:val="00E56F0D"/>
    <w:rsid w:val="00E57266"/>
    <w:rsid w:val="00E575F5"/>
    <w:rsid w:val="00E57715"/>
    <w:rsid w:val="00E61615"/>
    <w:rsid w:val="00E629FF"/>
    <w:rsid w:val="00E62EF1"/>
    <w:rsid w:val="00E6518F"/>
    <w:rsid w:val="00E6650C"/>
    <w:rsid w:val="00E678C0"/>
    <w:rsid w:val="00E71295"/>
    <w:rsid w:val="00E71F58"/>
    <w:rsid w:val="00E72B05"/>
    <w:rsid w:val="00E74FAB"/>
    <w:rsid w:val="00E75293"/>
    <w:rsid w:val="00E752A1"/>
    <w:rsid w:val="00E75541"/>
    <w:rsid w:val="00E7790B"/>
    <w:rsid w:val="00E802AE"/>
    <w:rsid w:val="00E83E20"/>
    <w:rsid w:val="00E870A3"/>
    <w:rsid w:val="00E872EF"/>
    <w:rsid w:val="00E87EE9"/>
    <w:rsid w:val="00E911FC"/>
    <w:rsid w:val="00E91881"/>
    <w:rsid w:val="00E91F3F"/>
    <w:rsid w:val="00E93BD0"/>
    <w:rsid w:val="00E94C7C"/>
    <w:rsid w:val="00E96549"/>
    <w:rsid w:val="00E971F6"/>
    <w:rsid w:val="00E97347"/>
    <w:rsid w:val="00E97591"/>
    <w:rsid w:val="00E97927"/>
    <w:rsid w:val="00E979B2"/>
    <w:rsid w:val="00EA0C6F"/>
    <w:rsid w:val="00EA100A"/>
    <w:rsid w:val="00EA24D0"/>
    <w:rsid w:val="00EA36B1"/>
    <w:rsid w:val="00EA3711"/>
    <w:rsid w:val="00EA421E"/>
    <w:rsid w:val="00EA51C0"/>
    <w:rsid w:val="00EA5E85"/>
    <w:rsid w:val="00EA6B1D"/>
    <w:rsid w:val="00EA7894"/>
    <w:rsid w:val="00EB0218"/>
    <w:rsid w:val="00EB32B5"/>
    <w:rsid w:val="00EB3EA4"/>
    <w:rsid w:val="00EB4422"/>
    <w:rsid w:val="00EB676F"/>
    <w:rsid w:val="00EB70C9"/>
    <w:rsid w:val="00EB7496"/>
    <w:rsid w:val="00EB7570"/>
    <w:rsid w:val="00EB76C4"/>
    <w:rsid w:val="00EC030F"/>
    <w:rsid w:val="00EC1F75"/>
    <w:rsid w:val="00EC23AE"/>
    <w:rsid w:val="00EC3DAF"/>
    <w:rsid w:val="00EC4053"/>
    <w:rsid w:val="00EC4744"/>
    <w:rsid w:val="00EC5327"/>
    <w:rsid w:val="00EC5D72"/>
    <w:rsid w:val="00EC64D6"/>
    <w:rsid w:val="00EC6753"/>
    <w:rsid w:val="00EC6B40"/>
    <w:rsid w:val="00ED078C"/>
    <w:rsid w:val="00ED245C"/>
    <w:rsid w:val="00ED3436"/>
    <w:rsid w:val="00ED42BA"/>
    <w:rsid w:val="00ED5030"/>
    <w:rsid w:val="00ED591C"/>
    <w:rsid w:val="00ED610F"/>
    <w:rsid w:val="00ED6EC7"/>
    <w:rsid w:val="00EE0866"/>
    <w:rsid w:val="00EE0BC6"/>
    <w:rsid w:val="00EE1197"/>
    <w:rsid w:val="00EE1D35"/>
    <w:rsid w:val="00EE1F8F"/>
    <w:rsid w:val="00EE3991"/>
    <w:rsid w:val="00EE722F"/>
    <w:rsid w:val="00EF0F34"/>
    <w:rsid w:val="00EF1719"/>
    <w:rsid w:val="00EF19C9"/>
    <w:rsid w:val="00EF2508"/>
    <w:rsid w:val="00EF30F7"/>
    <w:rsid w:val="00EF468D"/>
    <w:rsid w:val="00EF4ABB"/>
    <w:rsid w:val="00EF5DEA"/>
    <w:rsid w:val="00EF669C"/>
    <w:rsid w:val="00EF6D0B"/>
    <w:rsid w:val="00EF6E75"/>
    <w:rsid w:val="00EF7027"/>
    <w:rsid w:val="00EF793A"/>
    <w:rsid w:val="00EF7AA0"/>
    <w:rsid w:val="00F00ABA"/>
    <w:rsid w:val="00F00E37"/>
    <w:rsid w:val="00F0129C"/>
    <w:rsid w:val="00F012C6"/>
    <w:rsid w:val="00F01451"/>
    <w:rsid w:val="00F017A3"/>
    <w:rsid w:val="00F02B9F"/>
    <w:rsid w:val="00F036A2"/>
    <w:rsid w:val="00F06548"/>
    <w:rsid w:val="00F07464"/>
    <w:rsid w:val="00F104E9"/>
    <w:rsid w:val="00F1149D"/>
    <w:rsid w:val="00F11BB2"/>
    <w:rsid w:val="00F124A9"/>
    <w:rsid w:val="00F140CB"/>
    <w:rsid w:val="00F14EE4"/>
    <w:rsid w:val="00F15583"/>
    <w:rsid w:val="00F1594B"/>
    <w:rsid w:val="00F15B70"/>
    <w:rsid w:val="00F168D0"/>
    <w:rsid w:val="00F16E8C"/>
    <w:rsid w:val="00F1734B"/>
    <w:rsid w:val="00F20715"/>
    <w:rsid w:val="00F2111D"/>
    <w:rsid w:val="00F21E6B"/>
    <w:rsid w:val="00F22636"/>
    <w:rsid w:val="00F22BD3"/>
    <w:rsid w:val="00F22F43"/>
    <w:rsid w:val="00F232BC"/>
    <w:rsid w:val="00F232E6"/>
    <w:rsid w:val="00F23C97"/>
    <w:rsid w:val="00F25CE4"/>
    <w:rsid w:val="00F2605C"/>
    <w:rsid w:val="00F26283"/>
    <w:rsid w:val="00F311D5"/>
    <w:rsid w:val="00F3187C"/>
    <w:rsid w:val="00F323B6"/>
    <w:rsid w:val="00F32521"/>
    <w:rsid w:val="00F3327B"/>
    <w:rsid w:val="00F33A55"/>
    <w:rsid w:val="00F35889"/>
    <w:rsid w:val="00F36083"/>
    <w:rsid w:val="00F36584"/>
    <w:rsid w:val="00F3747D"/>
    <w:rsid w:val="00F37B01"/>
    <w:rsid w:val="00F403D1"/>
    <w:rsid w:val="00F425EC"/>
    <w:rsid w:val="00F426D4"/>
    <w:rsid w:val="00F44243"/>
    <w:rsid w:val="00F4444E"/>
    <w:rsid w:val="00F45997"/>
    <w:rsid w:val="00F46577"/>
    <w:rsid w:val="00F46CA2"/>
    <w:rsid w:val="00F47399"/>
    <w:rsid w:val="00F47A46"/>
    <w:rsid w:val="00F50B58"/>
    <w:rsid w:val="00F50D58"/>
    <w:rsid w:val="00F52A50"/>
    <w:rsid w:val="00F540AA"/>
    <w:rsid w:val="00F54B1D"/>
    <w:rsid w:val="00F54E90"/>
    <w:rsid w:val="00F5528E"/>
    <w:rsid w:val="00F55F4D"/>
    <w:rsid w:val="00F56491"/>
    <w:rsid w:val="00F56E69"/>
    <w:rsid w:val="00F622DB"/>
    <w:rsid w:val="00F62FCE"/>
    <w:rsid w:val="00F66534"/>
    <w:rsid w:val="00F71A54"/>
    <w:rsid w:val="00F729A1"/>
    <w:rsid w:val="00F72E9D"/>
    <w:rsid w:val="00F7335E"/>
    <w:rsid w:val="00F73519"/>
    <w:rsid w:val="00F73532"/>
    <w:rsid w:val="00F73565"/>
    <w:rsid w:val="00F74338"/>
    <w:rsid w:val="00F74929"/>
    <w:rsid w:val="00F75FB0"/>
    <w:rsid w:val="00F76B29"/>
    <w:rsid w:val="00F76F5D"/>
    <w:rsid w:val="00F77590"/>
    <w:rsid w:val="00F7780C"/>
    <w:rsid w:val="00F77A47"/>
    <w:rsid w:val="00F77BE8"/>
    <w:rsid w:val="00F80457"/>
    <w:rsid w:val="00F83EF2"/>
    <w:rsid w:val="00F843ED"/>
    <w:rsid w:val="00F848BC"/>
    <w:rsid w:val="00F8673F"/>
    <w:rsid w:val="00F87A53"/>
    <w:rsid w:val="00F90154"/>
    <w:rsid w:val="00F90561"/>
    <w:rsid w:val="00F937B8"/>
    <w:rsid w:val="00F937F0"/>
    <w:rsid w:val="00F93E65"/>
    <w:rsid w:val="00F94EE3"/>
    <w:rsid w:val="00F95A95"/>
    <w:rsid w:val="00F962DE"/>
    <w:rsid w:val="00F96428"/>
    <w:rsid w:val="00F97317"/>
    <w:rsid w:val="00F9794E"/>
    <w:rsid w:val="00F97C36"/>
    <w:rsid w:val="00FA0275"/>
    <w:rsid w:val="00FA03CD"/>
    <w:rsid w:val="00FA32B8"/>
    <w:rsid w:val="00FA4474"/>
    <w:rsid w:val="00FA46ED"/>
    <w:rsid w:val="00FA48E8"/>
    <w:rsid w:val="00FA5427"/>
    <w:rsid w:val="00FA5821"/>
    <w:rsid w:val="00FA6232"/>
    <w:rsid w:val="00FA6479"/>
    <w:rsid w:val="00FB0781"/>
    <w:rsid w:val="00FB177C"/>
    <w:rsid w:val="00FB2242"/>
    <w:rsid w:val="00FB2D6F"/>
    <w:rsid w:val="00FB455B"/>
    <w:rsid w:val="00FB4A86"/>
    <w:rsid w:val="00FB7578"/>
    <w:rsid w:val="00FC0630"/>
    <w:rsid w:val="00FC0640"/>
    <w:rsid w:val="00FC0D1D"/>
    <w:rsid w:val="00FC1D03"/>
    <w:rsid w:val="00FC25F2"/>
    <w:rsid w:val="00FC2971"/>
    <w:rsid w:val="00FC35D8"/>
    <w:rsid w:val="00FC3AFD"/>
    <w:rsid w:val="00FC6C85"/>
    <w:rsid w:val="00FD0DC1"/>
    <w:rsid w:val="00FD0FE7"/>
    <w:rsid w:val="00FD19A7"/>
    <w:rsid w:val="00FD22A2"/>
    <w:rsid w:val="00FD2C7B"/>
    <w:rsid w:val="00FD4025"/>
    <w:rsid w:val="00FD436F"/>
    <w:rsid w:val="00FD47DB"/>
    <w:rsid w:val="00FD746B"/>
    <w:rsid w:val="00FE0096"/>
    <w:rsid w:val="00FE1644"/>
    <w:rsid w:val="00FE1DF2"/>
    <w:rsid w:val="00FE24EB"/>
    <w:rsid w:val="00FE2613"/>
    <w:rsid w:val="00FE2A3B"/>
    <w:rsid w:val="00FE2F4C"/>
    <w:rsid w:val="00FE33AC"/>
    <w:rsid w:val="00FE3498"/>
    <w:rsid w:val="00FE4601"/>
    <w:rsid w:val="00FE472F"/>
    <w:rsid w:val="00FE48DF"/>
    <w:rsid w:val="00FE49E9"/>
    <w:rsid w:val="00FE4E0B"/>
    <w:rsid w:val="00FE527C"/>
    <w:rsid w:val="00FE56B7"/>
    <w:rsid w:val="00FE651F"/>
    <w:rsid w:val="00FE660C"/>
    <w:rsid w:val="00FE76B9"/>
    <w:rsid w:val="00FF089C"/>
    <w:rsid w:val="00FF16FF"/>
    <w:rsid w:val="00FF1F7E"/>
    <w:rsid w:val="00FF2A4A"/>
    <w:rsid w:val="00FF3186"/>
    <w:rsid w:val="00FF3309"/>
    <w:rsid w:val="00FF5767"/>
    <w:rsid w:val="00FF62AC"/>
    <w:rsid w:val="00FF6C18"/>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201\Desktop\Month-wise%20Bulletin\June%202017\Graphs%20%20Data%20for%20Comm%20Review%20-June%20%20%202017.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July%202017%20Charts..%20-%20-%20v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apital%20Review%20Charts%20and%20Tables\Capital%20Market%20Review%20July%202017%20Charts..%20-%20-%20v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834\Documents\MyJabberFiles\2232@sebi.gov.in\Capital%20Market%20Review%20July%202017%20Charts..%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7.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D:\bulletin%20work\Bloomberg%20data\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19.xml.rels><?xml version="1.0" encoding="UTF-8" standalone="yes"?>
<Relationships xmlns="http://schemas.openxmlformats.org/package/2006/relationships"><Relationship Id="rId1" Type="http://schemas.openxmlformats.org/officeDocument/2006/relationships/oleObject" Target="file:///D:\bulletin%20work\201707\MSCI%20WORLD%20INDEX%20JUNE%20-%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bulletin%20work\Bloomberg%20data\GLOBAL%20REVIEW%20-%20%202016%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2254\Desktop\Yogesh\Regular%20Work\SEBI%20Bulletin\June-2017\International%20statistics-%2020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lletin%20work\201706\International%20statistics%20Apr%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lletin%20work\Bloomberg%20data\GLOBAL%20REVIEW%20-%20%202016%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uly%202017%20Charts..%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295\AppData\Local\Microsoft\Windows\Temporary%20Internet%20Files\Content.Outlook\CREBWA8V\Graphs%20%20Data%20for%20Comm%20Review%20-June%20%20%202017.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June%202017\Graphs%20%20Data%20for%20Comm%20Review%20-June%20%2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14578930591853"/>
          <c:y val="3.8832901990128302E-2"/>
          <c:w val="0.68891478109844617"/>
          <c:h val="0.69402755562267893"/>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'F1'!$A$395:$A$641</c:f>
              <c:numCache>
                <c:formatCode>[$-409]d\-mmm\-yy;@</c:formatCode>
                <c:ptCount val="247"/>
                <c:pt idx="0">
                  <c:v>42552</c:v>
                </c:pt>
                <c:pt idx="1">
                  <c:v>42555</c:v>
                </c:pt>
                <c:pt idx="2">
                  <c:v>42556</c:v>
                </c:pt>
                <c:pt idx="3">
                  <c:v>42558</c:v>
                </c:pt>
                <c:pt idx="4">
                  <c:v>42559</c:v>
                </c:pt>
                <c:pt idx="5">
                  <c:v>42562</c:v>
                </c:pt>
                <c:pt idx="6">
                  <c:v>42563</c:v>
                </c:pt>
                <c:pt idx="7">
                  <c:v>42564</c:v>
                </c:pt>
                <c:pt idx="8">
                  <c:v>42565</c:v>
                </c:pt>
                <c:pt idx="9">
                  <c:v>42566</c:v>
                </c:pt>
                <c:pt idx="10">
                  <c:v>42569</c:v>
                </c:pt>
                <c:pt idx="11">
                  <c:v>42570</c:v>
                </c:pt>
                <c:pt idx="12">
                  <c:v>42571</c:v>
                </c:pt>
                <c:pt idx="13">
                  <c:v>42572</c:v>
                </c:pt>
                <c:pt idx="14">
                  <c:v>42573</c:v>
                </c:pt>
                <c:pt idx="15">
                  <c:v>42576</c:v>
                </c:pt>
                <c:pt idx="16">
                  <c:v>42577</c:v>
                </c:pt>
                <c:pt idx="17">
                  <c:v>42578</c:v>
                </c:pt>
                <c:pt idx="18">
                  <c:v>42579</c:v>
                </c:pt>
                <c:pt idx="19">
                  <c:v>42580</c:v>
                </c:pt>
                <c:pt idx="20">
                  <c:v>42583</c:v>
                </c:pt>
                <c:pt idx="21">
                  <c:v>42584</c:v>
                </c:pt>
                <c:pt idx="22">
                  <c:v>42585</c:v>
                </c:pt>
                <c:pt idx="23">
                  <c:v>42586</c:v>
                </c:pt>
                <c:pt idx="24">
                  <c:v>42587</c:v>
                </c:pt>
                <c:pt idx="25">
                  <c:v>42590</c:v>
                </c:pt>
                <c:pt idx="26">
                  <c:v>42591</c:v>
                </c:pt>
                <c:pt idx="27">
                  <c:v>42592</c:v>
                </c:pt>
                <c:pt idx="28">
                  <c:v>42593</c:v>
                </c:pt>
                <c:pt idx="29">
                  <c:v>42594</c:v>
                </c:pt>
                <c:pt idx="30">
                  <c:v>42598</c:v>
                </c:pt>
                <c:pt idx="31">
                  <c:v>42599</c:v>
                </c:pt>
                <c:pt idx="32">
                  <c:v>42600</c:v>
                </c:pt>
                <c:pt idx="33">
                  <c:v>42601</c:v>
                </c:pt>
                <c:pt idx="34">
                  <c:v>42604</c:v>
                </c:pt>
                <c:pt idx="35">
                  <c:v>42605</c:v>
                </c:pt>
                <c:pt idx="36">
                  <c:v>42606</c:v>
                </c:pt>
                <c:pt idx="37">
                  <c:v>42607</c:v>
                </c:pt>
                <c:pt idx="38">
                  <c:v>42608</c:v>
                </c:pt>
                <c:pt idx="39">
                  <c:v>42611</c:v>
                </c:pt>
                <c:pt idx="40">
                  <c:v>42612</c:v>
                </c:pt>
                <c:pt idx="41">
                  <c:v>42613</c:v>
                </c:pt>
                <c:pt idx="42">
                  <c:v>42614</c:v>
                </c:pt>
                <c:pt idx="43">
                  <c:v>42615</c:v>
                </c:pt>
                <c:pt idx="44">
                  <c:v>42619</c:v>
                </c:pt>
                <c:pt idx="45">
                  <c:v>42620</c:v>
                </c:pt>
                <c:pt idx="46">
                  <c:v>42621</c:v>
                </c:pt>
                <c:pt idx="47">
                  <c:v>42622</c:v>
                </c:pt>
                <c:pt idx="48">
                  <c:v>42625</c:v>
                </c:pt>
                <c:pt idx="49">
                  <c:v>42627</c:v>
                </c:pt>
                <c:pt idx="50">
                  <c:v>42628</c:v>
                </c:pt>
                <c:pt idx="51">
                  <c:v>42629</c:v>
                </c:pt>
                <c:pt idx="52">
                  <c:v>42632</c:v>
                </c:pt>
                <c:pt idx="53">
                  <c:v>42633</c:v>
                </c:pt>
                <c:pt idx="54">
                  <c:v>42634</c:v>
                </c:pt>
                <c:pt idx="55">
                  <c:v>42635</c:v>
                </c:pt>
                <c:pt idx="56">
                  <c:v>42636</c:v>
                </c:pt>
                <c:pt idx="57">
                  <c:v>42639</c:v>
                </c:pt>
                <c:pt idx="58">
                  <c:v>42640</c:v>
                </c:pt>
                <c:pt idx="59">
                  <c:v>42641</c:v>
                </c:pt>
                <c:pt idx="60">
                  <c:v>42642</c:v>
                </c:pt>
                <c:pt idx="61">
                  <c:v>42643</c:v>
                </c:pt>
                <c:pt idx="62">
                  <c:v>42646</c:v>
                </c:pt>
                <c:pt idx="63">
                  <c:v>42647</c:v>
                </c:pt>
                <c:pt idx="64">
                  <c:v>42648</c:v>
                </c:pt>
                <c:pt idx="65">
                  <c:v>42649</c:v>
                </c:pt>
                <c:pt idx="66">
                  <c:v>42650</c:v>
                </c:pt>
                <c:pt idx="67">
                  <c:v>42653</c:v>
                </c:pt>
                <c:pt idx="68">
                  <c:v>42656</c:v>
                </c:pt>
                <c:pt idx="69">
                  <c:v>42657</c:v>
                </c:pt>
                <c:pt idx="70">
                  <c:v>42660</c:v>
                </c:pt>
                <c:pt idx="71">
                  <c:v>42661</c:v>
                </c:pt>
                <c:pt idx="72">
                  <c:v>42662</c:v>
                </c:pt>
                <c:pt idx="73">
                  <c:v>42663</c:v>
                </c:pt>
                <c:pt idx="74">
                  <c:v>42664</c:v>
                </c:pt>
                <c:pt idx="75">
                  <c:v>42667</c:v>
                </c:pt>
                <c:pt idx="76">
                  <c:v>42668</c:v>
                </c:pt>
                <c:pt idx="77">
                  <c:v>42669</c:v>
                </c:pt>
                <c:pt idx="78">
                  <c:v>42670</c:v>
                </c:pt>
                <c:pt idx="79">
                  <c:v>42671</c:v>
                </c:pt>
                <c:pt idx="80">
                  <c:v>42673</c:v>
                </c:pt>
                <c:pt idx="81">
                  <c:v>42675</c:v>
                </c:pt>
                <c:pt idx="82">
                  <c:v>42676</c:v>
                </c:pt>
                <c:pt idx="83">
                  <c:v>42677</c:v>
                </c:pt>
                <c:pt idx="84">
                  <c:v>42678</c:v>
                </c:pt>
                <c:pt idx="85">
                  <c:v>42681</c:v>
                </c:pt>
                <c:pt idx="86">
                  <c:v>42682</c:v>
                </c:pt>
                <c:pt idx="87">
                  <c:v>42683</c:v>
                </c:pt>
                <c:pt idx="88">
                  <c:v>42684</c:v>
                </c:pt>
                <c:pt idx="89">
                  <c:v>42685</c:v>
                </c:pt>
                <c:pt idx="90">
                  <c:v>42689</c:v>
                </c:pt>
                <c:pt idx="91">
                  <c:v>42690</c:v>
                </c:pt>
                <c:pt idx="92">
                  <c:v>42691</c:v>
                </c:pt>
                <c:pt idx="93">
                  <c:v>42692</c:v>
                </c:pt>
                <c:pt idx="94">
                  <c:v>42695</c:v>
                </c:pt>
                <c:pt idx="95">
                  <c:v>42696</c:v>
                </c:pt>
                <c:pt idx="96">
                  <c:v>42697</c:v>
                </c:pt>
                <c:pt idx="97">
                  <c:v>42698</c:v>
                </c:pt>
                <c:pt idx="98">
                  <c:v>42699</c:v>
                </c:pt>
                <c:pt idx="99">
                  <c:v>42702</c:v>
                </c:pt>
                <c:pt idx="100">
                  <c:v>42703</c:v>
                </c:pt>
                <c:pt idx="101">
                  <c:v>42704</c:v>
                </c:pt>
                <c:pt idx="102">
                  <c:v>42705</c:v>
                </c:pt>
                <c:pt idx="103">
                  <c:v>42706</c:v>
                </c:pt>
                <c:pt idx="104">
                  <c:v>42709</c:v>
                </c:pt>
                <c:pt idx="105">
                  <c:v>42710</c:v>
                </c:pt>
                <c:pt idx="106">
                  <c:v>42711</c:v>
                </c:pt>
                <c:pt idx="107">
                  <c:v>42712</c:v>
                </c:pt>
                <c:pt idx="108">
                  <c:v>42713</c:v>
                </c:pt>
                <c:pt idx="109">
                  <c:v>42716</c:v>
                </c:pt>
                <c:pt idx="110">
                  <c:v>42717</c:v>
                </c:pt>
                <c:pt idx="111">
                  <c:v>42718</c:v>
                </c:pt>
                <c:pt idx="112">
                  <c:v>42719</c:v>
                </c:pt>
                <c:pt idx="113">
                  <c:v>42720</c:v>
                </c:pt>
                <c:pt idx="114">
                  <c:v>42723</c:v>
                </c:pt>
                <c:pt idx="115">
                  <c:v>42724</c:v>
                </c:pt>
                <c:pt idx="116">
                  <c:v>42725</c:v>
                </c:pt>
                <c:pt idx="117">
                  <c:v>42726</c:v>
                </c:pt>
                <c:pt idx="118">
                  <c:v>42727</c:v>
                </c:pt>
                <c:pt idx="119">
                  <c:v>42730</c:v>
                </c:pt>
                <c:pt idx="120">
                  <c:v>42731</c:v>
                </c:pt>
                <c:pt idx="121">
                  <c:v>42732</c:v>
                </c:pt>
                <c:pt idx="122">
                  <c:v>42733</c:v>
                </c:pt>
                <c:pt idx="123">
                  <c:v>42734</c:v>
                </c:pt>
                <c:pt idx="124">
                  <c:v>42737</c:v>
                </c:pt>
                <c:pt idx="125">
                  <c:v>42738</c:v>
                </c:pt>
                <c:pt idx="126">
                  <c:v>42739</c:v>
                </c:pt>
                <c:pt idx="127">
                  <c:v>42740</c:v>
                </c:pt>
                <c:pt idx="128">
                  <c:v>42741</c:v>
                </c:pt>
                <c:pt idx="129">
                  <c:v>42744</c:v>
                </c:pt>
                <c:pt idx="130">
                  <c:v>42745</c:v>
                </c:pt>
                <c:pt idx="131">
                  <c:v>42746</c:v>
                </c:pt>
                <c:pt idx="132">
                  <c:v>42747</c:v>
                </c:pt>
                <c:pt idx="133">
                  <c:v>42748</c:v>
                </c:pt>
                <c:pt idx="134">
                  <c:v>42751</c:v>
                </c:pt>
                <c:pt idx="135">
                  <c:v>42752</c:v>
                </c:pt>
                <c:pt idx="136">
                  <c:v>42753</c:v>
                </c:pt>
                <c:pt idx="137">
                  <c:v>42754</c:v>
                </c:pt>
                <c:pt idx="138">
                  <c:v>42755</c:v>
                </c:pt>
                <c:pt idx="139">
                  <c:v>42758</c:v>
                </c:pt>
                <c:pt idx="140">
                  <c:v>42759</c:v>
                </c:pt>
                <c:pt idx="141">
                  <c:v>42760</c:v>
                </c:pt>
                <c:pt idx="142">
                  <c:v>42762</c:v>
                </c:pt>
                <c:pt idx="143">
                  <c:v>42765</c:v>
                </c:pt>
                <c:pt idx="144">
                  <c:v>42766</c:v>
                </c:pt>
                <c:pt idx="145">
                  <c:v>42767</c:v>
                </c:pt>
                <c:pt idx="146">
                  <c:v>42768</c:v>
                </c:pt>
                <c:pt idx="147">
                  <c:v>42769</c:v>
                </c:pt>
                <c:pt idx="148">
                  <c:v>42772</c:v>
                </c:pt>
                <c:pt idx="149">
                  <c:v>42773</c:v>
                </c:pt>
                <c:pt idx="150">
                  <c:v>42774</c:v>
                </c:pt>
                <c:pt idx="151">
                  <c:v>42775</c:v>
                </c:pt>
                <c:pt idx="152">
                  <c:v>42776</c:v>
                </c:pt>
                <c:pt idx="153">
                  <c:v>42779</c:v>
                </c:pt>
                <c:pt idx="154">
                  <c:v>42780</c:v>
                </c:pt>
                <c:pt idx="155">
                  <c:v>42781</c:v>
                </c:pt>
                <c:pt idx="156">
                  <c:v>42782</c:v>
                </c:pt>
                <c:pt idx="157">
                  <c:v>42783</c:v>
                </c:pt>
                <c:pt idx="158">
                  <c:v>42786</c:v>
                </c:pt>
                <c:pt idx="159">
                  <c:v>42787</c:v>
                </c:pt>
                <c:pt idx="160">
                  <c:v>42788</c:v>
                </c:pt>
                <c:pt idx="161">
                  <c:v>42789</c:v>
                </c:pt>
                <c:pt idx="162">
                  <c:v>42793</c:v>
                </c:pt>
                <c:pt idx="163">
                  <c:v>42794</c:v>
                </c:pt>
                <c:pt idx="164">
                  <c:v>42795</c:v>
                </c:pt>
                <c:pt idx="165">
                  <c:v>42796</c:v>
                </c:pt>
                <c:pt idx="166">
                  <c:v>42797</c:v>
                </c:pt>
                <c:pt idx="167">
                  <c:v>42800</c:v>
                </c:pt>
                <c:pt idx="168">
                  <c:v>42801</c:v>
                </c:pt>
                <c:pt idx="169">
                  <c:v>42802</c:v>
                </c:pt>
                <c:pt idx="170">
                  <c:v>42803</c:v>
                </c:pt>
                <c:pt idx="171">
                  <c:v>42804</c:v>
                </c:pt>
                <c:pt idx="172">
                  <c:v>42808</c:v>
                </c:pt>
                <c:pt idx="173">
                  <c:v>42809</c:v>
                </c:pt>
                <c:pt idx="174">
                  <c:v>42810</c:v>
                </c:pt>
                <c:pt idx="175">
                  <c:v>42811</c:v>
                </c:pt>
                <c:pt idx="176">
                  <c:v>42814</c:v>
                </c:pt>
                <c:pt idx="177">
                  <c:v>42815</c:v>
                </c:pt>
                <c:pt idx="178">
                  <c:v>42816</c:v>
                </c:pt>
                <c:pt idx="179">
                  <c:v>42817</c:v>
                </c:pt>
                <c:pt idx="180">
                  <c:v>42818</c:v>
                </c:pt>
                <c:pt idx="181">
                  <c:v>42821</c:v>
                </c:pt>
                <c:pt idx="182">
                  <c:v>42822</c:v>
                </c:pt>
                <c:pt idx="183">
                  <c:v>42823</c:v>
                </c:pt>
                <c:pt idx="184">
                  <c:v>42824</c:v>
                </c:pt>
                <c:pt idx="185">
                  <c:v>42825</c:v>
                </c:pt>
                <c:pt idx="186">
                  <c:v>42828</c:v>
                </c:pt>
                <c:pt idx="187">
                  <c:v>42830</c:v>
                </c:pt>
                <c:pt idx="188">
                  <c:v>42831</c:v>
                </c:pt>
                <c:pt idx="189">
                  <c:v>42832</c:v>
                </c:pt>
                <c:pt idx="190">
                  <c:v>42835</c:v>
                </c:pt>
                <c:pt idx="191">
                  <c:v>42836</c:v>
                </c:pt>
                <c:pt idx="192">
                  <c:v>42837</c:v>
                </c:pt>
                <c:pt idx="193">
                  <c:v>42838</c:v>
                </c:pt>
                <c:pt idx="194">
                  <c:v>42842</c:v>
                </c:pt>
                <c:pt idx="195">
                  <c:v>42843</c:v>
                </c:pt>
                <c:pt idx="196">
                  <c:v>42844</c:v>
                </c:pt>
                <c:pt idx="197">
                  <c:v>42845</c:v>
                </c:pt>
                <c:pt idx="198">
                  <c:v>42846</c:v>
                </c:pt>
                <c:pt idx="199">
                  <c:v>42849</c:v>
                </c:pt>
                <c:pt idx="200">
                  <c:v>42850</c:v>
                </c:pt>
                <c:pt idx="201">
                  <c:v>42851</c:v>
                </c:pt>
                <c:pt idx="202">
                  <c:v>42852</c:v>
                </c:pt>
                <c:pt idx="203">
                  <c:v>42853</c:v>
                </c:pt>
                <c:pt idx="204">
                  <c:v>42857</c:v>
                </c:pt>
                <c:pt idx="205">
                  <c:v>42858</c:v>
                </c:pt>
                <c:pt idx="206">
                  <c:v>42859</c:v>
                </c:pt>
                <c:pt idx="207">
                  <c:v>42860</c:v>
                </c:pt>
                <c:pt idx="208">
                  <c:v>42863</c:v>
                </c:pt>
                <c:pt idx="209">
                  <c:v>42864</c:v>
                </c:pt>
                <c:pt idx="210">
                  <c:v>42865</c:v>
                </c:pt>
                <c:pt idx="211">
                  <c:v>42866</c:v>
                </c:pt>
                <c:pt idx="212">
                  <c:v>42867</c:v>
                </c:pt>
                <c:pt idx="213">
                  <c:v>42870</c:v>
                </c:pt>
                <c:pt idx="214">
                  <c:v>42871</c:v>
                </c:pt>
                <c:pt idx="215">
                  <c:v>42872</c:v>
                </c:pt>
                <c:pt idx="216">
                  <c:v>42873</c:v>
                </c:pt>
                <c:pt idx="217">
                  <c:v>42874</c:v>
                </c:pt>
                <c:pt idx="218">
                  <c:v>42877</c:v>
                </c:pt>
                <c:pt idx="219">
                  <c:v>42878</c:v>
                </c:pt>
                <c:pt idx="220">
                  <c:v>42879</c:v>
                </c:pt>
                <c:pt idx="221">
                  <c:v>42880</c:v>
                </c:pt>
                <c:pt idx="222">
                  <c:v>42881</c:v>
                </c:pt>
                <c:pt idx="223">
                  <c:v>42884</c:v>
                </c:pt>
                <c:pt idx="224">
                  <c:v>42885</c:v>
                </c:pt>
                <c:pt idx="225">
                  <c:v>42886</c:v>
                </c:pt>
                <c:pt idx="226">
                  <c:v>42887</c:v>
                </c:pt>
                <c:pt idx="227">
                  <c:v>42888</c:v>
                </c:pt>
                <c:pt idx="228">
                  <c:v>42891</c:v>
                </c:pt>
                <c:pt idx="229">
                  <c:v>42892</c:v>
                </c:pt>
                <c:pt idx="230">
                  <c:v>42893</c:v>
                </c:pt>
                <c:pt idx="231">
                  <c:v>42894</c:v>
                </c:pt>
                <c:pt idx="232">
                  <c:v>42895</c:v>
                </c:pt>
                <c:pt idx="233">
                  <c:v>42898</c:v>
                </c:pt>
                <c:pt idx="234">
                  <c:v>42899</c:v>
                </c:pt>
                <c:pt idx="235">
                  <c:v>42900</c:v>
                </c:pt>
                <c:pt idx="236">
                  <c:v>42901</c:v>
                </c:pt>
                <c:pt idx="237">
                  <c:v>42902</c:v>
                </c:pt>
                <c:pt idx="238">
                  <c:v>42905</c:v>
                </c:pt>
                <c:pt idx="239">
                  <c:v>42906</c:v>
                </c:pt>
                <c:pt idx="240">
                  <c:v>42907</c:v>
                </c:pt>
                <c:pt idx="241">
                  <c:v>42908</c:v>
                </c:pt>
                <c:pt idx="242">
                  <c:v>42909</c:v>
                </c:pt>
                <c:pt idx="243">
                  <c:v>42913</c:v>
                </c:pt>
                <c:pt idx="244">
                  <c:v>42914</c:v>
                </c:pt>
                <c:pt idx="245">
                  <c:v>42915</c:v>
                </c:pt>
                <c:pt idx="246">
                  <c:v>42916</c:v>
                </c:pt>
              </c:numCache>
            </c:numRef>
          </c:cat>
          <c:val>
            <c:numRef>
              <c:f>'F1'!$B$395:$B$641</c:f>
              <c:numCache>
                <c:formatCode>0</c:formatCode>
                <c:ptCount val="247"/>
                <c:pt idx="0">
                  <c:v>27144.91</c:v>
                </c:pt>
                <c:pt idx="1">
                  <c:v>27278.76</c:v>
                </c:pt>
                <c:pt idx="2">
                  <c:v>27166.87</c:v>
                </c:pt>
                <c:pt idx="3">
                  <c:v>27201.49</c:v>
                </c:pt>
                <c:pt idx="4">
                  <c:v>27126.9</c:v>
                </c:pt>
                <c:pt idx="5">
                  <c:v>27626.69</c:v>
                </c:pt>
                <c:pt idx="6">
                  <c:v>27808.14</c:v>
                </c:pt>
                <c:pt idx="7">
                  <c:v>27815.18</c:v>
                </c:pt>
                <c:pt idx="8">
                  <c:v>27942.11</c:v>
                </c:pt>
                <c:pt idx="9">
                  <c:v>27836.5</c:v>
                </c:pt>
                <c:pt idx="10">
                  <c:v>27746.66</c:v>
                </c:pt>
                <c:pt idx="11">
                  <c:v>27787.62</c:v>
                </c:pt>
                <c:pt idx="12">
                  <c:v>27915.89</c:v>
                </c:pt>
                <c:pt idx="13">
                  <c:v>27710.52</c:v>
                </c:pt>
                <c:pt idx="14">
                  <c:v>27803.24</c:v>
                </c:pt>
                <c:pt idx="15">
                  <c:v>28095.34</c:v>
                </c:pt>
                <c:pt idx="16">
                  <c:v>27976.52</c:v>
                </c:pt>
                <c:pt idx="17">
                  <c:v>28024.33</c:v>
                </c:pt>
                <c:pt idx="18">
                  <c:v>28208.62</c:v>
                </c:pt>
                <c:pt idx="19">
                  <c:v>28051.86</c:v>
                </c:pt>
                <c:pt idx="20">
                  <c:v>28003.119999999999</c:v>
                </c:pt>
                <c:pt idx="21">
                  <c:v>27981.71</c:v>
                </c:pt>
                <c:pt idx="22">
                  <c:v>27697.51</c:v>
                </c:pt>
                <c:pt idx="23">
                  <c:v>27714.37</c:v>
                </c:pt>
                <c:pt idx="24">
                  <c:v>28078.35</c:v>
                </c:pt>
                <c:pt idx="25">
                  <c:v>28182.57</c:v>
                </c:pt>
                <c:pt idx="26">
                  <c:v>28085.16</c:v>
                </c:pt>
                <c:pt idx="27">
                  <c:v>27774.880000000001</c:v>
                </c:pt>
                <c:pt idx="28">
                  <c:v>27859.599999999999</c:v>
                </c:pt>
                <c:pt idx="29">
                  <c:v>28152.400000000001</c:v>
                </c:pt>
                <c:pt idx="30">
                  <c:v>28064.61</c:v>
                </c:pt>
                <c:pt idx="31">
                  <c:v>28005.37</c:v>
                </c:pt>
                <c:pt idx="32">
                  <c:v>28123.439999999999</c:v>
                </c:pt>
                <c:pt idx="33">
                  <c:v>28077</c:v>
                </c:pt>
                <c:pt idx="34">
                  <c:v>27985.54</c:v>
                </c:pt>
                <c:pt idx="35">
                  <c:v>27990.21</c:v>
                </c:pt>
                <c:pt idx="36">
                  <c:v>28059.94</c:v>
                </c:pt>
                <c:pt idx="37">
                  <c:v>27835.91</c:v>
                </c:pt>
                <c:pt idx="38">
                  <c:v>27782.25</c:v>
                </c:pt>
                <c:pt idx="39">
                  <c:v>27902.66</c:v>
                </c:pt>
                <c:pt idx="40">
                  <c:v>28343.01</c:v>
                </c:pt>
                <c:pt idx="41">
                  <c:v>28452.17</c:v>
                </c:pt>
                <c:pt idx="42">
                  <c:v>28423.48</c:v>
                </c:pt>
                <c:pt idx="43">
                  <c:v>28532.11</c:v>
                </c:pt>
                <c:pt idx="44">
                  <c:v>28978.02</c:v>
                </c:pt>
                <c:pt idx="45">
                  <c:v>28926.36</c:v>
                </c:pt>
                <c:pt idx="46">
                  <c:v>29045.279999999999</c:v>
                </c:pt>
                <c:pt idx="47">
                  <c:v>28797.25</c:v>
                </c:pt>
                <c:pt idx="48">
                  <c:v>28353.54</c:v>
                </c:pt>
                <c:pt idx="49">
                  <c:v>28372.23</c:v>
                </c:pt>
                <c:pt idx="50">
                  <c:v>28412.89</c:v>
                </c:pt>
                <c:pt idx="51">
                  <c:v>28599.03</c:v>
                </c:pt>
                <c:pt idx="52">
                  <c:v>28634.5</c:v>
                </c:pt>
                <c:pt idx="53">
                  <c:v>28523.200000000001</c:v>
                </c:pt>
                <c:pt idx="54">
                  <c:v>28507.42</c:v>
                </c:pt>
                <c:pt idx="55">
                  <c:v>28773.13</c:v>
                </c:pt>
                <c:pt idx="56">
                  <c:v>28668.22</c:v>
                </c:pt>
                <c:pt idx="57">
                  <c:v>28294.28</c:v>
                </c:pt>
                <c:pt idx="58">
                  <c:v>28223.7</c:v>
                </c:pt>
                <c:pt idx="59">
                  <c:v>28292.81</c:v>
                </c:pt>
                <c:pt idx="60">
                  <c:v>27827.53</c:v>
                </c:pt>
                <c:pt idx="61">
                  <c:v>27865.96</c:v>
                </c:pt>
                <c:pt idx="62">
                  <c:v>28243.29</c:v>
                </c:pt>
                <c:pt idx="63">
                  <c:v>28334.55</c:v>
                </c:pt>
                <c:pt idx="64">
                  <c:v>28220.98</c:v>
                </c:pt>
                <c:pt idx="65">
                  <c:v>28106.21</c:v>
                </c:pt>
                <c:pt idx="66">
                  <c:v>28061.14</c:v>
                </c:pt>
                <c:pt idx="67">
                  <c:v>28082.34</c:v>
                </c:pt>
                <c:pt idx="68">
                  <c:v>27643.11</c:v>
                </c:pt>
                <c:pt idx="69">
                  <c:v>27673.599999999999</c:v>
                </c:pt>
                <c:pt idx="70">
                  <c:v>27529.97</c:v>
                </c:pt>
                <c:pt idx="71">
                  <c:v>28050.880000000001</c:v>
                </c:pt>
                <c:pt idx="72">
                  <c:v>27984.37</c:v>
                </c:pt>
                <c:pt idx="73">
                  <c:v>28129.84</c:v>
                </c:pt>
                <c:pt idx="74">
                  <c:v>28077.18</c:v>
                </c:pt>
                <c:pt idx="75">
                  <c:v>28179.08</c:v>
                </c:pt>
                <c:pt idx="76">
                  <c:v>28091.42</c:v>
                </c:pt>
                <c:pt idx="77">
                  <c:v>27836.51</c:v>
                </c:pt>
                <c:pt idx="78">
                  <c:v>27915.9</c:v>
                </c:pt>
                <c:pt idx="79">
                  <c:v>27941.51</c:v>
                </c:pt>
                <c:pt idx="80">
                  <c:v>27930.21</c:v>
                </c:pt>
                <c:pt idx="81">
                  <c:v>27876.61</c:v>
                </c:pt>
                <c:pt idx="82">
                  <c:v>27527.22</c:v>
                </c:pt>
                <c:pt idx="83">
                  <c:v>27430.28</c:v>
                </c:pt>
                <c:pt idx="84">
                  <c:v>27274.15</c:v>
                </c:pt>
                <c:pt idx="85">
                  <c:v>27458.99</c:v>
                </c:pt>
                <c:pt idx="86">
                  <c:v>27591.14</c:v>
                </c:pt>
                <c:pt idx="87">
                  <c:v>27252.53</c:v>
                </c:pt>
                <c:pt idx="88">
                  <c:v>27517.68</c:v>
                </c:pt>
                <c:pt idx="89">
                  <c:v>26818.82</c:v>
                </c:pt>
                <c:pt idx="90">
                  <c:v>26304.63</c:v>
                </c:pt>
                <c:pt idx="91">
                  <c:v>26298.69</c:v>
                </c:pt>
                <c:pt idx="92">
                  <c:v>26227.62</c:v>
                </c:pt>
                <c:pt idx="93">
                  <c:v>26150.240000000002</c:v>
                </c:pt>
                <c:pt idx="94">
                  <c:v>25765.14</c:v>
                </c:pt>
                <c:pt idx="95">
                  <c:v>25960.78</c:v>
                </c:pt>
                <c:pt idx="96">
                  <c:v>26051.81</c:v>
                </c:pt>
                <c:pt idx="97">
                  <c:v>25860.17</c:v>
                </c:pt>
                <c:pt idx="98">
                  <c:v>26316.34</c:v>
                </c:pt>
                <c:pt idx="99">
                  <c:v>26350.17</c:v>
                </c:pt>
                <c:pt idx="100">
                  <c:v>26394.01</c:v>
                </c:pt>
                <c:pt idx="101">
                  <c:v>26652.81</c:v>
                </c:pt>
                <c:pt idx="102">
                  <c:v>26559.919999999998</c:v>
                </c:pt>
                <c:pt idx="103">
                  <c:v>26230.66</c:v>
                </c:pt>
                <c:pt idx="104">
                  <c:v>26349.1</c:v>
                </c:pt>
                <c:pt idx="105">
                  <c:v>26392.76</c:v>
                </c:pt>
                <c:pt idx="106">
                  <c:v>26236.87</c:v>
                </c:pt>
                <c:pt idx="107">
                  <c:v>26694.28</c:v>
                </c:pt>
                <c:pt idx="108">
                  <c:v>26747.18</c:v>
                </c:pt>
                <c:pt idx="109">
                  <c:v>26515.24</c:v>
                </c:pt>
                <c:pt idx="110">
                  <c:v>26697.82</c:v>
                </c:pt>
                <c:pt idx="111">
                  <c:v>26602.84</c:v>
                </c:pt>
                <c:pt idx="112">
                  <c:v>26519.07</c:v>
                </c:pt>
                <c:pt idx="113">
                  <c:v>26489.56</c:v>
                </c:pt>
                <c:pt idx="114">
                  <c:v>26374.7</c:v>
                </c:pt>
                <c:pt idx="115">
                  <c:v>26307.98</c:v>
                </c:pt>
                <c:pt idx="116">
                  <c:v>26242.38</c:v>
                </c:pt>
                <c:pt idx="117">
                  <c:v>25979.599999999999</c:v>
                </c:pt>
                <c:pt idx="118">
                  <c:v>26040.7</c:v>
                </c:pt>
                <c:pt idx="119">
                  <c:v>25807.1</c:v>
                </c:pt>
                <c:pt idx="120">
                  <c:v>26213.439999999999</c:v>
                </c:pt>
                <c:pt idx="121">
                  <c:v>26210.68</c:v>
                </c:pt>
                <c:pt idx="122">
                  <c:v>26366.15</c:v>
                </c:pt>
                <c:pt idx="123">
                  <c:v>26626.46</c:v>
                </c:pt>
                <c:pt idx="124">
                  <c:v>26595.45</c:v>
                </c:pt>
                <c:pt idx="125">
                  <c:v>26643.24</c:v>
                </c:pt>
                <c:pt idx="126">
                  <c:v>26633.13</c:v>
                </c:pt>
                <c:pt idx="127">
                  <c:v>26878.240000000002</c:v>
                </c:pt>
                <c:pt idx="128">
                  <c:v>26759.23</c:v>
                </c:pt>
                <c:pt idx="129">
                  <c:v>26726.55</c:v>
                </c:pt>
                <c:pt idx="130">
                  <c:v>26899.56</c:v>
                </c:pt>
                <c:pt idx="131">
                  <c:v>27140.41</c:v>
                </c:pt>
                <c:pt idx="132">
                  <c:v>27247.16</c:v>
                </c:pt>
                <c:pt idx="133">
                  <c:v>27238.06</c:v>
                </c:pt>
                <c:pt idx="134">
                  <c:v>27288.17</c:v>
                </c:pt>
                <c:pt idx="135">
                  <c:v>27235.66</c:v>
                </c:pt>
                <c:pt idx="136">
                  <c:v>27257.64</c:v>
                </c:pt>
                <c:pt idx="137">
                  <c:v>27308.6</c:v>
                </c:pt>
                <c:pt idx="138">
                  <c:v>27034.5</c:v>
                </c:pt>
                <c:pt idx="139">
                  <c:v>27117.34</c:v>
                </c:pt>
                <c:pt idx="140">
                  <c:v>27375.58</c:v>
                </c:pt>
                <c:pt idx="141">
                  <c:v>27708.14</c:v>
                </c:pt>
                <c:pt idx="142">
                  <c:v>27882.46</c:v>
                </c:pt>
                <c:pt idx="143">
                  <c:v>27849.56</c:v>
                </c:pt>
                <c:pt idx="144">
                  <c:v>27655.96</c:v>
                </c:pt>
                <c:pt idx="145">
                  <c:v>28141.64</c:v>
                </c:pt>
                <c:pt idx="146">
                  <c:v>28226.61</c:v>
                </c:pt>
                <c:pt idx="147">
                  <c:v>28240.52</c:v>
                </c:pt>
                <c:pt idx="148">
                  <c:v>28439.279999999999</c:v>
                </c:pt>
                <c:pt idx="149">
                  <c:v>28335.16</c:v>
                </c:pt>
                <c:pt idx="150">
                  <c:v>28289.919999999998</c:v>
                </c:pt>
                <c:pt idx="151">
                  <c:v>28329.7</c:v>
                </c:pt>
                <c:pt idx="152">
                  <c:v>28334.25</c:v>
                </c:pt>
                <c:pt idx="153">
                  <c:v>28351.62</c:v>
                </c:pt>
                <c:pt idx="154">
                  <c:v>28339.31</c:v>
                </c:pt>
                <c:pt idx="155">
                  <c:v>28155.56</c:v>
                </c:pt>
                <c:pt idx="156">
                  <c:v>28301.27</c:v>
                </c:pt>
                <c:pt idx="157">
                  <c:v>28468.75</c:v>
                </c:pt>
                <c:pt idx="158">
                  <c:v>28661.58</c:v>
                </c:pt>
                <c:pt idx="159">
                  <c:v>28761.59</c:v>
                </c:pt>
                <c:pt idx="160">
                  <c:v>28864.71</c:v>
                </c:pt>
                <c:pt idx="161">
                  <c:v>28892.97</c:v>
                </c:pt>
                <c:pt idx="162">
                  <c:v>28812.880000000001</c:v>
                </c:pt>
                <c:pt idx="163">
                  <c:v>28743.32</c:v>
                </c:pt>
                <c:pt idx="164">
                  <c:v>28984.49</c:v>
                </c:pt>
                <c:pt idx="165">
                  <c:v>28839.79</c:v>
                </c:pt>
                <c:pt idx="166">
                  <c:v>28832.45</c:v>
                </c:pt>
                <c:pt idx="167">
                  <c:v>29048.19</c:v>
                </c:pt>
                <c:pt idx="168">
                  <c:v>28999.56</c:v>
                </c:pt>
                <c:pt idx="169">
                  <c:v>28901.94</c:v>
                </c:pt>
                <c:pt idx="170">
                  <c:v>28929.13</c:v>
                </c:pt>
                <c:pt idx="171">
                  <c:v>28946.23</c:v>
                </c:pt>
                <c:pt idx="172">
                  <c:v>29442.63</c:v>
                </c:pt>
                <c:pt idx="173">
                  <c:v>29398.11</c:v>
                </c:pt>
                <c:pt idx="174">
                  <c:v>29585.85</c:v>
                </c:pt>
                <c:pt idx="175">
                  <c:v>29648.99</c:v>
                </c:pt>
                <c:pt idx="176">
                  <c:v>29518.74</c:v>
                </c:pt>
                <c:pt idx="177">
                  <c:v>29485.45</c:v>
                </c:pt>
                <c:pt idx="178">
                  <c:v>29167.68</c:v>
                </c:pt>
                <c:pt idx="179">
                  <c:v>29332.16</c:v>
                </c:pt>
                <c:pt idx="180">
                  <c:v>29421.4</c:v>
                </c:pt>
                <c:pt idx="181">
                  <c:v>29237.15</c:v>
                </c:pt>
                <c:pt idx="182">
                  <c:v>29409.52</c:v>
                </c:pt>
                <c:pt idx="183">
                  <c:v>29531.43</c:v>
                </c:pt>
                <c:pt idx="184">
                  <c:v>29647.42</c:v>
                </c:pt>
                <c:pt idx="185">
                  <c:v>29620.5</c:v>
                </c:pt>
                <c:pt idx="186">
                  <c:v>29910.22</c:v>
                </c:pt>
                <c:pt idx="187">
                  <c:v>29974.240000000002</c:v>
                </c:pt>
                <c:pt idx="188">
                  <c:v>29927.34</c:v>
                </c:pt>
                <c:pt idx="189">
                  <c:v>29706.61</c:v>
                </c:pt>
                <c:pt idx="190">
                  <c:v>29575.74</c:v>
                </c:pt>
                <c:pt idx="191">
                  <c:v>29788.35</c:v>
                </c:pt>
                <c:pt idx="192">
                  <c:v>29643.48</c:v>
                </c:pt>
                <c:pt idx="193">
                  <c:v>29461.45</c:v>
                </c:pt>
                <c:pt idx="194">
                  <c:v>29413.66</c:v>
                </c:pt>
                <c:pt idx="195">
                  <c:v>29319.1</c:v>
                </c:pt>
                <c:pt idx="196">
                  <c:v>29336.57</c:v>
                </c:pt>
                <c:pt idx="197">
                  <c:v>29422.39</c:v>
                </c:pt>
                <c:pt idx="198">
                  <c:v>29365.3</c:v>
                </c:pt>
                <c:pt idx="199">
                  <c:v>29655.84</c:v>
                </c:pt>
                <c:pt idx="200">
                  <c:v>29943.24</c:v>
                </c:pt>
                <c:pt idx="201">
                  <c:v>30133.35</c:v>
                </c:pt>
                <c:pt idx="202">
                  <c:v>30029.74</c:v>
                </c:pt>
                <c:pt idx="203">
                  <c:v>29918.400000000001</c:v>
                </c:pt>
                <c:pt idx="204">
                  <c:v>29921.18</c:v>
                </c:pt>
                <c:pt idx="205">
                  <c:v>29894.799999999999</c:v>
                </c:pt>
                <c:pt idx="206">
                  <c:v>30126.21</c:v>
                </c:pt>
                <c:pt idx="207">
                  <c:v>29858.799999999999</c:v>
                </c:pt>
                <c:pt idx="208">
                  <c:v>29926.15</c:v>
                </c:pt>
                <c:pt idx="209">
                  <c:v>29933.25</c:v>
                </c:pt>
                <c:pt idx="210">
                  <c:v>30248.17</c:v>
                </c:pt>
                <c:pt idx="211">
                  <c:v>30250.98</c:v>
                </c:pt>
                <c:pt idx="212">
                  <c:v>30188.15</c:v>
                </c:pt>
                <c:pt idx="213">
                  <c:v>30322.12</c:v>
                </c:pt>
                <c:pt idx="214">
                  <c:v>30582.6</c:v>
                </c:pt>
                <c:pt idx="215">
                  <c:v>30658.77</c:v>
                </c:pt>
                <c:pt idx="216">
                  <c:v>30434.79</c:v>
                </c:pt>
                <c:pt idx="217">
                  <c:v>30464.92</c:v>
                </c:pt>
                <c:pt idx="218">
                  <c:v>30570.97</c:v>
                </c:pt>
                <c:pt idx="219">
                  <c:v>30365.25</c:v>
                </c:pt>
                <c:pt idx="220">
                  <c:v>30301.64</c:v>
                </c:pt>
                <c:pt idx="221">
                  <c:v>30750.03</c:v>
                </c:pt>
                <c:pt idx="222">
                  <c:v>31028.21</c:v>
                </c:pt>
                <c:pt idx="223">
                  <c:v>31109.279999999999</c:v>
                </c:pt>
                <c:pt idx="224">
                  <c:v>31159.4</c:v>
                </c:pt>
                <c:pt idx="225">
                  <c:v>31145.8</c:v>
                </c:pt>
                <c:pt idx="226">
                  <c:v>31137.59</c:v>
                </c:pt>
                <c:pt idx="227">
                  <c:v>31273.29</c:v>
                </c:pt>
                <c:pt idx="228">
                  <c:v>31309.49</c:v>
                </c:pt>
                <c:pt idx="229">
                  <c:v>31190.560000000001</c:v>
                </c:pt>
                <c:pt idx="230">
                  <c:v>31271.279999999999</c:v>
                </c:pt>
                <c:pt idx="231">
                  <c:v>31213.360000000001</c:v>
                </c:pt>
                <c:pt idx="232">
                  <c:v>31262.06</c:v>
                </c:pt>
                <c:pt idx="233">
                  <c:v>31095.7</c:v>
                </c:pt>
                <c:pt idx="234">
                  <c:v>31103.49</c:v>
                </c:pt>
                <c:pt idx="235">
                  <c:v>31155.91</c:v>
                </c:pt>
                <c:pt idx="236">
                  <c:v>31075.73</c:v>
                </c:pt>
                <c:pt idx="237">
                  <c:v>31056.400000000001</c:v>
                </c:pt>
                <c:pt idx="238">
                  <c:v>31311.57</c:v>
                </c:pt>
                <c:pt idx="239">
                  <c:v>31297.53</c:v>
                </c:pt>
                <c:pt idx="240">
                  <c:v>31283.64</c:v>
                </c:pt>
                <c:pt idx="241">
                  <c:v>31290.74</c:v>
                </c:pt>
                <c:pt idx="242">
                  <c:v>31138.21</c:v>
                </c:pt>
                <c:pt idx="243">
                  <c:v>30958.25</c:v>
                </c:pt>
                <c:pt idx="244">
                  <c:v>30834.32</c:v>
                </c:pt>
                <c:pt idx="245">
                  <c:v>30857.52</c:v>
                </c:pt>
                <c:pt idx="246">
                  <c:v>30921.61</c:v>
                </c:pt>
              </c:numCache>
            </c:numRef>
          </c:val>
          <c:smooth val="1"/>
        </c:ser>
        <c:dLbls>
          <c:showLegendKey val="0"/>
          <c:showVal val="0"/>
          <c:showCatName val="0"/>
          <c:showSerName val="0"/>
          <c:showPercent val="0"/>
          <c:showBubbleSize val="0"/>
        </c:dLbls>
        <c:marker val="1"/>
        <c:smooth val="0"/>
        <c:axId val="537976496"/>
        <c:axId val="537977280"/>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'F1'!$A$395:$A$641</c:f>
              <c:numCache>
                <c:formatCode>[$-409]d\-mmm\-yy;@</c:formatCode>
                <c:ptCount val="247"/>
                <c:pt idx="0">
                  <c:v>42552</c:v>
                </c:pt>
                <c:pt idx="1">
                  <c:v>42555</c:v>
                </c:pt>
                <c:pt idx="2">
                  <c:v>42556</c:v>
                </c:pt>
                <c:pt idx="3">
                  <c:v>42558</c:v>
                </c:pt>
                <c:pt idx="4">
                  <c:v>42559</c:v>
                </c:pt>
                <c:pt idx="5">
                  <c:v>42562</c:v>
                </c:pt>
                <c:pt idx="6">
                  <c:v>42563</c:v>
                </c:pt>
                <c:pt idx="7">
                  <c:v>42564</c:v>
                </c:pt>
                <c:pt idx="8">
                  <c:v>42565</c:v>
                </c:pt>
                <c:pt idx="9">
                  <c:v>42566</c:v>
                </c:pt>
                <c:pt idx="10">
                  <c:v>42569</c:v>
                </c:pt>
                <c:pt idx="11">
                  <c:v>42570</c:v>
                </c:pt>
                <c:pt idx="12">
                  <c:v>42571</c:v>
                </c:pt>
                <c:pt idx="13">
                  <c:v>42572</c:v>
                </c:pt>
                <c:pt idx="14">
                  <c:v>42573</c:v>
                </c:pt>
                <c:pt idx="15">
                  <c:v>42576</c:v>
                </c:pt>
                <c:pt idx="16">
                  <c:v>42577</c:v>
                </c:pt>
                <c:pt idx="17">
                  <c:v>42578</c:v>
                </c:pt>
                <c:pt idx="18">
                  <c:v>42579</c:v>
                </c:pt>
                <c:pt idx="19">
                  <c:v>42580</c:v>
                </c:pt>
                <c:pt idx="20">
                  <c:v>42583</c:v>
                </c:pt>
                <c:pt idx="21">
                  <c:v>42584</c:v>
                </c:pt>
                <c:pt idx="22">
                  <c:v>42585</c:v>
                </c:pt>
                <c:pt idx="23">
                  <c:v>42586</c:v>
                </c:pt>
                <c:pt idx="24">
                  <c:v>42587</c:v>
                </c:pt>
                <c:pt idx="25">
                  <c:v>42590</c:v>
                </c:pt>
                <c:pt idx="26">
                  <c:v>42591</c:v>
                </c:pt>
                <c:pt idx="27">
                  <c:v>42592</c:v>
                </c:pt>
                <c:pt idx="28">
                  <c:v>42593</c:v>
                </c:pt>
                <c:pt idx="29">
                  <c:v>42594</c:v>
                </c:pt>
                <c:pt idx="30">
                  <c:v>42598</c:v>
                </c:pt>
                <c:pt idx="31">
                  <c:v>42599</c:v>
                </c:pt>
                <c:pt idx="32">
                  <c:v>42600</c:v>
                </c:pt>
                <c:pt idx="33">
                  <c:v>42601</c:v>
                </c:pt>
                <c:pt idx="34">
                  <c:v>42604</c:v>
                </c:pt>
                <c:pt idx="35">
                  <c:v>42605</c:v>
                </c:pt>
                <c:pt idx="36">
                  <c:v>42606</c:v>
                </c:pt>
                <c:pt idx="37">
                  <c:v>42607</c:v>
                </c:pt>
                <c:pt idx="38">
                  <c:v>42608</c:v>
                </c:pt>
                <c:pt idx="39">
                  <c:v>42611</c:v>
                </c:pt>
                <c:pt idx="40">
                  <c:v>42612</c:v>
                </c:pt>
                <c:pt idx="41">
                  <c:v>42613</c:v>
                </c:pt>
                <c:pt idx="42">
                  <c:v>42614</c:v>
                </c:pt>
                <c:pt idx="43">
                  <c:v>42615</c:v>
                </c:pt>
                <c:pt idx="44">
                  <c:v>42619</c:v>
                </c:pt>
                <c:pt idx="45">
                  <c:v>42620</c:v>
                </c:pt>
                <c:pt idx="46">
                  <c:v>42621</c:v>
                </c:pt>
                <c:pt idx="47">
                  <c:v>42622</c:v>
                </c:pt>
                <c:pt idx="48">
                  <c:v>42625</c:v>
                </c:pt>
                <c:pt idx="49">
                  <c:v>42627</c:v>
                </c:pt>
                <c:pt idx="50">
                  <c:v>42628</c:v>
                </c:pt>
                <c:pt idx="51">
                  <c:v>42629</c:v>
                </c:pt>
                <c:pt idx="52">
                  <c:v>42632</c:v>
                </c:pt>
                <c:pt idx="53">
                  <c:v>42633</c:v>
                </c:pt>
                <c:pt idx="54">
                  <c:v>42634</c:v>
                </c:pt>
                <c:pt idx="55">
                  <c:v>42635</c:v>
                </c:pt>
                <c:pt idx="56">
                  <c:v>42636</c:v>
                </c:pt>
                <c:pt idx="57">
                  <c:v>42639</c:v>
                </c:pt>
                <c:pt idx="58">
                  <c:v>42640</c:v>
                </c:pt>
                <c:pt idx="59">
                  <c:v>42641</c:v>
                </c:pt>
                <c:pt idx="60">
                  <c:v>42642</c:v>
                </c:pt>
                <c:pt idx="61">
                  <c:v>42643</c:v>
                </c:pt>
                <c:pt idx="62">
                  <c:v>42646</c:v>
                </c:pt>
                <c:pt idx="63">
                  <c:v>42647</c:v>
                </c:pt>
                <c:pt idx="64">
                  <c:v>42648</c:v>
                </c:pt>
                <c:pt idx="65">
                  <c:v>42649</c:v>
                </c:pt>
                <c:pt idx="66">
                  <c:v>42650</c:v>
                </c:pt>
                <c:pt idx="67">
                  <c:v>42653</c:v>
                </c:pt>
                <c:pt idx="68">
                  <c:v>42656</c:v>
                </c:pt>
                <c:pt idx="69">
                  <c:v>42657</c:v>
                </c:pt>
                <c:pt idx="70">
                  <c:v>42660</c:v>
                </c:pt>
                <c:pt idx="71">
                  <c:v>42661</c:v>
                </c:pt>
                <c:pt idx="72">
                  <c:v>42662</c:v>
                </c:pt>
                <c:pt idx="73">
                  <c:v>42663</c:v>
                </c:pt>
                <c:pt idx="74">
                  <c:v>42664</c:v>
                </c:pt>
                <c:pt idx="75">
                  <c:v>42667</c:v>
                </c:pt>
                <c:pt idx="76">
                  <c:v>42668</c:v>
                </c:pt>
                <c:pt idx="77">
                  <c:v>42669</c:v>
                </c:pt>
                <c:pt idx="78">
                  <c:v>42670</c:v>
                </c:pt>
                <c:pt idx="79">
                  <c:v>42671</c:v>
                </c:pt>
                <c:pt idx="80">
                  <c:v>42673</c:v>
                </c:pt>
                <c:pt idx="81">
                  <c:v>42675</c:v>
                </c:pt>
                <c:pt idx="82">
                  <c:v>42676</c:v>
                </c:pt>
                <c:pt idx="83">
                  <c:v>42677</c:v>
                </c:pt>
                <c:pt idx="84">
                  <c:v>42678</c:v>
                </c:pt>
                <c:pt idx="85">
                  <c:v>42681</c:v>
                </c:pt>
                <c:pt idx="86">
                  <c:v>42682</c:v>
                </c:pt>
                <c:pt idx="87">
                  <c:v>42683</c:v>
                </c:pt>
                <c:pt idx="88">
                  <c:v>42684</c:v>
                </c:pt>
                <c:pt idx="89">
                  <c:v>42685</c:v>
                </c:pt>
                <c:pt idx="90">
                  <c:v>42689</c:v>
                </c:pt>
                <c:pt idx="91">
                  <c:v>42690</c:v>
                </c:pt>
                <c:pt idx="92">
                  <c:v>42691</c:v>
                </c:pt>
                <c:pt idx="93">
                  <c:v>42692</c:v>
                </c:pt>
                <c:pt idx="94">
                  <c:v>42695</c:v>
                </c:pt>
                <c:pt idx="95">
                  <c:v>42696</c:v>
                </c:pt>
                <c:pt idx="96">
                  <c:v>42697</c:v>
                </c:pt>
                <c:pt idx="97">
                  <c:v>42698</c:v>
                </c:pt>
                <c:pt idx="98">
                  <c:v>42699</c:v>
                </c:pt>
                <c:pt idx="99">
                  <c:v>42702</c:v>
                </c:pt>
                <c:pt idx="100">
                  <c:v>42703</c:v>
                </c:pt>
                <c:pt idx="101">
                  <c:v>42704</c:v>
                </c:pt>
                <c:pt idx="102">
                  <c:v>42705</c:v>
                </c:pt>
                <c:pt idx="103">
                  <c:v>42706</c:v>
                </c:pt>
                <c:pt idx="104">
                  <c:v>42709</c:v>
                </c:pt>
                <c:pt idx="105">
                  <c:v>42710</c:v>
                </c:pt>
                <c:pt idx="106">
                  <c:v>42711</c:v>
                </c:pt>
                <c:pt idx="107">
                  <c:v>42712</c:v>
                </c:pt>
                <c:pt idx="108">
                  <c:v>42713</c:v>
                </c:pt>
                <c:pt idx="109">
                  <c:v>42716</c:v>
                </c:pt>
                <c:pt idx="110">
                  <c:v>42717</c:v>
                </c:pt>
                <c:pt idx="111">
                  <c:v>42718</c:v>
                </c:pt>
                <c:pt idx="112">
                  <c:v>42719</c:v>
                </c:pt>
                <c:pt idx="113">
                  <c:v>42720</c:v>
                </c:pt>
                <c:pt idx="114">
                  <c:v>42723</c:v>
                </c:pt>
                <c:pt idx="115">
                  <c:v>42724</c:v>
                </c:pt>
                <c:pt idx="116">
                  <c:v>42725</c:v>
                </c:pt>
                <c:pt idx="117">
                  <c:v>42726</c:v>
                </c:pt>
                <c:pt idx="118">
                  <c:v>42727</c:v>
                </c:pt>
                <c:pt idx="119">
                  <c:v>42730</c:v>
                </c:pt>
                <c:pt idx="120">
                  <c:v>42731</c:v>
                </c:pt>
                <c:pt idx="121">
                  <c:v>42732</c:v>
                </c:pt>
                <c:pt idx="122">
                  <c:v>42733</c:v>
                </c:pt>
                <c:pt idx="123">
                  <c:v>42734</c:v>
                </c:pt>
                <c:pt idx="124">
                  <c:v>42737</c:v>
                </c:pt>
                <c:pt idx="125">
                  <c:v>42738</c:v>
                </c:pt>
                <c:pt idx="126">
                  <c:v>42739</c:v>
                </c:pt>
                <c:pt idx="127">
                  <c:v>42740</c:v>
                </c:pt>
                <c:pt idx="128">
                  <c:v>42741</c:v>
                </c:pt>
                <c:pt idx="129">
                  <c:v>42744</c:v>
                </c:pt>
                <c:pt idx="130">
                  <c:v>42745</c:v>
                </c:pt>
                <c:pt idx="131">
                  <c:v>42746</c:v>
                </c:pt>
                <c:pt idx="132">
                  <c:v>42747</c:v>
                </c:pt>
                <c:pt idx="133">
                  <c:v>42748</c:v>
                </c:pt>
                <c:pt idx="134">
                  <c:v>42751</c:v>
                </c:pt>
                <c:pt idx="135">
                  <c:v>42752</c:v>
                </c:pt>
                <c:pt idx="136">
                  <c:v>42753</c:v>
                </c:pt>
                <c:pt idx="137">
                  <c:v>42754</c:v>
                </c:pt>
                <c:pt idx="138">
                  <c:v>42755</c:v>
                </c:pt>
                <c:pt idx="139">
                  <c:v>42758</c:v>
                </c:pt>
                <c:pt idx="140">
                  <c:v>42759</c:v>
                </c:pt>
                <c:pt idx="141">
                  <c:v>42760</c:v>
                </c:pt>
                <c:pt idx="142">
                  <c:v>42762</c:v>
                </c:pt>
                <c:pt idx="143">
                  <c:v>42765</c:v>
                </c:pt>
                <c:pt idx="144">
                  <c:v>42766</c:v>
                </c:pt>
                <c:pt idx="145">
                  <c:v>42767</c:v>
                </c:pt>
                <c:pt idx="146">
                  <c:v>42768</c:v>
                </c:pt>
                <c:pt idx="147">
                  <c:v>42769</c:v>
                </c:pt>
                <c:pt idx="148">
                  <c:v>42772</c:v>
                </c:pt>
                <c:pt idx="149">
                  <c:v>42773</c:v>
                </c:pt>
                <c:pt idx="150">
                  <c:v>42774</c:v>
                </c:pt>
                <c:pt idx="151">
                  <c:v>42775</c:v>
                </c:pt>
                <c:pt idx="152">
                  <c:v>42776</c:v>
                </c:pt>
                <c:pt idx="153">
                  <c:v>42779</c:v>
                </c:pt>
                <c:pt idx="154">
                  <c:v>42780</c:v>
                </c:pt>
                <c:pt idx="155">
                  <c:v>42781</c:v>
                </c:pt>
                <c:pt idx="156">
                  <c:v>42782</c:v>
                </c:pt>
                <c:pt idx="157">
                  <c:v>42783</c:v>
                </c:pt>
                <c:pt idx="158">
                  <c:v>42786</c:v>
                </c:pt>
                <c:pt idx="159">
                  <c:v>42787</c:v>
                </c:pt>
                <c:pt idx="160">
                  <c:v>42788</c:v>
                </c:pt>
                <c:pt idx="161">
                  <c:v>42789</c:v>
                </c:pt>
                <c:pt idx="162">
                  <c:v>42793</c:v>
                </c:pt>
                <c:pt idx="163">
                  <c:v>42794</c:v>
                </c:pt>
                <c:pt idx="164">
                  <c:v>42795</c:v>
                </c:pt>
                <c:pt idx="165">
                  <c:v>42796</c:v>
                </c:pt>
                <c:pt idx="166">
                  <c:v>42797</c:v>
                </c:pt>
                <c:pt idx="167">
                  <c:v>42800</c:v>
                </c:pt>
                <c:pt idx="168">
                  <c:v>42801</c:v>
                </c:pt>
                <c:pt idx="169">
                  <c:v>42802</c:v>
                </c:pt>
                <c:pt idx="170">
                  <c:v>42803</c:v>
                </c:pt>
                <c:pt idx="171">
                  <c:v>42804</c:v>
                </c:pt>
                <c:pt idx="172">
                  <c:v>42808</c:v>
                </c:pt>
                <c:pt idx="173">
                  <c:v>42809</c:v>
                </c:pt>
                <c:pt idx="174">
                  <c:v>42810</c:v>
                </c:pt>
                <c:pt idx="175">
                  <c:v>42811</c:v>
                </c:pt>
                <c:pt idx="176">
                  <c:v>42814</c:v>
                </c:pt>
                <c:pt idx="177">
                  <c:v>42815</c:v>
                </c:pt>
                <c:pt idx="178">
                  <c:v>42816</c:v>
                </c:pt>
                <c:pt idx="179">
                  <c:v>42817</c:v>
                </c:pt>
                <c:pt idx="180">
                  <c:v>42818</c:v>
                </c:pt>
                <c:pt idx="181">
                  <c:v>42821</c:v>
                </c:pt>
                <c:pt idx="182">
                  <c:v>42822</c:v>
                </c:pt>
                <c:pt idx="183">
                  <c:v>42823</c:v>
                </c:pt>
                <c:pt idx="184">
                  <c:v>42824</c:v>
                </c:pt>
                <c:pt idx="185">
                  <c:v>42825</c:v>
                </c:pt>
                <c:pt idx="186">
                  <c:v>42828</c:v>
                </c:pt>
                <c:pt idx="187">
                  <c:v>42830</c:v>
                </c:pt>
                <c:pt idx="188">
                  <c:v>42831</c:v>
                </c:pt>
                <c:pt idx="189">
                  <c:v>42832</c:v>
                </c:pt>
                <c:pt idx="190">
                  <c:v>42835</c:v>
                </c:pt>
                <c:pt idx="191">
                  <c:v>42836</c:v>
                </c:pt>
                <c:pt idx="192">
                  <c:v>42837</c:v>
                </c:pt>
                <c:pt idx="193">
                  <c:v>42838</c:v>
                </c:pt>
                <c:pt idx="194">
                  <c:v>42842</c:v>
                </c:pt>
                <c:pt idx="195">
                  <c:v>42843</c:v>
                </c:pt>
                <c:pt idx="196">
                  <c:v>42844</c:v>
                </c:pt>
                <c:pt idx="197">
                  <c:v>42845</c:v>
                </c:pt>
                <c:pt idx="198">
                  <c:v>42846</c:v>
                </c:pt>
                <c:pt idx="199">
                  <c:v>42849</c:v>
                </c:pt>
                <c:pt idx="200">
                  <c:v>42850</c:v>
                </c:pt>
                <c:pt idx="201">
                  <c:v>42851</c:v>
                </c:pt>
                <c:pt idx="202">
                  <c:v>42852</c:v>
                </c:pt>
                <c:pt idx="203">
                  <c:v>42853</c:v>
                </c:pt>
                <c:pt idx="204">
                  <c:v>42857</c:v>
                </c:pt>
                <c:pt idx="205">
                  <c:v>42858</c:v>
                </c:pt>
                <c:pt idx="206">
                  <c:v>42859</c:v>
                </c:pt>
                <c:pt idx="207">
                  <c:v>42860</c:v>
                </c:pt>
                <c:pt idx="208">
                  <c:v>42863</c:v>
                </c:pt>
                <c:pt idx="209">
                  <c:v>42864</c:v>
                </c:pt>
                <c:pt idx="210">
                  <c:v>42865</c:v>
                </c:pt>
                <c:pt idx="211">
                  <c:v>42866</c:v>
                </c:pt>
                <c:pt idx="212">
                  <c:v>42867</c:v>
                </c:pt>
                <c:pt idx="213">
                  <c:v>42870</c:v>
                </c:pt>
                <c:pt idx="214">
                  <c:v>42871</c:v>
                </c:pt>
                <c:pt idx="215">
                  <c:v>42872</c:v>
                </c:pt>
                <c:pt idx="216">
                  <c:v>42873</c:v>
                </c:pt>
                <c:pt idx="217">
                  <c:v>42874</c:v>
                </c:pt>
                <c:pt idx="218">
                  <c:v>42877</c:v>
                </c:pt>
                <c:pt idx="219">
                  <c:v>42878</c:v>
                </c:pt>
                <c:pt idx="220">
                  <c:v>42879</c:v>
                </c:pt>
                <c:pt idx="221">
                  <c:v>42880</c:v>
                </c:pt>
                <c:pt idx="222">
                  <c:v>42881</c:v>
                </c:pt>
                <c:pt idx="223">
                  <c:v>42884</c:v>
                </c:pt>
                <c:pt idx="224">
                  <c:v>42885</c:v>
                </c:pt>
                <c:pt idx="225">
                  <c:v>42886</c:v>
                </c:pt>
                <c:pt idx="226">
                  <c:v>42887</c:v>
                </c:pt>
                <c:pt idx="227">
                  <c:v>42888</c:v>
                </c:pt>
                <c:pt idx="228">
                  <c:v>42891</c:v>
                </c:pt>
                <c:pt idx="229">
                  <c:v>42892</c:v>
                </c:pt>
                <c:pt idx="230">
                  <c:v>42893</c:v>
                </c:pt>
                <c:pt idx="231">
                  <c:v>42894</c:v>
                </c:pt>
                <c:pt idx="232">
                  <c:v>42895</c:v>
                </c:pt>
                <c:pt idx="233">
                  <c:v>42898</c:v>
                </c:pt>
                <c:pt idx="234">
                  <c:v>42899</c:v>
                </c:pt>
                <c:pt idx="235">
                  <c:v>42900</c:v>
                </c:pt>
                <c:pt idx="236">
                  <c:v>42901</c:v>
                </c:pt>
                <c:pt idx="237">
                  <c:v>42902</c:v>
                </c:pt>
                <c:pt idx="238">
                  <c:v>42905</c:v>
                </c:pt>
                <c:pt idx="239">
                  <c:v>42906</c:v>
                </c:pt>
                <c:pt idx="240">
                  <c:v>42907</c:v>
                </c:pt>
                <c:pt idx="241">
                  <c:v>42908</c:v>
                </c:pt>
                <c:pt idx="242">
                  <c:v>42909</c:v>
                </c:pt>
                <c:pt idx="243">
                  <c:v>42913</c:v>
                </c:pt>
                <c:pt idx="244">
                  <c:v>42914</c:v>
                </c:pt>
                <c:pt idx="245">
                  <c:v>42915</c:v>
                </c:pt>
                <c:pt idx="246">
                  <c:v>42916</c:v>
                </c:pt>
              </c:numCache>
            </c:numRef>
          </c:cat>
          <c:val>
            <c:numRef>
              <c:f>'F1'!$C$395:$C$641</c:f>
              <c:numCache>
                <c:formatCode>0</c:formatCode>
                <c:ptCount val="247"/>
                <c:pt idx="0">
                  <c:v>8328.35</c:v>
                </c:pt>
                <c:pt idx="1">
                  <c:v>8370.7000000000007</c:v>
                </c:pt>
                <c:pt idx="2">
                  <c:v>8335.9500000000007</c:v>
                </c:pt>
                <c:pt idx="3">
                  <c:v>8337.9</c:v>
                </c:pt>
                <c:pt idx="4">
                  <c:v>8323.2000000000007</c:v>
                </c:pt>
                <c:pt idx="5">
                  <c:v>8467.9</c:v>
                </c:pt>
                <c:pt idx="6">
                  <c:v>8521.0499999999993</c:v>
                </c:pt>
                <c:pt idx="7">
                  <c:v>8519.5</c:v>
                </c:pt>
                <c:pt idx="8">
                  <c:v>8565</c:v>
                </c:pt>
                <c:pt idx="9">
                  <c:v>8541.4</c:v>
                </c:pt>
                <c:pt idx="10">
                  <c:v>8508.7000000000007</c:v>
                </c:pt>
                <c:pt idx="11">
                  <c:v>8528.5499999999993</c:v>
                </c:pt>
                <c:pt idx="12">
                  <c:v>8565.85</c:v>
                </c:pt>
                <c:pt idx="13">
                  <c:v>8510.1</c:v>
                </c:pt>
                <c:pt idx="14">
                  <c:v>8541.2000000000007</c:v>
                </c:pt>
                <c:pt idx="15">
                  <c:v>8635.65</c:v>
                </c:pt>
                <c:pt idx="16">
                  <c:v>8590.65</c:v>
                </c:pt>
                <c:pt idx="17">
                  <c:v>8615.7999999999993</c:v>
                </c:pt>
                <c:pt idx="18">
                  <c:v>8666.2999999999993</c:v>
                </c:pt>
                <c:pt idx="19">
                  <c:v>8638.5</c:v>
                </c:pt>
                <c:pt idx="20">
                  <c:v>8636.5499999999993</c:v>
                </c:pt>
                <c:pt idx="21">
                  <c:v>8622.9</c:v>
                </c:pt>
                <c:pt idx="22">
                  <c:v>8544.85</c:v>
                </c:pt>
                <c:pt idx="23">
                  <c:v>8551.1</c:v>
                </c:pt>
                <c:pt idx="24">
                  <c:v>8683.15</c:v>
                </c:pt>
                <c:pt idx="25">
                  <c:v>8711.35</c:v>
                </c:pt>
                <c:pt idx="26">
                  <c:v>8678.25</c:v>
                </c:pt>
                <c:pt idx="27">
                  <c:v>8575.2999999999993</c:v>
                </c:pt>
                <c:pt idx="28">
                  <c:v>8592.15</c:v>
                </c:pt>
                <c:pt idx="29">
                  <c:v>8672.15</c:v>
                </c:pt>
                <c:pt idx="30">
                  <c:v>8642.5499999999993</c:v>
                </c:pt>
                <c:pt idx="31">
                  <c:v>8624.0499999999993</c:v>
                </c:pt>
                <c:pt idx="32">
                  <c:v>8673.25</c:v>
                </c:pt>
                <c:pt idx="33">
                  <c:v>8666.9</c:v>
                </c:pt>
                <c:pt idx="34">
                  <c:v>8629.15</c:v>
                </c:pt>
                <c:pt idx="35">
                  <c:v>8632.6</c:v>
                </c:pt>
                <c:pt idx="36">
                  <c:v>8650.2999999999993</c:v>
                </c:pt>
                <c:pt idx="37">
                  <c:v>8592.2000000000007</c:v>
                </c:pt>
                <c:pt idx="38">
                  <c:v>8572.5499999999993</c:v>
                </c:pt>
                <c:pt idx="39">
                  <c:v>8607.4500000000007</c:v>
                </c:pt>
                <c:pt idx="40">
                  <c:v>8744.35</c:v>
                </c:pt>
                <c:pt idx="41">
                  <c:v>8786.2000000000007</c:v>
                </c:pt>
                <c:pt idx="42">
                  <c:v>8774.65</c:v>
                </c:pt>
                <c:pt idx="43">
                  <c:v>8809.65</c:v>
                </c:pt>
                <c:pt idx="44">
                  <c:v>8943</c:v>
                </c:pt>
                <c:pt idx="45">
                  <c:v>8917.9500000000007</c:v>
                </c:pt>
                <c:pt idx="46">
                  <c:v>8952.5</c:v>
                </c:pt>
                <c:pt idx="47">
                  <c:v>8866.7000000000007</c:v>
                </c:pt>
                <c:pt idx="48">
                  <c:v>8715.6</c:v>
                </c:pt>
                <c:pt idx="49">
                  <c:v>8726.6</c:v>
                </c:pt>
                <c:pt idx="50">
                  <c:v>8742.5499999999993</c:v>
                </c:pt>
                <c:pt idx="51">
                  <c:v>8779.85</c:v>
                </c:pt>
                <c:pt idx="52">
                  <c:v>8808.4</c:v>
                </c:pt>
                <c:pt idx="53">
                  <c:v>8775.9</c:v>
                </c:pt>
                <c:pt idx="54">
                  <c:v>8777.15</c:v>
                </c:pt>
                <c:pt idx="55">
                  <c:v>8867.4500000000007</c:v>
                </c:pt>
                <c:pt idx="56">
                  <c:v>8831.5499999999993</c:v>
                </c:pt>
                <c:pt idx="57">
                  <c:v>8723.0499999999993</c:v>
                </c:pt>
                <c:pt idx="58">
                  <c:v>8706.4</c:v>
                </c:pt>
                <c:pt idx="59">
                  <c:v>8745.15</c:v>
                </c:pt>
                <c:pt idx="60">
                  <c:v>8591.25</c:v>
                </c:pt>
                <c:pt idx="61">
                  <c:v>8611.15</c:v>
                </c:pt>
                <c:pt idx="62">
                  <c:v>8738.1</c:v>
                </c:pt>
                <c:pt idx="63">
                  <c:v>8769.15</c:v>
                </c:pt>
                <c:pt idx="64">
                  <c:v>8743.9500000000007</c:v>
                </c:pt>
                <c:pt idx="65">
                  <c:v>8709.5499999999993</c:v>
                </c:pt>
                <c:pt idx="66">
                  <c:v>8697.6</c:v>
                </c:pt>
                <c:pt idx="67">
                  <c:v>8708.7999999999993</c:v>
                </c:pt>
                <c:pt idx="68">
                  <c:v>8573.35</c:v>
                </c:pt>
                <c:pt idx="69">
                  <c:v>8583.4</c:v>
                </c:pt>
                <c:pt idx="70">
                  <c:v>8520.4</c:v>
                </c:pt>
                <c:pt idx="71">
                  <c:v>8677.9</c:v>
                </c:pt>
                <c:pt idx="72">
                  <c:v>8659.1</c:v>
                </c:pt>
                <c:pt idx="73">
                  <c:v>8699.4</c:v>
                </c:pt>
                <c:pt idx="74">
                  <c:v>8693.0499999999993</c:v>
                </c:pt>
                <c:pt idx="75">
                  <c:v>8708.9500000000007</c:v>
                </c:pt>
                <c:pt idx="76">
                  <c:v>8691.2999999999993</c:v>
                </c:pt>
                <c:pt idx="77">
                  <c:v>8615.25</c:v>
                </c:pt>
                <c:pt idx="78">
                  <c:v>8615.25</c:v>
                </c:pt>
                <c:pt idx="79">
                  <c:v>8638</c:v>
                </c:pt>
                <c:pt idx="80">
                  <c:v>8625.7000000000007</c:v>
                </c:pt>
                <c:pt idx="81">
                  <c:v>8626.25</c:v>
                </c:pt>
                <c:pt idx="82">
                  <c:v>8514</c:v>
                </c:pt>
                <c:pt idx="83">
                  <c:v>8484.9500000000007</c:v>
                </c:pt>
                <c:pt idx="84">
                  <c:v>8433.75</c:v>
                </c:pt>
                <c:pt idx="85">
                  <c:v>8497.0499999999993</c:v>
                </c:pt>
                <c:pt idx="86">
                  <c:v>8543.5499999999993</c:v>
                </c:pt>
                <c:pt idx="87">
                  <c:v>8432</c:v>
                </c:pt>
                <c:pt idx="88">
                  <c:v>8525.75</c:v>
                </c:pt>
                <c:pt idx="89">
                  <c:v>8296.2999999999993</c:v>
                </c:pt>
                <c:pt idx="90">
                  <c:v>8108.45</c:v>
                </c:pt>
                <c:pt idx="91">
                  <c:v>8111.6</c:v>
                </c:pt>
                <c:pt idx="92">
                  <c:v>8079.95</c:v>
                </c:pt>
                <c:pt idx="93">
                  <c:v>8074.1</c:v>
                </c:pt>
                <c:pt idx="94">
                  <c:v>7929.1</c:v>
                </c:pt>
                <c:pt idx="95">
                  <c:v>8002.3</c:v>
                </c:pt>
                <c:pt idx="96">
                  <c:v>8033.3</c:v>
                </c:pt>
                <c:pt idx="97">
                  <c:v>7965.5</c:v>
                </c:pt>
                <c:pt idx="98">
                  <c:v>8114.3</c:v>
                </c:pt>
                <c:pt idx="99">
                  <c:v>8126.9</c:v>
                </c:pt>
                <c:pt idx="100">
                  <c:v>8142.15</c:v>
                </c:pt>
                <c:pt idx="101">
                  <c:v>8224.5</c:v>
                </c:pt>
                <c:pt idx="102">
                  <c:v>8192.9</c:v>
                </c:pt>
                <c:pt idx="103">
                  <c:v>8086.8</c:v>
                </c:pt>
                <c:pt idx="104">
                  <c:v>8128.75</c:v>
                </c:pt>
                <c:pt idx="105">
                  <c:v>8143.15</c:v>
                </c:pt>
                <c:pt idx="106">
                  <c:v>8102.05</c:v>
                </c:pt>
                <c:pt idx="107">
                  <c:v>8246.85</c:v>
                </c:pt>
                <c:pt idx="108">
                  <c:v>8261.75</c:v>
                </c:pt>
                <c:pt idx="109">
                  <c:v>8170.8</c:v>
                </c:pt>
                <c:pt idx="110">
                  <c:v>8221.7999999999993</c:v>
                </c:pt>
                <c:pt idx="111">
                  <c:v>8182.45</c:v>
                </c:pt>
                <c:pt idx="112">
                  <c:v>8153.6</c:v>
                </c:pt>
                <c:pt idx="113">
                  <c:v>8139.45</c:v>
                </c:pt>
                <c:pt idx="114">
                  <c:v>8104.35</c:v>
                </c:pt>
                <c:pt idx="115">
                  <c:v>8082.4</c:v>
                </c:pt>
                <c:pt idx="116">
                  <c:v>8061.3</c:v>
                </c:pt>
                <c:pt idx="117">
                  <c:v>7979.1</c:v>
                </c:pt>
                <c:pt idx="118">
                  <c:v>7985.75</c:v>
                </c:pt>
                <c:pt idx="119">
                  <c:v>7908.25</c:v>
                </c:pt>
                <c:pt idx="120">
                  <c:v>8032.85</c:v>
                </c:pt>
                <c:pt idx="121">
                  <c:v>8034.85</c:v>
                </c:pt>
                <c:pt idx="122">
                  <c:v>8103.6</c:v>
                </c:pt>
                <c:pt idx="123">
                  <c:v>8185.8</c:v>
                </c:pt>
                <c:pt idx="124">
                  <c:v>8179.5</c:v>
                </c:pt>
                <c:pt idx="125">
                  <c:v>8192.25</c:v>
                </c:pt>
                <c:pt idx="126">
                  <c:v>8190.5</c:v>
                </c:pt>
                <c:pt idx="127">
                  <c:v>8273.7999999999993</c:v>
                </c:pt>
                <c:pt idx="128">
                  <c:v>8243.7999999999993</c:v>
                </c:pt>
                <c:pt idx="129">
                  <c:v>8236.0499999999993</c:v>
                </c:pt>
                <c:pt idx="130">
                  <c:v>8288.6</c:v>
                </c:pt>
                <c:pt idx="131">
                  <c:v>8380.65</c:v>
                </c:pt>
                <c:pt idx="132">
                  <c:v>8407.2000000000007</c:v>
                </c:pt>
                <c:pt idx="133">
                  <c:v>8400.35</c:v>
                </c:pt>
                <c:pt idx="134">
                  <c:v>8412.7999999999993</c:v>
                </c:pt>
                <c:pt idx="135">
                  <c:v>8398</c:v>
                </c:pt>
                <c:pt idx="136">
                  <c:v>8417</c:v>
                </c:pt>
                <c:pt idx="137">
                  <c:v>8435.1</c:v>
                </c:pt>
                <c:pt idx="138">
                  <c:v>8349.35</c:v>
                </c:pt>
                <c:pt idx="139">
                  <c:v>8391.5</c:v>
                </c:pt>
                <c:pt idx="140">
                  <c:v>8475.7999999999993</c:v>
                </c:pt>
                <c:pt idx="141">
                  <c:v>8602.75</c:v>
                </c:pt>
                <c:pt idx="142">
                  <c:v>8641.25</c:v>
                </c:pt>
                <c:pt idx="143">
                  <c:v>8632.75</c:v>
                </c:pt>
                <c:pt idx="144">
                  <c:v>8561.2999999999993</c:v>
                </c:pt>
                <c:pt idx="145">
                  <c:v>8716.4</c:v>
                </c:pt>
                <c:pt idx="146">
                  <c:v>8734.25</c:v>
                </c:pt>
                <c:pt idx="147">
                  <c:v>8740.9500000000007</c:v>
                </c:pt>
                <c:pt idx="148">
                  <c:v>8801.0499999999993</c:v>
                </c:pt>
                <c:pt idx="149">
                  <c:v>8768.2999999999993</c:v>
                </c:pt>
                <c:pt idx="150">
                  <c:v>8769.0499999999993</c:v>
                </c:pt>
                <c:pt idx="151">
                  <c:v>8778.4</c:v>
                </c:pt>
                <c:pt idx="152">
                  <c:v>8793.5499999999993</c:v>
                </c:pt>
                <c:pt idx="153">
                  <c:v>8805.0499999999993</c:v>
                </c:pt>
                <c:pt idx="154">
                  <c:v>8792.2999999999993</c:v>
                </c:pt>
                <c:pt idx="155">
                  <c:v>8724.7000000000007</c:v>
                </c:pt>
                <c:pt idx="156">
                  <c:v>8778</c:v>
                </c:pt>
                <c:pt idx="157">
                  <c:v>8821.7000000000007</c:v>
                </c:pt>
                <c:pt idx="158">
                  <c:v>8879.2000000000007</c:v>
                </c:pt>
                <c:pt idx="159">
                  <c:v>8907.85</c:v>
                </c:pt>
                <c:pt idx="160">
                  <c:v>8926.9</c:v>
                </c:pt>
                <c:pt idx="161">
                  <c:v>8939.5</c:v>
                </c:pt>
                <c:pt idx="162">
                  <c:v>8896.7000000000007</c:v>
                </c:pt>
                <c:pt idx="163">
                  <c:v>8879.6</c:v>
                </c:pt>
                <c:pt idx="164">
                  <c:v>8945.7999999999993</c:v>
                </c:pt>
                <c:pt idx="165">
                  <c:v>8899.75</c:v>
                </c:pt>
                <c:pt idx="166">
                  <c:v>8897.5499999999993</c:v>
                </c:pt>
                <c:pt idx="167">
                  <c:v>8963.4500000000007</c:v>
                </c:pt>
                <c:pt idx="168">
                  <c:v>8946.9</c:v>
                </c:pt>
                <c:pt idx="169">
                  <c:v>8924.2999999999993</c:v>
                </c:pt>
                <c:pt idx="170">
                  <c:v>8927</c:v>
                </c:pt>
                <c:pt idx="171">
                  <c:v>8934.5499999999993</c:v>
                </c:pt>
                <c:pt idx="172">
                  <c:v>9087</c:v>
                </c:pt>
                <c:pt idx="173">
                  <c:v>9084.7999999999993</c:v>
                </c:pt>
                <c:pt idx="174">
                  <c:v>9153.7000000000007</c:v>
                </c:pt>
                <c:pt idx="175">
                  <c:v>9160.0499999999993</c:v>
                </c:pt>
                <c:pt idx="176">
                  <c:v>9126.85</c:v>
                </c:pt>
                <c:pt idx="177">
                  <c:v>9121.5</c:v>
                </c:pt>
                <c:pt idx="178">
                  <c:v>9030.4500000000007</c:v>
                </c:pt>
                <c:pt idx="179">
                  <c:v>9086.2999999999993</c:v>
                </c:pt>
                <c:pt idx="180">
                  <c:v>9108</c:v>
                </c:pt>
                <c:pt idx="181">
                  <c:v>9045.2000000000007</c:v>
                </c:pt>
                <c:pt idx="182">
                  <c:v>9100.7999999999993</c:v>
                </c:pt>
                <c:pt idx="183">
                  <c:v>9143.7999999999993</c:v>
                </c:pt>
                <c:pt idx="184">
                  <c:v>9173.75</c:v>
                </c:pt>
                <c:pt idx="185">
                  <c:v>9173.75</c:v>
                </c:pt>
                <c:pt idx="186">
                  <c:v>9237.85</c:v>
                </c:pt>
                <c:pt idx="187">
                  <c:v>9265.15</c:v>
                </c:pt>
                <c:pt idx="188">
                  <c:v>9261.9500000000007</c:v>
                </c:pt>
                <c:pt idx="189">
                  <c:v>9198.2999999999993</c:v>
                </c:pt>
                <c:pt idx="190">
                  <c:v>9181.4500000000007</c:v>
                </c:pt>
                <c:pt idx="191">
                  <c:v>9237</c:v>
                </c:pt>
                <c:pt idx="192">
                  <c:v>9203.4500000000007</c:v>
                </c:pt>
                <c:pt idx="193">
                  <c:v>9150.7999999999993</c:v>
                </c:pt>
                <c:pt idx="194">
                  <c:v>9139.2999999999993</c:v>
                </c:pt>
                <c:pt idx="195">
                  <c:v>9105.15</c:v>
                </c:pt>
                <c:pt idx="196">
                  <c:v>9103.5</c:v>
                </c:pt>
                <c:pt idx="197">
                  <c:v>9136.4</c:v>
                </c:pt>
                <c:pt idx="198">
                  <c:v>9119.4</c:v>
                </c:pt>
                <c:pt idx="199">
                  <c:v>9217.9500000000007</c:v>
                </c:pt>
                <c:pt idx="200">
                  <c:v>9306.6</c:v>
                </c:pt>
                <c:pt idx="201">
                  <c:v>9351.85</c:v>
                </c:pt>
                <c:pt idx="202">
                  <c:v>9342.15</c:v>
                </c:pt>
                <c:pt idx="203">
                  <c:v>9304.0499999999993</c:v>
                </c:pt>
                <c:pt idx="204">
                  <c:v>9313.7999999999993</c:v>
                </c:pt>
                <c:pt idx="205">
                  <c:v>9311.9500000000007</c:v>
                </c:pt>
                <c:pt idx="206">
                  <c:v>9359.9</c:v>
                </c:pt>
                <c:pt idx="207">
                  <c:v>9285.2999999999993</c:v>
                </c:pt>
                <c:pt idx="208">
                  <c:v>9314.0499999999993</c:v>
                </c:pt>
                <c:pt idx="209">
                  <c:v>9316.85</c:v>
                </c:pt>
                <c:pt idx="210">
                  <c:v>9407.2999999999993</c:v>
                </c:pt>
                <c:pt idx="211">
                  <c:v>9422.4</c:v>
                </c:pt>
                <c:pt idx="212">
                  <c:v>9400.9</c:v>
                </c:pt>
                <c:pt idx="213">
                  <c:v>9445.4</c:v>
                </c:pt>
                <c:pt idx="214">
                  <c:v>9512.25</c:v>
                </c:pt>
                <c:pt idx="215">
                  <c:v>9525.75</c:v>
                </c:pt>
                <c:pt idx="216">
                  <c:v>9429.4500000000007</c:v>
                </c:pt>
                <c:pt idx="217">
                  <c:v>9427.9</c:v>
                </c:pt>
                <c:pt idx="218">
                  <c:v>9438.25</c:v>
                </c:pt>
                <c:pt idx="219">
                  <c:v>9386.15</c:v>
                </c:pt>
                <c:pt idx="220">
                  <c:v>9360.5499999999993</c:v>
                </c:pt>
                <c:pt idx="221">
                  <c:v>9509.75</c:v>
                </c:pt>
                <c:pt idx="222">
                  <c:v>9595.1</c:v>
                </c:pt>
                <c:pt idx="223">
                  <c:v>9604.9</c:v>
                </c:pt>
                <c:pt idx="224">
                  <c:v>9624.5499999999993</c:v>
                </c:pt>
                <c:pt idx="225">
                  <c:v>9621.25</c:v>
                </c:pt>
                <c:pt idx="226">
                  <c:v>9616.1</c:v>
                </c:pt>
                <c:pt idx="227">
                  <c:v>9653.5</c:v>
                </c:pt>
                <c:pt idx="228">
                  <c:v>9675.1</c:v>
                </c:pt>
                <c:pt idx="229">
                  <c:v>9637.15</c:v>
                </c:pt>
                <c:pt idx="230">
                  <c:v>9663.9</c:v>
                </c:pt>
                <c:pt idx="231">
                  <c:v>9647.25</c:v>
                </c:pt>
                <c:pt idx="232">
                  <c:v>9668.25</c:v>
                </c:pt>
                <c:pt idx="233">
                  <c:v>9616.4</c:v>
                </c:pt>
                <c:pt idx="234">
                  <c:v>9606.9</c:v>
                </c:pt>
                <c:pt idx="235">
                  <c:v>9618.15</c:v>
                </c:pt>
                <c:pt idx="236">
                  <c:v>9578.0499999999993</c:v>
                </c:pt>
                <c:pt idx="237">
                  <c:v>9588.0499999999993</c:v>
                </c:pt>
                <c:pt idx="238">
                  <c:v>9657.5499999999993</c:v>
                </c:pt>
                <c:pt idx="239">
                  <c:v>9653.5</c:v>
                </c:pt>
                <c:pt idx="240">
                  <c:v>9633.6</c:v>
                </c:pt>
                <c:pt idx="241">
                  <c:v>9630</c:v>
                </c:pt>
                <c:pt idx="242">
                  <c:v>9574.9500000000007</c:v>
                </c:pt>
                <c:pt idx="243">
                  <c:v>9511.4</c:v>
                </c:pt>
                <c:pt idx="244">
                  <c:v>9491.25</c:v>
                </c:pt>
                <c:pt idx="245">
                  <c:v>9504.1</c:v>
                </c:pt>
                <c:pt idx="246">
                  <c:v>9520.9</c:v>
                </c:pt>
              </c:numCache>
            </c:numRef>
          </c:val>
          <c:smooth val="1"/>
        </c:ser>
        <c:dLbls>
          <c:showLegendKey val="0"/>
          <c:showVal val="0"/>
          <c:showCatName val="0"/>
          <c:showSerName val="0"/>
          <c:showPercent val="0"/>
          <c:showBubbleSize val="0"/>
        </c:dLbls>
        <c:marker val="1"/>
        <c:smooth val="0"/>
        <c:axId val="443750136"/>
        <c:axId val="490542224"/>
      </c:lineChart>
      <c:dateAx>
        <c:axId val="537976496"/>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537977280"/>
        <c:crosses val="autoZero"/>
        <c:auto val="0"/>
        <c:lblOffset val="100"/>
        <c:baseTimeUnit val="days"/>
        <c:majorUnit val="1"/>
        <c:majorTimeUnit val="months"/>
        <c:minorUnit val="1"/>
        <c:minorTimeUnit val="months"/>
      </c:dateAx>
      <c:valAx>
        <c:axId val="537977280"/>
        <c:scaling>
          <c:orientation val="minMax"/>
          <c:max val="33000"/>
          <c:min val="24000"/>
        </c:scaling>
        <c:delete val="0"/>
        <c:axPos val="l"/>
        <c:numFmt formatCode="#,##0" sourceLinked="0"/>
        <c:majorTickMark val="none"/>
        <c:minorTickMark val="none"/>
        <c:tickLblPos val="nextTo"/>
        <c:txPr>
          <a:bodyPr/>
          <a:lstStyle/>
          <a:p>
            <a:pPr>
              <a:defRPr lang="en-IN"/>
            </a:pPr>
            <a:endParaRPr lang="en-US"/>
          </a:p>
        </c:txPr>
        <c:crossAx val="537976496"/>
        <c:crossesAt val="41609"/>
        <c:crossBetween val="between"/>
        <c:majorUnit val="1000"/>
      </c:valAx>
      <c:valAx>
        <c:axId val="490542224"/>
        <c:scaling>
          <c:orientation val="minMax"/>
          <c:max val="10000"/>
          <c:min val="7000"/>
        </c:scaling>
        <c:delete val="0"/>
        <c:axPos val="r"/>
        <c:numFmt formatCode="#,##0" sourceLinked="0"/>
        <c:majorTickMark val="none"/>
        <c:minorTickMark val="none"/>
        <c:tickLblPos val="nextTo"/>
        <c:txPr>
          <a:bodyPr/>
          <a:lstStyle/>
          <a:p>
            <a:pPr>
              <a:defRPr lang="en-IN"/>
            </a:pPr>
            <a:endParaRPr lang="en-US"/>
          </a:p>
        </c:txPr>
        <c:crossAx val="443750136"/>
        <c:crosses val="max"/>
        <c:crossBetween val="between"/>
        <c:majorUnit val="500"/>
      </c:valAx>
      <c:dateAx>
        <c:axId val="443750136"/>
        <c:scaling>
          <c:orientation val="minMax"/>
        </c:scaling>
        <c:delete val="1"/>
        <c:axPos val="b"/>
        <c:numFmt formatCode="[$-409]d\-mmm\-yy;@" sourceLinked="1"/>
        <c:majorTickMark val="out"/>
        <c:minorTickMark val="none"/>
        <c:tickLblPos val="none"/>
        <c:crossAx val="490542224"/>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268124637134"/>
          <c:y val="4.9875484450859042E-2"/>
          <c:w val="0.7741323210793204"/>
          <c:h val="0.71357557755562917"/>
        </c:manualLayout>
      </c:layout>
      <c:barChart>
        <c:barDir val="col"/>
        <c:grouping val="clustered"/>
        <c:varyColors val="0"/>
        <c:ser>
          <c:idx val="0"/>
          <c:order val="0"/>
          <c:tx>
            <c:strRef>
              <c:f>Comm!$I$80</c:f>
              <c:strCache>
                <c:ptCount val="1"/>
                <c:pt idx="0">
                  <c:v>MCX</c:v>
                </c:pt>
              </c:strCache>
            </c:strRef>
          </c:tx>
          <c:invertIfNegative val="0"/>
          <c:cat>
            <c:numRef>
              <c:f>Comm!$H$93:$H$107</c:f>
              <c:numCache>
                <c:formatCode>mmm\-yy</c:formatCode>
                <c:ptCount val="15"/>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numCache>
            </c:numRef>
          </c:cat>
          <c:val>
            <c:numRef>
              <c:f>Comm!$I$93:$I$107</c:f>
              <c:numCache>
                <c:formatCode>_(* #,##0_);_(* \(#,##0\);_(* "-"??_);_(@_)</c:formatCode>
                <c:ptCount val="15"/>
                <c:pt idx="0">
                  <c:v>481291.03277655004</c:v>
                </c:pt>
                <c:pt idx="1">
                  <c:v>510007.36251230002</c:v>
                </c:pt>
                <c:pt idx="2">
                  <c:v>573328</c:v>
                </c:pt>
                <c:pt idx="3">
                  <c:v>560965.77653879998</c:v>
                </c:pt>
                <c:pt idx="4">
                  <c:v>522920.09262869996</c:v>
                </c:pt>
                <c:pt idx="5">
                  <c:v>511306.63650080003</c:v>
                </c:pt>
                <c:pt idx="6">
                  <c:v>442513.20736244996</c:v>
                </c:pt>
                <c:pt idx="7">
                  <c:v>541727.8404155001</c:v>
                </c:pt>
                <c:pt idx="8">
                  <c:v>373618.74384820001</c:v>
                </c:pt>
                <c:pt idx="9">
                  <c:v>399365.93157855002</c:v>
                </c:pt>
                <c:pt idx="10">
                  <c:v>382224.37059270008</c:v>
                </c:pt>
                <c:pt idx="11">
                  <c:v>427080</c:v>
                </c:pt>
                <c:pt idx="12">
                  <c:v>354993</c:v>
                </c:pt>
                <c:pt idx="13">
                  <c:v>411754.71919004997</c:v>
                </c:pt>
                <c:pt idx="14">
                  <c:v>408683.72294534993</c:v>
                </c:pt>
              </c:numCache>
            </c:numRef>
          </c:val>
        </c:ser>
        <c:dLbls>
          <c:showLegendKey val="0"/>
          <c:showVal val="0"/>
          <c:showCatName val="0"/>
          <c:showSerName val="0"/>
          <c:showPercent val="0"/>
          <c:showBubbleSize val="0"/>
        </c:dLbls>
        <c:gapWidth val="150"/>
        <c:axId val="441404208"/>
        <c:axId val="537941456"/>
      </c:barChart>
      <c:lineChart>
        <c:grouping val="standard"/>
        <c:varyColors val="0"/>
        <c:ser>
          <c:idx val="1"/>
          <c:order val="1"/>
          <c:tx>
            <c:strRef>
              <c:f>Comm!$J$80</c:f>
              <c:strCache>
                <c:ptCount val="1"/>
                <c:pt idx="0">
                  <c:v>NCDEX</c:v>
                </c:pt>
              </c:strCache>
            </c:strRef>
          </c:tx>
          <c:spPr>
            <a:ln w="41275">
              <a:solidFill>
                <a:schemeClr val="accent2">
                  <a:lumMod val="75000"/>
                </a:schemeClr>
              </a:solidFill>
            </a:ln>
          </c:spPr>
          <c:marker>
            <c:symbol val="none"/>
          </c:marker>
          <c:dPt>
            <c:idx val="1"/>
            <c:bubble3D val="0"/>
            <c:spPr>
              <a:ln w="41275" cmpd="sng">
                <a:solidFill>
                  <a:schemeClr val="accent2">
                    <a:lumMod val="75000"/>
                  </a:schemeClr>
                </a:solidFill>
              </a:ln>
            </c:spPr>
          </c:dPt>
          <c:cat>
            <c:numRef>
              <c:f>Comm!$H$93:$H$107</c:f>
              <c:numCache>
                <c:formatCode>mmm\-yy</c:formatCode>
                <c:ptCount val="15"/>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numCache>
            </c:numRef>
          </c:cat>
          <c:val>
            <c:numRef>
              <c:f>Comm!$J$93:$J$107</c:f>
              <c:numCache>
                <c:formatCode>_(* #,##0_);_(* \(#,##0\);_(* "-"??_);_(@_)</c:formatCode>
                <c:ptCount val="15"/>
                <c:pt idx="0" formatCode="0">
                  <c:v>249.65218999999999</c:v>
                </c:pt>
                <c:pt idx="1">
                  <c:v>73</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numCache>
            </c:numRef>
          </c:val>
          <c:smooth val="0"/>
        </c:ser>
        <c:dLbls>
          <c:showLegendKey val="0"/>
          <c:showVal val="0"/>
          <c:showCatName val="0"/>
          <c:showSerName val="0"/>
          <c:showPercent val="0"/>
          <c:showBubbleSize val="0"/>
        </c:dLbls>
        <c:marker val="1"/>
        <c:smooth val="0"/>
        <c:axId val="441404992"/>
        <c:axId val="441404600"/>
      </c:lineChart>
      <c:valAx>
        <c:axId val="537941456"/>
        <c:scaling>
          <c:orientation val="minMax"/>
        </c:scaling>
        <c:delete val="0"/>
        <c:axPos val="l"/>
        <c:title>
          <c:tx>
            <c:rich>
              <a:bodyPr/>
              <a:lstStyle/>
              <a:p>
                <a:pPr>
                  <a:defRPr sz="1200"/>
                </a:pPr>
                <a:r>
                  <a:rPr lang="en-US" sz="1200"/>
                  <a:t>MCX</a:t>
                </a:r>
              </a:p>
            </c:rich>
          </c:tx>
          <c:layout>
            <c:manualLayout>
              <c:xMode val="edge"/>
              <c:yMode val="edge"/>
              <c:x val="0"/>
              <c:y val="0.32594396984160762"/>
            </c:manualLayout>
          </c:layout>
          <c:overlay val="0"/>
        </c:title>
        <c:numFmt formatCode="_(* #,##0_);_(* \(#,##0\);_(* &quot;-&quot;??_);_(@_)" sourceLinked="1"/>
        <c:majorTickMark val="out"/>
        <c:minorTickMark val="none"/>
        <c:tickLblPos val="nextTo"/>
        <c:crossAx val="441404208"/>
        <c:crosses val="autoZero"/>
        <c:crossBetween val="between"/>
      </c:valAx>
      <c:dateAx>
        <c:axId val="441404208"/>
        <c:scaling>
          <c:orientation val="minMax"/>
        </c:scaling>
        <c:delete val="0"/>
        <c:axPos val="b"/>
        <c:numFmt formatCode="mmm\-yy" sourceLinked="1"/>
        <c:majorTickMark val="out"/>
        <c:minorTickMark val="none"/>
        <c:tickLblPos val="nextTo"/>
        <c:txPr>
          <a:bodyPr rot="-5400000" vert="horz"/>
          <a:lstStyle/>
          <a:p>
            <a:pPr>
              <a:defRPr i="0"/>
            </a:pPr>
            <a:endParaRPr lang="en-US"/>
          </a:p>
        </c:txPr>
        <c:crossAx val="537941456"/>
        <c:crosses val="autoZero"/>
        <c:auto val="0"/>
        <c:lblOffset val="100"/>
        <c:baseTimeUnit val="months"/>
      </c:dateAx>
      <c:valAx>
        <c:axId val="441404600"/>
        <c:scaling>
          <c:orientation val="minMax"/>
          <c:max val="1000"/>
        </c:scaling>
        <c:delete val="0"/>
        <c:axPos val="r"/>
        <c:numFmt formatCode="0" sourceLinked="1"/>
        <c:majorTickMark val="out"/>
        <c:minorTickMark val="none"/>
        <c:tickLblPos val="nextTo"/>
        <c:crossAx val="441404992"/>
        <c:crosses val="max"/>
        <c:crossBetween val="between"/>
      </c:valAx>
      <c:catAx>
        <c:axId val="441404992"/>
        <c:scaling>
          <c:orientation val="minMax"/>
        </c:scaling>
        <c:delete val="1"/>
        <c:axPos val="t"/>
        <c:numFmt formatCode="mmm\-yy" sourceLinked="1"/>
        <c:majorTickMark val="out"/>
        <c:minorTickMark val="none"/>
        <c:tickLblPos val="nextTo"/>
        <c:crossAx val="441404600"/>
        <c:crosses val="max"/>
        <c:auto val="0"/>
        <c:lblAlgn val="ctr"/>
        <c:lblOffset val="100"/>
        <c:noMultiLvlLbl val="0"/>
      </c:catAx>
      <c:spPr>
        <a:noFill/>
        <a:ln w="25400">
          <a:noFill/>
        </a:ln>
      </c:spPr>
    </c:plotArea>
    <c:legend>
      <c:legendPos val="b"/>
      <c:layout>
        <c:manualLayout>
          <c:xMode val="edge"/>
          <c:yMode val="edge"/>
          <c:x val="0.40889060402316724"/>
          <c:y val="0.93010602345982485"/>
          <c:w val="0.23219239272052916"/>
          <c:h val="6.9893976540175179E-2"/>
        </c:manualLayout>
      </c:layout>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'F11'!$A$24:$A$35</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'F11'!$B$24:$B$35</c:f>
              <c:numCache>
                <c:formatCode>_(* #,##0_);_(* \(#,##0\);_(* "-"??_);_(@_)</c:formatCode>
                <c:ptCount val="12"/>
                <c:pt idx="0">
                  <c:v>16187</c:v>
                </c:pt>
                <c:pt idx="1">
                  <c:v>19400</c:v>
                </c:pt>
                <c:pt idx="2">
                  <c:v>25687</c:v>
                </c:pt>
                <c:pt idx="3">
                  <c:v>24134.66</c:v>
                </c:pt>
                <c:pt idx="4">
                  <c:v>25783.58</c:v>
                </c:pt>
                <c:pt idx="5">
                  <c:v>31070.560000000001</c:v>
                </c:pt>
                <c:pt idx="6">
                  <c:v>30903</c:v>
                </c:pt>
                <c:pt idx="7">
                  <c:v>23690.81</c:v>
                </c:pt>
                <c:pt idx="8">
                  <c:v>44579.67</c:v>
                </c:pt>
                <c:pt idx="9">
                  <c:v>37605.480000000003</c:v>
                </c:pt>
                <c:pt idx="10">
                  <c:v>49041.36</c:v>
                </c:pt>
                <c:pt idx="11">
                  <c:v>35324.660000000003</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'F11'!$A$24:$A$35</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'F11'!$C$24:$C$35</c:f>
              <c:numCache>
                <c:formatCode>_(* #,##0_);_(* \(#,##0\);_(* "-"??_);_(@_)</c:formatCode>
                <c:ptCount val="12"/>
                <c:pt idx="0">
                  <c:v>92599</c:v>
                </c:pt>
                <c:pt idx="1">
                  <c:v>90213</c:v>
                </c:pt>
                <c:pt idx="2">
                  <c:v>117781</c:v>
                </c:pt>
                <c:pt idx="3">
                  <c:v>110765.18</c:v>
                </c:pt>
                <c:pt idx="4">
                  <c:v>112682.23</c:v>
                </c:pt>
                <c:pt idx="5">
                  <c:v>109145.16</c:v>
                </c:pt>
                <c:pt idx="6">
                  <c:v>103252</c:v>
                </c:pt>
                <c:pt idx="7">
                  <c:v>83927.96</c:v>
                </c:pt>
                <c:pt idx="8">
                  <c:v>147831.01</c:v>
                </c:pt>
                <c:pt idx="9">
                  <c:v>101728.74</c:v>
                </c:pt>
                <c:pt idx="10">
                  <c:v>76901.320000000007</c:v>
                </c:pt>
                <c:pt idx="11">
                  <c:v>134048.72</c:v>
                </c:pt>
              </c:numCache>
            </c:numRef>
          </c:val>
        </c:ser>
        <c:dLbls>
          <c:showLegendKey val="0"/>
          <c:showVal val="0"/>
          <c:showCatName val="0"/>
          <c:showSerName val="0"/>
          <c:showPercent val="0"/>
          <c:showBubbleSize val="0"/>
        </c:dLbls>
        <c:gapWidth val="150"/>
        <c:axId val="441405776"/>
        <c:axId val="219368904"/>
      </c:barChart>
      <c:dateAx>
        <c:axId val="44140577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219368904"/>
        <c:crosses val="autoZero"/>
        <c:auto val="1"/>
        <c:lblOffset val="100"/>
        <c:baseTimeUnit val="months"/>
      </c:dateAx>
      <c:valAx>
        <c:axId val="219368904"/>
        <c:scaling>
          <c:orientation val="minMax"/>
        </c:scaling>
        <c:delete val="1"/>
        <c:axPos val="l"/>
        <c:numFmt formatCode="_(* #,##0_);_(* \(#,##0\);_(* &quot;-&quot;??_);_(@_)" sourceLinked="1"/>
        <c:majorTickMark val="out"/>
        <c:minorTickMark val="none"/>
        <c:tickLblPos val="none"/>
        <c:crossAx val="44140577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270170199339351E-2"/>
          <c:y val="4.3760949634382117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'F12'!$A$21:$A$32</c:f>
              <c:numCache>
                <c:formatCode>[$-409]mmm\-yy;@</c:formatCode>
                <c:ptCount val="12"/>
                <c:pt idx="0">
                  <c:v>42552</c:v>
                </c:pt>
                <c:pt idx="1">
                  <c:v>42584</c:v>
                </c:pt>
                <c:pt idx="2">
                  <c:v>42616</c:v>
                </c:pt>
                <c:pt idx="3">
                  <c:v>42648</c:v>
                </c:pt>
                <c:pt idx="4">
                  <c:v>42680</c:v>
                </c:pt>
                <c:pt idx="5">
                  <c:v>42712</c:v>
                </c:pt>
                <c:pt idx="6">
                  <c:v>42744</c:v>
                </c:pt>
                <c:pt idx="7">
                  <c:v>42776</c:v>
                </c:pt>
                <c:pt idx="8">
                  <c:v>42808</c:v>
                </c:pt>
                <c:pt idx="9">
                  <c:v>42840</c:v>
                </c:pt>
                <c:pt idx="10">
                  <c:v>42872</c:v>
                </c:pt>
                <c:pt idx="11">
                  <c:v>42904</c:v>
                </c:pt>
              </c:numCache>
            </c:numRef>
          </c:cat>
          <c:val>
            <c:numRef>
              <c:f>'F12'!$B$21:$B$32</c:f>
              <c:numCache>
                <c:formatCode>[&gt;9999999]##\,##\,##\,##0;[&gt;99999]##\,##\,##0;##,##0</c:formatCode>
                <c:ptCount val="12"/>
                <c:pt idx="0">
                  <c:v>-33.799999999999997</c:v>
                </c:pt>
                <c:pt idx="1">
                  <c:v>2717</c:v>
                </c:pt>
                <c:pt idx="2">
                  <c:v>3841.3</c:v>
                </c:pt>
                <c:pt idx="3">
                  <c:v>9128.7000000000007</c:v>
                </c:pt>
                <c:pt idx="4" formatCode="#,##0">
                  <c:v>13775.1</c:v>
                </c:pt>
                <c:pt idx="5" formatCode="#,##0">
                  <c:v>9178.9</c:v>
                </c:pt>
                <c:pt idx="6" formatCode="#,##0">
                  <c:v>5234</c:v>
                </c:pt>
                <c:pt idx="7" formatCode="#,##0">
                  <c:v>2039.7</c:v>
                </c:pt>
                <c:pt idx="8" formatCode="#,##0">
                  <c:v>4191.3999999999996</c:v>
                </c:pt>
                <c:pt idx="9" formatCode="#,##0">
                  <c:v>11244.25</c:v>
                </c:pt>
                <c:pt idx="10" formatCode="#,##0">
                  <c:v>9357.67</c:v>
                </c:pt>
                <c:pt idx="11" formatCode="#,##0">
                  <c:v>9106.11</c:v>
                </c:pt>
              </c:numCache>
            </c:numRef>
          </c:val>
        </c:ser>
        <c:ser>
          <c:idx val="1"/>
          <c:order val="1"/>
          <c:tx>
            <c:strRef>
              <c:f>'F12'!$C$2</c:f>
              <c:strCache>
                <c:ptCount val="1"/>
                <c:pt idx="0">
                  <c:v>Debt</c:v>
                </c:pt>
              </c:strCache>
            </c:strRef>
          </c:tx>
          <c:invertIfNegative val="0"/>
          <c:cat>
            <c:numRef>
              <c:f>'F12'!$A$21:$A$32</c:f>
              <c:numCache>
                <c:formatCode>[$-409]mmm\-yy;@</c:formatCode>
                <c:ptCount val="12"/>
                <c:pt idx="0">
                  <c:v>42552</c:v>
                </c:pt>
                <c:pt idx="1">
                  <c:v>42584</c:v>
                </c:pt>
                <c:pt idx="2">
                  <c:v>42616</c:v>
                </c:pt>
                <c:pt idx="3">
                  <c:v>42648</c:v>
                </c:pt>
                <c:pt idx="4">
                  <c:v>42680</c:v>
                </c:pt>
                <c:pt idx="5">
                  <c:v>42712</c:v>
                </c:pt>
                <c:pt idx="6">
                  <c:v>42744</c:v>
                </c:pt>
                <c:pt idx="7">
                  <c:v>42776</c:v>
                </c:pt>
                <c:pt idx="8">
                  <c:v>42808</c:v>
                </c:pt>
                <c:pt idx="9">
                  <c:v>42840</c:v>
                </c:pt>
                <c:pt idx="10">
                  <c:v>42872</c:v>
                </c:pt>
                <c:pt idx="11">
                  <c:v>42904</c:v>
                </c:pt>
              </c:numCache>
            </c:numRef>
          </c:cat>
          <c:val>
            <c:numRef>
              <c:f>'F12'!$C$21:$C$32</c:f>
              <c:numCache>
                <c:formatCode>[&gt;9999999]##\,##\,##\,##0;[&gt;99999]##\,##\,##0;##,##0</c:formatCode>
                <c:ptCount val="12"/>
                <c:pt idx="0">
                  <c:v>19653.099999999999</c:v>
                </c:pt>
                <c:pt idx="1">
                  <c:v>4093</c:v>
                </c:pt>
                <c:pt idx="2">
                  <c:v>53346.8</c:v>
                </c:pt>
                <c:pt idx="3">
                  <c:v>24637.3</c:v>
                </c:pt>
                <c:pt idx="4">
                  <c:v>12639.3</c:v>
                </c:pt>
                <c:pt idx="5">
                  <c:v>23396</c:v>
                </c:pt>
                <c:pt idx="6" formatCode="#,##0">
                  <c:v>31105</c:v>
                </c:pt>
                <c:pt idx="7" formatCode="#,##0">
                  <c:v>38829.699999999997</c:v>
                </c:pt>
                <c:pt idx="8" formatCode="#,##0">
                  <c:v>34893.9</c:v>
                </c:pt>
                <c:pt idx="9" formatCode="#,##0">
                  <c:v>55932.89</c:v>
                </c:pt>
                <c:pt idx="10" formatCode="#,##0">
                  <c:v>9514.3700000000008</c:v>
                </c:pt>
                <c:pt idx="11" formatCode="#,##0">
                  <c:v>12617.91</c:v>
                </c:pt>
              </c:numCache>
            </c:numRef>
          </c:val>
        </c:ser>
        <c:dLbls>
          <c:showLegendKey val="0"/>
          <c:showVal val="0"/>
          <c:showCatName val="0"/>
          <c:showSerName val="0"/>
          <c:showPercent val="0"/>
          <c:showBubbleSize val="0"/>
        </c:dLbls>
        <c:gapWidth val="150"/>
        <c:axId val="219370080"/>
        <c:axId val="219370472"/>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'F12'!$A$21:$A$32</c:f>
              <c:numCache>
                <c:formatCode>[$-409]mmm\-yy;@</c:formatCode>
                <c:ptCount val="12"/>
                <c:pt idx="0">
                  <c:v>42552</c:v>
                </c:pt>
                <c:pt idx="1">
                  <c:v>42584</c:v>
                </c:pt>
                <c:pt idx="2">
                  <c:v>42616</c:v>
                </c:pt>
                <c:pt idx="3">
                  <c:v>42648</c:v>
                </c:pt>
                <c:pt idx="4">
                  <c:v>42680</c:v>
                </c:pt>
                <c:pt idx="5">
                  <c:v>42712</c:v>
                </c:pt>
                <c:pt idx="6">
                  <c:v>42744</c:v>
                </c:pt>
                <c:pt idx="7">
                  <c:v>42776</c:v>
                </c:pt>
                <c:pt idx="8">
                  <c:v>42808</c:v>
                </c:pt>
                <c:pt idx="9">
                  <c:v>42840</c:v>
                </c:pt>
                <c:pt idx="10">
                  <c:v>42872</c:v>
                </c:pt>
                <c:pt idx="11">
                  <c:v>42904</c:v>
                </c:pt>
              </c:numCache>
            </c:numRef>
          </c:cat>
          <c:val>
            <c:numRef>
              <c:f>'F12'!$D$21:$D$32</c:f>
              <c:numCache>
                <c:formatCode>[&gt;9999999]##\,##\,##\,##0;[&gt;99999]##\,##\,##0;##,##0</c:formatCode>
                <c:ptCount val="12"/>
                <c:pt idx="0">
                  <c:v>19619.3</c:v>
                </c:pt>
                <c:pt idx="1">
                  <c:v>6810</c:v>
                </c:pt>
                <c:pt idx="2">
                  <c:v>57188.100000000006</c:v>
                </c:pt>
                <c:pt idx="3">
                  <c:v>33766</c:v>
                </c:pt>
                <c:pt idx="4">
                  <c:v>26414.400000000001</c:v>
                </c:pt>
                <c:pt idx="5">
                  <c:v>32574.9</c:v>
                </c:pt>
                <c:pt idx="6">
                  <c:v>36339</c:v>
                </c:pt>
                <c:pt idx="7">
                  <c:v>40869.399999999994</c:v>
                </c:pt>
                <c:pt idx="8">
                  <c:v>39085.300000000003</c:v>
                </c:pt>
                <c:pt idx="9">
                  <c:v>67177.14</c:v>
                </c:pt>
                <c:pt idx="10">
                  <c:v>18872.04</c:v>
                </c:pt>
                <c:pt idx="11">
                  <c:v>21724.02</c:v>
                </c:pt>
              </c:numCache>
            </c:numRef>
          </c:val>
          <c:smooth val="0"/>
        </c:ser>
        <c:dLbls>
          <c:showLegendKey val="0"/>
          <c:showVal val="0"/>
          <c:showCatName val="0"/>
          <c:showSerName val="0"/>
          <c:showPercent val="0"/>
          <c:showBubbleSize val="0"/>
        </c:dLbls>
        <c:marker val="1"/>
        <c:smooth val="0"/>
        <c:axId val="219370080"/>
        <c:axId val="219370472"/>
      </c:lineChart>
      <c:catAx>
        <c:axId val="219370080"/>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219370472"/>
        <c:crosses val="autoZero"/>
        <c:auto val="0"/>
        <c:lblAlgn val="ctr"/>
        <c:lblOffset val="1"/>
        <c:noMultiLvlLbl val="0"/>
      </c:catAx>
      <c:valAx>
        <c:axId val="219370472"/>
        <c:scaling>
          <c:orientation val="minMax"/>
          <c:min val="-80000"/>
        </c:scaling>
        <c:delete val="1"/>
        <c:axPos val="l"/>
        <c:numFmt formatCode="[&gt;9999999]##\,##\,##\,##0;[&gt;99999]##\,##\,##0;##,##0" sourceLinked="1"/>
        <c:majorTickMark val="out"/>
        <c:minorTickMark val="none"/>
        <c:tickLblPos val="none"/>
        <c:crossAx val="219370080"/>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'F13'!$B$3</c:f>
              <c:strCache>
                <c:ptCount val="1"/>
                <c:pt idx="0">
                  <c:v>Equity</c:v>
                </c:pt>
              </c:strCache>
            </c:strRef>
          </c:tx>
          <c:spPr>
            <a:solidFill>
              <a:srgbClr val="FFC000"/>
            </a:solidFill>
          </c:spPr>
          <c:invertIfNegative val="0"/>
          <c:dLbls>
            <c:delete val="1"/>
          </c:dLbls>
          <c:cat>
            <c:numRef>
              <c:f>'F13'!$A$22:$A$33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'F13'!$B$22:$B$33</c:f>
              <c:numCache>
                <c:formatCode>#,##0</c:formatCode>
                <c:ptCount val="12"/>
                <c:pt idx="0">
                  <c:v>12611.82</c:v>
                </c:pt>
                <c:pt idx="1">
                  <c:v>9071</c:v>
                </c:pt>
                <c:pt idx="2">
                  <c:v>10443.25</c:v>
                </c:pt>
                <c:pt idx="3">
                  <c:v>-4306.26</c:v>
                </c:pt>
                <c:pt idx="4">
                  <c:v>-18244.25</c:v>
                </c:pt>
                <c:pt idx="5">
                  <c:v>-8176.2900000000009</c:v>
                </c:pt>
                <c:pt idx="6">
                  <c:v>-1177</c:v>
                </c:pt>
                <c:pt idx="7">
                  <c:v>9902.1800000000021</c:v>
                </c:pt>
                <c:pt idx="8">
                  <c:v>30906</c:v>
                </c:pt>
                <c:pt idx="9">
                  <c:v>2394</c:v>
                </c:pt>
                <c:pt idx="10">
                  <c:v>7711.41</c:v>
                </c:pt>
                <c:pt idx="11">
                  <c:v>3616.8199999999988</c:v>
                </c:pt>
              </c:numCache>
            </c:numRef>
          </c:val>
        </c:ser>
        <c:ser>
          <c:idx val="1"/>
          <c:order val="1"/>
          <c:tx>
            <c:strRef>
              <c:f>'F13'!$C$3</c:f>
              <c:strCache>
                <c:ptCount val="1"/>
                <c:pt idx="0">
                  <c:v>Debt</c:v>
                </c:pt>
              </c:strCache>
            </c:strRef>
          </c:tx>
          <c:invertIfNegative val="0"/>
          <c:dLbls>
            <c:delete val="1"/>
          </c:dLbls>
          <c:cat>
            <c:numRef>
              <c:f>'F13'!$A$22:$A$33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'F13'!$C$22:$C$33</c:f>
              <c:numCache>
                <c:formatCode>#,##0</c:formatCode>
                <c:ptCount val="12"/>
                <c:pt idx="0">
                  <c:v>6845.44</c:v>
                </c:pt>
                <c:pt idx="1">
                  <c:v>-2625</c:v>
                </c:pt>
                <c:pt idx="2">
                  <c:v>9789.36</c:v>
                </c:pt>
                <c:pt idx="3">
                  <c:v>-5999.9599999999991</c:v>
                </c:pt>
                <c:pt idx="4">
                  <c:v>-21151.819999999996</c:v>
                </c:pt>
                <c:pt idx="5">
                  <c:v>-18935.169999999995</c:v>
                </c:pt>
                <c:pt idx="6">
                  <c:v>-2319</c:v>
                </c:pt>
                <c:pt idx="7">
                  <c:v>5960.25</c:v>
                </c:pt>
                <c:pt idx="8">
                  <c:v>25354.89</c:v>
                </c:pt>
                <c:pt idx="9">
                  <c:v>20364</c:v>
                </c:pt>
                <c:pt idx="10">
                  <c:v>19154.75</c:v>
                </c:pt>
                <c:pt idx="11">
                  <c:v>25685.110000000004</c:v>
                </c:pt>
              </c:numCache>
            </c:numRef>
          </c:val>
        </c:ser>
        <c:dLbls>
          <c:showLegendKey val="0"/>
          <c:showVal val="1"/>
          <c:showCatName val="0"/>
          <c:showSerName val="0"/>
          <c:showPercent val="0"/>
          <c:showBubbleSize val="0"/>
        </c:dLbls>
        <c:gapWidth val="75"/>
        <c:axId val="219422488"/>
        <c:axId val="219422880"/>
      </c:barChart>
      <c:lineChart>
        <c:grouping val="standard"/>
        <c:varyColors val="0"/>
        <c:ser>
          <c:idx val="2"/>
          <c:order val="2"/>
          <c:tx>
            <c:strRef>
              <c:f>'F13'!$D$3</c:f>
              <c:strCache>
                <c:ptCount val="1"/>
                <c:pt idx="0">
                  <c:v>Total</c:v>
                </c:pt>
              </c:strCache>
            </c:strRef>
          </c:tx>
          <c:spPr>
            <a:ln>
              <a:bevel/>
            </a:ln>
          </c:spPr>
          <c:marker>
            <c:symbol val="diamond"/>
            <c:size val="5"/>
            <c:spPr>
              <a:solidFill>
                <a:schemeClr val="tx2"/>
              </a:solidFill>
              <a:ln cap="sq">
                <a:round/>
              </a:ln>
            </c:spPr>
          </c:marker>
          <c:dLbls>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'F13'!$A$22:$A$33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'F13'!$D$22:$D$33</c:f>
              <c:numCache>
                <c:formatCode>#,##0</c:formatCode>
                <c:ptCount val="12"/>
                <c:pt idx="0">
                  <c:v>19457.259999999998</c:v>
                </c:pt>
                <c:pt idx="1">
                  <c:v>6446</c:v>
                </c:pt>
                <c:pt idx="2">
                  <c:v>20232.61</c:v>
                </c:pt>
                <c:pt idx="3">
                  <c:v>-10306.220000000001</c:v>
                </c:pt>
                <c:pt idx="4">
                  <c:v>-39396.069999999992</c:v>
                </c:pt>
                <c:pt idx="5">
                  <c:v>-27111.460000000003</c:v>
                </c:pt>
                <c:pt idx="6">
                  <c:v>-3496</c:v>
                </c:pt>
                <c:pt idx="7">
                  <c:v>15862.430000000004</c:v>
                </c:pt>
                <c:pt idx="8">
                  <c:v>56260.889999999992</c:v>
                </c:pt>
                <c:pt idx="9">
                  <c:v>22758</c:v>
                </c:pt>
                <c:pt idx="10">
                  <c:v>26866.160000000007</c:v>
                </c:pt>
                <c:pt idx="11">
                  <c:v>29301.93</c:v>
                </c:pt>
              </c:numCache>
            </c:numRef>
          </c:val>
          <c:smooth val="0"/>
        </c:ser>
        <c:dLbls>
          <c:showLegendKey val="0"/>
          <c:showVal val="1"/>
          <c:showCatName val="0"/>
          <c:showSerName val="0"/>
          <c:showPercent val="0"/>
          <c:showBubbleSize val="0"/>
        </c:dLbls>
        <c:marker val="1"/>
        <c:smooth val="0"/>
        <c:axId val="219422488"/>
        <c:axId val="219422880"/>
      </c:lineChart>
      <c:catAx>
        <c:axId val="219422488"/>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219422880"/>
        <c:crosses val="autoZero"/>
        <c:auto val="0"/>
        <c:lblAlgn val="ctr"/>
        <c:lblOffset val="100"/>
        <c:noMultiLvlLbl val="0"/>
      </c:catAx>
      <c:valAx>
        <c:axId val="219422880"/>
        <c:scaling>
          <c:orientation val="minMax"/>
        </c:scaling>
        <c:delete val="0"/>
        <c:axPos val="l"/>
        <c:numFmt formatCode="#,##0" sourceLinked="1"/>
        <c:majorTickMark val="none"/>
        <c:minorTickMark val="none"/>
        <c:tickLblPos val="nextTo"/>
        <c:crossAx val="219422488"/>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'F14'!$D$5</c:f>
              <c:strCache>
                <c:ptCount val="1"/>
                <c:pt idx="0">
                  <c:v>Amount(Rs. Crore)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'F14'!$C$10:$C$21</c:f>
              <c:numCache>
                <c:formatCode>[$-409]mmm\-yy;@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'F14'!$D$10:$D$21</c:f>
              <c:numCache>
                <c:formatCode>[&gt;=10000000]#.##\,##\,##0;[&gt;=100000]#.##\,##0;##,##0</c:formatCode>
                <c:ptCount val="12"/>
                <c:pt idx="0">
                  <c:v>2691.7069000000001</c:v>
                </c:pt>
                <c:pt idx="1">
                  <c:v>2469.5933</c:v>
                </c:pt>
                <c:pt idx="2">
                  <c:v>62.359900000000003</c:v>
                </c:pt>
                <c:pt idx="3">
                  <c:v>5.1432000000000002</c:v>
                </c:pt>
                <c:pt idx="4">
                  <c:v>119.11420000000001</c:v>
                </c:pt>
                <c:pt idx="5">
                  <c:v>119.57</c:v>
                </c:pt>
                <c:pt idx="6">
                  <c:v>247.28</c:v>
                </c:pt>
                <c:pt idx="7">
                  <c:v>48.23</c:v>
                </c:pt>
                <c:pt idx="8">
                  <c:v>2.88</c:v>
                </c:pt>
                <c:pt idx="9">
                  <c:v>586.92999999999995</c:v>
                </c:pt>
                <c:pt idx="10">
                  <c:v>441</c:v>
                </c:pt>
                <c:pt idx="11">
                  <c:v>74.86</c:v>
                </c:pt>
              </c:numCache>
            </c:numRef>
          </c:val>
        </c:ser>
        <c:dLbls>
          <c:showLegendKey val="0"/>
          <c:showVal val="0"/>
          <c:showCatName val="0"/>
          <c:showSerName val="0"/>
          <c:showPercent val="0"/>
          <c:showBubbleSize val="0"/>
        </c:dLbls>
        <c:gapWidth val="219"/>
        <c:overlap val="-27"/>
        <c:axId val="219423664"/>
        <c:axId val="217980424"/>
      </c:barChart>
      <c:lineChart>
        <c:grouping val="standard"/>
        <c:varyColors val="0"/>
        <c:ser>
          <c:idx val="1"/>
          <c:order val="1"/>
          <c:tx>
            <c:strRef>
              <c:f>'F14'!$E$5</c:f>
              <c:strCache>
                <c:ptCount val="1"/>
                <c:pt idx="0">
                  <c:v>Number of Open offer</c:v>
                </c:pt>
              </c:strCache>
            </c:strRef>
          </c:tx>
          <c:spPr>
            <a:ln w="28575" cap="rnd">
              <a:solidFill>
                <a:schemeClr val="tx2">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'F14'!$C$10:$C$21</c:f>
              <c:numCache>
                <c:formatCode>[$-409]mmm\-yy;@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'F14'!$E$10:$E$21</c:f>
              <c:numCache>
                <c:formatCode>[&gt;=10000000]#.##\,##\,##0;[&gt;=100000]#.##\,##0;##,##0</c:formatCode>
                <c:ptCount val="12"/>
                <c:pt idx="0">
                  <c:v>7</c:v>
                </c:pt>
                <c:pt idx="1">
                  <c:v>6</c:v>
                </c:pt>
                <c:pt idx="2">
                  <c:v>4</c:v>
                </c:pt>
                <c:pt idx="3">
                  <c:v>2</c:v>
                </c:pt>
                <c:pt idx="4">
                  <c:v>4</c:v>
                </c:pt>
                <c:pt idx="5">
                  <c:v>2</c:v>
                </c:pt>
                <c:pt idx="6">
                  <c:v>7</c:v>
                </c:pt>
                <c:pt idx="7">
                  <c:v>4</c:v>
                </c:pt>
                <c:pt idx="8">
                  <c:v>3</c:v>
                </c:pt>
                <c:pt idx="9">
                  <c:v>9</c:v>
                </c:pt>
                <c:pt idx="10">
                  <c:v>5</c:v>
                </c:pt>
                <c:pt idx="11">
                  <c:v>6</c:v>
                </c:pt>
              </c:numCache>
            </c:numRef>
          </c:val>
          <c:smooth val="0"/>
        </c:ser>
        <c:dLbls>
          <c:showLegendKey val="0"/>
          <c:showVal val="0"/>
          <c:showCatName val="0"/>
          <c:showSerName val="0"/>
          <c:showPercent val="0"/>
          <c:showBubbleSize val="0"/>
        </c:dLbls>
        <c:marker val="1"/>
        <c:smooth val="0"/>
        <c:axId val="217981208"/>
        <c:axId val="217980816"/>
      </c:lineChart>
      <c:dateAx>
        <c:axId val="21942366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980424"/>
        <c:crosses val="autoZero"/>
        <c:auto val="1"/>
        <c:lblOffset val="100"/>
        <c:baseTimeUnit val="months"/>
      </c:dateAx>
      <c:valAx>
        <c:axId val="217980424"/>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23664"/>
        <c:crosses val="autoZero"/>
        <c:crossBetween val="between"/>
      </c:valAx>
      <c:valAx>
        <c:axId val="21798081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981208"/>
        <c:crosses val="max"/>
        <c:crossBetween val="between"/>
      </c:valAx>
      <c:dateAx>
        <c:axId val="217981208"/>
        <c:scaling>
          <c:orientation val="minMax"/>
        </c:scaling>
        <c:delete val="1"/>
        <c:axPos val="b"/>
        <c:numFmt formatCode="[$-409]mmm\-yy;@" sourceLinked="1"/>
        <c:majorTickMark val="out"/>
        <c:minorTickMark val="none"/>
        <c:tickLblPos val="nextTo"/>
        <c:crossAx val="21798081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Charts!$R$22:$AQ$22</c:f>
              <c:numCache>
                <c:formatCode>0.00</c:formatCode>
                <c:ptCount val="26"/>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2.1</c:v>
                </c:pt>
              </c:numCache>
            </c:numRef>
          </c:val>
          <c:smooth val="0"/>
        </c:ser>
        <c:ser>
          <c:idx val="1"/>
          <c:order val="1"/>
          <c:tx>
            <c:strRef>
              <c:f>Charts!$A$23</c:f>
              <c:strCache>
                <c:ptCount val="1"/>
                <c:pt idx="0">
                  <c:v>UK</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Charts!$R$23:$AQ$23</c:f>
              <c:numCache>
                <c:formatCode>0.00</c:formatCode>
                <c:ptCount val="26"/>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1.7</c:v>
                </c:pt>
              </c:numCache>
            </c:numRef>
          </c:val>
          <c:smooth val="0"/>
        </c:ser>
        <c:ser>
          <c:idx val="2"/>
          <c:order val="2"/>
          <c:tx>
            <c:strRef>
              <c:f>Charts!$A$24</c:f>
              <c:strCache>
                <c:ptCount val="1"/>
                <c:pt idx="0">
                  <c:v>Eurozone</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Charts!$R$24:$AQ$24</c:f>
              <c:numCache>
                <c:formatCode>0.00</c:formatCode>
                <c:ptCount val="26"/>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2.1</c:v>
                </c:pt>
              </c:numCache>
            </c:numRef>
          </c:val>
          <c:smooth val="0"/>
        </c:ser>
        <c:ser>
          <c:idx val="3"/>
          <c:order val="3"/>
          <c:tx>
            <c:strRef>
              <c:f>Charts!$A$25</c:f>
              <c:strCache>
                <c:ptCount val="1"/>
                <c:pt idx="0">
                  <c:v>Japan</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Charts!$R$25:$AQ$25</c:f>
              <c:numCache>
                <c:formatCode>0.00</c:formatCode>
                <c:ptCount val="26"/>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1.3</c:v>
                </c:pt>
                <c:pt idx="25" formatCode="General">
                  <c:v>0</c:v>
                </c:pt>
              </c:numCache>
            </c:numRef>
          </c:val>
          <c:smooth val="0"/>
        </c:ser>
        <c:ser>
          <c:idx val="4"/>
          <c:order val="4"/>
          <c:tx>
            <c:strRef>
              <c:f>Charts!$A$26</c:f>
              <c:strCache>
                <c:ptCount val="1"/>
                <c:pt idx="0">
                  <c:v>Hong Kong</c:v>
                </c:pt>
              </c:strCache>
            </c:strRef>
          </c:tx>
          <c:marker>
            <c:symbol val="none"/>
          </c:marker>
          <c:cat>
            <c:numRef>
              <c:f>Charts!$R$21:$AQ$21</c:f>
              <c:numCache>
                <c:formatCode>m/d/yyyy</c:formatCode>
                <c:ptCount val="26"/>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numCache>
            </c:numRef>
          </c:cat>
          <c:val>
            <c:numRef>
              <c:f>Charts!$R$26:$AQ$26</c:f>
              <c:numCache>
                <c:formatCode>0.00</c:formatCode>
                <c:ptCount val="26"/>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0</c:v>
                </c:pt>
              </c:numCache>
            </c:numRef>
          </c:val>
          <c:smooth val="0"/>
        </c:ser>
        <c:dLbls>
          <c:showLegendKey val="0"/>
          <c:showVal val="0"/>
          <c:showCatName val="0"/>
          <c:showSerName val="0"/>
          <c:showPercent val="0"/>
          <c:showBubbleSize val="0"/>
        </c:dLbls>
        <c:smooth val="0"/>
        <c:axId val="217981992"/>
        <c:axId val="491907520"/>
      </c:lineChart>
      <c:dateAx>
        <c:axId val="217981992"/>
        <c:scaling>
          <c:orientation val="minMax"/>
        </c:scaling>
        <c:delete val="0"/>
        <c:axPos val="b"/>
        <c:numFmt formatCode="[$-409]mmm\-yy;@" sourceLinked="0"/>
        <c:majorTickMark val="out"/>
        <c:minorTickMark val="none"/>
        <c:tickLblPos val="low"/>
        <c:crossAx val="491907520"/>
        <c:crosses val="autoZero"/>
        <c:auto val="1"/>
        <c:lblOffset val="100"/>
        <c:baseTimeUnit val="months"/>
        <c:majorUnit val="3"/>
        <c:minorUnit val="1"/>
      </c:dateAx>
      <c:valAx>
        <c:axId val="491907520"/>
        <c:scaling>
          <c:orientation val="minMax"/>
          <c:max val="10"/>
          <c:min val="-5"/>
        </c:scaling>
        <c:delete val="0"/>
        <c:axPos val="l"/>
        <c:numFmt formatCode="0.00" sourceLinked="1"/>
        <c:majorTickMark val="out"/>
        <c:minorTickMark val="none"/>
        <c:tickLblPos val="nextTo"/>
        <c:crossAx val="217981992"/>
        <c:crosses val="autoZero"/>
        <c:crossBetween val="between"/>
        <c:majorUnit val="5"/>
      </c:valAx>
    </c:plotArea>
    <c:legend>
      <c:legendPos val="b"/>
      <c:layout>
        <c:manualLayout>
          <c:xMode val="edge"/>
          <c:yMode val="edge"/>
          <c:x val="0.24054639774154241"/>
          <c:y val="0.8539929221739927"/>
          <c:w val="0.58092121580740363"/>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Charts!$B$27:$AQ$27</c:f>
              <c:numCache>
                <c:formatCode>General</c:formatCode>
                <c:ptCount val="42"/>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c:v>0</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Charts!$B$28:$AQ$28</c:f>
              <c:numCache>
                <c:formatCode>General</c:formatCode>
                <c:ptCount val="42"/>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0</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Charts!$B$29:$AQ$29</c:f>
              <c:numCache>
                <c:formatCode>General</c:formatCode>
                <c:ptCount val="42"/>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0</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Charts!$B$30:$AQ$30</c:f>
              <c:numCache>
                <c:formatCode>General</c:formatCode>
                <c:ptCount val="42"/>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Charts!$B$21:$AQ$21</c:f>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f>Charts!$B$31:$AQ$31</c:f>
              <c:numCache>
                <c:formatCode>General</c:formatCode>
                <c:ptCount val="42"/>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0</c:v>
                </c:pt>
              </c:numCache>
            </c:numRef>
          </c:val>
          <c:smooth val="0"/>
        </c:ser>
        <c:dLbls>
          <c:showLegendKey val="0"/>
          <c:showVal val="0"/>
          <c:showCatName val="0"/>
          <c:showSerName val="0"/>
          <c:showPercent val="0"/>
          <c:showBubbleSize val="0"/>
        </c:dLbls>
        <c:smooth val="0"/>
        <c:axId val="491908304"/>
        <c:axId val="491908696"/>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c:ext uri="{02D57815-91ED-43cb-92C2-25804820EDAC}">
                        <c15:formulaRef>
                          <c15:sqref>Charts!$B$22:$AQ$22</c15:sqref>
                        </c15:formulaRef>
                      </c:ext>
                    </c:extLst>
                    <c:numCache>
                      <c:formatCode>General</c:formatCode>
                      <c:ptCount val="42"/>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2.1</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Charts!$B$23:$AQ$23</c15:sqref>
                        </c15:formulaRef>
                      </c:ext>
                    </c:extLst>
                    <c:numCache>
                      <c:formatCode>General</c:formatCode>
                      <c:ptCount val="42"/>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Charts!$B$24:$AQ$24</c15:sqref>
                        </c15:formulaRef>
                      </c:ext>
                    </c:extLst>
                    <c:numCache>
                      <c:formatCode>General</c:formatCode>
                      <c:ptCount val="42"/>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2.1</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Charts!$B$25:$AQ$25</c15:sqref>
                        </c15:formulaRef>
                      </c:ext>
                    </c:extLst>
                    <c:numCache>
                      <c:formatCode>General</c:formatCode>
                      <c:ptCount val="42"/>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1.3</c:v>
                      </c:pt>
                      <c:pt idx="41">
                        <c:v>0</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Charts!$B$21:$AQ$21</c15:sqref>
                        </c15:formulaRef>
                      </c:ext>
                    </c:extLst>
                    <c:numCache>
                      <c:formatCode>m/d/yyyy</c:formatCode>
                      <c:ptCount val="42"/>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numCache>
                  </c:numRef>
                </c:cat>
                <c:val>
                  <c:numRef>
                    <c:extLst xmlns:c15="http://schemas.microsoft.com/office/drawing/2012/chart">
                      <c:ext xmlns:c15="http://schemas.microsoft.com/office/drawing/2012/chart" uri="{02D57815-91ED-43cb-92C2-25804820EDAC}">
                        <c15:formulaRef>
                          <c15:sqref>Charts!$B$26:$AQ$26</c15:sqref>
                        </c15:formulaRef>
                      </c:ext>
                    </c:extLst>
                    <c:numCache>
                      <c:formatCode>General</c:formatCode>
                      <c:ptCount val="42"/>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0</c:v>
                      </c:pt>
                    </c:numCache>
                  </c:numRef>
                </c:val>
                <c:smooth val="0"/>
              </c15:ser>
            </c15:filteredLineSeries>
          </c:ext>
        </c:extLst>
      </c:lineChart>
      <c:dateAx>
        <c:axId val="491908304"/>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908696"/>
        <c:crosses val="autoZero"/>
        <c:auto val="0"/>
        <c:lblOffset val="100"/>
        <c:baseTimeUnit val="months"/>
      </c:dateAx>
      <c:valAx>
        <c:axId val="491908696"/>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908304"/>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Charts!$AC$6:$BC$6</c:f>
              <c:numCache>
                <c:formatCode>m/d/yyyy</c:formatCode>
                <c:ptCount val="27"/>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pt idx="26">
                  <c:v>42916</c:v>
                </c:pt>
              </c:numCache>
            </c:numRef>
          </c:cat>
          <c:val>
            <c:numRef>
              <c:f>Charts!$AC$7:$BC$7</c:f>
              <c:numCache>
                <c:formatCode>General</c:formatCode>
                <c:ptCount val="27"/>
                <c:pt idx="0">
                  <c:v>-0.2</c:v>
                </c:pt>
                <c:pt idx="1">
                  <c:v>0</c:v>
                </c:pt>
                <c:pt idx="2">
                  <c:v>0.1</c:v>
                </c:pt>
                <c:pt idx="3">
                  <c:v>0.2</c:v>
                </c:pt>
                <c:pt idx="4">
                  <c:v>0.2</c:v>
                </c:pt>
                <c:pt idx="5">
                  <c:v>0</c:v>
                </c:pt>
                <c:pt idx="6">
                  <c:v>0.2</c:v>
                </c:pt>
                <c:pt idx="7">
                  <c:v>0.5</c:v>
                </c:pt>
                <c:pt idx="8">
                  <c:v>0.7</c:v>
                </c:pt>
                <c:pt idx="9">
                  <c:v>1.4</c:v>
                </c:pt>
                <c:pt idx="10">
                  <c:v>1</c:v>
                </c:pt>
                <c:pt idx="11">
                  <c:v>0.9</c:v>
                </c:pt>
                <c:pt idx="12">
                  <c:v>1.1000000000000001</c:v>
                </c:pt>
                <c:pt idx="13">
                  <c:v>1</c:v>
                </c:pt>
                <c:pt idx="14">
                  <c:v>1</c:v>
                </c:pt>
                <c:pt idx="15">
                  <c:v>0.8</c:v>
                </c:pt>
                <c:pt idx="16" formatCode="0.00">
                  <c:v>1.1000000000000001</c:v>
                </c:pt>
                <c:pt idx="17" formatCode="0.00">
                  <c:v>1.5</c:v>
                </c:pt>
                <c:pt idx="18" formatCode="0.00">
                  <c:v>1.6</c:v>
                </c:pt>
                <c:pt idx="19" formatCode="0.00">
                  <c:v>1.7</c:v>
                </c:pt>
                <c:pt idx="20" formatCode="0.00">
                  <c:v>2.1</c:v>
                </c:pt>
                <c:pt idx="21" formatCode="0.00">
                  <c:v>2.5</c:v>
                </c:pt>
                <c:pt idx="22">
                  <c:v>2.7</c:v>
                </c:pt>
                <c:pt idx="23">
                  <c:v>2.4</c:v>
                </c:pt>
                <c:pt idx="24">
                  <c:v>2.2000000000000002</c:v>
                </c:pt>
                <c:pt idx="25" formatCode="0.00">
                  <c:v>1.9</c:v>
                </c:pt>
                <c:pt idx="26" formatCode="0.00">
                  <c:v>1.6</c:v>
                </c:pt>
              </c:numCache>
            </c:numRef>
          </c:val>
          <c:smooth val="0"/>
        </c:ser>
        <c:ser>
          <c:idx val="1"/>
          <c:order val="1"/>
          <c:tx>
            <c:strRef>
              <c:f>Charts!$A$8</c:f>
              <c:strCache>
                <c:ptCount val="1"/>
                <c:pt idx="0">
                  <c:v>UK</c:v>
                </c:pt>
              </c:strCache>
            </c:strRef>
          </c:tx>
          <c:marker>
            <c:symbol val="none"/>
          </c:marker>
          <c:cat>
            <c:numRef>
              <c:f>Charts!$AC$6:$BC$6</c:f>
              <c:numCache>
                <c:formatCode>m/d/yyyy</c:formatCode>
                <c:ptCount val="27"/>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pt idx="26">
                  <c:v>42916</c:v>
                </c:pt>
              </c:numCache>
            </c:numRef>
          </c:cat>
          <c:val>
            <c:numRef>
              <c:f>Charts!$AC$8:$BC$8</c:f>
              <c:numCache>
                <c:formatCode>General</c:formatCode>
                <c:ptCount val="27"/>
                <c:pt idx="0">
                  <c:v>-0.1</c:v>
                </c:pt>
                <c:pt idx="1">
                  <c:v>0.1</c:v>
                </c:pt>
                <c:pt idx="2">
                  <c:v>0</c:v>
                </c:pt>
                <c:pt idx="3">
                  <c:v>0.1</c:v>
                </c:pt>
                <c:pt idx="4">
                  <c:v>0</c:v>
                </c:pt>
                <c:pt idx="5">
                  <c:v>-0.1</c:v>
                </c:pt>
                <c:pt idx="6">
                  <c:v>-0.1</c:v>
                </c:pt>
                <c:pt idx="7">
                  <c:v>0.1</c:v>
                </c:pt>
                <c:pt idx="8">
                  <c:v>0.2</c:v>
                </c:pt>
                <c:pt idx="9">
                  <c:v>0.3</c:v>
                </c:pt>
                <c:pt idx="10">
                  <c:v>0.3</c:v>
                </c:pt>
                <c:pt idx="11">
                  <c:v>0.5</c:v>
                </c:pt>
                <c:pt idx="12">
                  <c:v>0.3</c:v>
                </c:pt>
                <c:pt idx="13">
                  <c:v>0.3</c:v>
                </c:pt>
                <c:pt idx="14">
                  <c:v>0.2</c:v>
                </c:pt>
                <c:pt idx="15">
                  <c:v>-0.1</c:v>
                </c:pt>
                <c:pt idx="16" formatCode="0.00">
                  <c:v>0.3</c:v>
                </c:pt>
                <c:pt idx="17" formatCode="0.00">
                  <c:v>0.2</c:v>
                </c:pt>
                <c:pt idx="18" formatCode="0.00">
                  <c:v>0.1</c:v>
                </c:pt>
                <c:pt idx="19" formatCode="0.00">
                  <c:v>0.2</c:v>
                </c:pt>
                <c:pt idx="20" formatCode="0.00">
                  <c:v>0.5</c:v>
                </c:pt>
                <c:pt idx="21" formatCode="0.00">
                  <c:v>-0.5</c:v>
                </c:pt>
                <c:pt idx="22">
                  <c:v>0.7</c:v>
                </c:pt>
                <c:pt idx="23">
                  <c:v>0.4</c:v>
                </c:pt>
                <c:pt idx="24">
                  <c:v>0.5</c:v>
                </c:pt>
                <c:pt idx="25">
                  <c:v>0.3</c:v>
                </c:pt>
                <c:pt idx="26">
                  <c:v>0</c:v>
                </c:pt>
              </c:numCache>
            </c:numRef>
          </c:val>
          <c:smooth val="0"/>
        </c:ser>
        <c:ser>
          <c:idx val="2"/>
          <c:order val="2"/>
          <c:tx>
            <c:strRef>
              <c:f>Charts!$A$9</c:f>
              <c:strCache>
                <c:ptCount val="1"/>
                <c:pt idx="0">
                  <c:v>Eurozone</c:v>
                </c:pt>
              </c:strCache>
            </c:strRef>
          </c:tx>
          <c:marker>
            <c:symbol val="none"/>
          </c:marker>
          <c:cat>
            <c:numRef>
              <c:f>Charts!$AC$6:$BC$6</c:f>
              <c:numCache>
                <c:formatCode>m/d/yyyy</c:formatCode>
                <c:ptCount val="27"/>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pt idx="26">
                  <c:v>42916</c:v>
                </c:pt>
              </c:numCache>
            </c:numRef>
          </c:cat>
          <c:val>
            <c:numRef>
              <c:f>Charts!$AC$9:$BC$9</c:f>
              <c:numCache>
                <c:formatCode>General</c:formatCode>
                <c:ptCount val="27"/>
                <c:pt idx="0">
                  <c:v>0</c:v>
                </c:pt>
                <c:pt idx="1">
                  <c:v>0.3</c:v>
                </c:pt>
                <c:pt idx="2">
                  <c:v>0.2</c:v>
                </c:pt>
                <c:pt idx="3">
                  <c:v>0.2</c:v>
                </c:pt>
                <c:pt idx="4">
                  <c:v>0.1</c:v>
                </c:pt>
                <c:pt idx="5">
                  <c:v>-0.1</c:v>
                </c:pt>
                <c:pt idx="6">
                  <c:v>0.1</c:v>
                </c:pt>
                <c:pt idx="7">
                  <c:v>0.1</c:v>
                </c:pt>
                <c:pt idx="8">
                  <c:v>0.2</c:v>
                </c:pt>
                <c:pt idx="9">
                  <c:v>0.3</c:v>
                </c:pt>
                <c:pt idx="10">
                  <c:v>-0.2</c:v>
                </c:pt>
                <c:pt idx="11">
                  <c:v>-0.1</c:v>
                </c:pt>
                <c:pt idx="12">
                  <c:v>-0.2</c:v>
                </c:pt>
                <c:pt idx="13">
                  <c:v>-0.1</c:v>
                </c:pt>
                <c:pt idx="14">
                  <c:v>0.1</c:v>
                </c:pt>
                <c:pt idx="15">
                  <c:v>0.2</c:v>
                </c:pt>
                <c:pt idx="16">
                  <c:v>0.2</c:v>
                </c:pt>
                <c:pt idx="17" formatCode="0.00">
                  <c:v>0.4</c:v>
                </c:pt>
                <c:pt idx="18" formatCode="0.00">
                  <c:v>0.5</c:v>
                </c:pt>
                <c:pt idx="19" formatCode="0.00">
                  <c:v>0.6</c:v>
                </c:pt>
                <c:pt idx="20">
                  <c:v>1.1000000000000001</c:v>
                </c:pt>
                <c:pt idx="21" formatCode="0.00">
                  <c:v>1.8</c:v>
                </c:pt>
                <c:pt idx="22">
                  <c:v>2</c:v>
                </c:pt>
                <c:pt idx="23" formatCode="0.00">
                  <c:v>1.5</c:v>
                </c:pt>
                <c:pt idx="24">
                  <c:v>1.9</c:v>
                </c:pt>
                <c:pt idx="25" formatCode="0.00">
                  <c:v>1.4</c:v>
                </c:pt>
                <c:pt idx="26" formatCode="0.00">
                  <c:v>1.3</c:v>
                </c:pt>
              </c:numCache>
            </c:numRef>
          </c:val>
          <c:smooth val="0"/>
        </c:ser>
        <c:ser>
          <c:idx val="3"/>
          <c:order val="3"/>
          <c:tx>
            <c:strRef>
              <c:f>Charts!$A$10</c:f>
              <c:strCache>
                <c:ptCount val="1"/>
                <c:pt idx="0">
                  <c:v>Japan</c:v>
                </c:pt>
              </c:strCache>
            </c:strRef>
          </c:tx>
          <c:marker>
            <c:symbol val="none"/>
          </c:marker>
          <c:cat>
            <c:numRef>
              <c:f>Charts!$AC$6:$BC$6</c:f>
              <c:numCache>
                <c:formatCode>m/d/yyyy</c:formatCode>
                <c:ptCount val="27"/>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pt idx="26">
                  <c:v>42916</c:v>
                </c:pt>
              </c:numCache>
            </c:numRef>
          </c:cat>
          <c:val>
            <c:numRef>
              <c:f>Charts!$AC$10:$BC$10</c:f>
              <c:numCache>
                <c:formatCode>General</c:formatCode>
                <c:ptCount val="27"/>
                <c:pt idx="0">
                  <c:v>0.6</c:v>
                </c:pt>
                <c:pt idx="1">
                  <c:v>0.5</c:v>
                </c:pt>
                <c:pt idx="2">
                  <c:v>0.4</c:v>
                </c:pt>
                <c:pt idx="3">
                  <c:v>0.2</c:v>
                </c:pt>
                <c:pt idx="4">
                  <c:v>0.2</c:v>
                </c:pt>
                <c:pt idx="5">
                  <c:v>0</c:v>
                </c:pt>
                <c:pt idx="6">
                  <c:v>0.3</c:v>
                </c:pt>
                <c:pt idx="7">
                  <c:v>0.3</c:v>
                </c:pt>
                <c:pt idx="8">
                  <c:v>0.2</c:v>
                </c:pt>
                <c:pt idx="9">
                  <c:v>0</c:v>
                </c:pt>
                <c:pt idx="10">
                  <c:v>0.3</c:v>
                </c:pt>
                <c:pt idx="11">
                  <c:v>-0.1</c:v>
                </c:pt>
                <c:pt idx="12">
                  <c:v>-0.3</c:v>
                </c:pt>
                <c:pt idx="13">
                  <c:v>-0.4</c:v>
                </c:pt>
                <c:pt idx="14">
                  <c:v>-0.4</c:v>
                </c:pt>
                <c:pt idx="15">
                  <c:v>-0.5</c:v>
                </c:pt>
                <c:pt idx="16">
                  <c:v>-0.5</c:v>
                </c:pt>
                <c:pt idx="17">
                  <c:v>-0.5</c:v>
                </c:pt>
                <c:pt idx="18">
                  <c:v>-0.4</c:v>
                </c:pt>
                <c:pt idx="19">
                  <c:v>-0.4</c:v>
                </c:pt>
                <c:pt idx="20" formatCode="0.00">
                  <c:v>-0.2</c:v>
                </c:pt>
                <c:pt idx="21">
                  <c:v>0.1</c:v>
                </c:pt>
                <c:pt idx="22">
                  <c:v>0.2</c:v>
                </c:pt>
                <c:pt idx="23">
                  <c:v>0.2</c:v>
                </c:pt>
                <c:pt idx="24" formatCode="0.00">
                  <c:v>0.3</c:v>
                </c:pt>
                <c:pt idx="25" formatCode="0.00">
                  <c:v>0.4</c:v>
                </c:pt>
                <c:pt idx="26">
                  <c:v>0</c:v>
                </c:pt>
              </c:numCache>
            </c:numRef>
          </c:val>
          <c:smooth val="0"/>
        </c:ser>
        <c:ser>
          <c:idx val="4"/>
          <c:order val="4"/>
          <c:tx>
            <c:strRef>
              <c:f>Charts!$A$11</c:f>
              <c:strCache>
                <c:ptCount val="1"/>
                <c:pt idx="0">
                  <c:v>Hong Kong</c:v>
                </c:pt>
              </c:strCache>
            </c:strRef>
          </c:tx>
          <c:marker>
            <c:symbol val="none"/>
          </c:marker>
          <c:cat>
            <c:numRef>
              <c:f>Charts!$AC$6:$BC$6</c:f>
              <c:numCache>
                <c:formatCode>m/d/yyyy</c:formatCode>
                <c:ptCount val="27"/>
                <c:pt idx="0">
                  <c:v>42124</c:v>
                </c:pt>
                <c:pt idx="1">
                  <c:v>42155</c:v>
                </c:pt>
                <c:pt idx="2">
                  <c:v>42185</c:v>
                </c:pt>
                <c:pt idx="3">
                  <c:v>42216</c:v>
                </c:pt>
                <c:pt idx="4">
                  <c:v>42247</c:v>
                </c:pt>
                <c:pt idx="5">
                  <c:v>42277</c:v>
                </c:pt>
                <c:pt idx="6">
                  <c:v>42308</c:v>
                </c:pt>
                <c:pt idx="7">
                  <c:v>42338</c:v>
                </c:pt>
                <c:pt idx="8">
                  <c:v>42369</c:v>
                </c:pt>
                <c:pt idx="9">
                  <c:v>42400</c:v>
                </c:pt>
                <c:pt idx="10">
                  <c:v>42429</c:v>
                </c:pt>
                <c:pt idx="11">
                  <c:v>42460</c:v>
                </c:pt>
                <c:pt idx="12">
                  <c:v>42490</c:v>
                </c:pt>
                <c:pt idx="13">
                  <c:v>42521</c:v>
                </c:pt>
                <c:pt idx="14">
                  <c:v>42551</c:v>
                </c:pt>
                <c:pt idx="15">
                  <c:v>42582</c:v>
                </c:pt>
                <c:pt idx="16">
                  <c:v>42613</c:v>
                </c:pt>
                <c:pt idx="17">
                  <c:v>42643</c:v>
                </c:pt>
                <c:pt idx="18">
                  <c:v>42674</c:v>
                </c:pt>
                <c:pt idx="19">
                  <c:v>42704</c:v>
                </c:pt>
                <c:pt idx="20">
                  <c:v>42735</c:v>
                </c:pt>
                <c:pt idx="21">
                  <c:v>42766</c:v>
                </c:pt>
                <c:pt idx="22">
                  <c:v>42794</c:v>
                </c:pt>
                <c:pt idx="23">
                  <c:v>42825</c:v>
                </c:pt>
                <c:pt idx="24">
                  <c:v>42855</c:v>
                </c:pt>
                <c:pt idx="25">
                  <c:v>42886</c:v>
                </c:pt>
                <c:pt idx="26">
                  <c:v>42916</c:v>
                </c:pt>
              </c:numCache>
            </c:numRef>
          </c:cat>
          <c:val>
            <c:numRef>
              <c:f>Charts!$AC$11:$BC$11</c:f>
              <c:numCache>
                <c:formatCode>General</c:formatCode>
                <c:ptCount val="27"/>
                <c:pt idx="0">
                  <c:v>2.8</c:v>
                </c:pt>
                <c:pt idx="1">
                  <c:v>3</c:v>
                </c:pt>
                <c:pt idx="2">
                  <c:v>3.1</c:v>
                </c:pt>
                <c:pt idx="3">
                  <c:v>2.5</c:v>
                </c:pt>
                <c:pt idx="4">
                  <c:v>2.4</c:v>
                </c:pt>
                <c:pt idx="5">
                  <c:v>2</c:v>
                </c:pt>
                <c:pt idx="6">
                  <c:v>2.4</c:v>
                </c:pt>
                <c:pt idx="7">
                  <c:v>2.4</c:v>
                </c:pt>
                <c:pt idx="8">
                  <c:v>2.5</c:v>
                </c:pt>
                <c:pt idx="9">
                  <c:v>2.7</c:v>
                </c:pt>
                <c:pt idx="10">
                  <c:v>3.1</c:v>
                </c:pt>
                <c:pt idx="11">
                  <c:v>2.9</c:v>
                </c:pt>
                <c:pt idx="12">
                  <c:v>2.7</c:v>
                </c:pt>
                <c:pt idx="13">
                  <c:v>2.6</c:v>
                </c:pt>
                <c:pt idx="14">
                  <c:v>2.4</c:v>
                </c:pt>
                <c:pt idx="15">
                  <c:v>2.2999999999999998</c:v>
                </c:pt>
                <c:pt idx="16">
                  <c:v>4.3</c:v>
                </c:pt>
                <c:pt idx="17">
                  <c:v>2.7</c:v>
                </c:pt>
                <c:pt idx="18">
                  <c:v>1.2</c:v>
                </c:pt>
                <c:pt idx="19">
                  <c:v>1.2</c:v>
                </c:pt>
                <c:pt idx="20">
                  <c:v>1.2</c:v>
                </c:pt>
                <c:pt idx="21">
                  <c:v>1.3</c:v>
                </c:pt>
                <c:pt idx="22" formatCode="0.00">
                  <c:v>-0.1</c:v>
                </c:pt>
                <c:pt idx="23" formatCode="0.00">
                  <c:v>0.5</c:v>
                </c:pt>
                <c:pt idx="24" formatCode="0.00">
                  <c:v>2</c:v>
                </c:pt>
                <c:pt idx="25" formatCode="0.00">
                  <c:v>2</c:v>
                </c:pt>
                <c:pt idx="26">
                  <c:v>0</c:v>
                </c:pt>
              </c:numCache>
            </c:numRef>
          </c:val>
          <c:smooth val="0"/>
        </c:ser>
        <c:dLbls>
          <c:showLegendKey val="0"/>
          <c:showVal val="0"/>
          <c:showCatName val="0"/>
          <c:showSerName val="0"/>
          <c:showPercent val="0"/>
          <c:showBubbleSize val="0"/>
        </c:dLbls>
        <c:smooth val="0"/>
        <c:axId val="477619752"/>
        <c:axId val="477620144"/>
      </c:lineChart>
      <c:dateAx>
        <c:axId val="477619752"/>
        <c:scaling>
          <c:orientation val="minMax"/>
        </c:scaling>
        <c:delete val="0"/>
        <c:axPos val="b"/>
        <c:numFmt formatCode="[$-409]mmm\-yy;@" sourceLinked="0"/>
        <c:majorTickMark val="out"/>
        <c:minorTickMark val="none"/>
        <c:tickLblPos val="low"/>
        <c:txPr>
          <a:bodyPr rot="-5400000" vert="horz"/>
          <a:lstStyle/>
          <a:p>
            <a:pPr>
              <a:defRPr/>
            </a:pPr>
            <a:endParaRPr lang="en-US"/>
          </a:p>
        </c:txPr>
        <c:crossAx val="477620144"/>
        <c:crosses val="autoZero"/>
        <c:auto val="1"/>
        <c:lblOffset val="100"/>
        <c:baseTimeUnit val="months"/>
        <c:majorUnit val="1"/>
      </c:dateAx>
      <c:valAx>
        <c:axId val="477620144"/>
        <c:scaling>
          <c:orientation val="minMax"/>
          <c:min val="-2"/>
        </c:scaling>
        <c:delete val="0"/>
        <c:axPos val="l"/>
        <c:majorGridlines/>
        <c:numFmt formatCode="General" sourceLinked="1"/>
        <c:majorTickMark val="out"/>
        <c:minorTickMark val="none"/>
        <c:tickLblPos val="nextTo"/>
        <c:crossAx val="477619752"/>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Charts!$B$6:$BC$6</c:f>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Charts!$B$12:$BC$12</c:f>
              <c:numCache>
                <c:formatCode>General</c:formatCode>
                <c:ptCount val="54"/>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Charts!$B$6:$BC$6</c:f>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Charts!$B$13:$BC$13</c:f>
              <c:numCache>
                <c:formatCode>General</c:formatCode>
                <c:ptCount val="54"/>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Charts!$B$6:$BC$6</c:f>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Charts!$B$14:$BC$14</c:f>
              <c:numCache>
                <c:formatCode>General</c:formatCode>
                <c:ptCount val="54"/>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Charts!$B$6:$BC$6</c:f>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Charts!$B$15:$BC$15</c:f>
              <c:numCache>
                <c:formatCode>General</c:formatCode>
                <c:ptCount val="54"/>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Charts!$B$6:$BC$6</c:f>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Charts!$B$16:$BC$16</c:f>
              <c:numCache>
                <c:formatCode>General</c:formatCode>
                <c:ptCount val="54"/>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numCache>
            </c:numRef>
          </c:val>
          <c:smooth val="0"/>
        </c:ser>
        <c:dLbls>
          <c:showLegendKey val="0"/>
          <c:showVal val="0"/>
          <c:showCatName val="0"/>
          <c:showSerName val="0"/>
          <c:showPercent val="0"/>
          <c:showBubbleSize val="0"/>
        </c:dLbls>
        <c:smooth val="0"/>
        <c:axId val="477620928"/>
        <c:axId val="477621320"/>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Charts!$B$6:$BC$6</c15:sqref>
                        </c15:formulaRef>
                      </c:ext>
                    </c:extLst>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extLst>
                      <c:ext uri="{02D57815-91ED-43cb-92C2-25804820EDAC}">
                        <c15:formulaRef>
                          <c15:sqref>Charts!$B$7:$BC$7</c15:sqref>
                        </c15:formulaRef>
                      </c:ext>
                    </c:extLst>
                    <c:numCache>
                      <c:formatCode>General</c:formatCode>
                      <c:ptCount val="54"/>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Charts!$B$6:$BC$6</c15:sqref>
                        </c15:formulaRef>
                      </c:ext>
                    </c:extLst>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extLst xmlns:c15="http://schemas.microsoft.com/office/drawing/2012/chart">
                      <c:ext xmlns:c15="http://schemas.microsoft.com/office/drawing/2012/chart" uri="{02D57815-91ED-43cb-92C2-25804820EDAC}">
                        <c15:formulaRef>
                          <c15:sqref>Charts!$B$8:$BC$8</c15:sqref>
                        </c15:formulaRef>
                      </c:ext>
                    </c:extLst>
                    <c:numCache>
                      <c:formatCode>General</c:formatCode>
                      <c:ptCount val="54"/>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0.3</c:v>
                      </c:pt>
                      <c:pt idx="44" formatCode="0.00">
                        <c:v>0.2</c:v>
                      </c:pt>
                      <c:pt idx="45" formatCode="0.00">
                        <c:v>0.1</c:v>
                      </c:pt>
                      <c:pt idx="46" formatCode="0.00">
                        <c:v>0.2</c:v>
                      </c:pt>
                      <c:pt idx="47" formatCode="0.00">
                        <c:v>0.5</c:v>
                      </c:pt>
                      <c:pt idx="48" formatCode="0.00">
                        <c:v>-0.5</c:v>
                      </c:pt>
                      <c:pt idx="49">
                        <c:v>0.7</c:v>
                      </c:pt>
                      <c:pt idx="50">
                        <c:v>0.4</c:v>
                      </c:pt>
                      <c:pt idx="51">
                        <c:v>0.5</c:v>
                      </c:pt>
                      <c:pt idx="52">
                        <c:v>0.3</c:v>
                      </c:pt>
                      <c:pt idx="53">
                        <c:v>0</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Charts!$B$6:$BC$6</c15:sqref>
                        </c15:formulaRef>
                      </c:ext>
                    </c:extLst>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extLst xmlns:c15="http://schemas.microsoft.com/office/drawing/2012/chart">
                      <c:ext xmlns:c15="http://schemas.microsoft.com/office/drawing/2012/chart" uri="{02D57815-91ED-43cb-92C2-25804820EDAC}">
                        <c15:formulaRef>
                          <c15:sqref>Charts!$B$9:$BC$9</c15:sqref>
                        </c15:formulaRef>
                      </c:ext>
                    </c:extLst>
                    <c:numCache>
                      <c:formatCode>General</c:formatCode>
                      <c:ptCount val="54"/>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Charts!$B$6:$BC$6</c15:sqref>
                        </c15:formulaRef>
                      </c:ext>
                    </c:extLst>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extLst xmlns:c15="http://schemas.microsoft.com/office/drawing/2012/chart">
                      <c:ext xmlns:c15="http://schemas.microsoft.com/office/drawing/2012/chart" uri="{02D57815-91ED-43cb-92C2-25804820EDAC}">
                        <c15:formulaRef>
                          <c15:sqref>Charts!$B$10:$BC$10</c15:sqref>
                        </c15:formulaRef>
                      </c:ext>
                    </c:extLst>
                    <c:numCache>
                      <c:formatCode>General</c:formatCode>
                      <c:ptCount val="54"/>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c:v>0</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Charts!$B$6:$BC$6</c15:sqref>
                        </c15:formulaRef>
                      </c:ext>
                    </c:extLst>
                    <c:numCache>
                      <c:formatCode>m/d/yyyy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extLst xmlns:c15="http://schemas.microsoft.com/office/drawing/2012/chart">
                      <c:ext xmlns:c15="http://schemas.microsoft.com/office/drawing/2012/chart" uri="{02D57815-91ED-43cb-92C2-25804820EDAC}">
                        <c15:formulaRef>
                          <c15:sqref>Charts!$B$11:$BC$11</c15:sqref>
                        </c15:formulaRef>
                      </c:ext>
                    </c:extLst>
                    <c:numCache>
                      <c:formatCode>General</c:formatCode>
                      <c:ptCount val="54"/>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0</c:v>
                      </c:pt>
                    </c:numCache>
                  </c:numRef>
                </c:val>
                <c:smooth val="0"/>
              </c15:ser>
            </c15:filteredLineSeries>
          </c:ext>
        </c:extLst>
      </c:lineChart>
      <c:dateAx>
        <c:axId val="477620928"/>
        <c:scaling>
          <c:orientation val="minMax"/>
          <c:min val="42095"/>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21320"/>
        <c:crosses val="autoZero"/>
        <c:auto val="0"/>
        <c:lblOffset val="100"/>
        <c:baseTimeUnit val="months"/>
      </c:dateAx>
      <c:valAx>
        <c:axId val="477621320"/>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20928"/>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9541303747700345"/>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Sheet1!$A$1639:$A$2226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numCache>
            </c:numRef>
          </c:cat>
          <c:val>
            <c:numRef>
              <c:f>Sheet1!$B$1639:$B$2226</c:f>
              <c:numCache>
                <c:formatCode>General</c:formatCode>
                <c:ptCount val="588"/>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numCache>
            </c:numRef>
          </c:val>
          <c:smooth val="0"/>
        </c:ser>
        <c:ser>
          <c:idx val="1"/>
          <c:order val="1"/>
          <c:tx>
            <c:strRef>
              <c:f>Sheet1!$C$1</c:f>
              <c:strCache>
                <c:ptCount val="1"/>
                <c:pt idx="0">
                  <c:v>MSCI Emerging Market</c:v>
                </c:pt>
              </c:strCache>
            </c:strRef>
          </c:tx>
          <c:spPr>
            <a:ln w="25400"/>
          </c:spPr>
          <c:marker>
            <c:symbol val="none"/>
          </c:marker>
          <c:cat>
            <c:numRef>
              <c:f>Sheet1!$A$1639:$A$2226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numCache>
            </c:numRef>
          </c:cat>
          <c:val>
            <c:numRef>
              <c:f>Sheet1!$C$1639:$C$2226</c:f>
              <c:numCache>
                <c:formatCode>General</c:formatCode>
                <c:ptCount val="588"/>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numCache>
            </c:numRef>
          </c:val>
          <c:smooth val="0"/>
        </c:ser>
        <c:ser>
          <c:idx val="2"/>
          <c:order val="2"/>
          <c:tx>
            <c:strRef>
              <c:f>Sheet1!$D$1</c:f>
              <c:strCache>
                <c:ptCount val="1"/>
                <c:pt idx="0">
                  <c:v>MSCI INDIA</c:v>
                </c:pt>
              </c:strCache>
            </c:strRef>
          </c:tx>
          <c:marker>
            <c:symbol val="none"/>
          </c:marker>
          <c:cat>
            <c:numRef>
              <c:f>Sheet1!$A$1639:$A$2226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numCache>
            </c:numRef>
          </c:cat>
          <c:val>
            <c:numRef>
              <c:f>Sheet1!$D$1639:$D$2226</c:f>
              <c:numCache>
                <c:formatCode>General</c:formatCode>
                <c:ptCount val="588"/>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numCache>
            </c:numRef>
          </c:val>
          <c:smooth val="0"/>
        </c:ser>
        <c:dLbls>
          <c:showLegendKey val="0"/>
          <c:showVal val="0"/>
          <c:showCatName val="0"/>
          <c:showSerName val="0"/>
          <c:showPercent val="0"/>
          <c:showBubbleSize val="0"/>
        </c:dLbls>
        <c:smooth val="0"/>
        <c:axId val="443747640"/>
        <c:axId val="443748032"/>
      </c:lineChart>
      <c:dateAx>
        <c:axId val="443747640"/>
        <c:scaling>
          <c:orientation val="minMax"/>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443748032"/>
        <c:crosses val="autoZero"/>
        <c:auto val="1"/>
        <c:lblOffset val="100"/>
        <c:baseTimeUnit val="days"/>
        <c:majorUnit val="1"/>
        <c:majorTimeUnit val="months"/>
      </c:dateAx>
      <c:valAx>
        <c:axId val="443748032"/>
        <c:scaling>
          <c:orientation val="minMax"/>
          <c:max val="19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443747640"/>
        <c:crosses val="autoZero"/>
        <c:crossBetween val="between"/>
      </c:valAx>
      <c:spPr>
        <a:ln>
          <a:solidFill>
            <a:sysClr val="windowText" lastClr="000000">
              <a:alpha val="0"/>
            </a:sysClr>
          </a:solidFill>
        </a:ln>
      </c:spPr>
    </c:plotArea>
    <c:legend>
      <c:legendPos val="b"/>
      <c:layout>
        <c:manualLayout>
          <c:xMode val="edge"/>
          <c:yMode val="edge"/>
          <c:x val="0.23576899403061344"/>
          <c:y val="0.87277287360564293"/>
          <c:w val="0.59442112047940909"/>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97282386584132"/>
          <c:y val="4.972575958869338E-2"/>
          <c:w val="0.76008327803796716"/>
          <c:h val="0.7145799294689628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'F2&amp;F3'!$A$23:$A$34</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'F2&amp;F3'!$B$23:$B$34</c:f>
              <c:numCache>
                <c:formatCode>#,##0</c:formatCode>
                <c:ptCount val="12"/>
                <c:pt idx="0">
                  <c:v>3402</c:v>
                </c:pt>
                <c:pt idx="1">
                  <c:v>3367</c:v>
                </c:pt>
                <c:pt idx="2">
                  <c:v>3796</c:v>
                </c:pt>
                <c:pt idx="3">
                  <c:v>3395.2584210526315</c:v>
                </c:pt>
                <c:pt idx="4">
                  <c:v>3341.8138095238091</c:v>
                </c:pt>
                <c:pt idx="5">
                  <c:v>2450.2454545454548</c:v>
                </c:pt>
                <c:pt idx="6">
                  <c:v>3084.0085714285719</c:v>
                </c:pt>
                <c:pt idx="7">
                  <c:v>3596.3057894736849</c:v>
                </c:pt>
                <c:pt idx="8">
                  <c:v>13141.214999999998</c:v>
                </c:pt>
                <c:pt idx="9">
                  <c:v>4170.5777777777785</c:v>
                </c:pt>
                <c:pt idx="10">
                  <c:v>4141.1645454545442</c:v>
                </c:pt>
                <c:pt idx="11">
                  <c:v>4092.1200000000008</c:v>
                </c:pt>
              </c:numCache>
            </c:numRef>
          </c:val>
        </c:ser>
        <c:dLbls>
          <c:showLegendKey val="0"/>
          <c:showVal val="0"/>
          <c:showCatName val="0"/>
          <c:showSerName val="0"/>
          <c:showPercent val="0"/>
          <c:showBubbleSize val="0"/>
        </c:dLbls>
        <c:gapWidth val="200"/>
        <c:overlap val="-100"/>
        <c:axId val="443750920"/>
        <c:axId val="443751312"/>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'F2&amp;F3'!$A$23:$A$34</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'F2&amp;F3'!$C$23:$C$34</c:f>
              <c:numCache>
                <c:formatCode>#,##0</c:formatCode>
                <c:ptCount val="12"/>
                <c:pt idx="0">
                  <c:v>27713</c:v>
                </c:pt>
                <c:pt idx="1">
                  <c:v>28007</c:v>
                </c:pt>
                <c:pt idx="2">
                  <c:v>28503</c:v>
                </c:pt>
                <c:pt idx="3">
                  <c:v>28001</c:v>
                </c:pt>
                <c:pt idx="4">
                  <c:v>26718.087142857148</c:v>
                </c:pt>
                <c:pt idx="5">
                  <c:v>26372.931363636362</c:v>
                </c:pt>
                <c:pt idx="6">
                  <c:v>27165.45904761905</c:v>
                </c:pt>
                <c:pt idx="7">
                  <c:v>28457.402105263158</c:v>
                </c:pt>
                <c:pt idx="8">
                  <c:v>29269.491363636367</c:v>
                </c:pt>
                <c:pt idx="9">
                  <c:v>29695.834444444445</c:v>
                </c:pt>
                <c:pt idx="10">
                  <c:v>30420.066818181822</c:v>
                </c:pt>
                <c:pt idx="11">
                  <c:v>31144.678571428565</c:v>
                </c:pt>
              </c:numCache>
            </c:numRef>
          </c:val>
          <c:smooth val="0"/>
        </c:ser>
        <c:dLbls>
          <c:showLegendKey val="0"/>
          <c:showVal val="0"/>
          <c:showCatName val="0"/>
          <c:showSerName val="0"/>
          <c:showPercent val="0"/>
          <c:showBubbleSize val="0"/>
        </c:dLbls>
        <c:marker val="1"/>
        <c:smooth val="0"/>
        <c:axId val="333381872"/>
        <c:axId val="443751704"/>
      </c:lineChart>
      <c:catAx>
        <c:axId val="44375092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43751312"/>
        <c:crosses val="autoZero"/>
        <c:auto val="0"/>
        <c:lblAlgn val="ctr"/>
        <c:lblOffset val="100"/>
        <c:noMultiLvlLbl val="0"/>
      </c:catAx>
      <c:valAx>
        <c:axId val="443751312"/>
        <c:scaling>
          <c:orientation val="minMax"/>
        </c:scaling>
        <c:delete val="0"/>
        <c:axPos val="l"/>
        <c:numFmt formatCode="#,##0" sourceLinked="1"/>
        <c:majorTickMark val="none"/>
        <c:minorTickMark val="none"/>
        <c:tickLblPos val="nextTo"/>
        <c:txPr>
          <a:bodyPr/>
          <a:lstStyle/>
          <a:p>
            <a:pPr>
              <a:defRPr lang="en-IN"/>
            </a:pPr>
            <a:endParaRPr lang="en-US"/>
          </a:p>
        </c:txPr>
        <c:crossAx val="443750920"/>
        <c:crosses val="autoZero"/>
        <c:crossBetween val="between"/>
        <c:majorUnit val="1000"/>
      </c:valAx>
      <c:valAx>
        <c:axId val="443751704"/>
        <c:scaling>
          <c:orientation val="minMax"/>
          <c:min val="15000"/>
        </c:scaling>
        <c:delete val="0"/>
        <c:axPos val="r"/>
        <c:numFmt formatCode="#,##0" sourceLinked="1"/>
        <c:majorTickMark val="none"/>
        <c:minorTickMark val="none"/>
        <c:tickLblPos val="nextTo"/>
        <c:txPr>
          <a:bodyPr/>
          <a:lstStyle/>
          <a:p>
            <a:pPr>
              <a:defRPr lang="en-IN"/>
            </a:pPr>
            <a:endParaRPr lang="en-US"/>
          </a:p>
        </c:txPr>
        <c:crossAx val="333381872"/>
        <c:crosses val="max"/>
        <c:crossBetween val="between"/>
        <c:majorUnit val="1000"/>
      </c:valAx>
      <c:catAx>
        <c:axId val="333381872"/>
        <c:scaling>
          <c:orientation val="minMax"/>
        </c:scaling>
        <c:delete val="1"/>
        <c:axPos val="b"/>
        <c:numFmt formatCode="[$-409]mmm\-yy;@" sourceLinked="1"/>
        <c:majorTickMark val="out"/>
        <c:minorTickMark val="none"/>
        <c:tickLblPos val="none"/>
        <c:crossAx val="443751704"/>
        <c:crosses val="autoZero"/>
        <c:auto val="0"/>
        <c:lblAlgn val="ctr"/>
        <c:lblOffset val="100"/>
        <c:noMultiLvlLbl val="1"/>
      </c:catAx>
    </c:plotArea>
    <c:legend>
      <c:legendPos val="b"/>
      <c:layout>
        <c:manualLayout>
          <c:xMode val="edge"/>
          <c:yMode val="edge"/>
          <c:x val="9.8012565624067648E-3"/>
          <c:y val="0.92032374528419347"/>
          <c:w val="0.98169854017527669"/>
          <c:h val="5.6164994831322042E-2"/>
        </c:manualLayout>
      </c:layout>
      <c:overlay val="0"/>
      <c:spPr>
        <a:ln w="3175">
          <a:no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Bond!$B$589:$B$1176</c:f>
              <c:numCache>
                <c:formatCode>General</c:formatCode>
                <c:ptCount val="588"/>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Bond!$D$589:$D$1176</c:f>
              <c:numCache>
                <c:formatCode>General</c:formatCode>
                <c:ptCount val="588"/>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Bond!$E$589:$E$1176</c:f>
              <c:numCache>
                <c:formatCode>General</c:formatCode>
                <c:ptCount val="588"/>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Bond!$F$589:$F$1176</c:f>
              <c:numCache>
                <c:formatCode>General</c:formatCode>
                <c:ptCount val="588"/>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Bond!$G$589:$G$1176</c:f>
              <c:numCache>
                <c:formatCode>General</c:formatCode>
                <c:ptCount val="588"/>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Bond!$H$589:$H$1176</c:f>
              <c:numCache>
                <c:formatCode>General</c:formatCode>
                <c:ptCount val="588"/>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Bond!$A$589:$A$1176</c:f>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f>Bond!$I$589:$I$1176</c:f>
              <c:numCache>
                <c:formatCode>General</c:formatCode>
                <c:ptCount val="588"/>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numCache>
            </c:numRef>
          </c:val>
          <c:smooth val="0"/>
        </c:ser>
        <c:dLbls>
          <c:showLegendKey val="0"/>
          <c:showVal val="0"/>
          <c:showCatName val="0"/>
          <c:showSerName val="0"/>
          <c:showPercent val="0"/>
          <c:showBubbleSize val="0"/>
        </c:dLbls>
        <c:smooth val="0"/>
        <c:axId val="443748816"/>
        <c:axId val="344482320"/>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Bond!$A$589:$A$1176</c15:sqref>
                        </c15:formulaRef>
                      </c:ext>
                    </c:extLst>
                    <c:numCache>
                      <c:formatCode>m/d/yyyy</c:formatCode>
                      <c:ptCount val="58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numCache>
                  </c:numRef>
                </c:cat>
                <c:val>
                  <c:numRef>
                    <c:extLst>
                      <c:ext uri="{02D57815-91ED-43cb-92C2-25804820EDAC}">
                        <c15:formulaRef>
                          <c15:sqref>Bond!$C$589:$C$1176</c15:sqref>
                        </c15:formulaRef>
                      </c:ext>
                    </c:extLst>
                    <c:numCache>
                      <c:formatCode>General</c:formatCode>
                      <c:ptCount val="588"/>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numCache>
                  </c:numRef>
                </c:val>
                <c:smooth val="0"/>
              </c15:ser>
            </c15:filteredLineSeries>
          </c:ext>
        </c:extLst>
      </c:lineChart>
      <c:dateAx>
        <c:axId val="443748816"/>
        <c:scaling>
          <c:orientation val="minMax"/>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44482320"/>
        <c:crosses val="autoZero"/>
        <c:auto val="1"/>
        <c:lblOffset val="100"/>
        <c:baseTimeUnit val="days"/>
        <c:majorUnit val="1"/>
        <c:majorTimeUnit val="months"/>
      </c:dateAx>
      <c:valAx>
        <c:axId val="344482320"/>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748816"/>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'!$K$2:$K$547</c:f>
              <c:numCache>
                <c:formatCode>General</c:formatCode>
                <c:ptCount val="546"/>
                <c:pt idx="0">
                  <c:v>0</c:v>
                </c:pt>
                <c:pt idx="1">
                  <c:v>0.14130946773433239</c:v>
                </c:pt>
                <c:pt idx="2">
                  <c:v>3.1402103940957798E-2</c:v>
                </c:pt>
                <c:pt idx="3">
                  <c:v>-0.65944418276024763</c:v>
                </c:pt>
                <c:pt idx="4">
                  <c:v>-0.40822735123254061</c:v>
                </c:pt>
                <c:pt idx="5">
                  <c:v>-0.61234102684879976</c:v>
                </c:pt>
                <c:pt idx="6">
                  <c:v>-0.59663997487830966</c:v>
                </c:pt>
                <c:pt idx="7">
                  <c:v>-0.45533050714397733</c:v>
                </c:pt>
                <c:pt idx="8">
                  <c:v>-0.17271157167530135</c:v>
                </c:pt>
                <c:pt idx="9">
                  <c:v>-0.47103155911446737</c:v>
                </c:pt>
                <c:pt idx="10">
                  <c:v>-0.53383576699639412</c:v>
                </c:pt>
                <c:pt idx="11">
                  <c:v>-0.54953681896688422</c:v>
                </c:pt>
                <c:pt idx="12">
                  <c:v>-0.83215575443554901</c:v>
                </c:pt>
                <c:pt idx="13">
                  <c:v>-0.72224839064218549</c:v>
                </c:pt>
                <c:pt idx="14">
                  <c:v>0.10990736379337461</c:v>
                </c:pt>
                <c:pt idx="15">
                  <c:v>0.39252629926205052</c:v>
                </c:pt>
                <c:pt idx="16">
                  <c:v>0.36112419532108159</c:v>
                </c:pt>
                <c:pt idx="17">
                  <c:v>0.18841262364578026</c:v>
                </c:pt>
                <c:pt idx="18">
                  <c:v>0.25121683152770702</c:v>
                </c:pt>
                <c:pt idx="19">
                  <c:v>0.25121683152770702</c:v>
                </c:pt>
                <c:pt idx="20">
                  <c:v>0.20411367561625915</c:v>
                </c:pt>
                <c:pt idx="21">
                  <c:v>-7.8505259852416812E-2</c:v>
                </c:pt>
                <c:pt idx="22">
                  <c:v>0.12560841576385351</c:v>
                </c:pt>
                <c:pt idx="23">
                  <c:v>0.15701051970481131</c:v>
                </c:pt>
                <c:pt idx="24">
                  <c:v>0.51813471502590402</c:v>
                </c:pt>
                <c:pt idx="25">
                  <c:v>0.39252629926205052</c:v>
                </c:pt>
                <c:pt idx="26">
                  <c:v>0.6908462867012054</c:v>
                </c:pt>
                <c:pt idx="27">
                  <c:v>0.2669178834981859</c:v>
                </c:pt>
                <c:pt idx="28">
                  <c:v>0.32972209138012382</c:v>
                </c:pt>
                <c:pt idx="29">
                  <c:v>0.565237870937352</c:v>
                </c:pt>
                <c:pt idx="30">
                  <c:v>0.565237870937352</c:v>
                </c:pt>
                <c:pt idx="31">
                  <c:v>0.39252629926205052</c:v>
                </c:pt>
                <c:pt idx="32">
                  <c:v>0.61234102684879976</c:v>
                </c:pt>
                <c:pt idx="33">
                  <c:v>0.32972209138012382</c:v>
                </c:pt>
                <c:pt idx="34">
                  <c:v>0.39252629926205052</c:v>
                </c:pt>
                <c:pt idx="35">
                  <c:v>0.3454231433506027</c:v>
                </c:pt>
                <c:pt idx="36">
                  <c:v>9.4206311822884553E-2</c:v>
                </c:pt>
                <c:pt idx="37">
                  <c:v>0.18841262364578026</c:v>
                </c:pt>
                <c:pt idx="38">
                  <c:v>4.7103155911447855E-2</c:v>
                </c:pt>
                <c:pt idx="39">
                  <c:v>-0.23551577955723929</c:v>
                </c:pt>
                <c:pt idx="40">
                  <c:v>-0.62804207881928986</c:v>
                </c:pt>
                <c:pt idx="41">
                  <c:v>-0.84785680640603911</c:v>
                </c:pt>
                <c:pt idx="42">
                  <c:v>-0.14130946773434355</c:v>
                </c:pt>
                <c:pt idx="43">
                  <c:v>-0.21981472758674922</c:v>
                </c:pt>
                <c:pt idx="44">
                  <c:v>-0.65944418276024763</c:v>
                </c:pt>
                <c:pt idx="45">
                  <c:v>-0.45533050714397733</c:v>
                </c:pt>
                <c:pt idx="46">
                  <c:v>-0.565237870937352</c:v>
                </c:pt>
                <c:pt idx="47">
                  <c:v>-3.1402103940968956E-2</c:v>
                </c:pt>
                <c:pt idx="48">
                  <c:v>-6.2804207881926755E-2</c:v>
                </c:pt>
                <c:pt idx="49">
                  <c:v>-1.5701051970490053E-2</c:v>
                </c:pt>
                <c:pt idx="50">
                  <c:v>-7.8505259852416812E-2</c:v>
                </c:pt>
                <c:pt idx="51">
                  <c:v>-9.4206311822895711E-2</c:v>
                </c:pt>
                <c:pt idx="52">
                  <c:v>-1.0519704820222984</c:v>
                </c:pt>
                <c:pt idx="53">
                  <c:v>-1.915528340398805</c:v>
                </c:pt>
                <c:pt idx="54">
                  <c:v>-2.5906735751295424</c:v>
                </c:pt>
                <c:pt idx="55">
                  <c:v>-2.1039409640445967</c:v>
                </c:pt>
                <c:pt idx="56">
                  <c:v>-2.7005809389229061</c:v>
                </c:pt>
                <c:pt idx="57">
                  <c:v>-2.7005809389229061</c:v>
                </c:pt>
                <c:pt idx="58">
                  <c:v>-2.3865598995132613</c:v>
                </c:pt>
                <c:pt idx="59">
                  <c:v>-2.8104883027162919</c:v>
                </c:pt>
                <c:pt idx="60">
                  <c:v>-3.9566650965614634</c:v>
                </c:pt>
                <c:pt idx="61">
                  <c:v>-5.1813471502590627</c:v>
                </c:pt>
                <c:pt idx="62">
                  <c:v>-3.7996545768566521</c:v>
                </c:pt>
                <c:pt idx="63">
                  <c:v>-3.8310566807976101</c:v>
                </c:pt>
                <c:pt idx="64">
                  <c:v>-3.6583451091223087</c:v>
                </c:pt>
                <c:pt idx="65">
                  <c:v>-3.9723661485319535</c:v>
                </c:pt>
                <c:pt idx="66">
                  <c:v>-4.2392840320301506</c:v>
                </c:pt>
                <c:pt idx="67">
                  <c:v>-3.9684408855393363</c:v>
                </c:pt>
                <c:pt idx="68">
                  <c:v>-3.9310723818495985</c:v>
                </c:pt>
                <c:pt idx="69">
                  <c:v>-4.0076935154655509</c:v>
                </c:pt>
                <c:pt idx="70">
                  <c:v>-4.3570419218087704</c:v>
                </c:pt>
                <c:pt idx="71">
                  <c:v>-4.9241639189825754</c:v>
                </c:pt>
                <c:pt idx="72">
                  <c:v>-4.4845344638090774</c:v>
                </c:pt>
                <c:pt idx="73">
                  <c:v>-4.2727272727272716</c:v>
                </c:pt>
                <c:pt idx="74">
                  <c:v>-4.3078976291411584</c:v>
                </c:pt>
                <c:pt idx="75">
                  <c:v>-4.4766839378238439</c:v>
                </c:pt>
                <c:pt idx="76">
                  <c:v>-4.1450777202072544</c:v>
                </c:pt>
                <c:pt idx="77">
                  <c:v>-4.1981472758674832</c:v>
                </c:pt>
                <c:pt idx="78">
                  <c:v>-4.3491913958235147</c:v>
                </c:pt>
                <c:pt idx="79">
                  <c:v>-4.3491913958235147</c:v>
                </c:pt>
                <c:pt idx="80">
                  <c:v>-3.1147746899042272</c:v>
                </c:pt>
                <c:pt idx="81">
                  <c:v>-3.2168315277123569</c:v>
                </c:pt>
                <c:pt idx="82">
                  <c:v>-3.4424556445281764</c:v>
                </c:pt>
                <c:pt idx="83">
                  <c:v>-3.6073166902182439</c:v>
                </c:pt>
                <c:pt idx="84">
                  <c:v>-3.8723504474799872</c:v>
                </c:pt>
                <c:pt idx="85">
                  <c:v>-3.8723504474799872</c:v>
                </c:pt>
                <c:pt idx="86">
                  <c:v>-3.6975977390485228</c:v>
                </c:pt>
                <c:pt idx="87">
                  <c:v>-3.5562882713141795</c:v>
                </c:pt>
                <c:pt idx="88">
                  <c:v>-2.9831998743915933</c:v>
                </c:pt>
                <c:pt idx="89">
                  <c:v>-2.8615167216203568</c:v>
                </c:pt>
                <c:pt idx="90">
                  <c:v>-2.8615167216203568</c:v>
                </c:pt>
                <c:pt idx="91">
                  <c:v>-2.5278693672476047</c:v>
                </c:pt>
                <c:pt idx="92">
                  <c:v>-2.7045062019155233</c:v>
                </c:pt>
                <c:pt idx="93">
                  <c:v>-1.9940336002512109</c:v>
                </c:pt>
                <c:pt idx="94">
                  <c:v>-2.1805620976605486</c:v>
                </c:pt>
                <c:pt idx="95">
                  <c:v>-1.640759930915374</c:v>
                </c:pt>
                <c:pt idx="96">
                  <c:v>-1.668236771863715</c:v>
                </c:pt>
                <c:pt idx="97">
                  <c:v>-2.3473072695870694</c:v>
                </c:pt>
                <c:pt idx="98">
                  <c:v>-2.1157167530224474</c:v>
                </c:pt>
                <c:pt idx="99">
                  <c:v>-1.7820693986497178</c:v>
                </c:pt>
                <c:pt idx="100">
                  <c:v>-1.7663683466792275</c:v>
                </c:pt>
                <c:pt idx="101">
                  <c:v>-1.7506672947087596</c:v>
                </c:pt>
                <c:pt idx="102">
                  <c:v>-2.1471188569634272</c:v>
                </c:pt>
                <c:pt idx="103">
                  <c:v>-2.2551420945203371</c:v>
                </c:pt>
                <c:pt idx="104">
                  <c:v>-2.2551420945203371</c:v>
                </c:pt>
                <c:pt idx="105">
                  <c:v>-1.788035798398498</c:v>
                </c:pt>
                <c:pt idx="106">
                  <c:v>-2.0018841262364666</c:v>
                </c:pt>
                <c:pt idx="107">
                  <c:v>-1.9998429894803031</c:v>
                </c:pt>
                <c:pt idx="108">
                  <c:v>-1.9430051813471456</c:v>
                </c:pt>
                <c:pt idx="109">
                  <c:v>-2.5357198932328613</c:v>
                </c:pt>
                <c:pt idx="110">
                  <c:v>-2.4729156853509231</c:v>
                </c:pt>
                <c:pt idx="111">
                  <c:v>-2.9753493484063371</c:v>
                </c:pt>
                <c:pt idx="112">
                  <c:v>-3.085256712199723</c:v>
                </c:pt>
                <c:pt idx="113">
                  <c:v>-2.8203799654576893</c:v>
                </c:pt>
                <c:pt idx="114">
                  <c:v>-3.2245250431779033</c:v>
                </c:pt>
                <c:pt idx="115">
                  <c:v>-3.2540430208824072</c:v>
                </c:pt>
                <c:pt idx="116">
                  <c:v>-4.3295650808604291</c:v>
                </c:pt>
                <c:pt idx="117">
                  <c:v>-4.1196420160150771</c:v>
                </c:pt>
                <c:pt idx="118">
                  <c:v>-4.1196420160150771</c:v>
                </c:pt>
                <c:pt idx="119">
                  <c:v>-4.1196420160150771</c:v>
                </c:pt>
                <c:pt idx="120">
                  <c:v>-3.7820693986497087</c:v>
                </c:pt>
                <c:pt idx="121">
                  <c:v>-3.6209766054325701</c:v>
                </c:pt>
                <c:pt idx="122">
                  <c:v>-3.6800125608415795</c:v>
                </c:pt>
                <c:pt idx="123">
                  <c:v>-4.0979745642958072</c:v>
                </c:pt>
                <c:pt idx="124">
                  <c:v>-3.9174124666352719</c:v>
                </c:pt>
                <c:pt idx="125">
                  <c:v>-3.9331135186057393</c:v>
                </c:pt>
                <c:pt idx="126">
                  <c:v>-4.3766682367718772</c:v>
                </c:pt>
                <c:pt idx="127">
                  <c:v>-4.1372271942220218</c:v>
                </c:pt>
                <c:pt idx="128">
                  <c:v>-4.1372271942220218</c:v>
                </c:pt>
                <c:pt idx="129">
                  <c:v>-4.5160935782697447</c:v>
                </c:pt>
                <c:pt idx="130">
                  <c:v>-4.8162976919453531</c:v>
                </c:pt>
                <c:pt idx="131">
                  <c:v>-4.6749882242110328</c:v>
                </c:pt>
                <c:pt idx="132">
                  <c:v>-4.4041450777202185</c:v>
                </c:pt>
                <c:pt idx="133">
                  <c:v>-4.576856649395519</c:v>
                </c:pt>
                <c:pt idx="134">
                  <c:v>-4.6652535719893224</c:v>
                </c:pt>
                <c:pt idx="135">
                  <c:v>-4.7063903281519899</c:v>
                </c:pt>
                <c:pt idx="136">
                  <c:v>-4.7789291882556153</c:v>
                </c:pt>
                <c:pt idx="137">
                  <c:v>-4.9437902339456832</c:v>
                </c:pt>
                <c:pt idx="138">
                  <c:v>-4.9458313707018462</c:v>
                </c:pt>
                <c:pt idx="139">
                  <c:v>-4.7574187470560547</c:v>
                </c:pt>
                <c:pt idx="140">
                  <c:v>-5.0321871565394849</c:v>
                </c:pt>
                <c:pt idx="141">
                  <c:v>-5.3598681111634576</c:v>
                </c:pt>
                <c:pt idx="142">
                  <c:v>-5.0910661014288063</c:v>
                </c:pt>
                <c:pt idx="143">
                  <c:v>-4.767153399277765</c:v>
                </c:pt>
                <c:pt idx="144">
                  <c:v>-4.2882713141780524</c:v>
                </c:pt>
                <c:pt idx="145">
                  <c:v>-4.2607944732297112</c:v>
                </c:pt>
                <c:pt idx="146">
                  <c:v>-4.1804050871408514</c:v>
                </c:pt>
                <c:pt idx="147">
                  <c:v>-4.1450777202072544</c:v>
                </c:pt>
                <c:pt idx="148">
                  <c:v>-3.9566650965614634</c:v>
                </c:pt>
                <c:pt idx="149">
                  <c:v>-3.9566650965614634</c:v>
                </c:pt>
                <c:pt idx="150">
                  <c:v>-3.9566650965614634</c:v>
                </c:pt>
                <c:pt idx="151">
                  <c:v>-3.9370387815983787</c:v>
                </c:pt>
                <c:pt idx="152">
                  <c:v>-4.2471345580153841</c:v>
                </c:pt>
                <c:pt idx="153">
                  <c:v>-4.2353587690375338</c:v>
                </c:pt>
                <c:pt idx="154">
                  <c:v>-3.8682681739676608</c:v>
                </c:pt>
                <c:pt idx="155">
                  <c:v>-3.8467577327681002</c:v>
                </c:pt>
                <c:pt idx="156">
                  <c:v>-4.5964829643586267</c:v>
                </c:pt>
                <c:pt idx="157">
                  <c:v>-4.5631967341811928</c:v>
                </c:pt>
                <c:pt idx="158">
                  <c:v>-4.9301303187313561</c:v>
                </c:pt>
                <c:pt idx="159">
                  <c:v>-5.0813314492070969</c:v>
                </c:pt>
                <c:pt idx="160">
                  <c:v>-4.6318103312922014</c:v>
                </c:pt>
                <c:pt idx="161">
                  <c:v>-4.8966870780342351</c:v>
                </c:pt>
                <c:pt idx="162">
                  <c:v>-4.9929345266132943</c:v>
                </c:pt>
                <c:pt idx="163">
                  <c:v>-4.9673418119014068</c:v>
                </c:pt>
                <c:pt idx="164">
                  <c:v>-5.6602292353587753</c:v>
                </c:pt>
                <c:pt idx="165">
                  <c:v>-6.1469618464437215</c:v>
                </c:pt>
                <c:pt idx="166">
                  <c:v>-6.2785366619563563</c:v>
                </c:pt>
                <c:pt idx="167">
                  <c:v>-6.2118071910818005</c:v>
                </c:pt>
                <c:pt idx="168">
                  <c:v>-6.7103155911446208</c:v>
                </c:pt>
                <c:pt idx="169">
                  <c:v>-6.806406029203969</c:v>
                </c:pt>
                <c:pt idx="170">
                  <c:v>-6.186214476369913</c:v>
                </c:pt>
                <c:pt idx="171">
                  <c:v>-6.509970168001268</c:v>
                </c:pt>
                <c:pt idx="172">
                  <c:v>-6.509970168001268</c:v>
                </c:pt>
                <c:pt idx="173">
                  <c:v>-6.8456586591301605</c:v>
                </c:pt>
                <c:pt idx="174">
                  <c:v>-7.1204270686135924</c:v>
                </c:pt>
                <c:pt idx="175">
                  <c:v>-6.4413565708902594</c:v>
                </c:pt>
                <c:pt idx="176">
                  <c:v>-6.5159365677500487</c:v>
                </c:pt>
                <c:pt idx="177">
                  <c:v>-6.7396765583294149</c:v>
                </c:pt>
                <c:pt idx="178">
                  <c:v>-6.8809860260637583</c:v>
                </c:pt>
                <c:pt idx="179">
                  <c:v>-6.0861987753179481</c:v>
                </c:pt>
                <c:pt idx="180">
                  <c:v>-6.2234259695399636</c:v>
                </c:pt>
                <c:pt idx="181">
                  <c:v>-6.67294708745486</c:v>
                </c:pt>
                <c:pt idx="182">
                  <c:v>-6.608101742816781</c:v>
                </c:pt>
                <c:pt idx="183">
                  <c:v>-6.5394881457057723</c:v>
                </c:pt>
                <c:pt idx="184">
                  <c:v>-7.2381849583922113</c:v>
                </c:pt>
                <c:pt idx="185">
                  <c:v>-7.1361281205840816</c:v>
                </c:pt>
                <c:pt idx="186">
                  <c:v>-6.8613597111006506</c:v>
                </c:pt>
                <c:pt idx="187">
                  <c:v>-7.3677186371486822</c:v>
                </c:pt>
                <c:pt idx="188">
                  <c:v>-7.503218715653956</c:v>
                </c:pt>
                <c:pt idx="189">
                  <c:v>-7.5011775788977912</c:v>
                </c:pt>
                <c:pt idx="190">
                  <c:v>-7.5011775788977912</c:v>
                </c:pt>
                <c:pt idx="191">
                  <c:v>-7.717067043491924</c:v>
                </c:pt>
                <c:pt idx="192">
                  <c:v>-7.6875490657874188</c:v>
                </c:pt>
                <c:pt idx="193">
                  <c:v>-7.650337572617369</c:v>
                </c:pt>
                <c:pt idx="194">
                  <c:v>-7.8819280891819696</c:v>
                </c:pt>
                <c:pt idx="195">
                  <c:v>-7.7602449364107331</c:v>
                </c:pt>
                <c:pt idx="196">
                  <c:v>-7.4305228450306195</c:v>
                </c:pt>
                <c:pt idx="197">
                  <c:v>-6.1796200345423147</c:v>
                </c:pt>
                <c:pt idx="198">
                  <c:v>-5.7434448108023259</c:v>
                </c:pt>
                <c:pt idx="199">
                  <c:v>-5.4875176636834739</c:v>
                </c:pt>
                <c:pt idx="200">
                  <c:v>-5.0486732611085037</c:v>
                </c:pt>
                <c:pt idx="201">
                  <c:v>-5.0486732611085037</c:v>
                </c:pt>
                <c:pt idx="202">
                  <c:v>-5.6578740775631919</c:v>
                </c:pt>
                <c:pt idx="203">
                  <c:v>-5.3430679855550416</c:v>
                </c:pt>
                <c:pt idx="204">
                  <c:v>-5.6539488145705752</c:v>
                </c:pt>
                <c:pt idx="205">
                  <c:v>-5.1127335531480549</c:v>
                </c:pt>
                <c:pt idx="206">
                  <c:v>-5.3994347621290695</c:v>
                </c:pt>
                <c:pt idx="207">
                  <c:v>-5.770607630711269</c:v>
                </c:pt>
                <c:pt idx="208">
                  <c:v>-5.7230334432406913</c:v>
                </c:pt>
                <c:pt idx="209">
                  <c:v>-4.335845501648607</c:v>
                </c:pt>
                <c:pt idx="210">
                  <c:v>-4.2549850840006407</c:v>
                </c:pt>
                <c:pt idx="211">
                  <c:v>-4.5116972837180205</c:v>
                </c:pt>
                <c:pt idx="212">
                  <c:v>-4.7299419061077135</c:v>
                </c:pt>
                <c:pt idx="213">
                  <c:v>-4.9698539802166781</c:v>
                </c:pt>
                <c:pt idx="214">
                  <c:v>-4.9698539802166781</c:v>
                </c:pt>
                <c:pt idx="215">
                  <c:v>-4.9698539802166781</c:v>
                </c:pt>
                <c:pt idx="216">
                  <c:v>-4.5622546710629548</c:v>
                </c:pt>
                <c:pt idx="217">
                  <c:v>-4.1848013816925764</c:v>
                </c:pt>
                <c:pt idx="218">
                  <c:v>-3.9893232846600792</c:v>
                </c:pt>
                <c:pt idx="219">
                  <c:v>-3.8582195007065527</c:v>
                </c:pt>
                <c:pt idx="220">
                  <c:v>-4.0155440414507844</c:v>
                </c:pt>
                <c:pt idx="221">
                  <c:v>-3.9488145705762299</c:v>
                </c:pt>
                <c:pt idx="222">
                  <c:v>-4.3531166588161536</c:v>
                </c:pt>
                <c:pt idx="223">
                  <c:v>-4.6632124352331594</c:v>
                </c:pt>
                <c:pt idx="224">
                  <c:v>-4.3609671848013871</c:v>
                </c:pt>
                <c:pt idx="225">
                  <c:v>-4.3609671848013871</c:v>
                </c:pt>
                <c:pt idx="226">
                  <c:v>-4.3039723661485416</c:v>
                </c:pt>
                <c:pt idx="227">
                  <c:v>-4.2962788506829961</c:v>
                </c:pt>
                <c:pt idx="228">
                  <c:v>-4.6396608572774349</c:v>
                </c:pt>
                <c:pt idx="229">
                  <c:v>-4.6396608572774349</c:v>
                </c:pt>
                <c:pt idx="230">
                  <c:v>-4.6396608572774349</c:v>
                </c:pt>
                <c:pt idx="231">
                  <c:v>-4.4944261265504739</c:v>
                </c:pt>
                <c:pt idx="232">
                  <c:v>-4.4944261265504739</c:v>
                </c:pt>
                <c:pt idx="233">
                  <c:v>-3.9744072852881174</c:v>
                </c:pt>
                <c:pt idx="234">
                  <c:v>-4.2471345580153841</c:v>
                </c:pt>
                <c:pt idx="235">
                  <c:v>-4.3864028889935645</c:v>
                </c:pt>
                <c:pt idx="236">
                  <c:v>-4.5964829643586267</c:v>
                </c:pt>
                <c:pt idx="237">
                  <c:v>-4.4492070968755026</c:v>
                </c:pt>
                <c:pt idx="238">
                  <c:v>-4.3374156068456635</c:v>
                </c:pt>
                <c:pt idx="239">
                  <c:v>-4.445438844402573</c:v>
                </c:pt>
                <c:pt idx="240">
                  <c:v>-4.1450777202072544</c:v>
                </c:pt>
                <c:pt idx="241">
                  <c:v>-4.2223268959020244</c:v>
                </c:pt>
                <c:pt idx="242">
                  <c:v>-4.4388444025749747</c:v>
                </c:pt>
                <c:pt idx="243">
                  <c:v>-4.6781284346051217</c:v>
                </c:pt>
                <c:pt idx="244">
                  <c:v>-4.5427853666195581</c:v>
                </c:pt>
                <c:pt idx="245">
                  <c:v>-4.49568221070811</c:v>
                </c:pt>
                <c:pt idx="246">
                  <c:v>-4.7392055267702933</c:v>
                </c:pt>
                <c:pt idx="247">
                  <c:v>-4.7165960119328076</c:v>
                </c:pt>
                <c:pt idx="248">
                  <c:v>-4.4771549693829504</c:v>
                </c:pt>
                <c:pt idx="249">
                  <c:v>-4.7150259067357512</c:v>
                </c:pt>
                <c:pt idx="250">
                  <c:v>-5.2355157795572396</c:v>
                </c:pt>
                <c:pt idx="251">
                  <c:v>-4.8778458156696551</c:v>
                </c:pt>
                <c:pt idx="252">
                  <c:v>-4.8575914586277307</c:v>
                </c:pt>
                <c:pt idx="253">
                  <c:v>-5.2099230648453521</c:v>
                </c:pt>
                <c:pt idx="254">
                  <c:v>-6.0909090909090917</c:v>
                </c:pt>
                <c:pt idx="255">
                  <c:v>-5.8086041764798253</c:v>
                </c:pt>
                <c:pt idx="256">
                  <c:v>-5.964829643586131</c:v>
                </c:pt>
                <c:pt idx="257">
                  <c:v>-6.3419689119171121</c:v>
                </c:pt>
                <c:pt idx="258">
                  <c:v>-5.6358926048045239</c:v>
                </c:pt>
                <c:pt idx="259">
                  <c:v>-5.0923221855864425</c:v>
                </c:pt>
                <c:pt idx="260">
                  <c:v>-5.1257654262835635</c:v>
                </c:pt>
                <c:pt idx="261">
                  <c:v>-5.3933113518605778</c:v>
                </c:pt>
                <c:pt idx="262">
                  <c:v>-5.3955094991364518</c:v>
                </c:pt>
                <c:pt idx="263">
                  <c:v>-5.9313864028889869</c:v>
                </c:pt>
                <c:pt idx="264">
                  <c:v>-5.6374627100015795</c:v>
                </c:pt>
                <c:pt idx="265">
                  <c:v>-5.006280420788201</c:v>
                </c:pt>
                <c:pt idx="266">
                  <c:v>-4.9370387815983738</c:v>
                </c:pt>
                <c:pt idx="267">
                  <c:v>-4.6734181190139763</c:v>
                </c:pt>
                <c:pt idx="268">
                  <c:v>-4.380593499764494</c:v>
                </c:pt>
                <c:pt idx="269">
                  <c:v>-4.755534620819601</c:v>
                </c:pt>
                <c:pt idx="270">
                  <c:v>-5.0478882085099759</c:v>
                </c:pt>
                <c:pt idx="271">
                  <c:v>-5.4994504631810344</c:v>
                </c:pt>
                <c:pt idx="272">
                  <c:v>-5.7500392526299242</c:v>
                </c:pt>
                <c:pt idx="273">
                  <c:v>-5.4011618778458121</c:v>
                </c:pt>
                <c:pt idx="274">
                  <c:v>-5.7527084314649057</c:v>
                </c:pt>
                <c:pt idx="275">
                  <c:v>-5.341497880357986</c:v>
                </c:pt>
                <c:pt idx="276">
                  <c:v>-6.0742659758203867</c:v>
                </c:pt>
                <c:pt idx="277">
                  <c:v>-6.3490343853038169</c:v>
                </c:pt>
                <c:pt idx="278">
                  <c:v>-5.9379808447166083</c:v>
                </c:pt>
                <c:pt idx="279">
                  <c:v>-5.6790704977233553</c:v>
                </c:pt>
                <c:pt idx="280">
                  <c:v>-6.519390799183558</c:v>
                </c:pt>
                <c:pt idx="281">
                  <c:v>-6.6713769822578044</c:v>
                </c:pt>
                <c:pt idx="282">
                  <c:v>-6.4430836866070029</c:v>
                </c:pt>
                <c:pt idx="283">
                  <c:v>-5.8685821950070718</c:v>
                </c:pt>
                <c:pt idx="284">
                  <c:v>-6.0252786936724849</c:v>
                </c:pt>
                <c:pt idx="285">
                  <c:v>-5.5405872193437027</c:v>
                </c:pt>
                <c:pt idx="286">
                  <c:v>-5.6319673418119072</c:v>
                </c:pt>
                <c:pt idx="287">
                  <c:v>-5.8440885539331102</c:v>
                </c:pt>
                <c:pt idx="288">
                  <c:v>-5.8580624901868568</c:v>
                </c:pt>
                <c:pt idx="289">
                  <c:v>-5.9557230334432383</c:v>
                </c:pt>
                <c:pt idx="290">
                  <c:v>-5.4294237713926812</c:v>
                </c:pt>
                <c:pt idx="291">
                  <c:v>-5.4160778772177745</c:v>
                </c:pt>
                <c:pt idx="292">
                  <c:v>-5.1780499293452635</c:v>
                </c:pt>
                <c:pt idx="293">
                  <c:v>-5.2441513581410009</c:v>
                </c:pt>
                <c:pt idx="294">
                  <c:v>-4.9285602135343005</c:v>
                </c:pt>
                <c:pt idx="295">
                  <c:v>-5.3790233945674339</c:v>
                </c:pt>
                <c:pt idx="296">
                  <c:v>-5.4254985084000635</c:v>
                </c:pt>
                <c:pt idx="297">
                  <c:v>-5.4768409483435487</c:v>
                </c:pt>
                <c:pt idx="298">
                  <c:v>-5.4769979588632367</c:v>
                </c:pt>
                <c:pt idx="299">
                  <c:v>-5.4608258753336605</c:v>
                </c:pt>
                <c:pt idx="300">
                  <c:v>-5.5000785052598529</c:v>
                </c:pt>
                <c:pt idx="301">
                  <c:v>-5.8726644685193987</c:v>
                </c:pt>
                <c:pt idx="302">
                  <c:v>-5.7885068299576101</c:v>
                </c:pt>
                <c:pt idx="303">
                  <c:v>-5.4024179620034483</c:v>
                </c:pt>
                <c:pt idx="304">
                  <c:v>-5.1756947715497024</c:v>
                </c:pt>
                <c:pt idx="305">
                  <c:v>-4.8822421102213802</c:v>
                </c:pt>
                <c:pt idx="306">
                  <c:v>-4.7539645156225454</c:v>
                </c:pt>
                <c:pt idx="307">
                  <c:v>-4.6712199717381031</c:v>
                </c:pt>
                <c:pt idx="308">
                  <c:v>-4.8899356256869266</c:v>
                </c:pt>
                <c:pt idx="309">
                  <c:v>-4.8626157952582965</c:v>
                </c:pt>
                <c:pt idx="310">
                  <c:v>-4.9618464437117336</c:v>
                </c:pt>
                <c:pt idx="311">
                  <c:v>-4.887266446851946</c:v>
                </c:pt>
                <c:pt idx="312">
                  <c:v>-4.8285445124823339</c:v>
                </c:pt>
                <c:pt idx="313">
                  <c:v>-4.8145705762286095</c:v>
                </c:pt>
                <c:pt idx="314">
                  <c:v>-4.8373371015858062</c:v>
                </c:pt>
                <c:pt idx="315">
                  <c:v>-5.0416077877217758</c:v>
                </c:pt>
                <c:pt idx="316">
                  <c:v>-5.0416077877217758</c:v>
                </c:pt>
                <c:pt idx="317">
                  <c:v>-4.9499136442141731</c:v>
                </c:pt>
                <c:pt idx="318">
                  <c:v>-4.9891662741403646</c:v>
                </c:pt>
                <c:pt idx="319">
                  <c:v>-4.9775474956822237</c:v>
                </c:pt>
                <c:pt idx="320">
                  <c:v>-5.3933113518605778</c:v>
                </c:pt>
                <c:pt idx="321">
                  <c:v>-5.5027476840948335</c:v>
                </c:pt>
                <c:pt idx="322">
                  <c:v>-5.3024022609514816</c:v>
                </c:pt>
                <c:pt idx="323">
                  <c:v>-5.4030460040822881</c:v>
                </c:pt>
                <c:pt idx="324">
                  <c:v>-5.2312764955252025</c:v>
                </c:pt>
                <c:pt idx="325">
                  <c:v>-5.2103940964044595</c:v>
                </c:pt>
                <c:pt idx="326">
                  <c:v>-5.4543884440257502</c:v>
                </c:pt>
                <c:pt idx="327">
                  <c:v>-5.4314649081488451</c:v>
                </c:pt>
                <c:pt idx="328">
                  <c:v>-5.1208981001727087</c:v>
                </c:pt>
                <c:pt idx="329">
                  <c:v>-4.9338985712042849</c:v>
                </c:pt>
                <c:pt idx="330">
                  <c:v>-4.5407442298633942</c:v>
                </c:pt>
                <c:pt idx="331">
                  <c:v>-4.5420003140210525</c:v>
                </c:pt>
                <c:pt idx="332">
                  <c:v>-4.0744229863400827</c:v>
                </c:pt>
                <c:pt idx="333">
                  <c:v>-4.2766525357198892</c:v>
                </c:pt>
                <c:pt idx="334">
                  <c:v>-4.6440571518291822</c:v>
                </c:pt>
                <c:pt idx="335">
                  <c:v>-5.0036112419532195</c:v>
                </c:pt>
                <c:pt idx="336">
                  <c:v>-4.8566493955094927</c:v>
                </c:pt>
                <c:pt idx="337">
                  <c:v>-4.8169257340241929</c:v>
                </c:pt>
                <c:pt idx="338">
                  <c:v>-4.9386088867954303</c:v>
                </c:pt>
                <c:pt idx="339">
                  <c:v>-4.9897943162191822</c:v>
                </c:pt>
                <c:pt idx="340">
                  <c:v>-5.3639503846757846</c:v>
                </c:pt>
                <c:pt idx="341">
                  <c:v>-5.1562254671063057</c:v>
                </c:pt>
                <c:pt idx="342">
                  <c:v>-5.1907677814413526</c:v>
                </c:pt>
                <c:pt idx="343">
                  <c:v>-5.1436646255299046</c:v>
                </c:pt>
                <c:pt idx="344">
                  <c:v>-4.5788977861516829</c:v>
                </c:pt>
                <c:pt idx="345">
                  <c:v>-4.6930444339770832</c:v>
                </c:pt>
                <c:pt idx="346">
                  <c:v>-4.5526770293609777</c:v>
                </c:pt>
                <c:pt idx="347">
                  <c:v>-4.2969068927618137</c:v>
                </c:pt>
                <c:pt idx="348">
                  <c:v>-4.3838907206782931</c:v>
                </c:pt>
                <c:pt idx="349">
                  <c:v>-4.8657560056523854</c:v>
                </c:pt>
                <c:pt idx="350">
                  <c:v>-4.616580310880841</c:v>
                </c:pt>
                <c:pt idx="351">
                  <c:v>-4.4449678128434655</c:v>
                </c:pt>
                <c:pt idx="352">
                  <c:v>-4.5848641859004635</c:v>
                </c:pt>
                <c:pt idx="353">
                  <c:v>-4.6506515936567805</c:v>
                </c:pt>
                <c:pt idx="354">
                  <c:v>-4.7197362223268966</c:v>
                </c:pt>
                <c:pt idx="355">
                  <c:v>-4.6561469618464528</c:v>
                </c:pt>
                <c:pt idx="356">
                  <c:v>-4.3719579211807327</c:v>
                </c:pt>
                <c:pt idx="357">
                  <c:v>-4.3812215418433125</c:v>
                </c:pt>
                <c:pt idx="358">
                  <c:v>-4.3812215418433125</c:v>
                </c:pt>
                <c:pt idx="359">
                  <c:v>-4.9452033286230286</c:v>
                </c:pt>
                <c:pt idx="360">
                  <c:v>-4.7260166431150967</c:v>
                </c:pt>
                <c:pt idx="361">
                  <c:v>-4.8891505730883988</c:v>
                </c:pt>
                <c:pt idx="362">
                  <c:v>-4.7673104097974521</c:v>
                </c:pt>
                <c:pt idx="363">
                  <c:v>-4.6283560998586921</c:v>
                </c:pt>
                <c:pt idx="364">
                  <c:v>-4.9417490971895193</c:v>
                </c:pt>
                <c:pt idx="365">
                  <c:v>-5.1042549850840029</c:v>
                </c:pt>
                <c:pt idx="366">
                  <c:v>-5.019783325482817</c:v>
                </c:pt>
                <c:pt idx="367">
                  <c:v>-4.9051656460982862</c:v>
                </c:pt>
                <c:pt idx="368">
                  <c:v>-4.9874391584236211</c:v>
                </c:pt>
                <c:pt idx="369">
                  <c:v>-4.9839849269901118</c:v>
                </c:pt>
                <c:pt idx="370">
                  <c:v>-4.8808290155440348</c:v>
                </c:pt>
                <c:pt idx="371">
                  <c:v>-4.8808290155440348</c:v>
                </c:pt>
                <c:pt idx="372">
                  <c:v>-4.7739048516250726</c:v>
                </c:pt>
                <c:pt idx="373">
                  <c:v>-4.7998115873763574</c:v>
                </c:pt>
                <c:pt idx="374">
                  <c:v>-4.6985398021667564</c:v>
                </c:pt>
                <c:pt idx="375">
                  <c:v>-4.8955880043963091</c:v>
                </c:pt>
                <c:pt idx="376">
                  <c:v>-4.7888208509970127</c:v>
                </c:pt>
                <c:pt idx="377">
                  <c:v>-4.1855864342911042</c:v>
                </c:pt>
                <c:pt idx="378">
                  <c:v>-4.3837337101585838</c:v>
                </c:pt>
                <c:pt idx="379">
                  <c:v>-5.2837180091066127</c:v>
                </c:pt>
                <c:pt idx="380">
                  <c:v>-6.2314335060449082</c:v>
                </c:pt>
                <c:pt idx="381">
                  <c:v>-6.2314335060449082</c:v>
                </c:pt>
                <c:pt idx="382">
                  <c:v>-6.5225310095776461</c:v>
                </c:pt>
                <c:pt idx="383">
                  <c:v>-6.8849112890563751</c:v>
                </c:pt>
                <c:pt idx="384">
                  <c:v>-6.6588161406814255</c:v>
                </c:pt>
                <c:pt idx="385">
                  <c:v>-6.9879101899827418</c:v>
                </c:pt>
                <c:pt idx="386">
                  <c:v>-7.1518291725545717</c:v>
                </c:pt>
                <c:pt idx="387">
                  <c:v>-7.3705448265033739</c:v>
                </c:pt>
                <c:pt idx="388">
                  <c:v>-8.1174438687392083</c:v>
                </c:pt>
                <c:pt idx="389">
                  <c:v>-7.9802166745171919</c:v>
                </c:pt>
                <c:pt idx="390">
                  <c:v>-7.7209923064845407</c:v>
                </c:pt>
                <c:pt idx="391">
                  <c:v>-7.6982257811273449</c:v>
                </c:pt>
                <c:pt idx="392">
                  <c:v>-7.7732768095462408</c:v>
                </c:pt>
                <c:pt idx="393">
                  <c:v>-7.6457842675459338</c:v>
                </c:pt>
                <c:pt idx="394">
                  <c:v>-7.1507300989166245</c:v>
                </c:pt>
                <c:pt idx="395">
                  <c:v>-6.8053069555660217</c:v>
                </c:pt>
                <c:pt idx="396">
                  <c:v>-6.7712356727900822</c:v>
                </c:pt>
                <c:pt idx="397">
                  <c:v>-6.3451091223112002</c:v>
                </c:pt>
                <c:pt idx="398">
                  <c:v>-6.0334432406971397</c:v>
                </c:pt>
                <c:pt idx="399">
                  <c:v>-5.8608886795415254</c:v>
                </c:pt>
                <c:pt idx="400">
                  <c:v>-6.0222954937980839</c:v>
                </c:pt>
                <c:pt idx="401">
                  <c:v>-6.0222954937980839</c:v>
                </c:pt>
                <c:pt idx="402">
                  <c:v>-5.9271471188569729</c:v>
                </c:pt>
                <c:pt idx="403">
                  <c:v>-5.9397079604333509</c:v>
                </c:pt>
                <c:pt idx="404">
                  <c:v>-6.6314963102527953</c:v>
                </c:pt>
                <c:pt idx="405">
                  <c:v>-6.521431935939721</c:v>
                </c:pt>
                <c:pt idx="406">
                  <c:v>-6.5376040194693186</c:v>
                </c:pt>
                <c:pt idx="407">
                  <c:v>-6.6807976134400944</c:v>
                </c:pt>
                <c:pt idx="408">
                  <c:v>-6.4884597268017066</c:v>
                </c:pt>
                <c:pt idx="409">
                  <c:v>-6.5991521431935984</c:v>
                </c:pt>
                <c:pt idx="410">
                  <c:v>-6.5159365677500487</c:v>
                </c:pt>
                <c:pt idx="411">
                  <c:v>-6.4107395195478079</c:v>
                </c:pt>
                <c:pt idx="412">
                  <c:v>-6.7687235044748109</c:v>
                </c:pt>
                <c:pt idx="413">
                  <c:v>-7.1047260166431245</c:v>
                </c:pt>
                <c:pt idx="414">
                  <c:v>-6.6925734024179668</c:v>
                </c:pt>
                <c:pt idx="415">
                  <c:v>-6.7300989166274157</c:v>
                </c:pt>
                <c:pt idx="416">
                  <c:v>-6.9398649709530567</c:v>
                </c:pt>
                <c:pt idx="417">
                  <c:v>-7.3834196891191723</c:v>
                </c:pt>
                <c:pt idx="418">
                  <c:v>-6.5865913016172204</c:v>
                </c:pt>
                <c:pt idx="419">
                  <c:v>-6.3744700894959951</c:v>
                </c:pt>
                <c:pt idx="420">
                  <c:v>-7.0146019783325562</c:v>
                </c:pt>
                <c:pt idx="421">
                  <c:v>-7.011304757418757</c:v>
                </c:pt>
                <c:pt idx="422">
                  <c:v>-7.2391270215104502</c:v>
                </c:pt>
                <c:pt idx="423">
                  <c:v>-7.1293766682367741</c:v>
                </c:pt>
                <c:pt idx="424">
                  <c:v>-6.8142565551892034</c:v>
                </c:pt>
                <c:pt idx="425">
                  <c:v>-7.0105197048202283</c:v>
                </c:pt>
                <c:pt idx="426">
                  <c:v>-6.9681268644999257</c:v>
                </c:pt>
                <c:pt idx="427">
                  <c:v>-6.6968126864500039</c:v>
                </c:pt>
                <c:pt idx="428">
                  <c:v>-7.0273198304286435</c:v>
                </c:pt>
                <c:pt idx="429">
                  <c:v>-6.9814727586748324</c:v>
                </c:pt>
                <c:pt idx="430">
                  <c:v>-6.9167844245564405</c:v>
                </c:pt>
                <c:pt idx="431">
                  <c:v>-6.9398649709530567</c:v>
                </c:pt>
                <c:pt idx="432">
                  <c:v>-6.9948186528497382</c:v>
                </c:pt>
                <c:pt idx="433">
                  <c:v>-6.8927618150416095</c:v>
                </c:pt>
                <c:pt idx="434">
                  <c:v>-6.8927618150416095</c:v>
                </c:pt>
                <c:pt idx="435">
                  <c:v>-6.9627885068299626</c:v>
                </c:pt>
                <c:pt idx="436">
                  <c:v>-6.4386873920552787</c:v>
                </c:pt>
                <c:pt idx="437">
                  <c:v>-6.0078505259852522</c:v>
                </c:pt>
                <c:pt idx="438">
                  <c:v>-5.8111163447950958</c:v>
                </c:pt>
                <c:pt idx="439">
                  <c:v>-5.5330507143978664</c:v>
                </c:pt>
                <c:pt idx="440">
                  <c:v>-5.3914272256241249</c:v>
                </c:pt>
                <c:pt idx="441">
                  <c:v>-5.5363479353116656</c:v>
                </c:pt>
                <c:pt idx="442">
                  <c:v>-5.8133144920709698</c:v>
                </c:pt>
                <c:pt idx="443">
                  <c:v>-5.2205997801852773</c:v>
                </c:pt>
                <c:pt idx="444">
                  <c:v>-4.7859946616423432</c:v>
                </c:pt>
                <c:pt idx="445">
                  <c:v>-4.9850840006280377</c:v>
                </c:pt>
                <c:pt idx="446">
                  <c:v>-5.2009734652221704</c:v>
                </c:pt>
                <c:pt idx="447">
                  <c:v>-5.0309310723818506</c:v>
                </c:pt>
                <c:pt idx="448">
                  <c:v>-5.0152300204113818</c:v>
                </c:pt>
                <c:pt idx="449">
                  <c:v>-5.4388444025749711</c:v>
                </c:pt>
                <c:pt idx="450">
                  <c:v>-5.3344324069712794</c:v>
                </c:pt>
                <c:pt idx="451">
                  <c:v>-5.1185429423771476</c:v>
                </c:pt>
                <c:pt idx="452">
                  <c:v>-5.0753650494583162</c:v>
                </c:pt>
                <c:pt idx="453">
                  <c:v>-5.1815041607787728</c:v>
                </c:pt>
                <c:pt idx="454">
                  <c:v>-4.6079447322970566</c:v>
                </c:pt>
                <c:pt idx="455">
                  <c:v>-4.6079447322970566</c:v>
                </c:pt>
                <c:pt idx="456">
                  <c:v>-4.7527084314649102</c:v>
                </c:pt>
                <c:pt idx="457">
                  <c:v>-4.7158109593342799</c:v>
                </c:pt>
                <c:pt idx="458">
                  <c:v>-4.7574187470560547</c:v>
                </c:pt>
                <c:pt idx="459">
                  <c:v>-4.9191395823520105</c:v>
                </c:pt>
                <c:pt idx="460">
                  <c:v>-4.8401632909404979</c:v>
                </c:pt>
                <c:pt idx="461">
                  <c:v>-4.6671376982257762</c:v>
                </c:pt>
                <c:pt idx="462">
                  <c:v>-4.5980530695556601</c:v>
                </c:pt>
                <c:pt idx="463">
                  <c:v>-4.9381378552362998</c:v>
                </c:pt>
                <c:pt idx="464">
                  <c:v>-4.655361909247925</c:v>
                </c:pt>
                <c:pt idx="465">
                  <c:v>-4.4989794316219314</c:v>
                </c:pt>
                <c:pt idx="466">
                  <c:v>-4.4989794316219314</c:v>
                </c:pt>
                <c:pt idx="467">
                  <c:v>-3.247762600094207</c:v>
                </c:pt>
                <c:pt idx="468">
                  <c:v>-2.9046946145391876</c:v>
                </c:pt>
                <c:pt idx="469">
                  <c:v>-2.671219971738112</c:v>
                </c:pt>
                <c:pt idx="470">
                  <c:v>-2.8732925105982074</c:v>
                </c:pt>
                <c:pt idx="471">
                  <c:v>-2.5357198932328613</c:v>
                </c:pt>
                <c:pt idx="472">
                  <c:v>-2.8568064060292118</c:v>
                </c:pt>
                <c:pt idx="473">
                  <c:v>-2.7049772334746534</c:v>
                </c:pt>
                <c:pt idx="474">
                  <c:v>-2.7363793374156109</c:v>
                </c:pt>
                <c:pt idx="475">
                  <c:v>-2.6927304129376726</c:v>
                </c:pt>
                <c:pt idx="476">
                  <c:v>-2.1745956979117684</c:v>
                </c:pt>
                <c:pt idx="477">
                  <c:v>-2.1147746899042317</c:v>
                </c:pt>
                <c:pt idx="478">
                  <c:v>-1.8323127649552546</c:v>
                </c:pt>
                <c:pt idx="479">
                  <c:v>-1.7192651907677798</c:v>
                </c:pt>
                <c:pt idx="480">
                  <c:v>-1.8433035013345997</c:v>
                </c:pt>
                <c:pt idx="481">
                  <c:v>-2.1213691317318299</c:v>
                </c:pt>
                <c:pt idx="482">
                  <c:v>-2.078505259852419</c:v>
                </c:pt>
                <c:pt idx="483">
                  <c:v>-2.0929502276652512</c:v>
                </c:pt>
                <c:pt idx="484">
                  <c:v>-1.4291097503532788</c:v>
                </c:pt>
                <c:pt idx="485">
                  <c:v>-0.94253414978804251</c:v>
                </c:pt>
                <c:pt idx="486">
                  <c:v>-1.3818495839221208</c:v>
                </c:pt>
                <c:pt idx="487">
                  <c:v>-1.5230020411367544</c:v>
                </c:pt>
                <c:pt idx="488">
                  <c:v>-1.6800125608415879</c:v>
                </c:pt>
                <c:pt idx="489">
                  <c:v>-1.2403831056680896</c:v>
                </c:pt>
                <c:pt idx="490">
                  <c:v>-1.3173182603234395</c:v>
                </c:pt>
                <c:pt idx="491">
                  <c:v>-1.1241953210865256</c:v>
                </c:pt>
                <c:pt idx="492">
                  <c:v>-1.4302088239912045</c:v>
                </c:pt>
                <c:pt idx="493">
                  <c:v>-1.4997644842204505</c:v>
                </c:pt>
                <c:pt idx="494">
                  <c:v>-1.6250588789448839</c:v>
                </c:pt>
                <c:pt idx="495">
                  <c:v>-1.5198618307426655</c:v>
                </c:pt>
                <c:pt idx="496">
                  <c:v>-1.27712356727901</c:v>
                </c:pt>
                <c:pt idx="497">
                  <c:v>-1.0080075365049395</c:v>
                </c:pt>
                <c:pt idx="498">
                  <c:v>-0.7038781598367142</c:v>
                </c:pt>
                <c:pt idx="499">
                  <c:v>-0.6515936567750138</c:v>
                </c:pt>
                <c:pt idx="500">
                  <c:v>-0.91835452975350085</c:v>
                </c:pt>
                <c:pt idx="501">
                  <c:v>-0.92714711885697254</c:v>
                </c:pt>
                <c:pt idx="502">
                  <c:v>-0.76134401004866714</c:v>
                </c:pt>
                <c:pt idx="503">
                  <c:v>-0.75333647354372324</c:v>
                </c:pt>
                <c:pt idx="504">
                  <c:v>-0.8486418590045669</c:v>
                </c:pt>
                <c:pt idx="505">
                  <c:v>-1.0127178520960842</c:v>
                </c:pt>
                <c:pt idx="506">
                  <c:v>-1.0741089653006766</c:v>
                </c:pt>
                <c:pt idx="507">
                  <c:v>-1.5449835138954449</c:v>
                </c:pt>
                <c:pt idx="508">
                  <c:v>-1.5531480609200767</c:v>
                </c:pt>
                <c:pt idx="509">
                  <c:v>-1.111320458470727</c:v>
                </c:pt>
                <c:pt idx="510">
                  <c:v>-0.72774375883183584</c:v>
                </c:pt>
                <c:pt idx="511">
                  <c:v>-0.52614225153084804</c:v>
                </c:pt>
                <c:pt idx="512">
                  <c:v>-0.55723033443240799</c:v>
                </c:pt>
                <c:pt idx="513">
                  <c:v>-0.68315277123568163</c:v>
                </c:pt>
                <c:pt idx="514">
                  <c:v>-1.9940336002512109</c:v>
                </c:pt>
                <c:pt idx="515">
                  <c:v>-1.3659915214319431</c:v>
                </c:pt>
                <c:pt idx="516">
                  <c:v>-1.3268959020254392</c:v>
                </c:pt>
                <c:pt idx="517">
                  <c:v>-1.8981001727115716</c:v>
                </c:pt>
                <c:pt idx="518">
                  <c:v>-1.703407128277602</c:v>
                </c:pt>
                <c:pt idx="519">
                  <c:v>-1.3722719422201213</c:v>
                </c:pt>
                <c:pt idx="520">
                  <c:v>-1.389543099387667</c:v>
                </c:pt>
                <c:pt idx="521">
                  <c:v>-1.3344324069712752</c:v>
                </c:pt>
                <c:pt idx="522">
                  <c:v>-1.3707018370230879</c:v>
                </c:pt>
                <c:pt idx="523" formatCode="0.00">
                  <c:v>-1.2937666823677156</c:v>
                </c:pt>
                <c:pt idx="524">
                  <c:v>-1.1147746899042361</c:v>
                </c:pt>
                <c:pt idx="525">
                  <c:v>-0.92636206625844475</c:v>
                </c:pt>
                <c:pt idx="526">
                  <c:v>-1.0519704820222984</c:v>
                </c:pt>
                <c:pt idx="527">
                  <c:v>-1.1775788977861517</c:v>
                </c:pt>
                <c:pt idx="528">
                  <c:v>-1.1932799497566418</c:v>
                </c:pt>
                <c:pt idx="529">
                  <c:v>-0.89495996231748687</c:v>
                </c:pt>
                <c:pt idx="530">
                  <c:v>-1.0676715339927882</c:v>
                </c:pt>
                <c:pt idx="531">
                  <c:v>-1.2560841576385575</c:v>
                </c:pt>
                <c:pt idx="532">
                  <c:v>-1.0676715339927882</c:v>
                </c:pt>
                <c:pt idx="533">
                  <c:v>-0.61234102684879976</c:v>
                </c:pt>
                <c:pt idx="534">
                  <c:v>-1.4444967812843488</c:v>
                </c:pt>
                <c:pt idx="535">
                  <c:v>-1.2089810017271096</c:v>
                </c:pt>
                <c:pt idx="536">
                  <c:v>-1.2403831056680896</c:v>
                </c:pt>
                <c:pt idx="537">
                  <c:v>-1.5073009891662867</c:v>
                </c:pt>
                <c:pt idx="538">
                  <c:v>-1.413094677343391</c:v>
                </c:pt>
                <c:pt idx="539">
                  <c:v>-1.4444967812843488</c:v>
                </c:pt>
                <c:pt idx="540">
                  <c:v>-1.2246820536975995</c:v>
                </c:pt>
                <c:pt idx="541">
                  <c:v>-1.2717852096090474</c:v>
                </c:pt>
                <c:pt idx="542">
                  <c:v>-1.2246820536975995</c:v>
                </c:pt>
                <c:pt idx="543">
                  <c:v>-1.2717852096090474</c:v>
                </c:pt>
                <c:pt idx="544">
                  <c:v>-1.7428167687235037</c:v>
                </c:pt>
                <c:pt idx="545" formatCode="0.00">
                  <c:v>-1.4601978332548389</c:v>
                </c:pt>
              </c:numCache>
            </c:numRef>
          </c:val>
          <c:smooth val="0"/>
        </c:ser>
        <c:ser>
          <c:idx val="1"/>
          <c:order val="1"/>
          <c:tx>
            <c:strRef>
              <c:f>'Currency '!$L$1</c:f>
              <c:strCache>
                <c:ptCount val="1"/>
                <c:pt idx="0">
                  <c:v>YEN</c:v>
                </c:pt>
              </c:strCache>
            </c:strRef>
          </c:tx>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'!$L$2:$L$547</c:f>
              <c:numCache>
                <c:formatCode>General</c:formatCode>
                <c:ptCount val="546"/>
                <c:pt idx="0">
                  <c:v>0</c:v>
                </c:pt>
                <c:pt idx="1">
                  <c:v>-0.61236000322295148</c:v>
                </c:pt>
                <c:pt idx="2">
                  <c:v>7.2516316171141251E-2</c:v>
                </c:pt>
                <c:pt idx="3">
                  <c:v>-0.2175489485134123</c:v>
                </c:pt>
                <c:pt idx="4">
                  <c:v>-0.33035210700185047</c:v>
                </c:pt>
                <c:pt idx="5">
                  <c:v>-1.1360889533478338</c:v>
                </c:pt>
                <c:pt idx="6">
                  <c:v>-0.76545000402868646</c:v>
                </c:pt>
                <c:pt idx="7">
                  <c:v>-0.1450326323422825</c:v>
                </c:pt>
                <c:pt idx="8">
                  <c:v>1.0796873741036206</c:v>
                </c:pt>
                <c:pt idx="9">
                  <c:v>0.37869631778261126</c:v>
                </c:pt>
                <c:pt idx="10">
                  <c:v>0.59624526629602359</c:v>
                </c:pt>
                <c:pt idx="11">
                  <c:v>0.53984368705181029</c:v>
                </c:pt>
                <c:pt idx="12">
                  <c:v>0.5720731609056432</c:v>
                </c:pt>
                <c:pt idx="13">
                  <c:v>-8.8631053098057716E-2</c:v>
                </c:pt>
                <c:pt idx="14">
                  <c:v>0.87019579405366065</c:v>
                </c:pt>
                <c:pt idx="15">
                  <c:v>1.1924905325920587</c:v>
                </c:pt>
                <c:pt idx="16">
                  <c:v>0.64458947707678438</c:v>
                </c:pt>
                <c:pt idx="17">
                  <c:v>0.20143421158649583</c:v>
                </c:pt>
                <c:pt idx="18">
                  <c:v>5.6401579244213344E-2</c:v>
                </c:pt>
                <c:pt idx="19">
                  <c:v>0.41898316009990821</c:v>
                </c:pt>
                <c:pt idx="20">
                  <c:v>0.20143421158649583</c:v>
                </c:pt>
                <c:pt idx="21">
                  <c:v>1.3294657964708771</c:v>
                </c:pt>
                <c:pt idx="22">
                  <c:v>1.6034163242285029</c:v>
                </c:pt>
                <c:pt idx="23">
                  <c:v>0.87019579405366065</c:v>
                </c:pt>
                <c:pt idx="24">
                  <c:v>0.78962210941906696</c:v>
                </c:pt>
                <c:pt idx="25">
                  <c:v>1.0474579002497761</c:v>
                </c:pt>
                <c:pt idx="26">
                  <c:v>1.2650068487631885</c:v>
                </c:pt>
                <c:pt idx="27">
                  <c:v>1.4744984288131484</c:v>
                </c:pt>
                <c:pt idx="28">
                  <c:v>2.7072758037225038</c:v>
                </c:pt>
                <c:pt idx="29">
                  <c:v>2.2480058013052986</c:v>
                </c:pt>
                <c:pt idx="30">
                  <c:v>1.0232857948593956</c:v>
                </c:pt>
                <c:pt idx="31">
                  <c:v>0.59624526629602359</c:v>
                </c:pt>
                <c:pt idx="32">
                  <c:v>0.60430263475948753</c:v>
                </c:pt>
                <c:pt idx="33">
                  <c:v>0.17726210619611543</c:v>
                </c:pt>
                <c:pt idx="34">
                  <c:v>3.2229473853844379E-2</c:v>
                </c:pt>
                <c:pt idx="35">
                  <c:v>5.6401579244213344E-2</c:v>
                </c:pt>
                <c:pt idx="36">
                  <c:v>-0.13697526387881853</c:v>
                </c:pt>
                <c:pt idx="37">
                  <c:v>0.2497784223672567</c:v>
                </c:pt>
                <c:pt idx="38">
                  <c:v>3.2229473853844379E-2</c:v>
                </c:pt>
                <c:pt idx="39">
                  <c:v>0.25783579083070918</c:v>
                </c:pt>
                <c:pt idx="40">
                  <c:v>0.29812263314801751</c:v>
                </c:pt>
                <c:pt idx="41">
                  <c:v>0.72516316171138961</c:v>
                </c:pt>
                <c:pt idx="42">
                  <c:v>0.41898316009990821</c:v>
                </c:pt>
                <c:pt idx="43">
                  <c:v>0.24172105390379275</c:v>
                </c:pt>
                <c:pt idx="44">
                  <c:v>-0.1853194746595794</c:v>
                </c:pt>
                <c:pt idx="45">
                  <c:v>0.10474579002497418</c:v>
                </c:pt>
                <c:pt idx="46">
                  <c:v>0.19337684312303191</c:v>
                </c:pt>
                <c:pt idx="47">
                  <c:v>0.11280315848843814</c:v>
                </c:pt>
                <c:pt idx="48">
                  <c:v>-0.62847474014986804</c:v>
                </c:pt>
                <c:pt idx="49">
                  <c:v>-0.39481105470952776</c:v>
                </c:pt>
                <c:pt idx="50">
                  <c:v>-0.11280315848843814</c:v>
                </c:pt>
                <c:pt idx="51">
                  <c:v>-0.37063894931914732</c:v>
                </c:pt>
                <c:pt idx="52">
                  <c:v>-0.82185158327289998</c:v>
                </c:pt>
                <c:pt idx="53">
                  <c:v>0.12086052695190209</c:v>
                </c:pt>
                <c:pt idx="54">
                  <c:v>-0.24172105390379275</c:v>
                </c:pt>
                <c:pt idx="55">
                  <c:v>-7.2516316171141251E-2</c:v>
                </c:pt>
                <c:pt idx="56">
                  <c:v>-0.20143421158649583</c:v>
                </c:pt>
                <c:pt idx="57">
                  <c:v>-0.20949158004995982</c:v>
                </c:pt>
                <c:pt idx="58">
                  <c:v>3.2229473853844379E-2</c:v>
                </c:pt>
                <c:pt idx="59">
                  <c:v>0.53178631858834635</c:v>
                </c:pt>
                <c:pt idx="60">
                  <c:v>1.8290226412053789</c:v>
                </c:pt>
                <c:pt idx="61">
                  <c:v>3.9642252840222394</c:v>
                </c:pt>
                <c:pt idx="62">
                  <c:v>3.3679800177262047</c:v>
                </c:pt>
                <c:pt idx="63">
                  <c:v>3.827250020143421</c:v>
                </c:pt>
                <c:pt idx="64">
                  <c:v>2.3205221174764286</c:v>
                </c:pt>
                <c:pt idx="65">
                  <c:v>2.199661590524538</c:v>
                </c:pt>
                <c:pt idx="66">
                  <c:v>2.3044073805495122</c:v>
                </c:pt>
                <c:pt idx="67">
                  <c:v>3.8191926516799568</c:v>
                </c:pt>
                <c:pt idx="68">
                  <c:v>3.045685279187818</c:v>
                </c:pt>
                <c:pt idx="69">
                  <c:v>3.2551768592377779</c:v>
                </c:pt>
                <c:pt idx="70">
                  <c:v>4.1253726532914383</c:v>
                </c:pt>
                <c:pt idx="71">
                  <c:v>3.8917089678510983</c:v>
                </c:pt>
                <c:pt idx="72">
                  <c:v>3.4646684392877263</c:v>
                </c:pt>
                <c:pt idx="73">
                  <c:v>2.9087100153089995</c:v>
                </c:pt>
                <c:pt idx="74">
                  <c:v>2.812021593747478</c:v>
                </c:pt>
                <c:pt idx="75">
                  <c:v>2.8361936991378585</c:v>
                </c:pt>
                <c:pt idx="76">
                  <c:v>3.1262589638224121</c:v>
                </c:pt>
                <c:pt idx="77">
                  <c:v>2.9731689630166769</c:v>
                </c:pt>
                <c:pt idx="78">
                  <c:v>2.8523084360647863</c:v>
                </c:pt>
                <c:pt idx="79">
                  <c:v>3.3035210700185274</c:v>
                </c:pt>
                <c:pt idx="80">
                  <c:v>3.3276931754089079</c:v>
                </c:pt>
                <c:pt idx="81">
                  <c:v>2.860365804528239</c:v>
                </c:pt>
                <c:pt idx="82">
                  <c:v>3.1907179115300894</c:v>
                </c:pt>
                <c:pt idx="83">
                  <c:v>3.0859721215051152</c:v>
                </c:pt>
                <c:pt idx="84">
                  <c:v>3.2551768592377779</c:v>
                </c:pt>
                <c:pt idx="85">
                  <c:v>2.8361936991378585</c:v>
                </c:pt>
                <c:pt idx="86">
                  <c:v>3.3760373861896689</c:v>
                </c:pt>
                <c:pt idx="87">
                  <c:v>3.5210700185319515</c:v>
                </c:pt>
                <c:pt idx="88">
                  <c:v>3.4082668600435131</c:v>
                </c:pt>
                <c:pt idx="89">
                  <c:v>3.3679800177262047</c:v>
                </c:pt>
                <c:pt idx="90">
                  <c:v>3.3840947546531321</c:v>
                </c:pt>
                <c:pt idx="91">
                  <c:v>2.9409394891628438</c:v>
                </c:pt>
                <c:pt idx="92">
                  <c:v>3.1262589638224121</c:v>
                </c:pt>
                <c:pt idx="93">
                  <c:v>3.3035210700185274</c:v>
                </c:pt>
                <c:pt idx="94">
                  <c:v>3.3679800177262047</c:v>
                </c:pt>
                <c:pt idx="95">
                  <c:v>3.094029489968579</c:v>
                </c:pt>
                <c:pt idx="96">
                  <c:v>3.2793489646281468</c:v>
                </c:pt>
                <c:pt idx="97">
                  <c:v>3.5130126500684873</c:v>
                </c:pt>
                <c:pt idx="98">
                  <c:v>4.254290548706793</c:v>
                </c:pt>
                <c:pt idx="99">
                  <c:v>4.1978889694625678</c:v>
                </c:pt>
                <c:pt idx="100">
                  <c:v>3.7627910724357436</c:v>
                </c:pt>
                <c:pt idx="101">
                  <c:v>3.7144468616549831</c:v>
                </c:pt>
                <c:pt idx="102">
                  <c:v>3.4404963338973458</c:v>
                </c:pt>
                <c:pt idx="103">
                  <c:v>3.3679800177262047</c:v>
                </c:pt>
                <c:pt idx="104">
                  <c:v>2.7556200145032643</c:v>
                </c:pt>
                <c:pt idx="105">
                  <c:v>2.1271452743533965</c:v>
                </c:pt>
                <c:pt idx="106">
                  <c:v>2.4252679075014143</c:v>
                </c:pt>
                <c:pt idx="107">
                  <c:v>2.9409394891628438</c:v>
                </c:pt>
                <c:pt idx="108">
                  <c:v>2.4333252759648665</c:v>
                </c:pt>
                <c:pt idx="109">
                  <c:v>2.4010958021110338</c:v>
                </c:pt>
                <c:pt idx="110">
                  <c:v>2.812021593747478</c:v>
                </c:pt>
                <c:pt idx="111">
                  <c:v>2.6992184352590396</c:v>
                </c:pt>
                <c:pt idx="112">
                  <c:v>2.4494400128917944</c:v>
                </c:pt>
                <c:pt idx="113">
                  <c:v>2.0465715897188028</c:v>
                </c:pt>
                <c:pt idx="114">
                  <c:v>1.9015389573765202</c:v>
                </c:pt>
                <c:pt idx="115">
                  <c:v>0.78962210941906696</c:v>
                </c:pt>
                <c:pt idx="116">
                  <c:v>0.74933526710175857</c:v>
                </c:pt>
                <c:pt idx="117">
                  <c:v>0.77350737249213908</c:v>
                </c:pt>
                <c:pt idx="118">
                  <c:v>1.0071710579324793</c:v>
                </c:pt>
                <c:pt idx="119">
                  <c:v>1.2086052695189751</c:v>
                </c:pt>
                <c:pt idx="120">
                  <c:v>1.2086052695189751</c:v>
                </c:pt>
                <c:pt idx="121">
                  <c:v>0.74933526710175857</c:v>
                </c:pt>
                <c:pt idx="122">
                  <c:v>0.53178631858834635</c:v>
                </c:pt>
                <c:pt idx="123">
                  <c:v>0.37869631778261126</c:v>
                </c:pt>
                <c:pt idx="124">
                  <c:v>0.99911368946901535</c:v>
                </c:pt>
                <c:pt idx="125">
                  <c:v>1.0474579002497761</c:v>
                </c:pt>
                <c:pt idx="126">
                  <c:v>1.0232857948593956</c:v>
                </c:pt>
                <c:pt idx="127">
                  <c:v>1.2730642172266524</c:v>
                </c:pt>
                <c:pt idx="128">
                  <c:v>1.1038594794940009</c:v>
                </c:pt>
                <c:pt idx="129">
                  <c:v>1.2408347433728195</c:v>
                </c:pt>
                <c:pt idx="130">
                  <c:v>1.0555152687132401</c:v>
                </c:pt>
                <c:pt idx="131">
                  <c:v>0.8057368463459833</c:v>
                </c:pt>
                <c:pt idx="132">
                  <c:v>0.99911368946901535</c:v>
                </c:pt>
                <c:pt idx="133">
                  <c:v>0.70099105632100922</c:v>
                </c:pt>
                <c:pt idx="134">
                  <c:v>1.2086052695189751</c:v>
                </c:pt>
                <c:pt idx="135">
                  <c:v>0.8057368463459833</c:v>
                </c:pt>
                <c:pt idx="136">
                  <c:v>0.59624526629602359</c:v>
                </c:pt>
                <c:pt idx="137">
                  <c:v>0.95076947868825445</c:v>
                </c:pt>
                <c:pt idx="138">
                  <c:v>2.151317379743777</c:v>
                </c:pt>
                <c:pt idx="139">
                  <c:v>2.0546289581822554</c:v>
                </c:pt>
                <c:pt idx="140">
                  <c:v>2.4977842236725443</c:v>
                </c:pt>
                <c:pt idx="141">
                  <c:v>2.4816694867456275</c:v>
                </c:pt>
                <c:pt idx="142">
                  <c:v>1.9579405366207336</c:v>
                </c:pt>
                <c:pt idx="143">
                  <c:v>1.5309000080573729</c:v>
                </c:pt>
                <c:pt idx="144">
                  <c:v>1.2488921118362721</c:v>
                </c:pt>
                <c:pt idx="145">
                  <c:v>2.3769236967206533</c:v>
                </c:pt>
                <c:pt idx="146">
                  <c:v>2.3527515913302732</c:v>
                </c:pt>
                <c:pt idx="147">
                  <c:v>2.4494400128917944</c:v>
                </c:pt>
                <c:pt idx="148">
                  <c:v>2.5703005398436853</c:v>
                </c:pt>
                <c:pt idx="149">
                  <c:v>2.9651115945532132</c:v>
                </c:pt>
                <c:pt idx="150">
                  <c:v>3.045685279187818</c:v>
                </c:pt>
                <c:pt idx="151">
                  <c:v>2.9892836999435932</c:v>
                </c:pt>
                <c:pt idx="152">
                  <c:v>2.9409394891628438</c:v>
                </c:pt>
                <c:pt idx="153">
                  <c:v>2.8925952783820832</c:v>
                </c:pt>
                <c:pt idx="154">
                  <c:v>3.1343163322858762</c:v>
                </c:pt>
                <c:pt idx="155">
                  <c:v>2.8684231729917027</c:v>
                </c:pt>
                <c:pt idx="156">
                  <c:v>3.7627910724357436</c:v>
                </c:pt>
                <c:pt idx="157">
                  <c:v>4.068971074047214</c:v>
                </c:pt>
                <c:pt idx="158">
                  <c:v>4.5443558133913466</c:v>
                </c:pt>
                <c:pt idx="159">
                  <c:v>5.1889452904681308</c:v>
                </c:pt>
                <c:pt idx="160">
                  <c:v>4.6974458141970823</c:v>
                </c:pt>
                <c:pt idx="161">
                  <c:v>5.1164289742969906</c:v>
                </c:pt>
                <c:pt idx="162">
                  <c:v>5.2050600273950476</c:v>
                </c:pt>
                <c:pt idx="163">
                  <c:v>5.1808879220046666</c:v>
                </c:pt>
                <c:pt idx="164">
                  <c:v>4.8747079203931971</c:v>
                </c:pt>
                <c:pt idx="165">
                  <c:v>5.744903714446858</c:v>
                </c:pt>
                <c:pt idx="166">
                  <c:v>5.4709531866892318</c:v>
                </c:pt>
                <c:pt idx="167">
                  <c:v>5.2131173958585117</c:v>
                </c:pt>
                <c:pt idx="168">
                  <c:v>5.7771331883007022</c:v>
                </c:pt>
                <c:pt idx="169">
                  <c:v>5.1647731850777507</c:v>
                </c:pt>
                <c:pt idx="170">
                  <c:v>4.2945773910240899</c:v>
                </c:pt>
                <c:pt idx="171">
                  <c:v>4.6813310772701655</c:v>
                </c:pt>
                <c:pt idx="172">
                  <c:v>4.5846426557086435</c:v>
                </c:pt>
                <c:pt idx="173">
                  <c:v>4.3751510756586844</c:v>
                </c:pt>
                <c:pt idx="174">
                  <c:v>4.2623479171702572</c:v>
                </c:pt>
                <c:pt idx="175">
                  <c:v>2.3930384336475696</c:v>
                </c:pt>
                <c:pt idx="176">
                  <c:v>2.5138989605994722</c:v>
                </c:pt>
                <c:pt idx="177">
                  <c:v>3.335750543872372</c:v>
                </c:pt>
                <c:pt idx="178">
                  <c:v>5.0036258158085518</c:v>
                </c:pt>
                <c:pt idx="179">
                  <c:v>5.9060510837160569</c:v>
                </c:pt>
                <c:pt idx="180">
                  <c:v>5.8335347675449158</c:v>
                </c:pt>
                <c:pt idx="181">
                  <c:v>6.6553863508178264</c:v>
                </c:pt>
                <c:pt idx="182">
                  <c:v>7.2516316171138504</c:v>
                </c:pt>
                <c:pt idx="183">
                  <c:v>8.6697284666827859</c:v>
                </c:pt>
                <c:pt idx="184">
                  <c:v>9.4190637337845438</c:v>
                </c:pt>
                <c:pt idx="185">
                  <c:v>8.7503021513173795</c:v>
                </c:pt>
                <c:pt idx="186">
                  <c:v>7.6625574087503061</c:v>
                </c:pt>
                <c:pt idx="187">
                  <c:v>8.0895979373136786</c:v>
                </c:pt>
                <c:pt idx="188">
                  <c:v>8.0654258319232977</c:v>
                </c:pt>
                <c:pt idx="189">
                  <c:v>8.7583595197808428</c:v>
                </c:pt>
                <c:pt idx="190">
                  <c:v>9.2498589960518913</c:v>
                </c:pt>
                <c:pt idx="191">
                  <c:v>9.0161953106115522</c:v>
                </c:pt>
                <c:pt idx="192">
                  <c:v>9.6768995246152656</c:v>
                </c:pt>
                <c:pt idx="193">
                  <c:v>9.6124405769075754</c:v>
                </c:pt>
                <c:pt idx="194">
                  <c:v>8.9517363629038762</c:v>
                </c:pt>
                <c:pt idx="195">
                  <c:v>8.1459995165578913</c:v>
                </c:pt>
                <c:pt idx="196">
                  <c:v>9.201514785271133</c:v>
                </c:pt>
                <c:pt idx="197">
                  <c:v>8.1459995165578913</c:v>
                </c:pt>
                <c:pt idx="198">
                  <c:v>8.3393763596809229</c:v>
                </c:pt>
                <c:pt idx="199">
                  <c:v>8.5408105712674196</c:v>
                </c:pt>
                <c:pt idx="200">
                  <c:v>8.2104584642655691</c:v>
                </c:pt>
                <c:pt idx="201">
                  <c:v>8.5005237289501228</c:v>
                </c:pt>
                <c:pt idx="202">
                  <c:v>9.3143179437595709</c:v>
                </c:pt>
                <c:pt idx="203">
                  <c:v>8.8792200467327351</c:v>
                </c:pt>
                <c:pt idx="204">
                  <c:v>9.0725968898557774</c:v>
                </c:pt>
                <c:pt idx="205">
                  <c:v>8.3635484650713039</c:v>
                </c:pt>
                <c:pt idx="206">
                  <c:v>8.323261622754007</c:v>
                </c:pt>
                <c:pt idx="207">
                  <c:v>8.9356216259769585</c:v>
                </c:pt>
                <c:pt idx="208">
                  <c:v>8.4038353073886007</c:v>
                </c:pt>
                <c:pt idx="209">
                  <c:v>10.273144790911289</c:v>
                </c:pt>
                <c:pt idx="210">
                  <c:v>10.095882684715173</c:v>
                </c:pt>
                <c:pt idx="211">
                  <c:v>9.9266779469825099</c:v>
                </c:pt>
                <c:pt idx="212">
                  <c:v>9.451293207638388</c:v>
                </c:pt>
                <c:pt idx="213">
                  <c:v>9.3304326806864868</c:v>
                </c:pt>
                <c:pt idx="214">
                  <c:v>9.177342679880752</c:v>
                </c:pt>
                <c:pt idx="215">
                  <c:v>8.8469905728789016</c:v>
                </c:pt>
                <c:pt idx="216">
                  <c:v>8.6616710982193208</c:v>
                </c:pt>
                <c:pt idx="217">
                  <c:v>8.9678510998307903</c:v>
                </c:pt>
                <c:pt idx="218">
                  <c:v>9.3223753122230217</c:v>
                </c:pt>
                <c:pt idx="219">
                  <c:v>9.3546047860768677</c:v>
                </c:pt>
                <c:pt idx="220">
                  <c:v>10.007251631617116</c:v>
                </c:pt>
                <c:pt idx="221">
                  <c:v>10.289259527838205</c:v>
                </c:pt>
                <c:pt idx="222">
                  <c:v>11.094996374184188</c:v>
                </c:pt>
                <c:pt idx="223">
                  <c:v>11.538151639674476</c:v>
                </c:pt>
                <c:pt idx="224">
                  <c:v>12.811215856901139</c:v>
                </c:pt>
                <c:pt idx="225">
                  <c:v>12.924019015389579</c:v>
                </c:pt>
                <c:pt idx="226">
                  <c:v>13.028764805414554</c:v>
                </c:pt>
                <c:pt idx="227">
                  <c:v>12.545322697606956</c:v>
                </c:pt>
                <c:pt idx="228">
                  <c:v>11.900733220530171</c:v>
                </c:pt>
                <c:pt idx="229">
                  <c:v>11.852389009749411</c:v>
                </c:pt>
                <c:pt idx="230">
                  <c:v>12.368060591410842</c:v>
                </c:pt>
                <c:pt idx="231">
                  <c:v>12.319716380630091</c:v>
                </c:pt>
                <c:pt idx="232">
                  <c:v>12.005479010555158</c:v>
                </c:pt>
                <c:pt idx="233">
                  <c:v>11.497864797357179</c:v>
                </c:pt>
                <c:pt idx="234">
                  <c:v>11.804044798968661</c:v>
                </c:pt>
                <c:pt idx="235">
                  <c:v>9.9266779469825099</c:v>
                </c:pt>
                <c:pt idx="236">
                  <c:v>10.402062686326644</c:v>
                </c:pt>
                <c:pt idx="237">
                  <c:v>10.313431633228586</c:v>
                </c:pt>
                <c:pt idx="238">
                  <c:v>10.192571106276695</c:v>
                </c:pt>
                <c:pt idx="239">
                  <c:v>12.891789541535733</c:v>
                </c:pt>
                <c:pt idx="240">
                  <c:v>14.189025864152768</c:v>
                </c:pt>
                <c:pt idx="241">
                  <c:v>14.237370074933528</c:v>
                </c:pt>
                <c:pt idx="242">
                  <c:v>14.342115864958501</c:v>
                </c:pt>
                <c:pt idx="243">
                  <c:v>13.721698493272097</c:v>
                </c:pt>
                <c:pt idx="244">
                  <c:v>13.560551124002899</c:v>
                </c:pt>
                <c:pt idx="245">
                  <c:v>14.068165337200867</c:v>
                </c:pt>
                <c:pt idx="246">
                  <c:v>12.650068487631941</c:v>
                </c:pt>
                <c:pt idx="247">
                  <c:v>11.949077431310933</c:v>
                </c:pt>
                <c:pt idx="248">
                  <c:v>12.561437434533884</c:v>
                </c:pt>
                <c:pt idx="249">
                  <c:v>12.214970590605105</c:v>
                </c:pt>
                <c:pt idx="250">
                  <c:v>12.279429538312783</c:v>
                </c:pt>
                <c:pt idx="251">
                  <c:v>12.198855853678189</c:v>
                </c:pt>
                <c:pt idx="252">
                  <c:v>12.142454274433964</c:v>
                </c:pt>
                <c:pt idx="253">
                  <c:v>11.586495850455238</c:v>
                </c:pt>
                <c:pt idx="254">
                  <c:v>11.538151639674476</c:v>
                </c:pt>
                <c:pt idx="255">
                  <c:v>10.974135847232297</c:v>
                </c:pt>
                <c:pt idx="256">
                  <c:v>11.884618483603255</c:v>
                </c:pt>
                <c:pt idx="257">
                  <c:v>11.377004270405289</c:v>
                </c:pt>
                <c:pt idx="258">
                  <c:v>11.199742164209175</c:v>
                </c:pt>
                <c:pt idx="259">
                  <c:v>11.530094271211025</c:v>
                </c:pt>
                <c:pt idx="260">
                  <c:v>11.425348481186038</c:v>
                </c:pt>
                <c:pt idx="261">
                  <c:v>10.450406897107403</c:v>
                </c:pt>
                <c:pt idx="262">
                  <c:v>10.821045846426552</c:v>
                </c:pt>
                <c:pt idx="263">
                  <c:v>11.642897429699463</c:v>
                </c:pt>
                <c:pt idx="264">
                  <c:v>12.392232696801221</c:v>
                </c:pt>
                <c:pt idx="265">
                  <c:v>13.995649021029735</c:v>
                </c:pt>
                <c:pt idx="266">
                  <c:v>13.834501651760537</c:v>
                </c:pt>
                <c:pt idx="267">
                  <c:v>13.439690597050996</c:v>
                </c:pt>
                <c:pt idx="268">
                  <c:v>13.947304810248976</c:v>
                </c:pt>
                <c:pt idx="269">
                  <c:v>14.124566916445088</c:v>
                </c:pt>
                <c:pt idx="270">
                  <c:v>13.689469019418254</c:v>
                </c:pt>
                <c:pt idx="271">
                  <c:v>14.487148497300783</c:v>
                </c:pt>
                <c:pt idx="272">
                  <c:v>14.519377971154618</c:v>
                </c:pt>
                <c:pt idx="273">
                  <c:v>14.64023849810652</c:v>
                </c:pt>
                <c:pt idx="274">
                  <c:v>15.913302715333172</c:v>
                </c:pt>
                <c:pt idx="275">
                  <c:v>16.018048505358145</c:v>
                </c:pt>
                <c:pt idx="276">
                  <c:v>16.009991136894694</c:v>
                </c:pt>
                <c:pt idx="277">
                  <c:v>15.703811135283214</c:v>
                </c:pt>
                <c:pt idx="278">
                  <c:v>15.81661429377165</c:v>
                </c:pt>
                <c:pt idx="279">
                  <c:v>14.801385867375719</c:v>
                </c:pt>
                <c:pt idx="280">
                  <c:v>17.629522198050111</c:v>
                </c:pt>
                <c:pt idx="281">
                  <c:v>17.951816936588511</c:v>
                </c:pt>
                <c:pt idx="282">
                  <c:v>17.266940617194418</c:v>
                </c:pt>
                <c:pt idx="283">
                  <c:v>17.234711143340586</c:v>
                </c:pt>
                <c:pt idx="284">
                  <c:v>16.856014825557974</c:v>
                </c:pt>
                <c:pt idx="285">
                  <c:v>17.403915881073235</c:v>
                </c:pt>
                <c:pt idx="286">
                  <c:v>17.4119732495367</c:v>
                </c:pt>
                <c:pt idx="287">
                  <c:v>18.201595358955768</c:v>
                </c:pt>
                <c:pt idx="288">
                  <c:v>18.274111675126896</c:v>
                </c:pt>
                <c:pt idx="289">
                  <c:v>18.886471678349849</c:v>
                </c:pt>
                <c:pt idx="290">
                  <c:v>18.999274836838286</c:v>
                </c:pt>
                <c:pt idx="291">
                  <c:v>17.20248166948674</c:v>
                </c:pt>
                <c:pt idx="292">
                  <c:v>15.46209008137942</c:v>
                </c:pt>
                <c:pt idx="293">
                  <c:v>15.969704294577387</c:v>
                </c:pt>
                <c:pt idx="294">
                  <c:v>15.139795342841033</c:v>
                </c:pt>
                <c:pt idx="295">
                  <c:v>15.067279026669892</c:v>
                </c:pt>
                <c:pt idx="296">
                  <c:v>14.471033760373858</c:v>
                </c:pt>
                <c:pt idx="297">
                  <c:v>14.511320602691166</c:v>
                </c:pt>
                <c:pt idx="298">
                  <c:v>14.035935863347031</c:v>
                </c:pt>
                <c:pt idx="299">
                  <c:v>14.728869551204577</c:v>
                </c:pt>
                <c:pt idx="300">
                  <c:v>14.438804286520025</c:v>
                </c:pt>
                <c:pt idx="301">
                  <c:v>14.704697445814197</c:v>
                </c:pt>
                <c:pt idx="302">
                  <c:v>15.566835871404393</c:v>
                </c:pt>
                <c:pt idx="303">
                  <c:v>14.841672709693016</c:v>
                </c:pt>
                <c:pt idx="304">
                  <c:v>15.510434292160181</c:v>
                </c:pt>
                <c:pt idx="305">
                  <c:v>17.532833776488602</c:v>
                </c:pt>
                <c:pt idx="306">
                  <c:v>17.62146482958666</c:v>
                </c:pt>
                <c:pt idx="307">
                  <c:v>18.822012730642172</c:v>
                </c:pt>
                <c:pt idx="308">
                  <c:v>18.346627991298039</c:v>
                </c:pt>
                <c:pt idx="309">
                  <c:v>18.515832729030702</c:v>
                </c:pt>
                <c:pt idx="310">
                  <c:v>18.000161147369273</c:v>
                </c:pt>
                <c:pt idx="311">
                  <c:v>17.355571670292488</c:v>
                </c:pt>
                <c:pt idx="312">
                  <c:v>17.855128515026987</c:v>
                </c:pt>
                <c:pt idx="313">
                  <c:v>18.346627991298039</c:v>
                </c:pt>
                <c:pt idx="314">
                  <c:v>18.121021674321163</c:v>
                </c:pt>
                <c:pt idx="315">
                  <c:v>18.491660623640321</c:v>
                </c:pt>
                <c:pt idx="316">
                  <c:v>18.435259044396098</c:v>
                </c:pt>
                <c:pt idx="317">
                  <c:v>19.160422206107487</c:v>
                </c:pt>
                <c:pt idx="318">
                  <c:v>19.168479574570952</c:v>
                </c:pt>
                <c:pt idx="319">
                  <c:v>19.402143260011279</c:v>
                </c:pt>
                <c:pt idx="320">
                  <c:v>19.265167996132458</c:v>
                </c:pt>
                <c:pt idx="321">
                  <c:v>19.160422206107487</c:v>
                </c:pt>
                <c:pt idx="322">
                  <c:v>19.249053259205546</c:v>
                </c:pt>
                <c:pt idx="323">
                  <c:v>19.055676416082513</c:v>
                </c:pt>
                <c:pt idx="324">
                  <c:v>18.991217468374824</c:v>
                </c:pt>
                <c:pt idx="325">
                  <c:v>18.394972202078801</c:v>
                </c:pt>
                <c:pt idx="326">
                  <c:v>17.685923777294338</c:v>
                </c:pt>
                <c:pt idx="327">
                  <c:v>16.98493272097333</c:v>
                </c:pt>
                <c:pt idx="328">
                  <c:v>16.783498509386831</c:v>
                </c:pt>
                <c:pt idx="329">
                  <c:v>16.77544114092337</c:v>
                </c:pt>
                <c:pt idx="330">
                  <c:v>16.243654822335021</c:v>
                </c:pt>
                <c:pt idx="331">
                  <c:v>16.759326403996454</c:v>
                </c:pt>
                <c:pt idx="332">
                  <c:v>17.693981145757789</c:v>
                </c:pt>
                <c:pt idx="333">
                  <c:v>17.951816936588511</c:v>
                </c:pt>
                <c:pt idx="334">
                  <c:v>17.444202723390546</c:v>
                </c:pt>
                <c:pt idx="335">
                  <c:v>17.20248166948674</c:v>
                </c:pt>
                <c:pt idx="336">
                  <c:v>17.887357988880833</c:v>
                </c:pt>
                <c:pt idx="337">
                  <c:v>17.653694303440492</c:v>
                </c:pt>
                <c:pt idx="338">
                  <c:v>17.420030618000165</c:v>
                </c:pt>
                <c:pt idx="339">
                  <c:v>17.613407461123195</c:v>
                </c:pt>
                <c:pt idx="340">
                  <c:v>17.557005881878986</c:v>
                </c:pt>
                <c:pt idx="341">
                  <c:v>18.024333252759654</c:v>
                </c:pt>
                <c:pt idx="342">
                  <c:v>18.080734832003866</c:v>
                </c:pt>
                <c:pt idx="343">
                  <c:v>18.846184836032553</c:v>
                </c:pt>
                <c:pt idx="344">
                  <c:v>18.77366851986141</c:v>
                </c:pt>
                <c:pt idx="345">
                  <c:v>18.628635887519142</c:v>
                </c:pt>
                <c:pt idx="346">
                  <c:v>19.152364837644022</c:v>
                </c:pt>
                <c:pt idx="347">
                  <c:v>19.128192732253645</c:v>
                </c:pt>
                <c:pt idx="348">
                  <c:v>18.958987994520989</c:v>
                </c:pt>
                <c:pt idx="349">
                  <c:v>18.499717992103772</c:v>
                </c:pt>
                <c:pt idx="350">
                  <c:v>18.274111675126896</c:v>
                </c:pt>
                <c:pt idx="351">
                  <c:v>18.193537990492302</c:v>
                </c:pt>
                <c:pt idx="352">
                  <c:v>17.049391668681004</c:v>
                </c:pt>
                <c:pt idx="353">
                  <c:v>16.598179034727252</c:v>
                </c:pt>
                <c:pt idx="354">
                  <c:v>16.243654822335021</c:v>
                </c:pt>
                <c:pt idx="355">
                  <c:v>16.968817984046414</c:v>
                </c:pt>
                <c:pt idx="356">
                  <c:v>16.404802191604222</c:v>
                </c:pt>
                <c:pt idx="357">
                  <c:v>16.63846587704456</c:v>
                </c:pt>
                <c:pt idx="358">
                  <c:v>15.897187978406254</c:v>
                </c:pt>
                <c:pt idx="359">
                  <c:v>16.501490613165743</c:v>
                </c:pt>
                <c:pt idx="360">
                  <c:v>16.203367980017727</c:v>
                </c:pt>
                <c:pt idx="361">
                  <c:v>16.267826927725405</c:v>
                </c:pt>
                <c:pt idx="362">
                  <c:v>16.33228587543308</c:v>
                </c:pt>
                <c:pt idx="363">
                  <c:v>16.791555877850296</c:v>
                </c:pt>
                <c:pt idx="364">
                  <c:v>16.243654822335021</c:v>
                </c:pt>
                <c:pt idx="365">
                  <c:v>16.25976955926194</c:v>
                </c:pt>
                <c:pt idx="366">
                  <c:v>16.018048505358145</c:v>
                </c:pt>
                <c:pt idx="367">
                  <c:v>16.001933768431233</c:v>
                </c:pt>
                <c:pt idx="368">
                  <c:v>15.736040609137056</c:v>
                </c:pt>
                <c:pt idx="369">
                  <c:v>15.172024816694865</c:v>
                </c:pt>
                <c:pt idx="370">
                  <c:v>15.115623237450654</c:v>
                </c:pt>
                <c:pt idx="371">
                  <c:v>15.405688502135206</c:v>
                </c:pt>
                <c:pt idx="372">
                  <c:v>16.042220610748529</c:v>
                </c:pt>
                <c:pt idx="373">
                  <c:v>16.743211667069534</c:v>
                </c:pt>
                <c:pt idx="374">
                  <c:v>17.001047457900246</c:v>
                </c:pt>
                <c:pt idx="375">
                  <c:v>16.856014825557974</c:v>
                </c:pt>
                <c:pt idx="376">
                  <c:v>15.864958504552412</c:v>
                </c:pt>
                <c:pt idx="377">
                  <c:v>15.333172185964065</c:v>
                </c:pt>
                <c:pt idx="378">
                  <c:v>15.107565868987189</c:v>
                </c:pt>
                <c:pt idx="379">
                  <c:v>14.068165337200867</c:v>
                </c:pt>
                <c:pt idx="380">
                  <c:v>14.156796390298924</c:v>
                </c:pt>
                <c:pt idx="381">
                  <c:v>12.907904278462651</c:v>
                </c:pt>
                <c:pt idx="382">
                  <c:v>12.303601643703162</c:v>
                </c:pt>
                <c:pt idx="383">
                  <c:v>12.013536379018609</c:v>
                </c:pt>
                <c:pt idx="384">
                  <c:v>11.4736926919668</c:v>
                </c:pt>
                <c:pt idx="385">
                  <c:v>10.748529530255421</c:v>
                </c:pt>
                <c:pt idx="386">
                  <c:v>10.482636370961249</c:v>
                </c:pt>
                <c:pt idx="387">
                  <c:v>10.530980581741996</c:v>
                </c:pt>
                <c:pt idx="388">
                  <c:v>9.3223753122230217</c:v>
                </c:pt>
                <c:pt idx="389">
                  <c:v>8.6455563612924067</c:v>
                </c:pt>
                <c:pt idx="390">
                  <c:v>8.7986463620981414</c:v>
                </c:pt>
                <c:pt idx="391">
                  <c:v>9.4754653130287689</c:v>
                </c:pt>
                <c:pt idx="392">
                  <c:v>9.2176295221980489</c:v>
                </c:pt>
                <c:pt idx="393">
                  <c:v>8.0412537265329185</c:v>
                </c:pt>
                <c:pt idx="394">
                  <c:v>7.7431310933848998</c:v>
                </c:pt>
                <c:pt idx="395">
                  <c:v>8.4038353073886007</c:v>
                </c:pt>
                <c:pt idx="396">
                  <c:v>8.6133268874385607</c:v>
                </c:pt>
                <c:pt idx="397">
                  <c:v>8.2185158327290324</c:v>
                </c:pt>
                <c:pt idx="398">
                  <c:v>8.323261622754007</c:v>
                </c:pt>
                <c:pt idx="399">
                  <c:v>7.9929095157521575</c:v>
                </c:pt>
                <c:pt idx="400">
                  <c:v>7.0904842478446515</c:v>
                </c:pt>
                <c:pt idx="401">
                  <c:v>7.3563774071388259</c:v>
                </c:pt>
                <c:pt idx="402">
                  <c:v>7.1146563532350324</c:v>
                </c:pt>
                <c:pt idx="403">
                  <c:v>7.2113447747965536</c:v>
                </c:pt>
                <c:pt idx="404">
                  <c:v>4.9955684473450992</c:v>
                </c:pt>
                <c:pt idx="405">
                  <c:v>5.2050600273950476</c:v>
                </c:pt>
                <c:pt idx="406">
                  <c:v>5.9543952944968179</c:v>
                </c:pt>
                <c:pt idx="407">
                  <c:v>5.0922568689066097</c:v>
                </c:pt>
                <c:pt idx="408">
                  <c:v>5.2534042381758086</c:v>
                </c:pt>
                <c:pt idx="409">
                  <c:v>5.2614616066392728</c:v>
                </c:pt>
                <c:pt idx="410">
                  <c:v>5.5756989767142064</c:v>
                </c:pt>
                <c:pt idx="411">
                  <c:v>5.6240431874949675</c:v>
                </c:pt>
                <c:pt idx="412">
                  <c:v>5.3581500282007939</c:v>
                </c:pt>
                <c:pt idx="413">
                  <c:v>5.2856337120296537</c:v>
                </c:pt>
                <c:pt idx="414">
                  <c:v>6.1316574006929327</c:v>
                </c:pt>
                <c:pt idx="415">
                  <c:v>6.0188542422044948</c:v>
                </c:pt>
                <c:pt idx="416">
                  <c:v>5.4226089759084717</c:v>
                </c:pt>
                <c:pt idx="417">
                  <c:v>5.3823221335911633</c:v>
                </c:pt>
                <c:pt idx="418">
                  <c:v>5.4226089759084717</c:v>
                </c:pt>
                <c:pt idx="419">
                  <c:v>7.0099105632100578</c:v>
                </c:pt>
                <c:pt idx="420">
                  <c:v>5.8254773990814632</c:v>
                </c:pt>
                <c:pt idx="421">
                  <c:v>6.3975505599871054</c:v>
                </c:pt>
                <c:pt idx="422">
                  <c:v>6.6634437192812799</c:v>
                </c:pt>
                <c:pt idx="423">
                  <c:v>7.0340826686004387</c:v>
                </c:pt>
                <c:pt idx="424">
                  <c:v>8.1137700427040471</c:v>
                </c:pt>
                <c:pt idx="425">
                  <c:v>7.5255821448714872</c:v>
                </c:pt>
                <c:pt idx="426">
                  <c:v>8.0573684634598344</c:v>
                </c:pt>
                <c:pt idx="427">
                  <c:v>9.0000805736846363</c:v>
                </c:pt>
                <c:pt idx="428">
                  <c:v>8.621384255902024</c:v>
                </c:pt>
                <c:pt idx="429">
                  <c:v>7.0099105632100578</c:v>
                </c:pt>
                <c:pt idx="430">
                  <c:v>7.4288937233099661</c:v>
                </c:pt>
                <c:pt idx="431">
                  <c:v>8.9033921521231143</c:v>
                </c:pt>
                <c:pt idx="432">
                  <c:v>8.5005237289501228</c:v>
                </c:pt>
                <c:pt idx="433">
                  <c:v>8.411892675852064</c:v>
                </c:pt>
                <c:pt idx="434">
                  <c:v>7.6464426718233778</c:v>
                </c:pt>
                <c:pt idx="435">
                  <c:v>7.1630005640157925</c:v>
                </c:pt>
                <c:pt idx="436">
                  <c:v>8.4682942550962892</c:v>
                </c:pt>
                <c:pt idx="437">
                  <c:v>8.9517363629038762</c:v>
                </c:pt>
                <c:pt idx="438">
                  <c:v>8.5730400451212638</c:v>
                </c:pt>
                <c:pt idx="439">
                  <c:v>9.1531705744903711</c:v>
                </c:pt>
                <c:pt idx="440">
                  <c:v>9.3143179437595709</c:v>
                </c:pt>
                <c:pt idx="441">
                  <c:v>9.7010716300056448</c:v>
                </c:pt>
                <c:pt idx="442">
                  <c:v>9.813874788494072</c:v>
                </c:pt>
                <c:pt idx="443">
                  <c:v>9.9508500523728909</c:v>
                </c:pt>
                <c:pt idx="444">
                  <c:v>8.8389332044154383</c:v>
                </c:pt>
                <c:pt idx="445">
                  <c:v>8.6536137297558575</c:v>
                </c:pt>
                <c:pt idx="446">
                  <c:v>8.3313189912174703</c:v>
                </c:pt>
                <c:pt idx="447">
                  <c:v>7.8156474095560409</c:v>
                </c:pt>
                <c:pt idx="448">
                  <c:v>7.9687374103617756</c:v>
                </c:pt>
                <c:pt idx="449">
                  <c:v>8.6616710982193208</c:v>
                </c:pt>
                <c:pt idx="450">
                  <c:v>9.08065425831923</c:v>
                </c:pt>
                <c:pt idx="451">
                  <c:v>8.8308758359519732</c:v>
                </c:pt>
                <c:pt idx="452">
                  <c:v>8.5166384658770404</c:v>
                </c:pt>
                <c:pt idx="453">
                  <c:v>8.5649826766577988</c:v>
                </c:pt>
                <c:pt idx="454">
                  <c:v>9.177342679880752</c:v>
                </c:pt>
                <c:pt idx="455">
                  <c:v>9.5882684715172068</c:v>
                </c:pt>
                <c:pt idx="456">
                  <c:v>9.5399242607364467</c:v>
                </c:pt>
                <c:pt idx="457">
                  <c:v>9.8058174200306194</c:v>
                </c:pt>
                <c:pt idx="458">
                  <c:v>8.4199500443155291</c:v>
                </c:pt>
                <c:pt idx="459">
                  <c:v>7.7431310933848998</c:v>
                </c:pt>
                <c:pt idx="460">
                  <c:v>7.7914753041656608</c:v>
                </c:pt>
                <c:pt idx="461">
                  <c:v>8.1137700427040471</c:v>
                </c:pt>
                <c:pt idx="462">
                  <c:v>8.1621142534848072</c:v>
                </c:pt>
                <c:pt idx="463">
                  <c:v>7.6545000402868419</c:v>
                </c:pt>
                <c:pt idx="464">
                  <c:v>7.5255821448714872</c:v>
                </c:pt>
                <c:pt idx="465">
                  <c:v>7.4530658287003462</c:v>
                </c:pt>
                <c:pt idx="466">
                  <c:v>7.5336395133349399</c:v>
                </c:pt>
                <c:pt idx="467">
                  <c:v>7.6061558295060809</c:v>
                </c:pt>
                <c:pt idx="468">
                  <c:v>7.6706147772137596</c:v>
                </c:pt>
                <c:pt idx="469">
                  <c:v>8.693900572073165</c:v>
                </c:pt>
                <c:pt idx="470">
                  <c:v>9.2337442591249648</c:v>
                </c:pt>
                <c:pt idx="471">
                  <c:v>9.3062605752961058</c:v>
                </c:pt>
                <c:pt idx="472">
                  <c:v>9.9750221577632701</c:v>
                </c:pt>
                <c:pt idx="473">
                  <c:v>10.748529530255421</c:v>
                </c:pt>
                <c:pt idx="474">
                  <c:v>10.530980581741996</c:v>
                </c:pt>
                <c:pt idx="475">
                  <c:v>10.667955845620817</c:v>
                </c:pt>
                <c:pt idx="476">
                  <c:v>10.901619531061156</c:v>
                </c:pt>
                <c:pt idx="477">
                  <c:v>10.845217951816933</c:v>
                </c:pt>
                <c:pt idx="478">
                  <c:v>10.522923213278546</c:v>
                </c:pt>
                <c:pt idx="479">
                  <c:v>10.248972685520908</c:v>
                </c:pt>
                <c:pt idx="480">
                  <c:v>10.313431633228586</c:v>
                </c:pt>
                <c:pt idx="481">
                  <c:v>10.547095318668925</c:v>
                </c:pt>
                <c:pt idx="482">
                  <c:v>10.812988477963097</c:v>
                </c:pt>
                <c:pt idx="483">
                  <c:v>10.329546370155501</c:v>
                </c:pt>
                <c:pt idx="484">
                  <c:v>10.659898477157363</c:v>
                </c:pt>
                <c:pt idx="485">
                  <c:v>10.442349528643941</c:v>
                </c:pt>
                <c:pt idx="486">
                  <c:v>10.587382160986222</c:v>
                </c:pt>
                <c:pt idx="487">
                  <c:v>11.562323745064857</c:v>
                </c:pt>
                <c:pt idx="488">
                  <c:v>11.68318427201676</c:v>
                </c:pt>
                <c:pt idx="489">
                  <c:v>12.102167432116667</c:v>
                </c:pt>
                <c:pt idx="490">
                  <c:v>12.472806381435825</c:v>
                </c:pt>
                <c:pt idx="491">
                  <c:v>12.561437434533884</c:v>
                </c:pt>
                <c:pt idx="492">
                  <c:v>12.609781645314644</c:v>
                </c:pt>
                <c:pt idx="493">
                  <c:v>12.287486906776248</c:v>
                </c:pt>
                <c:pt idx="494">
                  <c:v>11.908790588993636</c:v>
                </c:pt>
                <c:pt idx="495">
                  <c:v>12.190798485214724</c:v>
                </c:pt>
                <c:pt idx="496">
                  <c:v>11.538151639674476</c:v>
                </c:pt>
                <c:pt idx="497">
                  <c:v>10.579324792522758</c:v>
                </c:pt>
                <c:pt idx="498">
                  <c:v>9.9911368946901984</c:v>
                </c:pt>
                <c:pt idx="499">
                  <c:v>10.337603738618965</c:v>
                </c:pt>
                <c:pt idx="500">
                  <c:v>10.224800580130527</c:v>
                </c:pt>
                <c:pt idx="501">
                  <c:v>9.9589074208363542</c:v>
                </c:pt>
                <c:pt idx="502">
                  <c:v>9.6527274192248846</c:v>
                </c:pt>
                <c:pt idx="503">
                  <c:v>9.4754653130287689</c:v>
                </c:pt>
                <c:pt idx="504">
                  <c:v>9.3304326806864868</c:v>
                </c:pt>
                <c:pt idx="505">
                  <c:v>9.1531705744903711</c:v>
                </c:pt>
                <c:pt idx="506">
                  <c:v>8.9597937313673395</c:v>
                </c:pt>
                <c:pt idx="507">
                  <c:v>8.0009668842156092</c:v>
                </c:pt>
                <c:pt idx="508">
                  <c:v>8.0976553057771312</c:v>
                </c:pt>
                <c:pt idx="509">
                  <c:v>8.3071468858270912</c:v>
                </c:pt>
                <c:pt idx="510">
                  <c:v>8.6133268874385607</c:v>
                </c:pt>
                <c:pt idx="511">
                  <c:v>8.4682942550962892</c:v>
                </c:pt>
                <c:pt idx="512">
                  <c:v>8.7664168882442954</c:v>
                </c:pt>
                <c:pt idx="513">
                  <c:v>10.232857948593992</c:v>
                </c:pt>
                <c:pt idx="514">
                  <c:v>10.587382160986222</c:v>
                </c:pt>
                <c:pt idx="515">
                  <c:v>10.200628474740148</c:v>
                </c:pt>
                <c:pt idx="516">
                  <c:v>10.450406897107403</c:v>
                </c:pt>
                <c:pt idx="517">
                  <c:v>10.031423737007495</c:v>
                </c:pt>
                <c:pt idx="518">
                  <c:v>9.7333011038594783</c:v>
                </c:pt>
                <c:pt idx="519">
                  <c:v>9.9669647892998192</c:v>
                </c:pt>
                <c:pt idx="520">
                  <c:v>10.273144790911289</c:v>
                </c:pt>
                <c:pt idx="521">
                  <c:v>10.321489001692049</c:v>
                </c:pt>
                <c:pt idx="522">
                  <c:v>10.732414793328493</c:v>
                </c:pt>
                <c:pt idx="523" formatCode="0.00">
                  <c:v>10.829103214890015</c:v>
                </c:pt>
                <c:pt idx="524">
                  <c:v>10.257030053984371</c:v>
                </c:pt>
                <c:pt idx="525">
                  <c:v>10.990250584159215</c:v>
                </c:pt>
                <c:pt idx="526">
                  <c:v>10.998307952622678</c:v>
                </c:pt>
                <c:pt idx="527">
                  <c:v>11.836274272822495</c:v>
                </c:pt>
                <c:pt idx="528">
                  <c:v>11.860446378212874</c:v>
                </c:pt>
                <c:pt idx="529">
                  <c:v>11.288373217307232</c:v>
                </c:pt>
                <c:pt idx="530">
                  <c:v>10.974135847232297</c:v>
                </c:pt>
                <c:pt idx="531">
                  <c:v>11.618725324309082</c:v>
                </c:pt>
                <c:pt idx="532">
                  <c:v>11.304487954234148</c:v>
                </c:pt>
                <c:pt idx="533">
                  <c:v>12.102167432116667</c:v>
                </c:pt>
                <c:pt idx="534">
                  <c:v>10.603496897913139</c:v>
                </c:pt>
                <c:pt idx="535">
                  <c:v>10.700185319474659</c:v>
                </c:pt>
                <c:pt idx="536">
                  <c:v>10.216743211667064</c:v>
                </c:pt>
                <c:pt idx="537">
                  <c:v>10.192571106276695</c:v>
                </c:pt>
                <c:pt idx="538">
                  <c:v>10.265087422447824</c:v>
                </c:pt>
                <c:pt idx="539">
                  <c:v>10.305374264765133</c:v>
                </c:pt>
                <c:pt idx="540">
                  <c:v>10.321489001692049</c:v>
                </c:pt>
                <c:pt idx="541">
                  <c:v>10.007251631617116</c:v>
                </c:pt>
                <c:pt idx="542">
                  <c:v>9.451293207638388</c:v>
                </c:pt>
                <c:pt idx="543">
                  <c:v>9.5721537345902785</c:v>
                </c:pt>
                <c:pt idx="544">
                  <c:v>9.7816453146402385</c:v>
                </c:pt>
                <c:pt idx="545" formatCode="0.00">
                  <c:v>9.4754653130287689</c:v>
                </c:pt>
              </c:numCache>
            </c:numRef>
          </c:val>
          <c:smooth val="0"/>
        </c:ser>
        <c:ser>
          <c:idx val="2"/>
          <c:order val="2"/>
          <c:tx>
            <c:strRef>
              <c:f>'Currency '!$M$1</c:f>
              <c:strCache>
                <c:ptCount val="1"/>
                <c:pt idx="0">
                  <c:v>GBP</c:v>
                </c:pt>
              </c:strCache>
            </c:strRef>
          </c:tx>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'!$M$2:$M$547</c:f>
              <c:numCache>
                <c:formatCode>General</c:formatCode>
                <c:ptCount val="546"/>
                <c:pt idx="0">
                  <c:v>0</c:v>
                </c:pt>
                <c:pt idx="1">
                  <c:v>-1.5384615384615397</c:v>
                </c:pt>
                <c:pt idx="2">
                  <c:v>0</c:v>
                </c:pt>
                <c:pt idx="3">
                  <c:v>0</c:v>
                </c:pt>
                <c:pt idx="4">
                  <c:v>0</c:v>
                </c:pt>
                <c:pt idx="5">
                  <c:v>0</c:v>
                </c:pt>
                <c:pt idx="6">
                  <c:v>0</c:v>
                </c:pt>
                <c:pt idx="7">
                  <c:v>0</c:v>
                </c:pt>
                <c:pt idx="8">
                  <c:v>1.5384615384615397</c:v>
                </c:pt>
                <c:pt idx="9">
                  <c:v>0</c:v>
                </c:pt>
                <c:pt idx="10">
                  <c:v>1.5384615384615397</c:v>
                </c:pt>
                <c:pt idx="11">
                  <c:v>1.5384615384615397</c:v>
                </c:pt>
                <c:pt idx="12">
                  <c:v>1.5384615384615397</c:v>
                </c:pt>
                <c:pt idx="13">
                  <c:v>1.5384615384615397</c:v>
                </c:pt>
                <c:pt idx="14">
                  <c:v>3.0769230769230793</c:v>
                </c:pt>
                <c:pt idx="15">
                  <c:v>3.0769230769230793</c:v>
                </c:pt>
                <c:pt idx="16">
                  <c:v>3.0769230769230793</c:v>
                </c:pt>
                <c:pt idx="17">
                  <c:v>1.5384615384615397</c:v>
                </c:pt>
                <c:pt idx="18">
                  <c:v>1.5384615384615397</c:v>
                </c:pt>
                <c:pt idx="19">
                  <c:v>1.5384615384615397</c:v>
                </c:pt>
                <c:pt idx="20">
                  <c:v>1.5384615384615397</c:v>
                </c:pt>
                <c:pt idx="21">
                  <c:v>1.5384615384615397</c:v>
                </c:pt>
                <c:pt idx="22">
                  <c:v>1.5384615384615397</c:v>
                </c:pt>
                <c:pt idx="23">
                  <c:v>1.5384615384615397</c:v>
                </c:pt>
                <c:pt idx="24">
                  <c:v>1.5384615384615397</c:v>
                </c:pt>
                <c:pt idx="25">
                  <c:v>1.5384615384615397</c:v>
                </c:pt>
                <c:pt idx="26">
                  <c:v>1.5384615384615397</c:v>
                </c:pt>
                <c:pt idx="27">
                  <c:v>0</c:v>
                </c:pt>
                <c:pt idx="28">
                  <c:v>0</c:v>
                </c:pt>
                <c:pt idx="29">
                  <c:v>0</c:v>
                </c:pt>
                <c:pt idx="30">
                  <c:v>0</c:v>
                </c:pt>
                <c:pt idx="31">
                  <c:v>1.5384615384615397</c:v>
                </c:pt>
                <c:pt idx="32">
                  <c:v>1.5384615384615397</c:v>
                </c:pt>
                <c:pt idx="33">
                  <c:v>1.5384615384615397</c:v>
                </c:pt>
                <c:pt idx="34">
                  <c:v>1.5384615384615397</c:v>
                </c:pt>
                <c:pt idx="35">
                  <c:v>1.5384615384615397</c:v>
                </c:pt>
                <c:pt idx="36">
                  <c:v>1.5384615384615397</c:v>
                </c:pt>
                <c:pt idx="37">
                  <c:v>1.5384615384615397</c:v>
                </c:pt>
                <c:pt idx="38">
                  <c:v>1.5384615384615397</c:v>
                </c:pt>
                <c:pt idx="39">
                  <c:v>1.5384615384615397</c:v>
                </c:pt>
                <c:pt idx="40">
                  <c:v>1.5384615384615397</c:v>
                </c:pt>
                <c:pt idx="41">
                  <c:v>1.5384615384615397</c:v>
                </c:pt>
                <c:pt idx="42">
                  <c:v>1.5384615384615397</c:v>
                </c:pt>
                <c:pt idx="43">
                  <c:v>1.5384615384615397</c:v>
                </c:pt>
                <c:pt idx="44">
                  <c:v>1.5384615384615397</c:v>
                </c:pt>
                <c:pt idx="45">
                  <c:v>1.5384615384615397</c:v>
                </c:pt>
                <c:pt idx="46">
                  <c:v>1.5384615384615397</c:v>
                </c:pt>
                <c:pt idx="47">
                  <c:v>1.5384615384615397</c:v>
                </c:pt>
                <c:pt idx="48">
                  <c:v>1.5384615384615397</c:v>
                </c:pt>
                <c:pt idx="49">
                  <c:v>1.5384615384615397</c:v>
                </c:pt>
                <c:pt idx="50">
                  <c:v>0</c:v>
                </c:pt>
                <c:pt idx="51">
                  <c:v>1.5384615384615397</c:v>
                </c:pt>
                <c:pt idx="52">
                  <c:v>1.5384615384615397</c:v>
                </c:pt>
                <c:pt idx="53">
                  <c:v>1.5384615384615397</c:v>
                </c:pt>
                <c:pt idx="54">
                  <c:v>1.5384615384615397</c:v>
                </c:pt>
                <c:pt idx="55">
                  <c:v>1.5384615384615397</c:v>
                </c:pt>
                <c:pt idx="56">
                  <c:v>1.5384615384615397</c:v>
                </c:pt>
                <c:pt idx="57">
                  <c:v>1.5384615384615397</c:v>
                </c:pt>
                <c:pt idx="58">
                  <c:v>1.5384615384615397</c:v>
                </c:pt>
                <c:pt idx="59">
                  <c:v>1.5384615384615397</c:v>
                </c:pt>
                <c:pt idx="60">
                  <c:v>1.5384615384615397</c:v>
                </c:pt>
                <c:pt idx="61">
                  <c:v>1.5384615384615397</c:v>
                </c:pt>
                <c:pt idx="62">
                  <c:v>1.5384615384615397</c:v>
                </c:pt>
                <c:pt idx="63">
                  <c:v>0</c:v>
                </c:pt>
                <c:pt idx="64">
                  <c:v>0</c:v>
                </c:pt>
                <c:pt idx="65">
                  <c:v>0</c:v>
                </c:pt>
                <c:pt idx="66">
                  <c:v>0</c:v>
                </c:pt>
                <c:pt idx="67">
                  <c:v>-0.52307692307691667</c:v>
                </c:pt>
                <c:pt idx="68">
                  <c:v>-0.55384615384614411</c:v>
                </c:pt>
                <c:pt idx="69">
                  <c:v>-0.83076923076922471</c:v>
                </c:pt>
                <c:pt idx="70">
                  <c:v>-1.4153846153846132</c:v>
                </c:pt>
                <c:pt idx="71">
                  <c:v>-0.72307692307691174</c:v>
                </c:pt>
                <c:pt idx="72">
                  <c:v>7.6923076923085532E-2</c:v>
                </c:pt>
                <c:pt idx="73">
                  <c:v>-0.10769230769229583</c:v>
                </c:pt>
                <c:pt idx="74">
                  <c:v>0.38461538461539346</c:v>
                </c:pt>
                <c:pt idx="75">
                  <c:v>0.29230769230769427</c:v>
                </c:pt>
                <c:pt idx="76">
                  <c:v>0.2769230769230806</c:v>
                </c:pt>
                <c:pt idx="77">
                  <c:v>-0.26153846153844984</c:v>
                </c:pt>
                <c:pt idx="78">
                  <c:v>0.70769230769231517</c:v>
                </c:pt>
                <c:pt idx="79">
                  <c:v>1.323076923076931</c:v>
                </c:pt>
                <c:pt idx="80">
                  <c:v>0.93846153846153746</c:v>
                </c:pt>
                <c:pt idx="81">
                  <c:v>0.7846153846153836</c:v>
                </c:pt>
                <c:pt idx="82">
                  <c:v>-0.12307692307692659</c:v>
                </c:pt>
                <c:pt idx="83">
                  <c:v>-0.92307692307692391</c:v>
                </c:pt>
                <c:pt idx="84">
                  <c:v>-0.92307692307692391</c:v>
                </c:pt>
                <c:pt idx="85">
                  <c:v>-1.3692307692307721</c:v>
                </c:pt>
                <c:pt idx="86">
                  <c:v>-1.3999999999999995</c:v>
                </c:pt>
                <c:pt idx="87">
                  <c:v>-1.5384615384615397</c:v>
                </c:pt>
                <c:pt idx="88">
                  <c:v>-1.6923076923076936</c:v>
                </c:pt>
                <c:pt idx="89">
                  <c:v>-1.6769230769230801</c:v>
                </c:pt>
                <c:pt idx="90">
                  <c:v>-1.3538461538461584</c:v>
                </c:pt>
                <c:pt idx="91">
                  <c:v>-1.5692307692307672</c:v>
                </c:pt>
                <c:pt idx="92">
                  <c:v>-1.0307692307692196</c:v>
                </c:pt>
                <c:pt idx="93">
                  <c:v>-0.43076923076923457</c:v>
                </c:pt>
                <c:pt idx="94">
                  <c:v>-0.23076923076922243</c:v>
                </c:pt>
                <c:pt idx="95">
                  <c:v>-0.44615384615384823</c:v>
                </c:pt>
                <c:pt idx="96">
                  <c:v>-0.23076923076922243</c:v>
                </c:pt>
                <c:pt idx="97">
                  <c:v>-0.89230769230769647</c:v>
                </c:pt>
                <c:pt idx="98">
                  <c:v>0.6000000000000022</c:v>
                </c:pt>
                <c:pt idx="99">
                  <c:v>0.47692307692307567</c:v>
                </c:pt>
                <c:pt idx="100">
                  <c:v>0.35384615384614904</c:v>
                </c:pt>
                <c:pt idx="101">
                  <c:v>0.52307692307693376</c:v>
                </c:pt>
                <c:pt idx="102">
                  <c:v>0.38461538461539346</c:v>
                </c:pt>
                <c:pt idx="103">
                  <c:v>0.21538461538462583</c:v>
                </c:pt>
                <c:pt idx="104">
                  <c:v>6.1538461538471839E-2</c:v>
                </c:pt>
                <c:pt idx="105">
                  <c:v>-0.46153846153846195</c:v>
                </c:pt>
                <c:pt idx="106">
                  <c:v>-0.21538461538460874</c:v>
                </c:pt>
                <c:pt idx="107">
                  <c:v>-0.55384615384614411</c:v>
                </c:pt>
                <c:pt idx="108">
                  <c:v>-0.79999999999999727</c:v>
                </c:pt>
                <c:pt idx="109">
                  <c:v>-0.49230769230768928</c:v>
                </c:pt>
                <c:pt idx="110">
                  <c:v>0.29230769230769427</c:v>
                </c:pt>
                <c:pt idx="111">
                  <c:v>0.21538461538462583</c:v>
                </c:pt>
                <c:pt idx="112">
                  <c:v>0.2307692307692395</c:v>
                </c:pt>
                <c:pt idx="113">
                  <c:v>0</c:v>
                </c:pt>
                <c:pt idx="114">
                  <c:v>-1.1538461538461462</c:v>
                </c:pt>
                <c:pt idx="115">
                  <c:v>-2.2307692307692242</c:v>
                </c:pt>
                <c:pt idx="116">
                  <c:v>-1.7846153846153758</c:v>
                </c:pt>
                <c:pt idx="117">
                  <c:v>-1.7538461538461485</c:v>
                </c:pt>
                <c:pt idx="118">
                  <c:v>-1.1230769230769189</c:v>
                </c:pt>
                <c:pt idx="119">
                  <c:v>-0.99999999999999234</c:v>
                </c:pt>
                <c:pt idx="120">
                  <c:v>-0.9692307692307649</c:v>
                </c:pt>
                <c:pt idx="121">
                  <c:v>-1.2000000000000044</c:v>
                </c:pt>
                <c:pt idx="122">
                  <c:v>-1.1230769230769189</c:v>
                </c:pt>
                <c:pt idx="123">
                  <c:v>-0.9692307692307649</c:v>
                </c:pt>
                <c:pt idx="124">
                  <c:v>-0.61538461538461586</c:v>
                </c:pt>
                <c:pt idx="125">
                  <c:v>-1.2769230769230728</c:v>
                </c:pt>
                <c:pt idx="126">
                  <c:v>-1.7384615384615349</c:v>
                </c:pt>
                <c:pt idx="127">
                  <c:v>-2.0000000000000018</c:v>
                </c:pt>
                <c:pt idx="128">
                  <c:v>-1.6923076923076936</c:v>
                </c:pt>
                <c:pt idx="129">
                  <c:v>-1.8769230769230749</c:v>
                </c:pt>
                <c:pt idx="130">
                  <c:v>-2.3076923076923097</c:v>
                </c:pt>
                <c:pt idx="131">
                  <c:v>-2.1846153846153831</c:v>
                </c:pt>
                <c:pt idx="132">
                  <c:v>-2.0000000000000018</c:v>
                </c:pt>
                <c:pt idx="133">
                  <c:v>-2.8923076923076811</c:v>
                </c:pt>
                <c:pt idx="134">
                  <c:v>-1.5846153846153808</c:v>
                </c:pt>
                <c:pt idx="135">
                  <c:v>-1.7999999999999894</c:v>
                </c:pt>
                <c:pt idx="136">
                  <c:v>-2.1846153846153831</c:v>
                </c:pt>
                <c:pt idx="137">
                  <c:v>-2.507692307692305</c:v>
                </c:pt>
                <c:pt idx="138">
                  <c:v>-1.3384615384615277</c:v>
                </c:pt>
                <c:pt idx="139">
                  <c:v>-1.4769230769230679</c:v>
                </c:pt>
                <c:pt idx="140">
                  <c:v>-1.0307692307692196</c:v>
                </c:pt>
                <c:pt idx="141">
                  <c:v>-1.5999999999999945</c:v>
                </c:pt>
                <c:pt idx="142">
                  <c:v>-2.2923076923076957</c:v>
                </c:pt>
                <c:pt idx="143">
                  <c:v>-2.5384615384615321</c:v>
                </c:pt>
                <c:pt idx="144">
                  <c:v>-3.2307692307692335</c:v>
                </c:pt>
                <c:pt idx="145">
                  <c:v>-3.2769230769230746</c:v>
                </c:pt>
                <c:pt idx="146">
                  <c:v>-3.3538461538461433</c:v>
                </c:pt>
                <c:pt idx="147">
                  <c:v>-3.7538461538461498</c:v>
                </c:pt>
                <c:pt idx="148">
                  <c:v>-3.4615384615384563</c:v>
                </c:pt>
                <c:pt idx="149">
                  <c:v>-3.1846153846153755</c:v>
                </c:pt>
                <c:pt idx="150">
                  <c:v>-3.6923076923076956</c:v>
                </c:pt>
                <c:pt idx="151">
                  <c:v>-3.4000000000000008</c:v>
                </c:pt>
                <c:pt idx="152">
                  <c:v>-3.8307692307692354</c:v>
                </c:pt>
                <c:pt idx="153">
                  <c:v>-3.8461538461538494</c:v>
                </c:pt>
                <c:pt idx="154">
                  <c:v>-4.3999999999999932</c:v>
                </c:pt>
                <c:pt idx="155">
                  <c:v>-4.1230769230769129</c:v>
                </c:pt>
                <c:pt idx="156">
                  <c:v>-4.5384615384615339</c:v>
                </c:pt>
                <c:pt idx="157">
                  <c:v>-4.8461538461538414</c:v>
                </c:pt>
                <c:pt idx="158">
                  <c:v>-5.1538461538461497</c:v>
                </c:pt>
                <c:pt idx="159">
                  <c:v>-5.2461538461538488</c:v>
                </c:pt>
                <c:pt idx="160">
                  <c:v>-5.2923076923076895</c:v>
                </c:pt>
                <c:pt idx="161">
                  <c:v>-5.7846153846153792</c:v>
                </c:pt>
                <c:pt idx="162">
                  <c:v>-6.4769230769230806</c:v>
                </c:pt>
                <c:pt idx="163">
                  <c:v>-6.7846153846153889</c:v>
                </c:pt>
                <c:pt idx="164">
                  <c:v>-6.7384615384615305</c:v>
                </c:pt>
                <c:pt idx="165">
                  <c:v>-7.9230769230769216</c:v>
                </c:pt>
                <c:pt idx="166">
                  <c:v>-8.0153846153846029</c:v>
                </c:pt>
                <c:pt idx="167">
                  <c:v>-8.6615384615384627</c:v>
                </c:pt>
                <c:pt idx="168">
                  <c:v>-8.4153846153846104</c:v>
                </c:pt>
                <c:pt idx="169">
                  <c:v>-8.1846153846153893</c:v>
                </c:pt>
                <c:pt idx="170">
                  <c:v>-7.8615384615384487</c:v>
                </c:pt>
                <c:pt idx="171">
                  <c:v>-7.9692307692307622</c:v>
                </c:pt>
                <c:pt idx="172">
                  <c:v>-7.2153846153846066</c:v>
                </c:pt>
                <c:pt idx="173">
                  <c:v>-8.0923076923076884</c:v>
                </c:pt>
                <c:pt idx="174">
                  <c:v>-7.1230769230769235</c:v>
                </c:pt>
                <c:pt idx="175">
                  <c:v>-7.9999999999999893</c:v>
                </c:pt>
                <c:pt idx="176">
                  <c:v>-6.5846153846153763</c:v>
                </c:pt>
                <c:pt idx="177">
                  <c:v>-6.7692307692307576</c:v>
                </c:pt>
                <c:pt idx="178">
                  <c:v>-5.3538461538461446</c:v>
                </c:pt>
                <c:pt idx="179">
                  <c:v>-5.4461538461538446</c:v>
                </c:pt>
                <c:pt idx="180">
                  <c:v>-6.0923076923076875</c:v>
                </c:pt>
                <c:pt idx="181">
                  <c:v>-6.5999999999999908</c:v>
                </c:pt>
                <c:pt idx="182">
                  <c:v>-6.3076923076922959</c:v>
                </c:pt>
                <c:pt idx="183">
                  <c:v>-5.9230769230769198</c:v>
                </c:pt>
                <c:pt idx="184">
                  <c:v>-6.2769230769230688</c:v>
                </c:pt>
                <c:pt idx="185">
                  <c:v>-6.0615384615384595</c:v>
                </c:pt>
                <c:pt idx="186">
                  <c:v>-6.5846153846153763</c:v>
                </c:pt>
                <c:pt idx="187">
                  <c:v>-7.5384615384615277</c:v>
                </c:pt>
                <c:pt idx="188">
                  <c:v>-7.6461538461538412</c:v>
                </c:pt>
                <c:pt idx="189">
                  <c:v>-7.2769230769230777</c:v>
                </c:pt>
                <c:pt idx="190">
                  <c:v>-6.7846153846153889</c:v>
                </c:pt>
                <c:pt idx="191">
                  <c:v>-8.7230769230769187</c:v>
                </c:pt>
                <c:pt idx="192">
                  <c:v>-9.7230769230769098</c:v>
                </c:pt>
                <c:pt idx="193">
                  <c:v>-10.476923076923066</c:v>
                </c:pt>
                <c:pt idx="194">
                  <c:v>-10.184615384615373</c:v>
                </c:pt>
                <c:pt idx="195">
                  <c:v>-10.892307692307689</c:v>
                </c:pt>
                <c:pt idx="196">
                  <c:v>-10.53846153846154</c:v>
                </c:pt>
                <c:pt idx="197">
                  <c:v>-10.246153846153845</c:v>
                </c:pt>
                <c:pt idx="198">
                  <c:v>-9.3846153846153761</c:v>
                </c:pt>
                <c:pt idx="199">
                  <c:v>-8.7692307692307594</c:v>
                </c:pt>
                <c:pt idx="200">
                  <c:v>-8.1846153846153893</c:v>
                </c:pt>
                <c:pt idx="201">
                  <c:v>-7.7692307692307674</c:v>
                </c:pt>
                <c:pt idx="202">
                  <c:v>-8.1538461538461426</c:v>
                </c:pt>
                <c:pt idx="203">
                  <c:v>-8.1538461538461426</c:v>
                </c:pt>
                <c:pt idx="204">
                  <c:v>-7.6923076923076819</c:v>
                </c:pt>
                <c:pt idx="205">
                  <c:v>-6.8000000000000016</c:v>
                </c:pt>
                <c:pt idx="206">
                  <c:v>-7.5076923076922997</c:v>
                </c:pt>
                <c:pt idx="207">
                  <c:v>-8.6769230769230781</c:v>
                </c:pt>
                <c:pt idx="208">
                  <c:v>-8.9692307692307729</c:v>
                </c:pt>
                <c:pt idx="209">
                  <c:v>-6.2923076923076815</c:v>
                </c:pt>
                <c:pt idx="210">
                  <c:v>-6.1692307692307731</c:v>
                </c:pt>
                <c:pt idx="211">
                  <c:v>-6.8615384615384576</c:v>
                </c:pt>
                <c:pt idx="212">
                  <c:v>-8.2000000000000011</c:v>
                </c:pt>
                <c:pt idx="213">
                  <c:v>-9.0153846153846118</c:v>
                </c:pt>
                <c:pt idx="214">
                  <c:v>-8.4923076923076959</c:v>
                </c:pt>
                <c:pt idx="215">
                  <c:v>-8.876923076923072</c:v>
                </c:pt>
                <c:pt idx="216">
                  <c:v>-8.0769230769230749</c:v>
                </c:pt>
                <c:pt idx="217">
                  <c:v>-7.1076923076923109</c:v>
                </c:pt>
                <c:pt idx="218">
                  <c:v>-6.9230769230769127</c:v>
                </c:pt>
                <c:pt idx="219">
                  <c:v>-6.8769230769230711</c:v>
                </c:pt>
                <c:pt idx="220">
                  <c:v>-8.1384615384615309</c:v>
                </c:pt>
                <c:pt idx="221">
                  <c:v>-7.8615384615384487</c:v>
                </c:pt>
                <c:pt idx="222">
                  <c:v>-8.646153846153851</c:v>
                </c:pt>
                <c:pt idx="223">
                  <c:v>-8.9384615384615262</c:v>
                </c:pt>
                <c:pt idx="224">
                  <c:v>-9.4461538461538463</c:v>
                </c:pt>
                <c:pt idx="225">
                  <c:v>-8.9076923076922991</c:v>
                </c:pt>
                <c:pt idx="226">
                  <c:v>-8.0615384615384613</c:v>
                </c:pt>
                <c:pt idx="227">
                  <c:v>-7.7692307692307674</c:v>
                </c:pt>
                <c:pt idx="228">
                  <c:v>-8.3076923076922977</c:v>
                </c:pt>
                <c:pt idx="229">
                  <c:v>-8.6769230769230781</c:v>
                </c:pt>
                <c:pt idx="230">
                  <c:v>-8.3076923076922977</c:v>
                </c:pt>
                <c:pt idx="231">
                  <c:v>-7.7538461538461538</c:v>
                </c:pt>
                <c:pt idx="232">
                  <c:v>-6.8461538461538431</c:v>
                </c:pt>
                <c:pt idx="233">
                  <c:v>-7.3538461538461473</c:v>
                </c:pt>
                <c:pt idx="234">
                  <c:v>-7.4153846153846183</c:v>
                </c:pt>
                <c:pt idx="235">
                  <c:v>-6.7846153846153889</c:v>
                </c:pt>
                <c:pt idx="236">
                  <c:v>-6.2307692307692273</c:v>
                </c:pt>
                <c:pt idx="237">
                  <c:v>-5.5076923076922988</c:v>
                </c:pt>
                <c:pt idx="238">
                  <c:v>-5.7846153846153792</c:v>
                </c:pt>
                <c:pt idx="239">
                  <c:v>-5.3230769230769175</c:v>
                </c:pt>
                <c:pt idx="240">
                  <c:v>-5.2923076923076895</c:v>
                </c:pt>
                <c:pt idx="241">
                  <c:v>-4.8153846153846143</c:v>
                </c:pt>
                <c:pt idx="242">
                  <c:v>-5.6461538461538385</c:v>
                </c:pt>
                <c:pt idx="243">
                  <c:v>-6.1692307692307731</c:v>
                </c:pt>
                <c:pt idx="244">
                  <c:v>-6.1692307692307731</c:v>
                </c:pt>
                <c:pt idx="245">
                  <c:v>-6.3846153846153815</c:v>
                </c:pt>
                <c:pt idx="246">
                  <c:v>-6.8461538461538431</c:v>
                </c:pt>
                <c:pt idx="247">
                  <c:v>-6.5999999999999908</c:v>
                </c:pt>
                <c:pt idx="248">
                  <c:v>-6.3384615384615399</c:v>
                </c:pt>
                <c:pt idx="249">
                  <c:v>-6.3538461538461544</c:v>
                </c:pt>
                <c:pt idx="250">
                  <c:v>-7.0923076923076964</c:v>
                </c:pt>
                <c:pt idx="251">
                  <c:v>-6.7846153846153889</c:v>
                </c:pt>
                <c:pt idx="252">
                  <c:v>-6.3076923076922959</c:v>
                </c:pt>
                <c:pt idx="253">
                  <c:v>-5.3076923076923039</c:v>
                </c:pt>
                <c:pt idx="254">
                  <c:v>-5.2307692307692353</c:v>
                </c:pt>
                <c:pt idx="255">
                  <c:v>-5.9999999999999876</c:v>
                </c:pt>
                <c:pt idx="256">
                  <c:v>-6.2461538461538417</c:v>
                </c:pt>
                <c:pt idx="257">
                  <c:v>-5.1846153846153769</c:v>
                </c:pt>
                <c:pt idx="258">
                  <c:v>-4.7538461538461423</c:v>
                </c:pt>
                <c:pt idx="259">
                  <c:v>-4.9999999999999956</c:v>
                </c:pt>
                <c:pt idx="260">
                  <c:v>-5.1230769230769226</c:v>
                </c:pt>
                <c:pt idx="261">
                  <c:v>-5.1230769230769226</c:v>
                </c:pt>
                <c:pt idx="262">
                  <c:v>-5.984615384615374</c:v>
                </c:pt>
                <c:pt idx="263">
                  <c:v>-6.6769230769230763</c:v>
                </c:pt>
                <c:pt idx="264">
                  <c:v>-6.5692307692307637</c:v>
                </c:pt>
                <c:pt idx="265">
                  <c:v>-5.9692307692307605</c:v>
                </c:pt>
                <c:pt idx="266">
                  <c:v>-6.399999999999995</c:v>
                </c:pt>
                <c:pt idx="267">
                  <c:v>-5.7538461538461521</c:v>
                </c:pt>
                <c:pt idx="268">
                  <c:v>-5.8461538461538343</c:v>
                </c:pt>
                <c:pt idx="269">
                  <c:v>-6.369230769230767</c:v>
                </c:pt>
                <c:pt idx="270">
                  <c:v>-7.3076923076923057</c:v>
                </c:pt>
                <c:pt idx="271">
                  <c:v>-8.1230769230769155</c:v>
                </c:pt>
                <c:pt idx="272">
                  <c:v>-8.7230769230769187</c:v>
                </c:pt>
                <c:pt idx="273">
                  <c:v>-8.5846153846153772</c:v>
                </c:pt>
                <c:pt idx="274">
                  <c:v>-8.4923076923076959</c:v>
                </c:pt>
                <c:pt idx="275">
                  <c:v>-7.4769230769230726</c:v>
                </c:pt>
                <c:pt idx="276">
                  <c:v>-4.7846153846153872</c:v>
                </c:pt>
                <c:pt idx="277">
                  <c:v>-4.9230769230769269</c:v>
                </c:pt>
                <c:pt idx="278">
                  <c:v>-4.630769230769233</c:v>
                </c:pt>
                <c:pt idx="279">
                  <c:v>-3.8923076923076909</c:v>
                </c:pt>
                <c:pt idx="280">
                  <c:v>-11.784615384615385</c:v>
                </c:pt>
                <c:pt idx="281">
                  <c:v>-16.400000000000002</c:v>
                </c:pt>
                <c:pt idx="282">
                  <c:v>-15.430769230769222</c:v>
                </c:pt>
                <c:pt idx="283">
                  <c:v>-14.19999999999999</c:v>
                </c:pt>
                <c:pt idx="284">
                  <c:v>-15.984615384615383</c:v>
                </c:pt>
                <c:pt idx="285">
                  <c:v>-15.815384615384614</c:v>
                </c:pt>
                <c:pt idx="286">
                  <c:v>-15.723076923076915</c:v>
                </c:pt>
                <c:pt idx="287">
                  <c:v>-17.815384615384616</c:v>
                </c:pt>
                <c:pt idx="288">
                  <c:v>-18.830769230769224</c:v>
                </c:pt>
                <c:pt idx="289">
                  <c:v>-19.23076923076923</c:v>
                </c:pt>
                <c:pt idx="290">
                  <c:v>-18.692307692307683</c:v>
                </c:pt>
                <c:pt idx="291">
                  <c:v>-18.615384615384613</c:v>
                </c:pt>
                <c:pt idx="292">
                  <c:v>-15.876923076923068</c:v>
                </c:pt>
                <c:pt idx="293">
                  <c:v>-16.615384615384613</c:v>
                </c:pt>
                <c:pt idx="294">
                  <c:v>-15.523076923076919</c:v>
                </c:pt>
                <c:pt idx="295">
                  <c:v>-16.738461538461539</c:v>
                </c:pt>
                <c:pt idx="296">
                  <c:v>-16.030769230769224</c:v>
                </c:pt>
                <c:pt idx="297">
                  <c:v>-17.261538461538457</c:v>
                </c:pt>
                <c:pt idx="298">
                  <c:v>-16.661538461538452</c:v>
                </c:pt>
                <c:pt idx="299">
                  <c:v>-16.446153846153845</c:v>
                </c:pt>
                <c:pt idx="300">
                  <c:v>-17.369230769230768</c:v>
                </c:pt>
                <c:pt idx="301">
                  <c:v>-17.1076923076923</c:v>
                </c:pt>
                <c:pt idx="302">
                  <c:v>-17.076923076923077</c:v>
                </c:pt>
                <c:pt idx="303">
                  <c:v>-17.138461538461531</c:v>
                </c:pt>
                <c:pt idx="304">
                  <c:v>-17.061538461538461</c:v>
                </c:pt>
                <c:pt idx="305">
                  <c:v>-16.307692307692303</c:v>
                </c:pt>
                <c:pt idx="306">
                  <c:v>-16.507692307692299</c:v>
                </c:pt>
                <c:pt idx="307">
                  <c:v>-15.369230769230768</c:v>
                </c:pt>
                <c:pt idx="308">
                  <c:v>-15.415384615384609</c:v>
                </c:pt>
                <c:pt idx="309">
                  <c:v>-17.230769230769226</c:v>
                </c:pt>
                <c:pt idx="310">
                  <c:v>-17.630769230769218</c:v>
                </c:pt>
                <c:pt idx="311">
                  <c:v>-17.984615384615385</c:v>
                </c:pt>
                <c:pt idx="312">
                  <c:v>-18.276923076923079</c:v>
                </c:pt>
                <c:pt idx="313">
                  <c:v>-18.292307692307695</c:v>
                </c:pt>
                <c:pt idx="314">
                  <c:v>-18.600000000000001</c:v>
                </c:pt>
                <c:pt idx="315">
                  <c:v>-19.061538461538461</c:v>
                </c:pt>
                <c:pt idx="316">
                  <c:v>-19.49230769230768</c:v>
                </c:pt>
                <c:pt idx="317">
                  <c:v>-18.015384615384612</c:v>
                </c:pt>
                <c:pt idx="318">
                  <c:v>-18.215384615384608</c:v>
                </c:pt>
                <c:pt idx="319">
                  <c:v>-17.092307692307688</c:v>
                </c:pt>
                <c:pt idx="320">
                  <c:v>-17.784615384615375</c:v>
                </c:pt>
                <c:pt idx="321">
                  <c:v>-17.153846153846143</c:v>
                </c:pt>
                <c:pt idx="322">
                  <c:v>-16.661538461538452</c:v>
                </c:pt>
                <c:pt idx="323">
                  <c:v>-16.230769230769219</c:v>
                </c:pt>
                <c:pt idx="324">
                  <c:v>-16.661538461538452</c:v>
                </c:pt>
                <c:pt idx="325">
                  <c:v>-16.969230769230762</c:v>
                </c:pt>
                <c:pt idx="326">
                  <c:v>-17.615384615384606</c:v>
                </c:pt>
                <c:pt idx="327">
                  <c:v>-17.569230769230764</c:v>
                </c:pt>
                <c:pt idx="328">
                  <c:v>-17.076923076923077</c:v>
                </c:pt>
                <c:pt idx="329">
                  <c:v>-15.892307692307684</c:v>
                </c:pt>
                <c:pt idx="330">
                  <c:v>-15.615384615384603</c:v>
                </c:pt>
                <c:pt idx="331">
                  <c:v>-15.553846153846148</c:v>
                </c:pt>
                <c:pt idx="332">
                  <c:v>-14.615384615384611</c:v>
                </c:pt>
                <c:pt idx="333">
                  <c:v>-15.492307692307694</c:v>
                </c:pt>
                <c:pt idx="334">
                  <c:v>-15.723076923076915</c:v>
                </c:pt>
                <c:pt idx="335">
                  <c:v>-15.984615384615383</c:v>
                </c:pt>
                <c:pt idx="336">
                  <c:v>-15.492307692307694</c:v>
                </c:pt>
                <c:pt idx="337">
                  <c:v>-16.569230769230771</c:v>
                </c:pt>
                <c:pt idx="338">
                  <c:v>-16.599999999999998</c:v>
                </c:pt>
                <c:pt idx="339">
                  <c:v>-16.400000000000002</c:v>
                </c:pt>
                <c:pt idx="340">
                  <c:v>-17.661538461538463</c:v>
                </c:pt>
                <c:pt idx="341">
                  <c:v>-17.907692307692301</c:v>
                </c:pt>
                <c:pt idx="342">
                  <c:v>-18.523076923076914</c:v>
                </c:pt>
                <c:pt idx="343">
                  <c:v>-18.538461538461529</c:v>
                </c:pt>
                <c:pt idx="344">
                  <c:v>-17.584615384615375</c:v>
                </c:pt>
                <c:pt idx="345">
                  <c:v>-18.600000000000001</c:v>
                </c:pt>
                <c:pt idx="346">
                  <c:v>-18.538461538461529</c:v>
                </c:pt>
                <c:pt idx="347">
                  <c:v>-18.15384615384615</c:v>
                </c:pt>
                <c:pt idx="348">
                  <c:v>-18.261538461538464</c:v>
                </c:pt>
                <c:pt idx="349">
                  <c:v>-18.553846153846145</c:v>
                </c:pt>
                <c:pt idx="350">
                  <c:v>-18.630769230769229</c:v>
                </c:pt>
                <c:pt idx="351">
                  <c:v>-19.676923076923078</c:v>
                </c:pt>
                <c:pt idx="352">
                  <c:v>-20.784615384615385</c:v>
                </c:pt>
                <c:pt idx="353">
                  <c:v>-20.630769230769232</c:v>
                </c:pt>
                <c:pt idx="354">
                  <c:v>-21.661538461538449</c:v>
                </c:pt>
                <c:pt idx="355">
                  <c:v>-23.446153846153841</c:v>
                </c:pt>
                <c:pt idx="356">
                  <c:v>-24.215384615384611</c:v>
                </c:pt>
                <c:pt idx="357">
                  <c:v>-26.553846153846152</c:v>
                </c:pt>
                <c:pt idx="358">
                  <c:v>-25.892307692307693</c:v>
                </c:pt>
                <c:pt idx="359">
                  <c:v>-25.6</c:v>
                </c:pt>
                <c:pt idx="360">
                  <c:v>-25.999999999999989</c:v>
                </c:pt>
                <c:pt idx="361">
                  <c:v>-26.138461538461527</c:v>
                </c:pt>
                <c:pt idx="362">
                  <c:v>-25.169230769230765</c:v>
                </c:pt>
                <c:pt idx="363">
                  <c:v>-25.323076923076915</c:v>
                </c:pt>
                <c:pt idx="364">
                  <c:v>-25.384615384615373</c:v>
                </c:pt>
                <c:pt idx="365">
                  <c:v>-25.723076923076928</c:v>
                </c:pt>
                <c:pt idx="366">
                  <c:v>-25.984615384615374</c:v>
                </c:pt>
                <c:pt idx="367">
                  <c:v>-26.123076923076916</c:v>
                </c:pt>
                <c:pt idx="368">
                  <c:v>-25.830769230769217</c:v>
                </c:pt>
                <c:pt idx="369">
                  <c:v>-26.430769230769226</c:v>
                </c:pt>
                <c:pt idx="370">
                  <c:v>-26.507692307692309</c:v>
                </c:pt>
                <c:pt idx="371">
                  <c:v>-25.815384615384605</c:v>
                </c:pt>
                <c:pt idx="372">
                  <c:v>-25.723076923076928</c:v>
                </c:pt>
                <c:pt idx="373">
                  <c:v>-25.107692307692307</c:v>
                </c:pt>
                <c:pt idx="374">
                  <c:v>-23.599999999999994</c:v>
                </c:pt>
                <c:pt idx="375">
                  <c:v>-23.092307692307692</c:v>
                </c:pt>
                <c:pt idx="376">
                  <c:v>-24.030769230769231</c:v>
                </c:pt>
                <c:pt idx="377">
                  <c:v>-24.153846153846157</c:v>
                </c:pt>
                <c:pt idx="378">
                  <c:v>-23.907692307692304</c:v>
                </c:pt>
                <c:pt idx="379">
                  <c:v>-22.723076923076913</c:v>
                </c:pt>
                <c:pt idx="380">
                  <c:v>-22.07692307692307</c:v>
                </c:pt>
                <c:pt idx="381">
                  <c:v>-23.107692307692307</c:v>
                </c:pt>
                <c:pt idx="382">
                  <c:v>-23.676923076923064</c:v>
                </c:pt>
                <c:pt idx="383">
                  <c:v>-23.599999999999994</c:v>
                </c:pt>
                <c:pt idx="384">
                  <c:v>-23.738461538461536</c:v>
                </c:pt>
                <c:pt idx="385">
                  <c:v>-24.676923076923075</c:v>
                </c:pt>
                <c:pt idx="386">
                  <c:v>-23.323076923076915</c:v>
                </c:pt>
                <c:pt idx="387">
                  <c:v>-23.892307692307689</c:v>
                </c:pt>
                <c:pt idx="388">
                  <c:v>-23.430769230769226</c:v>
                </c:pt>
                <c:pt idx="389">
                  <c:v>-23.461538461538456</c:v>
                </c:pt>
                <c:pt idx="390">
                  <c:v>-23.507692307692295</c:v>
                </c:pt>
                <c:pt idx="391">
                  <c:v>-23.938461538461532</c:v>
                </c:pt>
                <c:pt idx="392">
                  <c:v>-23.138461538461534</c:v>
                </c:pt>
                <c:pt idx="393">
                  <c:v>-23.107692307692307</c:v>
                </c:pt>
                <c:pt idx="394">
                  <c:v>-22.30769230769231</c:v>
                </c:pt>
                <c:pt idx="395">
                  <c:v>-21.276923076923072</c:v>
                </c:pt>
                <c:pt idx="396">
                  <c:v>-20.969230769230766</c:v>
                </c:pt>
                <c:pt idx="397">
                  <c:v>-21.430769230769229</c:v>
                </c:pt>
                <c:pt idx="398">
                  <c:v>-22.07692307692307</c:v>
                </c:pt>
                <c:pt idx="399">
                  <c:v>-22.399999999999991</c:v>
                </c:pt>
                <c:pt idx="400">
                  <c:v>-22.323076923076922</c:v>
                </c:pt>
                <c:pt idx="401">
                  <c:v>-21.184615384615373</c:v>
                </c:pt>
                <c:pt idx="402">
                  <c:v>-21.323076923076915</c:v>
                </c:pt>
                <c:pt idx="403">
                  <c:v>-21.153846153846146</c:v>
                </c:pt>
                <c:pt idx="404">
                  <c:v>-23.661538461538452</c:v>
                </c:pt>
                <c:pt idx="405">
                  <c:v>-23.107692307692307</c:v>
                </c:pt>
                <c:pt idx="406">
                  <c:v>-23.861538461538462</c:v>
                </c:pt>
                <c:pt idx="407">
                  <c:v>-24.476923076923079</c:v>
                </c:pt>
                <c:pt idx="408">
                  <c:v>-24.56923076923076</c:v>
                </c:pt>
                <c:pt idx="409">
                  <c:v>-25.061538461538451</c:v>
                </c:pt>
                <c:pt idx="410">
                  <c:v>-25.353846153846142</c:v>
                </c:pt>
                <c:pt idx="411">
                  <c:v>-25.246153846153852</c:v>
                </c:pt>
                <c:pt idx="412">
                  <c:v>-25.415384615384617</c:v>
                </c:pt>
                <c:pt idx="413">
                  <c:v>-25.815384615384605</c:v>
                </c:pt>
                <c:pt idx="414">
                  <c:v>-25.830769230769217</c:v>
                </c:pt>
                <c:pt idx="415">
                  <c:v>-24.707692307692302</c:v>
                </c:pt>
                <c:pt idx="416">
                  <c:v>-25.230769230769219</c:v>
                </c:pt>
                <c:pt idx="417">
                  <c:v>-25.476923076923068</c:v>
                </c:pt>
                <c:pt idx="418">
                  <c:v>-24.923076923076927</c:v>
                </c:pt>
                <c:pt idx="419">
                  <c:v>-23.892307692307689</c:v>
                </c:pt>
                <c:pt idx="420">
                  <c:v>-25.076923076923062</c:v>
                </c:pt>
                <c:pt idx="421">
                  <c:v>-26.399999999999995</c:v>
                </c:pt>
                <c:pt idx="422">
                  <c:v>-26.538461538461533</c:v>
                </c:pt>
                <c:pt idx="423">
                  <c:v>-26.523076923076921</c:v>
                </c:pt>
                <c:pt idx="424">
                  <c:v>-26.246153846153842</c:v>
                </c:pt>
                <c:pt idx="425">
                  <c:v>-26.061538461538458</c:v>
                </c:pt>
                <c:pt idx="426">
                  <c:v>-27.46153846153846</c:v>
                </c:pt>
                <c:pt idx="427">
                  <c:v>-24.261538461538454</c:v>
                </c:pt>
                <c:pt idx="428">
                  <c:v>-24.969230769230769</c:v>
                </c:pt>
                <c:pt idx="429">
                  <c:v>-25.046153846153835</c:v>
                </c:pt>
                <c:pt idx="430">
                  <c:v>-24.707692307692302</c:v>
                </c:pt>
                <c:pt idx="431">
                  <c:v>-23.323076923076915</c:v>
                </c:pt>
                <c:pt idx="432">
                  <c:v>-22.815384615384612</c:v>
                </c:pt>
                <c:pt idx="433">
                  <c:v>-22.015384615384615</c:v>
                </c:pt>
                <c:pt idx="434">
                  <c:v>-22.199999999999996</c:v>
                </c:pt>
                <c:pt idx="435">
                  <c:v>-22.692307692307686</c:v>
                </c:pt>
                <c:pt idx="436">
                  <c:v>-23.276923076923076</c:v>
                </c:pt>
                <c:pt idx="437">
                  <c:v>-22.415384615384607</c:v>
                </c:pt>
                <c:pt idx="438">
                  <c:v>-21.753846153846148</c:v>
                </c:pt>
                <c:pt idx="439">
                  <c:v>-22.507692307692302</c:v>
                </c:pt>
                <c:pt idx="440">
                  <c:v>-22.953846153846154</c:v>
                </c:pt>
                <c:pt idx="441">
                  <c:v>-23.353846153846142</c:v>
                </c:pt>
                <c:pt idx="442">
                  <c:v>-23.123076923076923</c:v>
                </c:pt>
                <c:pt idx="443">
                  <c:v>-22.723076923076913</c:v>
                </c:pt>
                <c:pt idx="444">
                  <c:v>-22.953846153846154</c:v>
                </c:pt>
                <c:pt idx="445">
                  <c:v>-23.169230769230762</c:v>
                </c:pt>
                <c:pt idx="446">
                  <c:v>-23.046153846153835</c:v>
                </c:pt>
                <c:pt idx="447">
                  <c:v>-23.369230769230757</c:v>
                </c:pt>
                <c:pt idx="448">
                  <c:v>-23.569230769230771</c:v>
                </c:pt>
                <c:pt idx="449">
                  <c:v>-23.353846153846142</c:v>
                </c:pt>
                <c:pt idx="450">
                  <c:v>-23.61538461538461</c:v>
                </c:pt>
                <c:pt idx="451">
                  <c:v>-23.507692307692295</c:v>
                </c:pt>
                <c:pt idx="452">
                  <c:v>-23.476923076923072</c:v>
                </c:pt>
                <c:pt idx="453">
                  <c:v>-23.723076923076921</c:v>
                </c:pt>
                <c:pt idx="454">
                  <c:v>-22.630769230769232</c:v>
                </c:pt>
                <c:pt idx="455">
                  <c:v>-23.415384615384617</c:v>
                </c:pt>
                <c:pt idx="456">
                  <c:v>-23.476923076923072</c:v>
                </c:pt>
                <c:pt idx="457">
                  <c:v>-23.907692307692304</c:v>
                </c:pt>
                <c:pt idx="458">
                  <c:v>-24.87692307692307</c:v>
                </c:pt>
                <c:pt idx="459">
                  <c:v>-25.430769230769229</c:v>
                </c:pt>
                <c:pt idx="460">
                  <c:v>-25.507692307692299</c:v>
                </c:pt>
                <c:pt idx="461">
                  <c:v>-25.784615384615378</c:v>
                </c:pt>
                <c:pt idx="462">
                  <c:v>-26.046153846153846</c:v>
                </c:pt>
                <c:pt idx="463">
                  <c:v>-26.584615384615379</c:v>
                </c:pt>
                <c:pt idx="464">
                  <c:v>-26.415384615384607</c:v>
                </c:pt>
                <c:pt idx="465">
                  <c:v>-26.415384615384607</c:v>
                </c:pt>
                <c:pt idx="466">
                  <c:v>-25.738461538461539</c:v>
                </c:pt>
                <c:pt idx="467">
                  <c:v>-26.476923076923082</c:v>
                </c:pt>
                <c:pt idx="468">
                  <c:v>-26.061538461538458</c:v>
                </c:pt>
                <c:pt idx="469">
                  <c:v>-24.553846153846148</c:v>
                </c:pt>
                <c:pt idx="470">
                  <c:v>-24.138461538461524</c:v>
                </c:pt>
                <c:pt idx="471">
                  <c:v>-24.646153846153844</c:v>
                </c:pt>
                <c:pt idx="472">
                  <c:v>-23.292307692307688</c:v>
                </c:pt>
                <c:pt idx="473">
                  <c:v>-23.276923076923076</c:v>
                </c:pt>
                <c:pt idx="474">
                  <c:v>-22.923076923076927</c:v>
                </c:pt>
                <c:pt idx="475">
                  <c:v>-23.123076923076923</c:v>
                </c:pt>
                <c:pt idx="476">
                  <c:v>-22.461538461538463</c:v>
                </c:pt>
                <c:pt idx="477">
                  <c:v>-23.276923076923076</c:v>
                </c:pt>
                <c:pt idx="478">
                  <c:v>-23.969230769230759</c:v>
                </c:pt>
                <c:pt idx="479">
                  <c:v>-23.323076923076915</c:v>
                </c:pt>
                <c:pt idx="480">
                  <c:v>-22.692307692307686</c:v>
                </c:pt>
                <c:pt idx="481">
                  <c:v>-23.323076923076915</c:v>
                </c:pt>
                <c:pt idx="482">
                  <c:v>-23.753846153846151</c:v>
                </c:pt>
                <c:pt idx="483">
                  <c:v>-23.400000000000002</c:v>
                </c:pt>
                <c:pt idx="484">
                  <c:v>-23.307692307692303</c:v>
                </c:pt>
                <c:pt idx="485">
                  <c:v>-24.215384615384611</c:v>
                </c:pt>
                <c:pt idx="486">
                  <c:v>-23.876923076923077</c:v>
                </c:pt>
                <c:pt idx="487">
                  <c:v>-23.261538461538461</c:v>
                </c:pt>
                <c:pt idx="488">
                  <c:v>-23.169230769230762</c:v>
                </c:pt>
                <c:pt idx="489">
                  <c:v>-22.907692307692312</c:v>
                </c:pt>
                <c:pt idx="490">
                  <c:v>-22.815384615384612</c:v>
                </c:pt>
                <c:pt idx="491">
                  <c:v>-22.230769230769223</c:v>
                </c:pt>
                <c:pt idx="492">
                  <c:v>-20.507692307692302</c:v>
                </c:pt>
                <c:pt idx="493">
                  <c:v>-20.338461538461537</c:v>
                </c:pt>
                <c:pt idx="494">
                  <c:v>-20</c:v>
                </c:pt>
                <c:pt idx="495">
                  <c:v>-20.230769230769223</c:v>
                </c:pt>
                <c:pt idx="496">
                  <c:v>-20.369230769230761</c:v>
                </c:pt>
                <c:pt idx="497">
                  <c:v>-19.81538461538462</c:v>
                </c:pt>
                <c:pt idx="498">
                  <c:v>-19.907692307692301</c:v>
                </c:pt>
                <c:pt idx="499">
                  <c:v>-19.246153846153842</c:v>
                </c:pt>
                <c:pt idx="500">
                  <c:v>-18.799999999999994</c:v>
                </c:pt>
                <c:pt idx="501">
                  <c:v>-19.123076923076919</c:v>
                </c:pt>
                <c:pt idx="502">
                  <c:v>-19.076923076923077</c:v>
                </c:pt>
                <c:pt idx="503">
                  <c:v>-19.123076923076919</c:v>
                </c:pt>
                <c:pt idx="504">
                  <c:v>-19.061538461538461</c:v>
                </c:pt>
                <c:pt idx="505">
                  <c:v>-18.723076923076928</c:v>
                </c:pt>
                <c:pt idx="506">
                  <c:v>-18.907692307692308</c:v>
                </c:pt>
                <c:pt idx="507">
                  <c:v>-18.830769230769224</c:v>
                </c:pt>
                <c:pt idx="508">
                  <c:v>-18.892307692307693</c:v>
                </c:pt>
                <c:pt idx="509">
                  <c:v>-19.49230769230768</c:v>
                </c:pt>
                <c:pt idx="510">
                  <c:v>-19.523076923076925</c:v>
                </c:pt>
                <c:pt idx="511">
                  <c:v>-19.200000000000003</c:v>
                </c:pt>
                <c:pt idx="512">
                  <c:v>-19.107692307692304</c:v>
                </c:pt>
                <c:pt idx="513">
                  <c:v>-18.907692307692308</c:v>
                </c:pt>
                <c:pt idx="514">
                  <c:v>-18.399999999999988</c:v>
                </c:pt>
                <c:pt idx="515">
                  <c:v>-18.138461538461538</c:v>
                </c:pt>
                <c:pt idx="516">
                  <c:v>-18.230769230769219</c:v>
                </c:pt>
                <c:pt idx="517">
                  <c:v>-18.538461538461529</c:v>
                </c:pt>
                <c:pt idx="518">
                  <c:v>-18.969230769230762</c:v>
                </c:pt>
                <c:pt idx="519">
                  <c:v>-18.723076923076928</c:v>
                </c:pt>
                <c:pt idx="520">
                  <c:v>-20.230769230769223</c:v>
                </c:pt>
                <c:pt idx="521">
                  <c:v>-19.861538461538462</c:v>
                </c:pt>
                <c:pt idx="522">
                  <c:v>-19.784615384615375</c:v>
                </c:pt>
                <c:pt idx="523" formatCode="0.00">
                  <c:v>-19.353846153846156</c:v>
                </c:pt>
                <c:pt idx="524">
                  <c:v>-20</c:v>
                </c:pt>
                <c:pt idx="525">
                  <c:v>-20</c:v>
                </c:pt>
                <c:pt idx="526">
                  <c:v>-18.46153846153846</c:v>
                </c:pt>
                <c:pt idx="527">
                  <c:v>-20</c:v>
                </c:pt>
                <c:pt idx="528">
                  <c:v>-18.46153846153846</c:v>
                </c:pt>
                <c:pt idx="529">
                  <c:v>-18.46153846153846</c:v>
                </c:pt>
                <c:pt idx="530">
                  <c:v>-21.53846153846154</c:v>
                </c:pt>
                <c:pt idx="531">
                  <c:v>-21.53846153846154</c:v>
                </c:pt>
                <c:pt idx="532">
                  <c:v>-20</c:v>
                </c:pt>
                <c:pt idx="533">
                  <c:v>-20</c:v>
                </c:pt>
                <c:pt idx="534">
                  <c:v>-20</c:v>
                </c:pt>
                <c:pt idx="535">
                  <c:v>-20</c:v>
                </c:pt>
                <c:pt idx="536">
                  <c:v>-20</c:v>
                </c:pt>
                <c:pt idx="537">
                  <c:v>-21.53846153846154</c:v>
                </c:pt>
                <c:pt idx="538">
                  <c:v>-21.53846153846154</c:v>
                </c:pt>
                <c:pt idx="539">
                  <c:v>-21.53846153846154</c:v>
                </c:pt>
                <c:pt idx="540">
                  <c:v>-21.53846153846154</c:v>
                </c:pt>
                <c:pt idx="541">
                  <c:v>-21.53846153846154</c:v>
                </c:pt>
                <c:pt idx="542">
                  <c:v>-20</c:v>
                </c:pt>
                <c:pt idx="543">
                  <c:v>-18.46153846153846</c:v>
                </c:pt>
                <c:pt idx="544">
                  <c:v>-18.46153846153846</c:v>
                </c:pt>
                <c:pt idx="545" formatCode="0.00">
                  <c:v>-18.46153846153846</c:v>
                </c:pt>
              </c:numCache>
            </c:numRef>
          </c:val>
          <c:smooth val="0"/>
        </c:ser>
        <c:ser>
          <c:idx val="3"/>
          <c:order val="3"/>
          <c:tx>
            <c:strRef>
              <c:f>'Currency '!$N$1</c:f>
              <c:strCache>
                <c:ptCount val="1"/>
                <c:pt idx="0">
                  <c:v>EURO</c:v>
                </c:pt>
              </c:strCache>
            </c:strRef>
          </c:tx>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'!$N$2:$N$547</c:f>
              <c:numCache>
                <c:formatCode>General</c:formatCode>
                <c:ptCount val="546"/>
                <c:pt idx="0">
                  <c:v>0</c:v>
                </c:pt>
                <c:pt idx="1">
                  <c:v>-1.0989010989010999</c:v>
                </c:pt>
                <c:pt idx="2">
                  <c:v>2.1978021978021998</c:v>
                </c:pt>
                <c:pt idx="3">
                  <c:v>2.1978021978021998</c:v>
                </c:pt>
                <c:pt idx="4">
                  <c:v>2.1978021978021998</c:v>
                </c:pt>
                <c:pt idx="5">
                  <c:v>1.0989010989010999</c:v>
                </c:pt>
                <c:pt idx="6">
                  <c:v>2.1978021978021998</c:v>
                </c:pt>
                <c:pt idx="7">
                  <c:v>2.1978021978021998</c:v>
                </c:pt>
                <c:pt idx="8">
                  <c:v>3.2967032967032996</c:v>
                </c:pt>
                <c:pt idx="9">
                  <c:v>2.1978021978021998</c:v>
                </c:pt>
                <c:pt idx="10">
                  <c:v>2.1978021978021998</c:v>
                </c:pt>
                <c:pt idx="11">
                  <c:v>2.1978021978021998</c:v>
                </c:pt>
                <c:pt idx="12">
                  <c:v>2.1978021978021998</c:v>
                </c:pt>
                <c:pt idx="13">
                  <c:v>2.1978021978021998</c:v>
                </c:pt>
                <c:pt idx="14">
                  <c:v>3.2967032967032996</c:v>
                </c:pt>
                <c:pt idx="15">
                  <c:v>3.2967032967032996</c:v>
                </c:pt>
                <c:pt idx="16">
                  <c:v>3.2967032967032996</c:v>
                </c:pt>
                <c:pt idx="17">
                  <c:v>1.0989010989010999</c:v>
                </c:pt>
                <c:pt idx="18">
                  <c:v>2.1978021978021998</c:v>
                </c:pt>
                <c:pt idx="19">
                  <c:v>2.1978021978021998</c:v>
                </c:pt>
                <c:pt idx="20">
                  <c:v>1.0989010989010999</c:v>
                </c:pt>
                <c:pt idx="21">
                  <c:v>2.1978021978021998</c:v>
                </c:pt>
                <c:pt idx="22">
                  <c:v>1.0989010989010999</c:v>
                </c:pt>
                <c:pt idx="23">
                  <c:v>1.0989010989010999</c:v>
                </c:pt>
                <c:pt idx="24">
                  <c:v>1.0989010989010999</c:v>
                </c:pt>
                <c:pt idx="25">
                  <c:v>1.0989010989010999</c:v>
                </c:pt>
                <c:pt idx="26">
                  <c:v>1.0989010989010999</c:v>
                </c:pt>
                <c:pt idx="27">
                  <c:v>0</c:v>
                </c:pt>
                <c:pt idx="28">
                  <c:v>0</c:v>
                </c:pt>
                <c:pt idx="29">
                  <c:v>0</c:v>
                </c:pt>
                <c:pt idx="30">
                  <c:v>1.0989010989010999</c:v>
                </c:pt>
                <c:pt idx="31">
                  <c:v>0</c:v>
                </c:pt>
                <c:pt idx="32">
                  <c:v>0</c:v>
                </c:pt>
                <c:pt idx="33">
                  <c:v>0</c:v>
                </c:pt>
                <c:pt idx="34">
                  <c:v>-1.0989010989010999</c:v>
                </c:pt>
                <c:pt idx="35">
                  <c:v>-1.0989010989010999</c:v>
                </c:pt>
                <c:pt idx="36">
                  <c:v>-1.0989010989010999</c:v>
                </c:pt>
                <c:pt idx="37">
                  <c:v>0</c:v>
                </c:pt>
                <c:pt idx="38">
                  <c:v>-1.0989010989010999</c:v>
                </c:pt>
                <c:pt idx="39">
                  <c:v>0</c:v>
                </c:pt>
                <c:pt idx="40">
                  <c:v>0</c:v>
                </c:pt>
                <c:pt idx="41">
                  <c:v>1.0989010989010999</c:v>
                </c:pt>
                <c:pt idx="42">
                  <c:v>0</c:v>
                </c:pt>
                <c:pt idx="43">
                  <c:v>0</c:v>
                </c:pt>
                <c:pt idx="44">
                  <c:v>-1.0989010989010999</c:v>
                </c:pt>
                <c:pt idx="45">
                  <c:v>0</c:v>
                </c:pt>
                <c:pt idx="46">
                  <c:v>0</c:v>
                </c:pt>
                <c:pt idx="47">
                  <c:v>0</c:v>
                </c:pt>
                <c:pt idx="48">
                  <c:v>-1.0989010989010999</c:v>
                </c:pt>
                <c:pt idx="49">
                  <c:v>-1.0989010989010999</c:v>
                </c:pt>
                <c:pt idx="50">
                  <c:v>0</c:v>
                </c:pt>
                <c:pt idx="51">
                  <c:v>0</c:v>
                </c:pt>
                <c:pt idx="52">
                  <c:v>0</c:v>
                </c:pt>
                <c:pt idx="53">
                  <c:v>2.1978021978021998</c:v>
                </c:pt>
                <c:pt idx="54">
                  <c:v>1.0989010989010999</c:v>
                </c:pt>
                <c:pt idx="55">
                  <c:v>1.0989010989010999</c:v>
                </c:pt>
                <c:pt idx="56">
                  <c:v>1.0989010989010999</c:v>
                </c:pt>
                <c:pt idx="57">
                  <c:v>0</c:v>
                </c:pt>
                <c:pt idx="58">
                  <c:v>1.0989010989010999</c:v>
                </c:pt>
                <c:pt idx="59">
                  <c:v>2.1978021978021998</c:v>
                </c:pt>
                <c:pt idx="60">
                  <c:v>3.2967032967032996</c:v>
                </c:pt>
                <c:pt idx="61">
                  <c:v>4.3956043956043995</c:v>
                </c:pt>
                <c:pt idx="62">
                  <c:v>3.2967032967032996</c:v>
                </c:pt>
                <c:pt idx="63">
                  <c:v>3.2967032967032996</c:v>
                </c:pt>
                <c:pt idx="64">
                  <c:v>2.1978021978021998</c:v>
                </c:pt>
                <c:pt idx="65">
                  <c:v>2.1978021978021998</c:v>
                </c:pt>
                <c:pt idx="66">
                  <c:v>2.1978021978021998</c:v>
                </c:pt>
                <c:pt idx="67">
                  <c:v>2.8791208791208791</c:v>
                </c:pt>
                <c:pt idx="68">
                  <c:v>2.1208791208791191</c:v>
                </c:pt>
                <c:pt idx="69">
                  <c:v>1.2087912087912098</c:v>
                </c:pt>
                <c:pt idx="70">
                  <c:v>1.4395604395604396</c:v>
                </c:pt>
                <c:pt idx="71">
                  <c:v>1.6263736263736301</c:v>
                </c:pt>
                <c:pt idx="72">
                  <c:v>1.901098901098899</c:v>
                </c:pt>
                <c:pt idx="73">
                  <c:v>1.9450549450549506</c:v>
                </c:pt>
                <c:pt idx="74">
                  <c:v>2.5824175824175906</c:v>
                </c:pt>
                <c:pt idx="75">
                  <c:v>3.0769230769230793</c:v>
                </c:pt>
                <c:pt idx="76">
                  <c:v>2.8901098901098892</c:v>
                </c:pt>
                <c:pt idx="77">
                  <c:v>2.4835164835164907</c:v>
                </c:pt>
                <c:pt idx="78">
                  <c:v>2.6813186813186789</c:v>
                </c:pt>
                <c:pt idx="79">
                  <c:v>3.9010989010988983</c:v>
                </c:pt>
                <c:pt idx="80">
                  <c:v>2.7582417582417595</c:v>
                </c:pt>
                <c:pt idx="81">
                  <c:v>1.7912087912087891</c:v>
                </c:pt>
                <c:pt idx="82">
                  <c:v>1.1758241758241805</c:v>
                </c:pt>
                <c:pt idx="83">
                  <c:v>1.7582417582417595</c:v>
                </c:pt>
                <c:pt idx="84">
                  <c:v>2.16483516483517</c:v>
                </c:pt>
                <c:pt idx="85">
                  <c:v>1.8681318681318699</c:v>
                </c:pt>
                <c:pt idx="86">
                  <c:v>2.2637362637362703</c:v>
                </c:pt>
                <c:pt idx="87">
                  <c:v>2.3076923076923097</c:v>
                </c:pt>
                <c:pt idx="88">
                  <c:v>1.6813186813186789</c:v>
                </c:pt>
                <c:pt idx="89">
                  <c:v>1.8351648351648402</c:v>
                </c:pt>
                <c:pt idx="90">
                  <c:v>1.9890109890109895</c:v>
                </c:pt>
                <c:pt idx="91">
                  <c:v>1.7802197802197792</c:v>
                </c:pt>
                <c:pt idx="92">
                  <c:v>2.5054945054945099</c:v>
                </c:pt>
                <c:pt idx="93">
                  <c:v>2.2087912087912094</c:v>
                </c:pt>
                <c:pt idx="94">
                  <c:v>2.5384615384615392</c:v>
                </c:pt>
                <c:pt idx="95">
                  <c:v>3.2527472527472603</c:v>
                </c:pt>
                <c:pt idx="96">
                  <c:v>3.2527472527472603</c:v>
                </c:pt>
                <c:pt idx="97">
                  <c:v>3.4285714285714288</c:v>
                </c:pt>
                <c:pt idx="98">
                  <c:v>4.2197802197802181</c:v>
                </c:pt>
                <c:pt idx="99">
                  <c:v>3.4725274725274806</c:v>
                </c:pt>
                <c:pt idx="100">
                  <c:v>3.1538461538461604</c:v>
                </c:pt>
                <c:pt idx="101">
                  <c:v>2.9999999999999987</c:v>
                </c:pt>
                <c:pt idx="102">
                  <c:v>3.1428571428571508</c:v>
                </c:pt>
                <c:pt idx="103">
                  <c:v>3.0879120879120894</c:v>
                </c:pt>
                <c:pt idx="104">
                  <c:v>1.0769230769230804</c:v>
                </c:pt>
                <c:pt idx="105">
                  <c:v>0.26373626373627129</c:v>
                </c:pt>
                <c:pt idx="106">
                  <c:v>0.62637362637363059</c:v>
                </c:pt>
                <c:pt idx="107">
                  <c:v>0.5054945054945108</c:v>
                </c:pt>
                <c:pt idx="108">
                  <c:v>-0.59340659340658908</c:v>
                </c:pt>
                <c:pt idx="109">
                  <c:v>-0.10989010989010997</c:v>
                </c:pt>
                <c:pt idx="110">
                  <c:v>0.15384615384616129</c:v>
                </c:pt>
                <c:pt idx="111">
                  <c:v>0.24175824175823954</c:v>
                </c:pt>
                <c:pt idx="112">
                  <c:v>-0.21978021978021994</c:v>
                </c:pt>
                <c:pt idx="113">
                  <c:v>-1.1318681318681292</c:v>
                </c:pt>
                <c:pt idx="114">
                  <c:v>-0.96703296703295816</c:v>
                </c:pt>
                <c:pt idx="115">
                  <c:v>-2.3186813186813193</c:v>
                </c:pt>
                <c:pt idx="116">
                  <c:v>-2.2197802197802194</c:v>
                </c:pt>
                <c:pt idx="117">
                  <c:v>-2.4615384615384586</c:v>
                </c:pt>
                <c:pt idx="118">
                  <c:v>-2.285714285714278</c:v>
                </c:pt>
                <c:pt idx="119">
                  <c:v>-1.6263736263736179</c:v>
                </c:pt>
                <c:pt idx="120">
                  <c:v>-1.9999999999999993</c:v>
                </c:pt>
                <c:pt idx="121">
                  <c:v>-2.8351648351648278</c:v>
                </c:pt>
                <c:pt idx="122">
                  <c:v>-3.2527472527472483</c:v>
                </c:pt>
                <c:pt idx="123">
                  <c:v>-3.0879120879120894</c:v>
                </c:pt>
                <c:pt idx="124">
                  <c:v>-2.3736263736263683</c:v>
                </c:pt>
                <c:pt idx="125">
                  <c:v>-3.219780219780219</c:v>
                </c:pt>
                <c:pt idx="126">
                  <c:v>-3.3186813186813193</c:v>
                </c:pt>
                <c:pt idx="127">
                  <c:v>-3.2527472527472483</c:v>
                </c:pt>
                <c:pt idx="128">
                  <c:v>-3.4285714285714288</c:v>
                </c:pt>
                <c:pt idx="129">
                  <c:v>-3.5714285714285685</c:v>
                </c:pt>
                <c:pt idx="130">
                  <c:v>-3.7252747252747174</c:v>
                </c:pt>
                <c:pt idx="131">
                  <c:v>-4.0219780219780183</c:v>
                </c:pt>
                <c:pt idx="132">
                  <c:v>-3.3516483516483482</c:v>
                </c:pt>
                <c:pt idx="133">
                  <c:v>-3.5274725274725292</c:v>
                </c:pt>
                <c:pt idx="134">
                  <c:v>-0.46153846153845951</c:v>
                </c:pt>
                <c:pt idx="135">
                  <c:v>-0.98901098901098983</c:v>
                </c:pt>
                <c:pt idx="136">
                  <c:v>-1.3956043956043882</c:v>
                </c:pt>
                <c:pt idx="137">
                  <c:v>-0.89010989010988961</c:v>
                </c:pt>
                <c:pt idx="138">
                  <c:v>0.32967032967032994</c:v>
                </c:pt>
                <c:pt idx="139">
                  <c:v>-0.43956043956043989</c:v>
                </c:pt>
                <c:pt idx="140">
                  <c:v>3.2967032967041537E-2</c:v>
                </c:pt>
                <c:pt idx="141">
                  <c:v>5.4945054945061092E-2</c:v>
                </c:pt>
                <c:pt idx="142">
                  <c:v>-0.52747252747251816</c:v>
                </c:pt>
                <c:pt idx="143">
                  <c:v>-0.70329670329669902</c:v>
                </c:pt>
                <c:pt idx="144">
                  <c:v>-1.5054945054944984</c:v>
                </c:pt>
                <c:pt idx="145">
                  <c:v>-1.1208791208791193</c:v>
                </c:pt>
                <c:pt idx="146">
                  <c:v>-0.68131868131867945</c:v>
                </c:pt>
                <c:pt idx="147">
                  <c:v>-0.28571428571427865</c:v>
                </c:pt>
                <c:pt idx="148">
                  <c:v>-0.70329670329669902</c:v>
                </c:pt>
                <c:pt idx="149">
                  <c:v>-0.23076923076922976</c:v>
                </c:pt>
                <c:pt idx="150">
                  <c:v>-0.27472527472526886</c:v>
                </c:pt>
                <c:pt idx="151">
                  <c:v>-0.18681318681317843</c:v>
                </c:pt>
                <c:pt idx="152">
                  <c:v>-0.6373626373626281</c:v>
                </c:pt>
                <c:pt idx="153">
                  <c:v>-0.52747252747251816</c:v>
                </c:pt>
                <c:pt idx="154">
                  <c:v>-1.2087912087912098</c:v>
                </c:pt>
                <c:pt idx="155">
                  <c:v>-1.2197802197802194</c:v>
                </c:pt>
                <c:pt idx="156">
                  <c:v>-1.4505494505494494</c:v>
                </c:pt>
                <c:pt idx="157">
                  <c:v>-2.2417582417582387</c:v>
                </c:pt>
                <c:pt idx="158">
                  <c:v>-1.9340659340659285</c:v>
                </c:pt>
                <c:pt idx="159">
                  <c:v>-0.52747252747251816</c:v>
                </c:pt>
                <c:pt idx="160">
                  <c:v>-1.0989010989010999</c:v>
                </c:pt>
                <c:pt idx="161">
                  <c:v>-1.1978021978022</c:v>
                </c:pt>
                <c:pt idx="162">
                  <c:v>-1.2087912087912098</c:v>
                </c:pt>
                <c:pt idx="163">
                  <c:v>-1.0329670329670291</c:v>
                </c:pt>
                <c:pt idx="164">
                  <c:v>-1.1318681318681292</c:v>
                </c:pt>
                <c:pt idx="165">
                  <c:v>-0.69230769230768918</c:v>
                </c:pt>
                <c:pt idx="166">
                  <c:v>-0.89010989010988961</c:v>
                </c:pt>
                <c:pt idx="167">
                  <c:v>-0.74725274725273816</c:v>
                </c:pt>
                <c:pt idx="168">
                  <c:v>-0.90109890109889945</c:v>
                </c:pt>
                <c:pt idx="169">
                  <c:v>-1.0549450549450485</c:v>
                </c:pt>
                <c:pt idx="170">
                  <c:v>-1.7692307692307694</c:v>
                </c:pt>
                <c:pt idx="171">
                  <c:v>-1.2857142857142783</c:v>
                </c:pt>
                <c:pt idx="172">
                  <c:v>-1.0989010989010999</c:v>
                </c:pt>
                <c:pt idx="173">
                  <c:v>-0.87912087912087977</c:v>
                </c:pt>
                <c:pt idx="174">
                  <c:v>-0.45054945054944973</c:v>
                </c:pt>
                <c:pt idx="175">
                  <c:v>-1.461538461538459</c:v>
                </c:pt>
                <c:pt idx="176">
                  <c:v>-0.92307692307691902</c:v>
                </c:pt>
                <c:pt idx="177">
                  <c:v>-0.6373626373626281</c:v>
                </c:pt>
                <c:pt idx="178">
                  <c:v>1.0329670329670411</c:v>
                </c:pt>
                <c:pt idx="179">
                  <c:v>1.95604395604396</c:v>
                </c:pt>
                <c:pt idx="180">
                  <c:v>1.5164835164835202</c:v>
                </c:pt>
                <c:pt idx="181">
                  <c:v>1.8241758241758306</c:v>
                </c:pt>
                <c:pt idx="182">
                  <c:v>2.7032967032967106</c:v>
                </c:pt>
                <c:pt idx="183">
                  <c:v>2.692307692307701</c:v>
                </c:pt>
                <c:pt idx="184">
                  <c:v>2.9450549450549501</c:v>
                </c:pt>
                <c:pt idx="185">
                  <c:v>2.3736263736263803</c:v>
                </c:pt>
                <c:pt idx="186">
                  <c:v>1.4945054945055005</c:v>
                </c:pt>
                <c:pt idx="187">
                  <c:v>1.3956043956044004</c:v>
                </c:pt>
                <c:pt idx="188">
                  <c:v>1.2417582417582391</c:v>
                </c:pt>
                <c:pt idx="189">
                  <c:v>1.0659340659340706</c:v>
                </c:pt>
                <c:pt idx="190">
                  <c:v>1.2637362637362708</c:v>
                </c:pt>
                <c:pt idx="191">
                  <c:v>0.36263736263737151</c:v>
                </c:pt>
                <c:pt idx="192">
                  <c:v>0.27472527472528108</c:v>
                </c:pt>
                <c:pt idx="193">
                  <c:v>0.21978021978021994</c:v>
                </c:pt>
                <c:pt idx="194">
                  <c:v>0.26373626373627129</c:v>
                </c:pt>
                <c:pt idx="195">
                  <c:v>-0.52747252747251816</c:v>
                </c:pt>
                <c:pt idx="196">
                  <c:v>-1.0659340659340584</c:v>
                </c:pt>
                <c:pt idx="197">
                  <c:v>-1.2087912087912098</c:v>
                </c:pt>
                <c:pt idx="198">
                  <c:v>-1.2637362637362588</c:v>
                </c:pt>
                <c:pt idx="199">
                  <c:v>-0.40659340659339843</c:v>
                </c:pt>
                <c:pt idx="200">
                  <c:v>7.6923076923080647E-2</c:v>
                </c:pt>
                <c:pt idx="201">
                  <c:v>0.29670329670330065</c:v>
                </c:pt>
                <c:pt idx="202">
                  <c:v>0.26373626373627129</c:v>
                </c:pt>
                <c:pt idx="203">
                  <c:v>0.35164835164834951</c:v>
                </c:pt>
                <c:pt idx="204">
                  <c:v>1.8351648351648402</c:v>
                </c:pt>
                <c:pt idx="205">
                  <c:v>1.5164835164835202</c:v>
                </c:pt>
                <c:pt idx="206">
                  <c:v>0.87912087912087977</c:v>
                </c:pt>
                <c:pt idx="207">
                  <c:v>1.1098901098901097</c:v>
                </c:pt>
                <c:pt idx="208">
                  <c:v>0.87912087912087977</c:v>
                </c:pt>
                <c:pt idx="209">
                  <c:v>2.9010989010988988</c:v>
                </c:pt>
                <c:pt idx="210">
                  <c:v>2.5384615384615392</c:v>
                </c:pt>
                <c:pt idx="211">
                  <c:v>2.3076923076923097</c:v>
                </c:pt>
                <c:pt idx="212">
                  <c:v>2.0659340659340701</c:v>
                </c:pt>
                <c:pt idx="213">
                  <c:v>1.7362637362637403</c:v>
                </c:pt>
                <c:pt idx="214">
                  <c:v>1.7472527472527501</c:v>
                </c:pt>
                <c:pt idx="215">
                  <c:v>1.6043956043956107</c:v>
                </c:pt>
                <c:pt idx="216">
                  <c:v>1.813186813186821</c:v>
                </c:pt>
                <c:pt idx="217">
                  <c:v>2.4395604395604389</c:v>
                </c:pt>
                <c:pt idx="218">
                  <c:v>2.9120879120879208</c:v>
                </c:pt>
                <c:pt idx="219">
                  <c:v>3.4395604395604384</c:v>
                </c:pt>
                <c:pt idx="220">
                  <c:v>3.5274725274725292</c:v>
                </c:pt>
                <c:pt idx="221">
                  <c:v>3.5164835164835191</c:v>
                </c:pt>
                <c:pt idx="222">
                  <c:v>3.4725274725274806</c:v>
                </c:pt>
                <c:pt idx="223">
                  <c:v>3.5934065934065997</c:v>
                </c:pt>
                <c:pt idx="224">
                  <c:v>3.4175824175824197</c:v>
                </c:pt>
                <c:pt idx="225">
                  <c:v>3.5824175824175901</c:v>
                </c:pt>
                <c:pt idx="226">
                  <c:v>3.6923076923077005</c:v>
                </c:pt>
                <c:pt idx="227">
                  <c:v>3.4835164835164902</c:v>
                </c:pt>
                <c:pt idx="228">
                  <c:v>2.5274725274725296</c:v>
                </c:pt>
                <c:pt idx="229">
                  <c:v>2.4725274725274806</c:v>
                </c:pt>
                <c:pt idx="230">
                  <c:v>2.6153846153846203</c:v>
                </c:pt>
                <c:pt idx="231">
                  <c:v>2.8681318681318695</c:v>
                </c:pt>
                <c:pt idx="232">
                  <c:v>3.2527472527472603</c:v>
                </c:pt>
                <c:pt idx="233">
                  <c:v>2.7252747252747298</c:v>
                </c:pt>
                <c:pt idx="234">
                  <c:v>2.6373626373626395</c:v>
                </c:pt>
                <c:pt idx="235">
                  <c:v>2.0989010989010994</c:v>
                </c:pt>
                <c:pt idx="236">
                  <c:v>2.4945054945055003</c:v>
                </c:pt>
                <c:pt idx="237">
                  <c:v>2.7252747252747298</c:v>
                </c:pt>
                <c:pt idx="238">
                  <c:v>2.9450549450549501</c:v>
                </c:pt>
                <c:pt idx="239">
                  <c:v>3.1978021978021993</c:v>
                </c:pt>
                <c:pt idx="240">
                  <c:v>4.03296703296704</c:v>
                </c:pt>
                <c:pt idx="241">
                  <c:v>4.6373626373626387</c:v>
                </c:pt>
                <c:pt idx="242">
                  <c:v>4.6483516483516487</c:v>
                </c:pt>
                <c:pt idx="243">
                  <c:v>4.4175824175824188</c:v>
                </c:pt>
                <c:pt idx="244">
                  <c:v>3.7032967032967101</c:v>
                </c:pt>
                <c:pt idx="245">
                  <c:v>3.8131868131868205</c:v>
                </c:pt>
                <c:pt idx="246">
                  <c:v>3.5274725274725292</c:v>
                </c:pt>
                <c:pt idx="247">
                  <c:v>3.4505494505494485</c:v>
                </c:pt>
                <c:pt idx="248">
                  <c:v>3.8791208791208787</c:v>
                </c:pt>
                <c:pt idx="249">
                  <c:v>3.4945054945055003</c:v>
                </c:pt>
                <c:pt idx="250">
                  <c:v>2.692307692307701</c:v>
                </c:pt>
                <c:pt idx="251">
                  <c:v>2.9890109890109891</c:v>
                </c:pt>
                <c:pt idx="252">
                  <c:v>3.0219780219780308</c:v>
                </c:pt>
                <c:pt idx="253">
                  <c:v>2.5824175824175906</c:v>
                </c:pt>
                <c:pt idx="254">
                  <c:v>1.95604395604396</c:v>
                </c:pt>
                <c:pt idx="255">
                  <c:v>1.9999999999999993</c:v>
                </c:pt>
                <c:pt idx="256">
                  <c:v>1.9450549450549506</c:v>
                </c:pt>
                <c:pt idx="257">
                  <c:v>1.4505494505494494</c:v>
                </c:pt>
                <c:pt idx="258">
                  <c:v>1.5274725274725298</c:v>
                </c:pt>
                <c:pt idx="259">
                  <c:v>1.6703296703296695</c:v>
                </c:pt>
                <c:pt idx="260">
                  <c:v>1.3296703296703296</c:v>
                </c:pt>
                <c:pt idx="261">
                  <c:v>1.3076923076923102</c:v>
                </c:pt>
                <c:pt idx="262">
                  <c:v>1.3516483516483491</c:v>
                </c:pt>
                <c:pt idx="263">
                  <c:v>1.6483516483516498</c:v>
                </c:pt>
                <c:pt idx="264">
                  <c:v>1.4945054945055005</c:v>
                </c:pt>
                <c:pt idx="265">
                  <c:v>2.9670329670329698</c:v>
                </c:pt>
                <c:pt idx="266">
                  <c:v>3.3956043956044</c:v>
                </c:pt>
                <c:pt idx="267">
                  <c:v>3.1648351648351696</c:v>
                </c:pt>
                <c:pt idx="268">
                  <c:v>3.6043956043956098</c:v>
                </c:pt>
                <c:pt idx="269">
                  <c:v>2.9230769230769305</c:v>
                </c:pt>
                <c:pt idx="270">
                  <c:v>2.5714285714285685</c:v>
                </c:pt>
                <c:pt idx="271">
                  <c:v>2.6153846153846203</c:v>
                </c:pt>
                <c:pt idx="272">
                  <c:v>2.0109890109890092</c:v>
                </c:pt>
                <c:pt idx="273">
                  <c:v>2.2087912087912094</c:v>
                </c:pt>
                <c:pt idx="274">
                  <c:v>1.9890109890109895</c:v>
                </c:pt>
                <c:pt idx="275">
                  <c:v>2.461538461538471</c:v>
                </c:pt>
                <c:pt idx="276">
                  <c:v>2.8791208791208791</c:v>
                </c:pt>
                <c:pt idx="277">
                  <c:v>2.3956043956044</c:v>
                </c:pt>
                <c:pt idx="278">
                  <c:v>2.7802197802197788</c:v>
                </c:pt>
                <c:pt idx="279">
                  <c:v>3.1978021978021993</c:v>
                </c:pt>
                <c:pt idx="280">
                  <c:v>1.6043956043956107</c:v>
                </c:pt>
                <c:pt idx="281">
                  <c:v>0.49450549450550096</c:v>
                </c:pt>
                <c:pt idx="282">
                  <c:v>0.57142857142856951</c:v>
                </c:pt>
                <c:pt idx="283">
                  <c:v>0.97802197802197999</c:v>
                </c:pt>
                <c:pt idx="284">
                  <c:v>0.7582417582417601</c:v>
                </c:pt>
                <c:pt idx="285">
                  <c:v>1.3296703296703296</c:v>
                </c:pt>
                <c:pt idx="286">
                  <c:v>1.4175824175824201</c:v>
                </c:pt>
                <c:pt idx="287">
                  <c:v>0.92307692307693112</c:v>
                </c:pt>
                <c:pt idx="288">
                  <c:v>0.90109890109889945</c:v>
                </c:pt>
                <c:pt idx="289">
                  <c:v>0.67032967032966972</c:v>
                </c:pt>
                <c:pt idx="290">
                  <c:v>0.58241758241759145</c:v>
                </c:pt>
                <c:pt idx="291">
                  <c:v>0.58241758241759145</c:v>
                </c:pt>
                <c:pt idx="292">
                  <c:v>0.9120879120879215</c:v>
                </c:pt>
                <c:pt idx="293">
                  <c:v>1.0659340659340706</c:v>
                </c:pt>
                <c:pt idx="294">
                  <c:v>1.1098901098901097</c:v>
                </c:pt>
                <c:pt idx="295">
                  <c:v>0.65934065934065988</c:v>
                </c:pt>
                <c:pt idx="296">
                  <c:v>0.73626373626374053</c:v>
                </c:pt>
                <c:pt idx="297">
                  <c:v>0.21978021978021994</c:v>
                </c:pt>
                <c:pt idx="298">
                  <c:v>0.16483516483517108</c:v>
                </c:pt>
                <c:pt idx="299">
                  <c:v>0.17582417582418086</c:v>
                </c:pt>
                <c:pt idx="300">
                  <c:v>-0.1978021978022004</c:v>
                </c:pt>
                <c:pt idx="301">
                  <c:v>-1.0989010989009779E-2</c:v>
                </c:pt>
                <c:pt idx="302">
                  <c:v>-1.0989010989009779E-2</c:v>
                </c:pt>
                <c:pt idx="303">
                  <c:v>3.2967032967041537E-2</c:v>
                </c:pt>
                <c:pt idx="304">
                  <c:v>0.76923076923076983</c:v>
                </c:pt>
                <c:pt idx="305">
                  <c:v>1.4835164835164909</c:v>
                </c:pt>
                <c:pt idx="306">
                  <c:v>1.6263736263736301</c:v>
                </c:pt>
                <c:pt idx="307">
                  <c:v>2.0769230769230802</c:v>
                </c:pt>
                <c:pt idx="308">
                  <c:v>1.6703296703296695</c:v>
                </c:pt>
                <c:pt idx="309">
                  <c:v>1.3296703296703296</c:v>
                </c:pt>
                <c:pt idx="310">
                  <c:v>0.90109890109889945</c:v>
                </c:pt>
                <c:pt idx="311">
                  <c:v>0.80219780219781145</c:v>
                </c:pt>
                <c:pt idx="312">
                  <c:v>1.0219780219780312</c:v>
                </c:pt>
                <c:pt idx="313">
                  <c:v>1.6043956043956107</c:v>
                </c:pt>
                <c:pt idx="314">
                  <c:v>1.5164835164835202</c:v>
                </c:pt>
                <c:pt idx="315">
                  <c:v>1.6043956043956107</c:v>
                </c:pt>
                <c:pt idx="316">
                  <c:v>1.7252747252747305</c:v>
                </c:pt>
                <c:pt idx="317">
                  <c:v>2.4835164835164907</c:v>
                </c:pt>
                <c:pt idx="318">
                  <c:v>2.5054945054945099</c:v>
                </c:pt>
                <c:pt idx="319">
                  <c:v>2.9999999999999987</c:v>
                </c:pt>
                <c:pt idx="320">
                  <c:v>2.9230769230769305</c:v>
                </c:pt>
                <c:pt idx="321">
                  <c:v>2.9230769230769305</c:v>
                </c:pt>
                <c:pt idx="322">
                  <c:v>2.9120879120879208</c:v>
                </c:pt>
                <c:pt idx="323">
                  <c:v>2.4835164835164907</c:v>
                </c:pt>
                <c:pt idx="324">
                  <c:v>2.5604395604395593</c:v>
                </c:pt>
                <c:pt idx="325">
                  <c:v>2.1868131868131897</c:v>
                </c:pt>
                <c:pt idx="326">
                  <c:v>1.6703296703296695</c:v>
                </c:pt>
                <c:pt idx="327">
                  <c:v>1.4505494505494494</c:v>
                </c:pt>
                <c:pt idx="328">
                  <c:v>1.5164835164835202</c:v>
                </c:pt>
                <c:pt idx="329">
                  <c:v>1.8681318681318699</c:v>
                </c:pt>
                <c:pt idx="330">
                  <c:v>1.5494505494505495</c:v>
                </c:pt>
                <c:pt idx="331">
                  <c:v>1.461538461538459</c:v>
                </c:pt>
                <c:pt idx="332">
                  <c:v>2.2417582417582507</c:v>
                </c:pt>
                <c:pt idx="333">
                  <c:v>2.1758241758241801</c:v>
                </c:pt>
                <c:pt idx="334">
                  <c:v>2.2747252747252804</c:v>
                </c:pt>
                <c:pt idx="335">
                  <c:v>2.0109890109890092</c:v>
                </c:pt>
                <c:pt idx="336">
                  <c:v>2.1978021978021998</c:v>
                </c:pt>
                <c:pt idx="337">
                  <c:v>2.1868131868131897</c:v>
                </c:pt>
                <c:pt idx="338">
                  <c:v>2.3626373626373711</c:v>
                </c:pt>
                <c:pt idx="339">
                  <c:v>2.2637362637362703</c:v>
                </c:pt>
                <c:pt idx="340">
                  <c:v>1.5494505494505495</c:v>
                </c:pt>
                <c:pt idx="341">
                  <c:v>1.6703296703296695</c:v>
                </c:pt>
                <c:pt idx="342">
                  <c:v>1.5714285714285692</c:v>
                </c:pt>
                <c:pt idx="343">
                  <c:v>1.5274725274725298</c:v>
                </c:pt>
                <c:pt idx="344">
                  <c:v>2.1208791208791191</c:v>
                </c:pt>
                <c:pt idx="345">
                  <c:v>2.1538461538461608</c:v>
                </c:pt>
                <c:pt idx="346">
                  <c:v>2.3516483516483611</c:v>
                </c:pt>
                <c:pt idx="347">
                  <c:v>2.0549450549450605</c:v>
                </c:pt>
                <c:pt idx="348">
                  <c:v>1.9670329670329698</c:v>
                </c:pt>
                <c:pt idx="349">
                  <c:v>2.0769230769230802</c:v>
                </c:pt>
                <c:pt idx="350">
                  <c:v>2.1208791208791191</c:v>
                </c:pt>
                <c:pt idx="351">
                  <c:v>2.0439560439560505</c:v>
                </c:pt>
                <c:pt idx="352">
                  <c:v>1.8241758241758306</c:v>
                </c:pt>
                <c:pt idx="353">
                  <c:v>1.9340659340659407</c:v>
                </c:pt>
                <c:pt idx="354">
                  <c:v>1.5384615384615397</c:v>
                </c:pt>
                <c:pt idx="355">
                  <c:v>1.6043956043956107</c:v>
                </c:pt>
                <c:pt idx="356">
                  <c:v>1.3956043956044004</c:v>
                </c:pt>
                <c:pt idx="357">
                  <c:v>0.7252747252747308</c:v>
                </c:pt>
                <c:pt idx="358">
                  <c:v>0.37362637362638124</c:v>
                </c:pt>
                <c:pt idx="359">
                  <c:v>0.47252747252748151</c:v>
                </c:pt>
                <c:pt idx="360">
                  <c:v>5.4945054945061092E-2</c:v>
                </c:pt>
                <c:pt idx="361">
                  <c:v>0.10989010989010997</c:v>
                </c:pt>
                <c:pt idx="362">
                  <c:v>1.0989010989009779E-2</c:v>
                </c:pt>
                <c:pt idx="363">
                  <c:v>-0.18681318681317843</c:v>
                </c:pt>
                <c:pt idx="364">
                  <c:v>-0.39560439560438865</c:v>
                </c:pt>
                <c:pt idx="365">
                  <c:v>-1.0549450549450485</c:v>
                </c:pt>
                <c:pt idx="366">
                  <c:v>-1.0219780219780192</c:v>
                </c:pt>
                <c:pt idx="367">
                  <c:v>-0.90109890109889945</c:v>
                </c:pt>
                <c:pt idx="368">
                  <c:v>-0.72527472527471859</c:v>
                </c:pt>
                <c:pt idx="369">
                  <c:v>-0.89010989010988961</c:v>
                </c:pt>
                <c:pt idx="370">
                  <c:v>-0.45054945054944973</c:v>
                </c:pt>
                <c:pt idx="371">
                  <c:v>-0.21978021978021994</c:v>
                </c:pt>
                <c:pt idx="372">
                  <c:v>0.60439560439561102</c:v>
                </c:pt>
                <c:pt idx="373">
                  <c:v>0.98901098901098983</c:v>
                </c:pt>
                <c:pt idx="374">
                  <c:v>1.1098901098901097</c:v>
                </c:pt>
                <c:pt idx="375">
                  <c:v>1.1318681318681292</c:v>
                </c:pt>
                <c:pt idx="376">
                  <c:v>0.49450549450550096</c:v>
                </c:pt>
                <c:pt idx="377">
                  <c:v>0.30769230769231037</c:v>
                </c:pt>
                <c:pt idx="378">
                  <c:v>-0.46153846153845951</c:v>
                </c:pt>
                <c:pt idx="379">
                  <c:v>-0.90109890109889945</c:v>
                </c:pt>
                <c:pt idx="380">
                  <c:v>-1.1758241758241683</c:v>
                </c:pt>
                <c:pt idx="381">
                  <c:v>-2.2307692307692291</c:v>
                </c:pt>
                <c:pt idx="382">
                  <c:v>-2.4175824175824197</c:v>
                </c:pt>
                <c:pt idx="383">
                  <c:v>-2.7362637362637274</c:v>
                </c:pt>
                <c:pt idx="384">
                  <c:v>-3.2967032967032872</c:v>
                </c:pt>
                <c:pt idx="385">
                  <c:v>-3.791208791208788</c:v>
                </c:pt>
                <c:pt idx="386">
                  <c:v>-3.6153846153846079</c:v>
                </c:pt>
                <c:pt idx="387">
                  <c:v>-3.4395604395604384</c:v>
                </c:pt>
                <c:pt idx="388">
                  <c:v>-4.0879120879120894</c:v>
                </c:pt>
                <c:pt idx="389">
                  <c:v>-4.1098901098901086</c:v>
                </c:pt>
                <c:pt idx="390">
                  <c:v>-3.736263736263727</c:v>
                </c:pt>
                <c:pt idx="391">
                  <c:v>-3.8131868131868076</c:v>
                </c:pt>
                <c:pt idx="392">
                  <c:v>-3.4065934065933972</c:v>
                </c:pt>
                <c:pt idx="393">
                  <c:v>-3.6813186813186785</c:v>
                </c:pt>
                <c:pt idx="394">
                  <c:v>-3.4175824175824197</c:v>
                </c:pt>
                <c:pt idx="395">
                  <c:v>-2.9450549450549377</c:v>
                </c:pt>
                <c:pt idx="396">
                  <c:v>-2.0879120879120898</c:v>
                </c:pt>
                <c:pt idx="397">
                  <c:v>-2.5824175824175786</c:v>
                </c:pt>
                <c:pt idx="398">
                  <c:v>-2.2967032967032877</c:v>
                </c:pt>
                <c:pt idx="399">
                  <c:v>-3.5934065934065882</c:v>
                </c:pt>
                <c:pt idx="400">
                  <c:v>-4.2637362637362575</c:v>
                </c:pt>
                <c:pt idx="401">
                  <c:v>-3.2857142857142771</c:v>
                </c:pt>
                <c:pt idx="402">
                  <c:v>-3.4285714285714288</c:v>
                </c:pt>
                <c:pt idx="403">
                  <c:v>-3.1318681318681283</c:v>
                </c:pt>
                <c:pt idx="404">
                  <c:v>-5.5054945054944966</c:v>
                </c:pt>
                <c:pt idx="405">
                  <c:v>-5.1538461538461471</c:v>
                </c:pt>
                <c:pt idx="406">
                  <c:v>-5.2197802197802181</c:v>
                </c:pt>
                <c:pt idx="407">
                  <c:v>-5.681318681318678</c:v>
                </c:pt>
                <c:pt idx="408">
                  <c:v>-5.4065934065934087</c:v>
                </c:pt>
                <c:pt idx="409">
                  <c:v>-5.2527472527472474</c:v>
                </c:pt>
                <c:pt idx="410">
                  <c:v>-5.1868131868131888</c:v>
                </c:pt>
                <c:pt idx="411">
                  <c:v>-5.142857142857137</c:v>
                </c:pt>
                <c:pt idx="412">
                  <c:v>-5.0989010989010985</c:v>
                </c:pt>
                <c:pt idx="413">
                  <c:v>-5.8241758241758168</c:v>
                </c:pt>
                <c:pt idx="414">
                  <c:v>-4.9340659340659272</c:v>
                </c:pt>
                <c:pt idx="415">
                  <c:v>-4.3406593406593386</c:v>
                </c:pt>
                <c:pt idx="416">
                  <c:v>-4.9890109890109882</c:v>
                </c:pt>
                <c:pt idx="417">
                  <c:v>-5.384615384615377</c:v>
                </c:pt>
                <c:pt idx="418">
                  <c:v>-4.9560439560439473</c:v>
                </c:pt>
                <c:pt idx="419">
                  <c:v>-3.6923076923076876</c:v>
                </c:pt>
                <c:pt idx="420">
                  <c:v>-4.1648351648351571</c:v>
                </c:pt>
                <c:pt idx="421">
                  <c:v>-3.9560439560439473</c:v>
                </c:pt>
                <c:pt idx="422">
                  <c:v>-4.0439560439560376</c:v>
                </c:pt>
                <c:pt idx="423">
                  <c:v>-4.0659340659340568</c:v>
                </c:pt>
                <c:pt idx="424">
                  <c:v>-3.2087912087912089</c:v>
                </c:pt>
                <c:pt idx="425">
                  <c:v>-3.3076923076923093</c:v>
                </c:pt>
                <c:pt idx="426">
                  <c:v>-3.626373626373617</c:v>
                </c:pt>
                <c:pt idx="427">
                  <c:v>-2.7142857142857082</c:v>
                </c:pt>
                <c:pt idx="428">
                  <c:v>-2.8681318681318695</c:v>
                </c:pt>
                <c:pt idx="429">
                  <c:v>-3.3516483516483482</c:v>
                </c:pt>
                <c:pt idx="430">
                  <c:v>-2.9450549450549377</c:v>
                </c:pt>
                <c:pt idx="431">
                  <c:v>-2.4505494505494489</c:v>
                </c:pt>
                <c:pt idx="432">
                  <c:v>-2.1538461538461484</c:v>
                </c:pt>
                <c:pt idx="433">
                  <c:v>-2.340659340659339</c:v>
                </c:pt>
                <c:pt idx="434">
                  <c:v>-2.8241758241758181</c:v>
                </c:pt>
                <c:pt idx="435">
                  <c:v>-2.8681318681318695</c:v>
                </c:pt>
                <c:pt idx="436">
                  <c:v>-2.7692307692307692</c:v>
                </c:pt>
                <c:pt idx="437">
                  <c:v>-1.9340659340659285</c:v>
                </c:pt>
                <c:pt idx="438">
                  <c:v>-2.1978021978021998</c:v>
                </c:pt>
                <c:pt idx="439">
                  <c:v>-1.8681318681318699</c:v>
                </c:pt>
                <c:pt idx="440">
                  <c:v>-1.901098901098899</c:v>
                </c:pt>
                <c:pt idx="441">
                  <c:v>-2.3626373626373582</c:v>
                </c:pt>
                <c:pt idx="442">
                  <c:v>-2.7912087912087888</c:v>
                </c:pt>
                <c:pt idx="443">
                  <c:v>-2.7362637362637274</c:v>
                </c:pt>
                <c:pt idx="444">
                  <c:v>-3.1098901098901091</c:v>
                </c:pt>
                <c:pt idx="445">
                  <c:v>-3.340659340659339</c:v>
                </c:pt>
                <c:pt idx="446">
                  <c:v>-3.7032967032966977</c:v>
                </c:pt>
                <c:pt idx="447">
                  <c:v>-4.0109890109890083</c:v>
                </c:pt>
                <c:pt idx="448">
                  <c:v>-3.8351648351648273</c:v>
                </c:pt>
                <c:pt idx="449">
                  <c:v>-3.1428571428571384</c:v>
                </c:pt>
                <c:pt idx="450">
                  <c:v>-3.5274725274725292</c:v>
                </c:pt>
                <c:pt idx="451">
                  <c:v>-3.5824175824175781</c:v>
                </c:pt>
                <c:pt idx="452">
                  <c:v>-4.2197802197802181</c:v>
                </c:pt>
                <c:pt idx="453">
                  <c:v>-4.2197802197802181</c:v>
                </c:pt>
                <c:pt idx="454">
                  <c:v>-3.9999999999999987</c:v>
                </c:pt>
                <c:pt idx="455">
                  <c:v>-3.9890109890109891</c:v>
                </c:pt>
                <c:pt idx="456">
                  <c:v>-3.626373626373617</c:v>
                </c:pt>
                <c:pt idx="457">
                  <c:v>-3.6043956043955978</c:v>
                </c:pt>
                <c:pt idx="458">
                  <c:v>-4.0329670329670284</c:v>
                </c:pt>
                <c:pt idx="459">
                  <c:v>-4.5934065934065877</c:v>
                </c:pt>
                <c:pt idx="460">
                  <c:v>-4.0439560439560376</c:v>
                </c:pt>
                <c:pt idx="461">
                  <c:v>-3.8901098901098887</c:v>
                </c:pt>
                <c:pt idx="462">
                  <c:v>-3.9340659340659281</c:v>
                </c:pt>
                <c:pt idx="463">
                  <c:v>-4.2967032967032992</c:v>
                </c:pt>
                <c:pt idx="464">
                  <c:v>-3.8681318681318686</c:v>
                </c:pt>
                <c:pt idx="465">
                  <c:v>-2.9890109890109891</c:v>
                </c:pt>
                <c:pt idx="466">
                  <c:v>-3.098901098901099</c:v>
                </c:pt>
                <c:pt idx="467">
                  <c:v>-3.4505494505494485</c:v>
                </c:pt>
                <c:pt idx="468">
                  <c:v>-3.3736263736263679</c:v>
                </c:pt>
                <c:pt idx="469">
                  <c:v>-2.5494505494505493</c:v>
                </c:pt>
                <c:pt idx="470">
                  <c:v>-2.2637362637362584</c:v>
                </c:pt>
                <c:pt idx="471">
                  <c:v>-2.4395604395604389</c:v>
                </c:pt>
                <c:pt idx="472">
                  <c:v>-1.6703296703296695</c:v>
                </c:pt>
                <c:pt idx="473">
                  <c:v>-1.6483516483516498</c:v>
                </c:pt>
                <c:pt idx="474">
                  <c:v>-1.9340659340659285</c:v>
                </c:pt>
                <c:pt idx="475">
                  <c:v>-1.7142857142857084</c:v>
                </c:pt>
                <c:pt idx="476">
                  <c:v>-1.1538461538461486</c:v>
                </c:pt>
                <c:pt idx="477">
                  <c:v>-1.4395604395604396</c:v>
                </c:pt>
                <c:pt idx="478">
                  <c:v>-2.2087912087912094</c:v>
                </c:pt>
                <c:pt idx="479">
                  <c:v>-2.6593406593406592</c:v>
                </c:pt>
                <c:pt idx="480">
                  <c:v>-2.7362637362637274</c:v>
                </c:pt>
                <c:pt idx="481">
                  <c:v>-3.0769230769230673</c:v>
                </c:pt>
                <c:pt idx="482">
                  <c:v>-3.0879120879120894</c:v>
                </c:pt>
                <c:pt idx="483">
                  <c:v>-3.2087912087912089</c:v>
                </c:pt>
                <c:pt idx="484">
                  <c:v>-3.1978021978021993</c:v>
                </c:pt>
                <c:pt idx="485">
                  <c:v>-3.6703296703296688</c:v>
                </c:pt>
                <c:pt idx="486">
                  <c:v>-3.6703296703296688</c:v>
                </c:pt>
                <c:pt idx="487">
                  <c:v>-3.5824175824175781</c:v>
                </c:pt>
                <c:pt idx="488">
                  <c:v>-3.6483516483516492</c:v>
                </c:pt>
                <c:pt idx="489">
                  <c:v>-3.4505494505494485</c:v>
                </c:pt>
                <c:pt idx="490">
                  <c:v>-3.5054945054944975</c:v>
                </c:pt>
                <c:pt idx="491">
                  <c:v>-3.1428571428571384</c:v>
                </c:pt>
                <c:pt idx="492">
                  <c:v>-2.6263736263736179</c:v>
                </c:pt>
                <c:pt idx="493">
                  <c:v>-2.6043956043955983</c:v>
                </c:pt>
                <c:pt idx="494">
                  <c:v>-2.2637362637362584</c:v>
                </c:pt>
                <c:pt idx="495">
                  <c:v>-2.7692307692307692</c:v>
                </c:pt>
                <c:pt idx="496">
                  <c:v>-1.3626373626373589</c:v>
                </c:pt>
                <c:pt idx="497">
                  <c:v>-0.3626373626373593</c:v>
                </c:pt>
                <c:pt idx="498">
                  <c:v>-1.0329670329670291</c:v>
                </c:pt>
                <c:pt idx="499">
                  <c:v>-1.0439560439560387</c:v>
                </c:pt>
                <c:pt idx="500">
                  <c:v>-0.81318681318680897</c:v>
                </c:pt>
                <c:pt idx="501">
                  <c:v>-0.78021978021977967</c:v>
                </c:pt>
                <c:pt idx="502">
                  <c:v>-0.76923076923076983</c:v>
                </c:pt>
                <c:pt idx="503">
                  <c:v>-0.65934065934065988</c:v>
                </c:pt>
                <c:pt idx="504">
                  <c:v>-0.15384615384614911</c:v>
                </c:pt>
                <c:pt idx="505">
                  <c:v>0</c:v>
                </c:pt>
                <c:pt idx="506">
                  <c:v>-0.50549450549449859</c:v>
                </c:pt>
                <c:pt idx="507">
                  <c:v>-0.85714285714284821</c:v>
                </c:pt>
                <c:pt idx="508">
                  <c:v>-1.1208791208791193</c:v>
                </c:pt>
                <c:pt idx="509">
                  <c:v>-1.1208791208791193</c:v>
                </c:pt>
                <c:pt idx="510">
                  <c:v>-0.64835164835165016</c:v>
                </c:pt>
                <c:pt idx="511">
                  <c:v>-0.14285714285713932</c:v>
                </c:pt>
                <c:pt idx="512">
                  <c:v>0.79120879120878951</c:v>
                </c:pt>
                <c:pt idx="513">
                  <c:v>1.3406593406593394</c:v>
                </c:pt>
                <c:pt idx="514">
                  <c:v>1.2307692307692293</c:v>
                </c:pt>
                <c:pt idx="515">
                  <c:v>1.8021978021978111</c:v>
                </c:pt>
                <c:pt idx="516">
                  <c:v>2.1758241758241801</c:v>
                </c:pt>
                <c:pt idx="517">
                  <c:v>1.813186813186821</c:v>
                </c:pt>
                <c:pt idx="518">
                  <c:v>1.692307692307701</c:v>
                </c:pt>
                <c:pt idx="519">
                  <c:v>2.0439560439560505</c:v>
                </c:pt>
                <c:pt idx="520">
                  <c:v>1.692307692307701</c:v>
                </c:pt>
                <c:pt idx="521">
                  <c:v>1.6593406593406597</c:v>
                </c:pt>
                <c:pt idx="522">
                  <c:v>1.6593406593406597</c:v>
                </c:pt>
                <c:pt idx="523" formatCode="0.00">
                  <c:v>2.2087912087912094</c:v>
                </c:pt>
                <c:pt idx="524">
                  <c:v>2.1978021978021998</c:v>
                </c:pt>
                <c:pt idx="525">
                  <c:v>2.1978021978021998</c:v>
                </c:pt>
                <c:pt idx="526">
                  <c:v>2.1978021978021998</c:v>
                </c:pt>
                <c:pt idx="527">
                  <c:v>2.1978021978021998</c:v>
                </c:pt>
                <c:pt idx="528">
                  <c:v>2.1978021978021998</c:v>
                </c:pt>
                <c:pt idx="529">
                  <c:v>2.1978021978021998</c:v>
                </c:pt>
                <c:pt idx="530">
                  <c:v>2.1978021978021998</c:v>
                </c:pt>
                <c:pt idx="531">
                  <c:v>2.1978021978021998</c:v>
                </c:pt>
                <c:pt idx="532">
                  <c:v>2.1978021978021998</c:v>
                </c:pt>
                <c:pt idx="533">
                  <c:v>2.1978021978021998</c:v>
                </c:pt>
                <c:pt idx="534">
                  <c:v>1.0989010989010999</c:v>
                </c:pt>
                <c:pt idx="535">
                  <c:v>2.1978021978021998</c:v>
                </c:pt>
                <c:pt idx="536">
                  <c:v>1.0989010989010999</c:v>
                </c:pt>
                <c:pt idx="537">
                  <c:v>1.0989010989010999</c:v>
                </c:pt>
                <c:pt idx="538">
                  <c:v>1.0989010989010999</c:v>
                </c:pt>
                <c:pt idx="539">
                  <c:v>1.0989010989010999</c:v>
                </c:pt>
                <c:pt idx="540">
                  <c:v>2.1978021978021998</c:v>
                </c:pt>
                <c:pt idx="541">
                  <c:v>2.1978021978021998</c:v>
                </c:pt>
                <c:pt idx="542">
                  <c:v>3.2967032967032996</c:v>
                </c:pt>
                <c:pt idx="543">
                  <c:v>3.2967032967032996</c:v>
                </c:pt>
                <c:pt idx="544">
                  <c:v>4.3956043956043995</c:v>
                </c:pt>
                <c:pt idx="545" formatCode="0.00">
                  <c:v>3.2967032967032996</c:v>
                </c:pt>
              </c:numCache>
            </c:numRef>
          </c:val>
          <c:smooth val="0"/>
        </c:ser>
        <c:ser>
          <c:idx val="4"/>
          <c:order val="4"/>
          <c:tx>
            <c:strRef>
              <c:f>'Currency '!$O$1</c:f>
              <c:strCache>
                <c:ptCount val="1"/>
                <c:pt idx="0">
                  <c:v>Real</c:v>
                </c:pt>
              </c:strCache>
            </c:strRef>
          </c:tx>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'!$O$2:$O$547</c:f>
              <c:numCache>
                <c:formatCode>General</c:formatCode>
                <c:ptCount val="546"/>
                <c:pt idx="0">
                  <c:v>0</c:v>
                </c:pt>
                <c:pt idx="1">
                  <c:v>0</c:v>
                </c:pt>
                <c:pt idx="2">
                  <c:v>1.5723270440251655</c:v>
                </c:pt>
                <c:pt idx="3">
                  <c:v>1.8867924528301903</c:v>
                </c:pt>
                <c:pt idx="4">
                  <c:v>1.5723270440251655</c:v>
                </c:pt>
                <c:pt idx="5">
                  <c:v>0.62893081761006342</c:v>
                </c:pt>
                <c:pt idx="6">
                  <c:v>1.8867924528301903</c:v>
                </c:pt>
                <c:pt idx="7">
                  <c:v>2.5157232704402537</c:v>
                </c:pt>
                <c:pt idx="8">
                  <c:v>2.8301886792452926</c:v>
                </c:pt>
                <c:pt idx="9">
                  <c:v>1.5723270440251655</c:v>
                </c:pt>
                <c:pt idx="10">
                  <c:v>2.201257861635229</c:v>
                </c:pt>
                <c:pt idx="11">
                  <c:v>2.5157232704402537</c:v>
                </c:pt>
                <c:pt idx="12">
                  <c:v>2.201257861635229</c:v>
                </c:pt>
                <c:pt idx="13">
                  <c:v>2.8301886792452926</c:v>
                </c:pt>
                <c:pt idx="14">
                  <c:v>4.088050314465419</c:v>
                </c:pt>
                <c:pt idx="15">
                  <c:v>3.1446540880503173</c:v>
                </c:pt>
                <c:pt idx="16">
                  <c:v>3.1446540880503173</c:v>
                </c:pt>
                <c:pt idx="17">
                  <c:v>2.5157232704402537</c:v>
                </c:pt>
                <c:pt idx="18">
                  <c:v>2.8301886792452926</c:v>
                </c:pt>
                <c:pt idx="19">
                  <c:v>1.8867924528301903</c:v>
                </c:pt>
                <c:pt idx="20">
                  <c:v>1.8867924528301903</c:v>
                </c:pt>
                <c:pt idx="21">
                  <c:v>1.5723270440251655</c:v>
                </c:pt>
                <c:pt idx="22">
                  <c:v>2.201257861635229</c:v>
                </c:pt>
                <c:pt idx="23">
                  <c:v>1.5723270440251655</c:v>
                </c:pt>
                <c:pt idx="24">
                  <c:v>2.5157232704402537</c:v>
                </c:pt>
                <c:pt idx="25">
                  <c:v>1.5723270440251655</c:v>
                </c:pt>
                <c:pt idx="26">
                  <c:v>1.2578616352201268</c:v>
                </c:pt>
                <c:pt idx="27">
                  <c:v>-0.31446540880502472</c:v>
                </c:pt>
                <c:pt idx="28">
                  <c:v>-1.5723270440251518</c:v>
                </c:pt>
                <c:pt idx="29">
                  <c:v>-0.94339622641508825</c:v>
                </c:pt>
                <c:pt idx="30">
                  <c:v>-0.31446540880502472</c:v>
                </c:pt>
                <c:pt idx="31">
                  <c:v>1.2578616352201268</c:v>
                </c:pt>
                <c:pt idx="32">
                  <c:v>1.8867924528301903</c:v>
                </c:pt>
                <c:pt idx="33">
                  <c:v>1.2578616352201268</c:v>
                </c:pt>
                <c:pt idx="34">
                  <c:v>1.5723270440251655</c:v>
                </c:pt>
                <c:pt idx="35">
                  <c:v>-0.31446540880502472</c:v>
                </c:pt>
                <c:pt idx="36">
                  <c:v>-1.2578616352201268</c:v>
                </c:pt>
                <c:pt idx="37">
                  <c:v>0.3144654088050387</c:v>
                </c:pt>
                <c:pt idx="38">
                  <c:v>-1.5723270440251518</c:v>
                </c:pt>
                <c:pt idx="39">
                  <c:v>-3.4591194968553416</c:v>
                </c:pt>
                <c:pt idx="40">
                  <c:v>-5.031446540880494</c:v>
                </c:pt>
                <c:pt idx="41">
                  <c:v>-5.6603773584905568</c:v>
                </c:pt>
                <c:pt idx="42">
                  <c:v>-7.2327044025157221</c:v>
                </c:pt>
                <c:pt idx="43">
                  <c:v>-5.031446540880494</c:v>
                </c:pt>
                <c:pt idx="44">
                  <c:v>-5.9748427672955957</c:v>
                </c:pt>
                <c:pt idx="45">
                  <c:v>-7.5471698113207477</c:v>
                </c:pt>
                <c:pt idx="46">
                  <c:v>-8.4905660377358494</c:v>
                </c:pt>
                <c:pt idx="47">
                  <c:v>-9.4339622641509369</c:v>
                </c:pt>
                <c:pt idx="48">
                  <c:v>-9.7484276729559749</c:v>
                </c:pt>
                <c:pt idx="49">
                  <c:v>-11.006289308176088</c:v>
                </c:pt>
                <c:pt idx="50">
                  <c:v>-10.377358490566026</c:v>
                </c:pt>
                <c:pt idx="51">
                  <c:v>-8.805031446540875</c:v>
                </c:pt>
                <c:pt idx="52">
                  <c:v>-10.062893081761001</c:v>
                </c:pt>
                <c:pt idx="53">
                  <c:v>-9.4339622641509369</c:v>
                </c:pt>
                <c:pt idx="54">
                  <c:v>-10.377358490566026</c:v>
                </c:pt>
                <c:pt idx="55">
                  <c:v>-9.119496855345913</c:v>
                </c:pt>
                <c:pt idx="56">
                  <c:v>-9.4339622641509369</c:v>
                </c:pt>
                <c:pt idx="57">
                  <c:v>-8.805031446540875</c:v>
                </c:pt>
                <c:pt idx="58">
                  <c:v>-10.062893081761001</c:v>
                </c:pt>
                <c:pt idx="59">
                  <c:v>-8.805031446540875</c:v>
                </c:pt>
                <c:pt idx="60">
                  <c:v>-10.062893081761001</c:v>
                </c:pt>
                <c:pt idx="61">
                  <c:v>-11.320754716981128</c:v>
                </c:pt>
                <c:pt idx="62">
                  <c:v>-12.264150943396215</c:v>
                </c:pt>
                <c:pt idx="63">
                  <c:v>-14.465408805031444</c:v>
                </c:pt>
                <c:pt idx="64">
                  <c:v>-11.635220125786153</c:v>
                </c:pt>
                <c:pt idx="65">
                  <c:v>-12.578616352201255</c:v>
                </c:pt>
                <c:pt idx="66">
                  <c:v>-14.150943396226406</c:v>
                </c:pt>
                <c:pt idx="67">
                  <c:v>-16.311320754716981</c:v>
                </c:pt>
                <c:pt idx="68">
                  <c:v>-18.273584905660368</c:v>
                </c:pt>
                <c:pt idx="69">
                  <c:v>-17.619496855345904</c:v>
                </c:pt>
                <c:pt idx="70">
                  <c:v>-20.861635220125777</c:v>
                </c:pt>
                <c:pt idx="71">
                  <c:v>-20.861635220125777</c:v>
                </c:pt>
                <c:pt idx="72">
                  <c:v>-20.150943396226413</c:v>
                </c:pt>
                <c:pt idx="73">
                  <c:v>-18.871069182389931</c:v>
                </c:pt>
                <c:pt idx="74">
                  <c:v>-21.056603773584904</c:v>
                </c:pt>
                <c:pt idx="75">
                  <c:v>-21.723270440251564</c:v>
                </c:pt>
                <c:pt idx="76">
                  <c:v>-19.981132075471688</c:v>
                </c:pt>
                <c:pt idx="77">
                  <c:v>-21.452830188679243</c:v>
                </c:pt>
                <c:pt idx="78">
                  <c:v>-20.433962264150939</c:v>
                </c:pt>
                <c:pt idx="79">
                  <c:v>-22.569182389937097</c:v>
                </c:pt>
                <c:pt idx="80">
                  <c:v>-24.069182389937108</c:v>
                </c:pt>
                <c:pt idx="81">
                  <c:v>-25.317610062893074</c:v>
                </c:pt>
                <c:pt idx="82">
                  <c:v>-27.367924528301877</c:v>
                </c:pt>
                <c:pt idx="83">
                  <c:v>-31.393081761006286</c:v>
                </c:pt>
                <c:pt idx="84">
                  <c:v>-24.235849056603765</c:v>
                </c:pt>
                <c:pt idx="85">
                  <c:v>-25.015723270440255</c:v>
                </c:pt>
                <c:pt idx="86">
                  <c:v>-29.232704402515729</c:v>
                </c:pt>
                <c:pt idx="87">
                  <c:v>-27.735849056603779</c:v>
                </c:pt>
                <c:pt idx="88">
                  <c:v>-24.135220125786148</c:v>
                </c:pt>
                <c:pt idx="89">
                  <c:v>-26.084905660377355</c:v>
                </c:pt>
                <c:pt idx="90">
                  <c:v>-23.679245283018858</c:v>
                </c:pt>
                <c:pt idx="91">
                  <c:v>-22.999999999999993</c:v>
                </c:pt>
                <c:pt idx="92">
                  <c:v>-21.150943396226403</c:v>
                </c:pt>
                <c:pt idx="93">
                  <c:v>-22.207547169811317</c:v>
                </c:pt>
                <c:pt idx="94">
                  <c:v>-19.034591194968545</c:v>
                </c:pt>
                <c:pt idx="95">
                  <c:v>-18.342767295597483</c:v>
                </c:pt>
                <c:pt idx="96">
                  <c:v>-18.342767295597483</c:v>
                </c:pt>
                <c:pt idx="97">
                  <c:v>-22.433962264150932</c:v>
                </c:pt>
                <c:pt idx="98">
                  <c:v>-19.893081761006275</c:v>
                </c:pt>
                <c:pt idx="99">
                  <c:v>-19.477987421383638</c:v>
                </c:pt>
                <c:pt idx="100">
                  <c:v>-23.383647798742132</c:v>
                </c:pt>
                <c:pt idx="101">
                  <c:v>-22.21069182389936</c:v>
                </c:pt>
                <c:pt idx="102">
                  <c:v>-22.808176100628923</c:v>
                </c:pt>
                <c:pt idx="103">
                  <c:v>-23.91194968553458</c:v>
                </c:pt>
                <c:pt idx="104">
                  <c:v>-22.842767295597479</c:v>
                </c:pt>
                <c:pt idx="105">
                  <c:v>-21.896226415094336</c:v>
                </c:pt>
                <c:pt idx="106">
                  <c:v>-22.867924528301881</c:v>
                </c:pt>
                <c:pt idx="107">
                  <c:v>-22.283018867924518</c:v>
                </c:pt>
                <c:pt idx="108">
                  <c:v>-22.833333333333325</c:v>
                </c:pt>
                <c:pt idx="109">
                  <c:v>-21.028301886792448</c:v>
                </c:pt>
                <c:pt idx="110">
                  <c:v>-21.251572327044016</c:v>
                </c:pt>
                <c:pt idx="111">
                  <c:v>-21.251572327044016</c:v>
                </c:pt>
                <c:pt idx="112">
                  <c:v>-18.525157232704391</c:v>
                </c:pt>
                <c:pt idx="113">
                  <c:v>-19.490566037735839</c:v>
                </c:pt>
                <c:pt idx="114">
                  <c:v>-18.867924528301888</c:v>
                </c:pt>
                <c:pt idx="115">
                  <c:v>-18.515723270440251</c:v>
                </c:pt>
                <c:pt idx="116">
                  <c:v>-19.474842767295595</c:v>
                </c:pt>
                <c:pt idx="117">
                  <c:v>-17.855345911949673</c:v>
                </c:pt>
                <c:pt idx="118">
                  <c:v>-18.270440251572325</c:v>
                </c:pt>
                <c:pt idx="119">
                  <c:v>-18.588050314465406</c:v>
                </c:pt>
                <c:pt idx="120">
                  <c:v>-21.050314465408803</c:v>
                </c:pt>
                <c:pt idx="121">
                  <c:v>-20.119496855345901</c:v>
                </c:pt>
                <c:pt idx="122">
                  <c:v>-19.933962264150932</c:v>
                </c:pt>
                <c:pt idx="123">
                  <c:v>-18.389937106918239</c:v>
                </c:pt>
                <c:pt idx="124">
                  <c:v>-16.915094339622641</c:v>
                </c:pt>
                <c:pt idx="125">
                  <c:v>-16.534591194968549</c:v>
                </c:pt>
                <c:pt idx="126">
                  <c:v>-17.367924528301877</c:v>
                </c:pt>
                <c:pt idx="127">
                  <c:v>-16.327044025157235</c:v>
                </c:pt>
                <c:pt idx="128">
                  <c:v>-17.786163522012576</c:v>
                </c:pt>
                <c:pt idx="129">
                  <c:v>-17.720125786163518</c:v>
                </c:pt>
                <c:pt idx="130">
                  <c:v>-20.96226415094339</c:v>
                </c:pt>
                <c:pt idx="131">
                  <c:v>-21.616352201257854</c:v>
                </c:pt>
                <c:pt idx="132">
                  <c:v>-21.163522012578603</c:v>
                </c:pt>
                <c:pt idx="133">
                  <c:v>-20.669811320754707</c:v>
                </c:pt>
                <c:pt idx="134">
                  <c:v>-18.210691823899371</c:v>
                </c:pt>
                <c:pt idx="135">
                  <c:v>-18.003144654088043</c:v>
                </c:pt>
                <c:pt idx="136">
                  <c:v>-18.503144654088036</c:v>
                </c:pt>
                <c:pt idx="137">
                  <c:v>-19.389937106918225</c:v>
                </c:pt>
                <c:pt idx="138">
                  <c:v>-17.996855345911943</c:v>
                </c:pt>
                <c:pt idx="139">
                  <c:v>-19.886792452830189</c:v>
                </c:pt>
                <c:pt idx="140">
                  <c:v>-21.786163522012565</c:v>
                </c:pt>
                <c:pt idx="141">
                  <c:v>-21.80503144654088</c:v>
                </c:pt>
                <c:pt idx="142">
                  <c:v>-21.742138364779866</c:v>
                </c:pt>
                <c:pt idx="143">
                  <c:v>-22.144654088050306</c:v>
                </c:pt>
                <c:pt idx="144">
                  <c:v>-21.959119496855337</c:v>
                </c:pt>
                <c:pt idx="145">
                  <c:v>-25.254716981132063</c:v>
                </c:pt>
                <c:pt idx="146">
                  <c:v>-26.110062893081754</c:v>
                </c:pt>
                <c:pt idx="147">
                  <c:v>-25.440251572327032</c:v>
                </c:pt>
                <c:pt idx="148">
                  <c:v>-23.937106918238996</c:v>
                </c:pt>
                <c:pt idx="149">
                  <c:v>-24.034591194968552</c:v>
                </c:pt>
                <c:pt idx="150">
                  <c:v>-24.034591194968552</c:v>
                </c:pt>
                <c:pt idx="151">
                  <c:v>-21.358490566037727</c:v>
                </c:pt>
                <c:pt idx="152">
                  <c:v>-21.51572327044024</c:v>
                </c:pt>
                <c:pt idx="153">
                  <c:v>-24.459119496855333</c:v>
                </c:pt>
                <c:pt idx="154">
                  <c:v>-24.553459119496846</c:v>
                </c:pt>
                <c:pt idx="155">
                  <c:v>-24.553459119496846</c:v>
                </c:pt>
                <c:pt idx="156">
                  <c:v>-27.040880503144653</c:v>
                </c:pt>
                <c:pt idx="157">
                  <c:v>-26.031446540880481</c:v>
                </c:pt>
                <c:pt idx="158">
                  <c:v>-26.710691823899364</c:v>
                </c:pt>
                <c:pt idx="159">
                  <c:v>-27.182389937106926</c:v>
                </c:pt>
                <c:pt idx="160">
                  <c:v>-26.933962264150946</c:v>
                </c:pt>
                <c:pt idx="161">
                  <c:v>-27.471698113207548</c:v>
                </c:pt>
                <c:pt idx="162">
                  <c:v>-26.657232704402517</c:v>
                </c:pt>
                <c:pt idx="163">
                  <c:v>-26.311320754716981</c:v>
                </c:pt>
                <c:pt idx="164">
                  <c:v>-25.795597484276726</c:v>
                </c:pt>
                <c:pt idx="165">
                  <c:v>-27.327044025157239</c:v>
                </c:pt>
                <c:pt idx="166">
                  <c:v>-26.827044025157232</c:v>
                </c:pt>
                <c:pt idx="167">
                  <c:v>-27.801886792452819</c:v>
                </c:pt>
                <c:pt idx="168">
                  <c:v>-28.855345911949676</c:v>
                </c:pt>
                <c:pt idx="169">
                  <c:v>-30.666666666666654</c:v>
                </c:pt>
                <c:pt idx="170">
                  <c:v>-28.735849056603762</c:v>
                </c:pt>
                <c:pt idx="171">
                  <c:v>-28.625786163522012</c:v>
                </c:pt>
                <c:pt idx="172">
                  <c:v>-27.402515723270437</c:v>
                </c:pt>
                <c:pt idx="173">
                  <c:v>-29.242138364779859</c:v>
                </c:pt>
                <c:pt idx="174">
                  <c:v>-27.977987421383645</c:v>
                </c:pt>
                <c:pt idx="175">
                  <c:v>-25.761006289308174</c:v>
                </c:pt>
                <c:pt idx="176">
                  <c:v>-24.641509433962259</c:v>
                </c:pt>
                <c:pt idx="177">
                  <c:v>-25.477987421383634</c:v>
                </c:pt>
                <c:pt idx="178">
                  <c:v>-22.515723270440244</c:v>
                </c:pt>
                <c:pt idx="179">
                  <c:v>-22.333333333333329</c:v>
                </c:pt>
                <c:pt idx="180">
                  <c:v>-22.764150943396224</c:v>
                </c:pt>
                <c:pt idx="181">
                  <c:v>-22.764150943396224</c:v>
                </c:pt>
                <c:pt idx="182">
                  <c:v>-22.764150943396224</c:v>
                </c:pt>
                <c:pt idx="183">
                  <c:v>-23.562893081761001</c:v>
                </c:pt>
                <c:pt idx="184">
                  <c:v>-25.550314465408803</c:v>
                </c:pt>
                <c:pt idx="185">
                  <c:v>-25.880503144654089</c:v>
                </c:pt>
                <c:pt idx="186">
                  <c:v>-25.720125786163518</c:v>
                </c:pt>
                <c:pt idx="187">
                  <c:v>-27.911949685534577</c:v>
                </c:pt>
                <c:pt idx="188">
                  <c:v>-25.477987421383634</c:v>
                </c:pt>
                <c:pt idx="189">
                  <c:v>-26.713836477987403</c:v>
                </c:pt>
                <c:pt idx="190">
                  <c:v>-26.477987421383649</c:v>
                </c:pt>
                <c:pt idx="191">
                  <c:v>-24.088050314465395</c:v>
                </c:pt>
                <c:pt idx="192">
                  <c:v>-24.490566037735846</c:v>
                </c:pt>
                <c:pt idx="193">
                  <c:v>-24.45597484276729</c:v>
                </c:pt>
                <c:pt idx="194">
                  <c:v>-24.418238993710688</c:v>
                </c:pt>
                <c:pt idx="195">
                  <c:v>-25.786163522012572</c:v>
                </c:pt>
                <c:pt idx="196">
                  <c:v>-26.286163522012579</c:v>
                </c:pt>
                <c:pt idx="197">
                  <c:v>-24.415094339622634</c:v>
                </c:pt>
                <c:pt idx="198">
                  <c:v>-22.270440251572317</c:v>
                </c:pt>
                <c:pt idx="199">
                  <c:v>-19.694968553459123</c:v>
                </c:pt>
                <c:pt idx="200">
                  <c:v>-17.213836477987424</c:v>
                </c:pt>
                <c:pt idx="201">
                  <c:v>-19.062893081761001</c:v>
                </c:pt>
                <c:pt idx="202">
                  <c:v>-18.446540880503136</c:v>
                </c:pt>
                <c:pt idx="203">
                  <c:v>-16.720125786163518</c:v>
                </c:pt>
                <c:pt idx="204">
                  <c:v>-14.81132075471697</c:v>
                </c:pt>
                <c:pt idx="205">
                  <c:v>-13.710691823899367</c:v>
                </c:pt>
                <c:pt idx="206">
                  <c:v>-13.679245283018867</c:v>
                </c:pt>
                <c:pt idx="207">
                  <c:v>-17.949685534591186</c:v>
                </c:pt>
                <c:pt idx="208">
                  <c:v>-19.745283018867919</c:v>
                </c:pt>
                <c:pt idx="209">
                  <c:v>-14.776729559748428</c:v>
                </c:pt>
                <c:pt idx="210">
                  <c:v>-13.213836477987417</c:v>
                </c:pt>
                <c:pt idx="211">
                  <c:v>-13.371069182389931</c:v>
                </c:pt>
                <c:pt idx="212">
                  <c:v>-12.704402515723267</c:v>
                </c:pt>
                <c:pt idx="213">
                  <c:v>-15.342767295597476</c:v>
                </c:pt>
                <c:pt idx="214">
                  <c:v>-15.949685534591183</c:v>
                </c:pt>
                <c:pt idx="215">
                  <c:v>-15.704402515723274</c:v>
                </c:pt>
                <c:pt idx="216">
                  <c:v>-14.345911949685533</c:v>
                </c:pt>
                <c:pt idx="217">
                  <c:v>-15.028301886792454</c:v>
                </c:pt>
                <c:pt idx="218">
                  <c:v>-13.981132075471695</c:v>
                </c:pt>
                <c:pt idx="219">
                  <c:v>-12.069182389937104</c:v>
                </c:pt>
                <c:pt idx="220">
                  <c:v>-11.754716981132066</c:v>
                </c:pt>
                <c:pt idx="221">
                  <c:v>-13.955974842767294</c:v>
                </c:pt>
                <c:pt idx="222">
                  <c:v>-15.710691823899358</c:v>
                </c:pt>
                <c:pt idx="223">
                  <c:v>-14.522012578616344</c:v>
                </c:pt>
                <c:pt idx="224">
                  <c:v>-15.999999999999998</c:v>
                </c:pt>
                <c:pt idx="225">
                  <c:v>-12.90566037735848</c:v>
                </c:pt>
                <c:pt idx="226">
                  <c:v>-9.8270440251572317</c:v>
                </c:pt>
                <c:pt idx="227">
                  <c:v>-9.7138364779874191</c:v>
                </c:pt>
                <c:pt idx="228">
                  <c:v>-10.009433962264144</c:v>
                </c:pt>
                <c:pt idx="229">
                  <c:v>-9.5251572327043945</c:v>
                </c:pt>
                <c:pt idx="230">
                  <c:v>-11.072327044025146</c:v>
                </c:pt>
                <c:pt idx="231">
                  <c:v>-13.704402515723269</c:v>
                </c:pt>
                <c:pt idx="232">
                  <c:v>-11.075471698113203</c:v>
                </c:pt>
                <c:pt idx="233">
                  <c:v>-10.993710691823889</c:v>
                </c:pt>
                <c:pt idx="234">
                  <c:v>-10.993710691823889</c:v>
                </c:pt>
                <c:pt idx="235">
                  <c:v>-12.14779874213836</c:v>
                </c:pt>
                <c:pt idx="236">
                  <c:v>-11.893081761006291</c:v>
                </c:pt>
                <c:pt idx="237">
                  <c:v>-10.990566037735846</c:v>
                </c:pt>
                <c:pt idx="238">
                  <c:v>-10.915094339622634</c:v>
                </c:pt>
                <c:pt idx="239">
                  <c:v>-9.7169811320754622</c:v>
                </c:pt>
                <c:pt idx="240">
                  <c:v>-8.0440251572326975</c:v>
                </c:pt>
                <c:pt idx="241">
                  <c:v>-9.7672955974842761</c:v>
                </c:pt>
                <c:pt idx="242">
                  <c:v>-12.106918238993703</c:v>
                </c:pt>
                <c:pt idx="243">
                  <c:v>-11.050314465408801</c:v>
                </c:pt>
                <c:pt idx="244">
                  <c:v>-11.025157232704389</c:v>
                </c:pt>
                <c:pt idx="245">
                  <c:v>-10.336477987421382</c:v>
                </c:pt>
                <c:pt idx="246">
                  <c:v>-11.918238993710691</c:v>
                </c:pt>
                <c:pt idx="247">
                  <c:v>-9.6194968553459059</c:v>
                </c:pt>
                <c:pt idx="248">
                  <c:v>-8.8773584905660297</c:v>
                </c:pt>
                <c:pt idx="249">
                  <c:v>-9.1698113207547109</c:v>
                </c:pt>
                <c:pt idx="250">
                  <c:v>-10.393081761006282</c:v>
                </c:pt>
                <c:pt idx="251">
                  <c:v>-10.100628930817599</c:v>
                </c:pt>
                <c:pt idx="252">
                  <c:v>-10.251572327044027</c:v>
                </c:pt>
                <c:pt idx="253">
                  <c:v>-11.056603773584902</c:v>
                </c:pt>
                <c:pt idx="254">
                  <c:v>-13.257861635220117</c:v>
                </c:pt>
                <c:pt idx="255">
                  <c:v>-11.251572327044014</c:v>
                </c:pt>
                <c:pt idx="256">
                  <c:v>-12.430817610062885</c:v>
                </c:pt>
                <c:pt idx="257">
                  <c:v>-11.937106918238991</c:v>
                </c:pt>
                <c:pt idx="258">
                  <c:v>-13.081761006289305</c:v>
                </c:pt>
                <c:pt idx="259">
                  <c:v>-12.698113207547168</c:v>
                </c:pt>
                <c:pt idx="260">
                  <c:v>-13.421383647798729</c:v>
                </c:pt>
                <c:pt idx="261">
                  <c:v>-13.05345911949685</c:v>
                </c:pt>
                <c:pt idx="262">
                  <c:v>-13.116352201257861</c:v>
                </c:pt>
                <c:pt idx="263">
                  <c:v>-13.5503144654088</c:v>
                </c:pt>
                <c:pt idx="264">
                  <c:v>-12.974842767295591</c:v>
                </c:pt>
                <c:pt idx="265">
                  <c:v>-11.100628930817603</c:v>
                </c:pt>
                <c:pt idx="266">
                  <c:v>-10.116352201257858</c:v>
                </c:pt>
                <c:pt idx="267">
                  <c:v>-8.4402515723270355</c:v>
                </c:pt>
                <c:pt idx="268">
                  <c:v>-6.3930817610062904</c:v>
                </c:pt>
                <c:pt idx="269">
                  <c:v>-6.4213836477987325</c:v>
                </c:pt>
                <c:pt idx="270">
                  <c:v>-7.7389937106918163</c:v>
                </c:pt>
                <c:pt idx="271">
                  <c:v>-8.8396226415094308</c:v>
                </c:pt>
                <c:pt idx="272">
                  <c:v>-9.792452830188676</c:v>
                </c:pt>
                <c:pt idx="273">
                  <c:v>-8.6918238993710606</c:v>
                </c:pt>
                <c:pt idx="274">
                  <c:v>-9.17295597484277</c:v>
                </c:pt>
                <c:pt idx="275">
                  <c:v>-7.786163522012572</c:v>
                </c:pt>
                <c:pt idx="276">
                  <c:v>-6.8490566037735849</c:v>
                </c:pt>
                <c:pt idx="277">
                  <c:v>-6.9874213836477974</c:v>
                </c:pt>
                <c:pt idx="278">
                  <c:v>-6.0880503144654083</c:v>
                </c:pt>
                <c:pt idx="279">
                  <c:v>-5.5125786163522008</c:v>
                </c:pt>
                <c:pt idx="280">
                  <c:v>-6.5691823899371018</c:v>
                </c:pt>
                <c:pt idx="281">
                  <c:v>-7.2924528301886777</c:v>
                </c:pt>
                <c:pt idx="282">
                  <c:v>-4.103773584905662</c:v>
                </c:pt>
                <c:pt idx="283">
                  <c:v>-2.2358490566037714</c:v>
                </c:pt>
                <c:pt idx="284">
                  <c:v>-0.15408805031445541</c:v>
                </c:pt>
                <c:pt idx="285">
                  <c:v>-1.4276729559748391</c:v>
                </c:pt>
                <c:pt idx="286">
                  <c:v>-2.1477987421383586</c:v>
                </c:pt>
                <c:pt idx="287">
                  <c:v>-3.8176100628930802</c:v>
                </c:pt>
                <c:pt idx="288">
                  <c:v>-4.4025157232704304</c:v>
                </c:pt>
                <c:pt idx="289">
                  <c:v>-5.3836477987421318</c:v>
                </c:pt>
                <c:pt idx="290">
                  <c:v>-3.3930817610062856</c:v>
                </c:pt>
                <c:pt idx="291">
                  <c:v>-4.0377358490565918</c:v>
                </c:pt>
                <c:pt idx="292">
                  <c:v>-2.9748427672955913</c:v>
                </c:pt>
                <c:pt idx="293">
                  <c:v>-3.3018867924528292</c:v>
                </c:pt>
                <c:pt idx="294">
                  <c:v>-1.6163522012578511</c:v>
                </c:pt>
                <c:pt idx="295">
                  <c:v>-2.8679245283018782</c:v>
                </c:pt>
                <c:pt idx="296">
                  <c:v>-2.232704402515715</c:v>
                </c:pt>
                <c:pt idx="297">
                  <c:v>-2.8836477987421349</c:v>
                </c:pt>
                <c:pt idx="298">
                  <c:v>-2.371069182389927</c:v>
                </c:pt>
                <c:pt idx="299">
                  <c:v>-3.1383647798742031</c:v>
                </c:pt>
                <c:pt idx="300">
                  <c:v>-3.5094339622641413</c:v>
                </c:pt>
                <c:pt idx="301">
                  <c:v>-3.3773584905660283</c:v>
                </c:pt>
                <c:pt idx="302">
                  <c:v>-2.8490566037735783</c:v>
                </c:pt>
                <c:pt idx="303">
                  <c:v>-3.3993710691823851</c:v>
                </c:pt>
                <c:pt idx="304">
                  <c:v>-3.1194968553459037</c:v>
                </c:pt>
                <c:pt idx="305">
                  <c:v>-1.9685534591194893</c:v>
                </c:pt>
                <c:pt idx="306">
                  <c:v>-2.7327044025157226</c:v>
                </c:pt>
                <c:pt idx="307">
                  <c:v>-2.5943396226415101</c:v>
                </c:pt>
                <c:pt idx="308">
                  <c:v>-2.1257861635220019</c:v>
                </c:pt>
                <c:pt idx="309">
                  <c:v>-0.93710691823898817</c:v>
                </c:pt>
                <c:pt idx="310">
                  <c:v>-0.18867924528301203</c:v>
                </c:pt>
                <c:pt idx="311">
                  <c:v>2.2012578616356759E-2</c:v>
                </c:pt>
                <c:pt idx="312">
                  <c:v>1.2358490566037839</c:v>
                </c:pt>
                <c:pt idx="313">
                  <c:v>1.3490566037735829</c:v>
                </c:pt>
                <c:pt idx="314">
                  <c:v>1.2893081761006266</c:v>
                </c:pt>
                <c:pt idx="315">
                  <c:v>0.2169811320754827</c:v>
                </c:pt>
                <c:pt idx="316">
                  <c:v>0.16981132075472619</c:v>
                </c:pt>
                <c:pt idx="317">
                  <c:v>3.4591194968556629E-2</c:v>
                </c:pt>
                <c:pt idx="318">
                  <c:v>-1.430817610062882</c:v>
                </c:pt>
                <c:pt idx="319">
                  <c:v>-1.8710691823899335</c:v>
                </c:pt>
                <c:pt idx="320">
                  <c:v>-1.534591194968552</c:v>
                </c:pt>
                <c:pt idx="321">
                  <c:v>-1.2672955974842697</c:v>
                </c:pt>
                <c:pt idx="322">
                  <c:v>-1.3144654088050263</c:v>
                </c:pt>
                <c:pt idx="323">
                  <c:v>-1.4748427672955957</c:v>
                </c:pt>
                <c:pt idx="324">
                  <c:v>-1.4748427672955957</c:v>
                </c:pt>
                <c:pt idx="325">
                  <c:v>-1.8805031446540763</c:v>
                </c:pt>
                <c:pt idx="326">
                  <c:v>-2.2547169811320713</c:v>
                </c:pt>
                <c:pt idx="327">
                  <c:v>-2.3867924528301843</c:v>
                </c:pt>
                <c:pt idx="328">
                  <c:v>-1.7138364779874209</c:v>
                </c:pt>
                <c:pt idx="329">
                  <c:v>-1.8805031446540763</c:v>
                </c:pt>
                <c:pt idx="330">
                  <c:v>-2.185534591194958</c:v>
                </c:pt>
                <c:pt idx="331">
                  <c:v>-2.8805031446540776</c:v>
                </c:pt>
                <c:pt idx="332">
                  <c:v>-1.2735849056603696</c:v>
                </c:pt>
                <c:pt idx="333">
                  <c:v>-0.62893081761006342</c:v>
                </c:pt>
                <c:pt idx="334">
                  <c:v>-0.59119496855344988</c:v>
                </c:pt>
                <c:pt idx="335">
                  <c:v>-2.7955974842767217</c:v>
                </c:pt>
                <c:pt idx="336">
                  <c:v>-3.0188679245282906</c:v>
                </c:pt>
                <c:pt idx="337">
                  <c:v>-4.4748427672955868</c:v>
                </c:pt>
                <c:pt idx="338">
                  <c:v>-4.713836477987412</c:v>
                </c:pt>
                <c:pt idx="339">
                  <c:v>-4.6635220125786123</c:v>
                </c:pt>
                <c:pt idx="340">
                  <c:v>-3.3176100628930718</c:v>
                </c:pt>
                <c:pt idx="341">
                  <c:v>-2.61320754716981</c:v>
                </c:pt>
                <c:pt idx="342">
                  <c:v>-2.6415094339622662</c:v>
                </c:pt>
                <c:pt idx="343">
                  <c:v>-1.8773584905660334</c:v>
                </c:pt>
                <c:pt idx="344">
                  <c:v>-0.94025157232704526</c:v>
                </c:pt>
                <c:pt idx="345">
                  <c:v>-1.5754716981132084</c:v>
                </c:pt>
                <c:pt idx="346">
                  <c:v>-1.5471698113207519</c:v>
                </c:pt>
                <c:pt idx="347">
                  <c:v>-1.7012578616352212</c:v>
                </c:pt>
                <c:pt idx="348">
                  <c:v>-2.0691823899371022</c:v>
                </c:pt>
                <c:pt idx="349">
                  <c:v>-1.5754716981132084</c:v>
                </c:pt>
                <c:pt idx="350">
                  <c:v>-2.0345911949685456</c:v>
                </c:pt>
                <c:pt idx="351">
                  <c:v>-1.437106918238982</c:v>
                </c:pt>
                <c:pt idx="352">
                  <c:v>-2.1477987421383586</c:v>
                </c:pt>
                <c:pt idx="353">
                  <c:v>-1.6100628930817513</c:v>
                </c:pt>
                <c:pt idx="354">
                  <c:v>-1.5408805031446517</c:v>
                </c:pt>
                <c:pt idx="355">
                  <c:v>-1.3930817610062824</c:v>
                </c:pt>
                <c:pt idx="356">
                  <c:v>-1.0440251572327011</c:v>
                </c:pt>
                <c:pt idx="357">
                  <c:v>-0.87421383647798889</c:v>
                </c:pt>
                <c:pt idx="358">
                  <c:v>-0.47798742138363703</c:v>
                </c:pt>
                <c:pt idx="359">
                  <c:v>-0.52201257861635053</c:v>
                </c:pt>
                <c:pt idx="360">
                  <c:v>-0.43396226415093747</c:v>
                </c:pt>
                <c:pt idx="361">
                  <c:v>-0.56289308176100716</c:v>
                </c:pt>
                <c:pt idx="362">
                  <c:v>9.7484276729569955E-2</c:v>
                </c:pt>
                <c:pt idx="363">
                  <c:v>0.26100628930818226</c:v>
                </c:pt>
                <c:pt idx="364">
                  <c:v>0.79245283018868973</c:v>
                </c:pt>
                <c:pt idx="365">
                  <c:v>0.60691823899372055</c:v>
                </c:pt>
                <c:pt idx="366">
                  <c:v>1.8647798742138475</c:v>
                </c:pt>
                <c:pt idx="367">
                  <c:v>2.2264150943396288</c:v>
                </c:pt>
                <c:pt idx="368">
                  <c:v>1.4339622641509528</c:v>
                </c:pt>
                <c:pt idx="369">
                  <c:v>0.79874213836478958</c:v>
                </c:pt>
                <c:pt idx="370">
                  <c:v>6.2893081761013325E-2</c:v>
                </c:pt>
                <c:pt idx="371">
                  <c:v>-0.10377358490565594</c:v>
                </c:pt>
                <c:pt idx="372">
                  <c:v>-2.1729559748427585</c:v>
                </c:pt>
                <c:pt idx="373">
                  <c:v>-1.7861635220125773</c:v>
                </c:pt>
                <c:pt idx="374">
                  <c:v>-1.7169811320754642</c:v>
                </c:pt>
                <c:pt idx="375">
                  <c:v>-1.1886792452830137</c:v>
                </c:pt>
                <c:pt idx="376">
                  <c:v>-0.6635220125786061</c:v>
                </c:pt>
                <c:pt idx="377">
                  <c:v>0.26415094339622525</c:v>
                </c:pt>
                <c:pt idx="378">
                  <c:v>-0.71069182389936258</c:v>
                </c:pt>
                <c:pt idx="379">
                  <c:v>-5.7578616352201264</c:v>
                </c:pt>
                <c:pt idx="380">
                  <c:v>-6.7924528301886706</c:v>
                </c:pt>
                <c:pt idx="381">
                  <c:v>-8.3584905660377373</c:v>
                </c:pt>
                <c:pt idx="382">
                  <c:v>-8.0031446540880413</c:v>
                </c:pt>
                <c:pt idx="383">
                  <c:v>-7.5974842767295465</c:v>
                </c:pt>
                <c:pt idx="384">
                  <c:v>-7.7389937106918163</c:v>
                </c:pt>
                <c:pt idx="385">
                  <c:v>-6.5220125786163461</c:v>
                </c:pt>
                <c:pt idx="386">
                  <c:v>-5.292452830188676</c:v>
                </c:pt>
                <c:pt idx="387">
                  <c:v>-5.6415094339622573</c:v>
                </c:pt>
                <c:pt idx="388">
                  <c:v>-6.7075471698113152</c:v>
                </c:pt>
                <c:pt idx="389">
                  <c:v>-6.8018867924528283</c:v>
                </c:pt>
                <c:pt idx="390">
                  <c:v>-7.4842767295597481</c:v>
                </c:pt>
                <c:pt idx="391">
                  <c:v>-6.6257861635220019</c:v>
                </c:pt>
                <c:pt idx="392">
                  <c:v>-6.8081761006289279</c:v>
                </c:pt>
                <c:pt idx="393">
                  <c:v>-6.6981132075471583</c:v>
                </c:pt>
                <c:pt idx="394">
                  <c:v>-9.3238993710691815</c:v>
                </c:pt>
                <c:pt idx="395">
                  <c:v>-9.0157232704402421</c:v>
                </c:pt>
                <c:pt idx="396">
                  <c:v>-7.7421383647798727</c:v>
                </c:pt>
                <c:pt idx="397">
                  <c:v>-7.1823899371069091</c:v>
                </c:pt>
                <c:pt idx="398">
                  <c:v>-7.2861635220125791</c:v>
                </c:pt>
                <c:pt idx="399">
                  <c:v>-6.4119496855345908</c:v>
                </c:pt>
                <c:pt idx="400">
                  <c:v>-5.9371069182389959</c:v>
                </c:pt>
                <c:pt idx="401">
                  <c:v>-5.3238993710691753</c:v>
                </c:pt>
                <c:pt idx="402">
                  <c:v>-4.6540880503144555</c:v>
                </c:pt>
                <c:pt idx="403">
                  <c:v>-4.842767295597481</c:v>
                </c:pt>
                <c:pt idx="404">
                  <c:v>-6.0031446540880387</c:v>
                </c:pt>
                <c:pt idx="405">
                  <c:v>-6.6949685534591143</c:v>
                </c:pt>
                <c:pt idx="406">
                  <c:v>-6.150943396226408</c:v>
                </c:pt>
                <c:pt idx="407">
                  <c:v>-5.4213836477987307</c:v>
                </c:pt>
                <c:pt idx="408">
                  <c:v>-4.8050314465408679</c:v>
                </c:pt>
                <c:pt idx="409">
                  <c:v>-3.8333333333333228</c:v>
                </c:pt>
                <c:pt idx="410">
                  <c:v>-2.8018867924528217</c:v>
                </c:pt>
                <c:pt idx="411">
                  <c:v>-3.1729559748427594</c:v>
                </c:pt>
                <c:pt idx="412">
                  <c:v>-3.0220125786163474</c:v>
                </c:pt>
                <c:pt idx="413">
                  <c:v>-3.2547169811320726</c:v>
                </c:pt>
                <c:pt idx="414">
                  <c:v>-2.2044025157232578</c:v>
                </c:pt>
                <c:pt idx="415">
                  <c:v>-2.3459119496855276</c:v>
                </c:pt>
                <c:pt idx="416">
                  <c:v>-3.2232704402515591</c:v>
                </c:pt>
                <c:pt idx="417">
                  <c:v>-2.3238993710691704</c:v>
                </c:pt>
                <c:pt idx="418">
                  <c:v>-1.3616352201257829</c:v>
                </c:pt>
                <c:pt idx="419">
                  <c:v>-0.65408805031446315</c:v>
                </c:pt>
                <c:pt idx="420">
                  <c:v>-1.2955974842767264</c:v>
                </c:pt>
                <c:pt idx="421">
                  <c:v>-0.56918238993710701</c:v>
                </c:pt>
                <c:pt idx="422">
                  <c:v>-0.56289308176100716</c:v>
                </c:pt>
                <c:pt idx="423">
                  <c:v>-0.41823899371068063</c:v>
                </c:pt>
                <c:pt idx="424">
                  <c:v>0.15408805031446937</c:v>
                </c:pt>
                <c:pt idx="425">
                  <c:v>-0.99371069182388772</c:v>
                </c:pt>
                <c:pt idx="426">
                  <c:v>-1.606918238993708</c:v>
                </c:pt>
                <c:pt idx="427">
                  <c:v>-1.0314465408805011</c:v>
                </c:pt>
                <c:pt idx="428">
                  <c:v>-1.3333333333333262</c:v>
                </c:pt>
                <c:pt idx="429">
                  <c:v>-0.47169811320753707</c:v>
                </c:pt>
                <c:pt idx="430">
                  <c:v>0.15408805031446937</c:v>
                </c:pt>
                <c:pt idx="431">
                  <c:v>0.21069182389936877</c:v>
                </c:pt>
                <c:pt idx="432">
                  <c:v>0.4276729559748515</c:v>
                </c:pt>
                <c:pt idx="433">
                  <c:v>0.30817610062893874</c:v>
                </c:pt>
                <c:pt idx="434">
                  <c:v>-8.8050314465399113E-2</c:v>
                </c:pt>
                <c:pt idx="435">
                  <c:v>0.83962264150944621</c:v>
                </c:pt>
                <c:pt idx="436">
                  <c:v>2.00314465408806</c:v>
                </c:pt>
                <c:pt idx="437">
                  <c:v>0.91823899371070228</c:v>
                </c:pt>
                <c:pt idx="438">
                  <c:v>0.91509433962264541</c:v>
                </c:pt>
                <c:pt idx="439">
                  <c:v>1.9371069182390039</c:v>
                </c:pt>
                <c:pt idx="440">
                  <c:v>2.1257861635220157</c:v>
                </c:pt>
                <c:pt idx="441">
                  <c:v>1.8238993710691911</c:v>
                </c:pt>
                <c:pt idx="442">
                  <c:v>1.7484276729559778</c:v>
                </c:pt>
                <c:pt idx="443">
                  <c:v>2.0345911949685593</c:v>
                </c:pt>
                <c:pt idx="444">
                  <c:v>1.6918238993710784</c:v>
                </c:pt>
                <c:pt idx="445">
                  <c:v>2.1540880503144724</c:v>
                </c:pt>
                <c:pt idx="446">
                  <c:v>2.0817610062893164</c:v>
                </c:pt>
                <c:pt idx="447">
                  <c:v>2.6069182389937096</c:v>
                </c:pt>
                <c:pt idx="448">
                  <c:v>3.7452830188679238</c:v>
                </c:pt>
                <c:pt idx="449">
                  <c:v>3.0660377358490609</c:v>
                </c:pt>
                <c:pt idx="450">
                  <c:v>2.6981132075471796</c:v>
                </c:pt>
                <c:pt idx="451">
                  <c:v>2.8176100628930922</c:v>
                </c:pt>
                <c:pt idx="452">
                  <c:v>2.7798742138364791</c:v>
                </c:pt>
                <c:pt idx="453">
                  <c:v>3.1163522012578602</c:v>
                </c:pt>
                <c:pt idx="454">
                  <c:v>3.6320754716981249</c:v>
                </c:pt>
                <c:pt idx="455">
                  <c:v>2.408805031446541</c:v>
                </c:pt>
                <c:pt idx="456">
                  <c:v>2.657232704402523</c:v>
                </c:pt>
                <c:pt idx="457">
                  <c:v>2.657232704402523</c:v>
                </c:pt>
                <c:pt idx="458">
                  <c:v>2.6006289308176096</c:v>
                </c:pt>
                <c:pt idx="459">
                  <c:v>1.2138364779874273</c:v>
                </c:pt>
                <c:pt idx="460">
                  <c:v>1.3616352201257966</c:v>
                </c:pt>
                <c:pt idx="461">
                  <c:v>1.7044025157232783</c:v>
                </c:pt>
                <c:pt idx="462">
                  <c:v>2.0408805031446597</c:v>
                </c:pt>
                <c:pt idx="463">
                  <c:v>0.45597484276729422</c:v>
                </c:pt>
                <c:pt idx="464">
                  <c:v>7.8616352201256179E-2</c:v>
                </c:pt>
                <c:pt idx="465">
                  <c:v>0.95283018867924496</c:v>
                </c:pt>
                <c:pt idx="466">
                  <c:v>0.77044025157233298</c:v>
                </c:pt>
                <c:pt idx="467">
                  <c:v>0.50000000000000777</c:v>
                </c:pt>
                <c:pt idx="468">
                  <c:v>0.57547169811320698</c:v>
                </c:pt>
                <c:pt idx="469">
                  <c:v>2.3333333333333415</c:v>
                </c:pt>
                <c:pt idx="470">
                  <c:v>2.6194968553459237</c:v>
                </c:pt>
                <c:pt idx="471">
                  <c:v>3.2075471698113303</c:v>
                </c:pt>
                <c:pt idx="472">
                  <c:v>2.8144654088050358</c:v>
                </c:pt>
                <c:pt idx="473">
                  <c:v>2.8962264150943486</c:v>
                </c:pt>
                <c:pt idx="474">
                  <c:v>1.4874213836478094</c:v>
                </c:pt>
                <c:pt idx="475">
                  <c:v>2.084905660377359</c:v>
                </c:pt>
                <c:pt idx="476">
                  <c:v>1.5440251572327088</c:v>
                </c:pt>
                <c:pt idx="477">
                  <c:v>1.3836477987421394</c:v>
                </c:pt>
                <c:pt idx="478">
                  <c:v>1.9182389937107038</c:v>
                </c:pt>
                <c:pt idx="479">
                  <c:v>1.4465408805031528</c:v>
                </c:pt>
                <c:pt idx="480">
                  <c:v>1.6037735849056651</c:v>
                </c:pt>
                <c:pt idx="481">
                  <c:v>2.0283018867924598</c:v>
                </c:pt>
                <c:pt idx="482">
                  <c:v>1.99685534591196</c:v>
                </c:pt>
                <c:pt idx="483">
                  <c:v>2.7547169811320793</c:v>
                </c:pt>
                <c:pt idx="484">
                  <c:v>2.0503144654088166</c:v>
                </c:pt>
                <c:pt idx="485">
                  <c:v>1.5377358490566089</c:v>
                </c:pt>
                <c:pt idx="486">
                  <c:v>1.1886792452830275</c:v>
                </c:pt>
                <c:pt idx="487">
                  <c:v>1.3836477987421394</c:v>
                </c:pt>
                <c:pt idx="488">
                  <c:v>0.86477987421384594</c:v>
                </c:pt>
                <c:pt idx="489">
                  <c:v>1.1477987421383709</c:v>
                </c:pt>
                <c:pt idx="490">
                  <c:v>1.1415094339622711</c:v>
                </c:pt>
                <c:pt idx="491">
                  <c:v>2.3962264150943411</c:v>
                </c:pt>
                <c:pt idx="492">
                  <c:v>2.3836477987421412</c:v>
                </c:pt>
                <c:pt idx="493">
                  <c:v>1.3616352201257966</c:v>
                </c:pt>
                <c:pt idx="494">
                  <c:v>0.63207547169812039</c:v>
                </c:pt>
                <c:pt idx="495">
                  <c:v>1.0062893081761015</c:v>
                </c:pt>
                <c:pt idx="496">
                  <c:v>1.6100628930817651</c:v>
                </c:pt>
                <c:pt idx="497">
                  <c:v>0.86477987421384594</c:v>
                </c:pt>
                <c:pt idx="498">
                  <c:v>-0.71383647798741956</c:v>
                </c:pt>
                <c:pt idx="499">
                  <c:v>0.16352201257862625</c:v>
                </c:pt>
                <c:pt idx="500">
                  <c:v>-0.16352201257861229</c:v>
                </c:pt>
                <c:pt idx="501">
                  <c:v>7.5471698113213193E-2</c:v>
                </c:pt>
                <c:pt idx="502">
                  <c:v>0.33018867924528156</c:v>
                </c:pt>
                <c:pt idx="503">
                  <c:v>0.94339622641510212</c:v>
                </c:pt>
                <c:pt idx="504">
                  <c:v>-0.26729559748426823</c:v>
                </c:pt>
                <c:pt idx="505">
                  <c:v>-5.3459119496856437E-2</c:v>
                </c:pt>
                <c:pt idx="506">
                  <c:v>-0.73584905660376232</c:v>
                </c:pt>
                <c:pt idx="507">
                  <c:v>-0.16037735849055534</c:v>
                </c:pt>
                <c:pt idx="508">
                  <c:v>0.68867924528301983</c:v>
                </c:pt>
                <c:pt idx="509">
                  <c:v>1.0440251572327151</c:v>
                </c:pt>
                <c:pt idx="510">
                  <c:v>1.9056603773584899</c:v>
                </c:pt>
                <c:pt idx="511">
                  <c:v>2.3647798742138413</c:v>
                </c:pt>
                <c:pt idx="512">
                  <c:v>2.7987421383647786</c:v>
                </c:pt>
                <c:pt idx="513">
                  <c:v>2.399371069182398</c:v>
                </c:pt>
                <c:pt idx="514">
                  <c:v>-6.069182389937108</c:v>
                </c:pt>
                <c:pt idx="515">
                  <c:v>-3.3805031446540861</c:v>
                </c:pt>
                <c:pt idx="516">
                  <c:v>-3.5503144654087979</c:v>
                </c:pt>
                <c:pt idx="517">
                  <c:v>-3.1194968553459037</c:v>
                </c:pt>
                <c:pt idx="518">
                  <c:v>-3.1289308176100601</c:v>
                </c:pt>
                <c:pt idx="519">
                  <c:v>-3.5880503144653977</c:v>
                </c:pt>
                <c:pt idx="520">
                  <c:v>-2.7327044025157226</c:v>
                </c:pt>
                <c:pt idx="521">
                  <c:v>-2.7610062893081651</c:v>
                </c:pt>
                <c:pt idx="522">
                  <c:v>-2.7767295597484218</c:v>
                </c:pt>
                <c:pt idx="523" formatCode="0.00">
                  <c:v>-2.2232704402515719</c:v>
                </c:pt>
                <c:pt idx="524">
                  <c:v>-1.8867924528301903</c:v>
                </c:pt>
                <c:pt idx="525">
                  <c:v>-1.8867924528301903</c:v>
                </c:pt>
                <c:pt idx="526">
                  <c:v>-3.4591194968553416</c:v>
                </c:pt>
                <c:pt idx="527">
                  <c:v>-3.1446540880503036</c:v>
                </c:pt>
                <c:pt idx="528">
                  <c:v>-3.1446540880503036</c:v>
                </c:pt>
                <c:pt idx="529">
                  <c:v>-3.1446540880503036</c:v>
                </c:pt>
                <c:pt idx="530">
                  <c:v>-3.1446540880503036</c:v>
                </c:pt>
                <c:pt idx="531">
                  <c:v>-4.4025157232704304</c:v>
                </c:pt>
                <c:pt idx="532">
                  <c:v>-3.7735849056603668</c:v>
                </c:pt>
                <c:pt idx="533">
                  <c:v>-3.1446540880503036</c:v>
                </c:pt>
                <c:pt idx="534">
                  <c:v>-2.8301886792452784</c:v>
                </c:pt>
                <c:pt idx="535">
                  <c:v>-3.4591194968553416</c:v>
                </c:pt>
                <c:pt idx="536">
                  <c:v>-3.7735849056603668</c:v>
                </c:pt>
                <c:pt idx="537">
                  <c:v>-4.7169811320754684</c:v>
                </c:pt>
                <c:pt idx="538">
                  <c:v>-4.7169811320754684</c:v>
                </c:pt>
                <c:pt idx="539">
                  <c:v>-4.7169811320754684</c:v>
                </c:pt>
                <c:pt idx="540">
                  <c:v>-4.7169811320754684</c:v>
                </c:pt>
                <c:pt idx="541">
                  <c:v>-4.0880503144654048</c:v>
                </c:pt>
                <c:pt idx="542">
                  <c:v>-4.7169811320754684</c:v>
                </c:pt>
                <c:pt idx="543">
                  <c:v>-3.7735849056603668</c:v>
                </c:pt>
                <c:pt idx="544">
                  <c:v>-4.0880503144654048</c:v>
                </c:pt>
                <c:pt idx="545" formatCode="0.00">
                  <c:v>-4.0880503144654048</c:v>
                </c:pt>
              </c:numCache>
            </c:numRef>
          </c:val>
          <c:smooth val="0"/>
        </c:ser>
        <c:ser>
          <c:idx val="5"/>
          <c:order val="5"/>
          <c:tx>
            <c:strRef>
              <c:f>'Currency '!$P$1</c:f>
              <c:strCache>
                <c:ptCount val="1"/>
                <c:pt idx="0">
                  <c:v>Yuan</c:v>
                </c:pt>
              </c:strCache>
            </c:strRef>
          </c:tx>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'!$P$2:$P$547</c:f>
              <c:numCache>
                <c:formatCode>General</c:formatCode>
                <c:ptCount val="546"/>
                <c:pt idx="0">
                  <c:v>0</c:v>
                </c:pt>
                <c:pt idx="1">
                  <c:v>-0.16155088852988345</c:v>
                </c:pt>
                <c:pt idx="2">
                  <c:v>-0.16155088852988345</c:v>
                </c:pt>
                <c:pt idx="3">
                  <c:v>0</c:v>
                </c:pt>
                <c:pt idx="4">
                  <c:v>-0.16155088852988345</c:v>
                </c:pt>
                <c:pt idx="5">
                  <c:v>-0.16155088852988345</c:v>
                </c:pt>
                <c:pt idx="6">
                  <c:v>-0.32310177705976689</c:v>
                </c:pt>
                <c:pt idx="7">
                  <c:v>-0.16155088852988345</c:v>
                </c:pt>
                <c:pt idx="8">
                  <c:v>-0.16155088852988345</c:v>
                </c:pt>
                <c:pt idx="9">
                  <c:v>-0.16155088852988345</c:v>
                </c:pt>
                <c:pt idx="10">
                  <c:v>-0.32310177705976689</c:v>
                </c:pt>
                <c:pt idx="11">
                  <c:v>-0.32310177705976689</c:v>
                </c:pt>
                <c:pt idx="12">
                  <c:v>-0.32310177705976689</c:v>
                </c:pt>
                <c:pt idx="13">
                  <c:v>-0.32310177705976689</c:v>
                </c:pt>
                <c:pt idx="14">
                  <c:v>-0.32310177705976689</c:v>
                </c:pt>
                <c:pt idx="15">
                  <c:v>-0.32310177705976689</c:v>
                </c:pt>
                <c:pt idx="16">
                  <c:v>-0.32310177705976689</c:v>
                </c:pt>
                <c:pt idx="17">
                  <c:v>-0.32310177705976689</c:v>
                </c:pt>
                <c:pt idx="18">
                  <c:v>-0.32310177705976689</c:v>
                </c:pt>
                <c:pt idx="19">
                  <c:v>-0.32310177705976689</c:v>
                </c:pt>
                <c:pt idx="20">
                  <c:v>-0.32310177705976689</c:v>
                </c:pt>
                <c:pt idx="21">
                  <c:v>-0.32310177705976689</c:v>
                </c:pt>
                <c:pt idx="22">
                  <c:v>-0.16155088852988345</c:v>
                </c:pt>
                <c:pt idx="23">
                  <c:v>-0.16155088852988345</c:v>
                </c:pt>
                <c:pt idx="24">
                  <c:v>-0.16155088852988345</c:v>
                </c:pt>
                <c:pt idx="25">
                  <c:v>-0.16155088852988345</c:v>
                </c:pt>
                <c:pt idx="26">
                  <c:v>-0.32310177705976689</c:v>
                </c:pt>
                <c:pt idx="27">
                  <c:v>-0.32310177705976689</c:v>
                </c:pt>
                <c:pt idx="28">
                  <c:v>-0.32310177705976689</c:v>
                </c:pt>
                <c:pt idx="29">
                  <c:v>-0.32310177705976689</c:v>
                </c:pt>
                <c:pt idx="30">
                  <c:v>-0.48465266558965042</c:v>
                </c:pt>
                <c:pt idx="31">
                  <c:v>-0.32310177705976689</c:v>
                </c:pt>
                <c:pt idx="32">
                  <c:v>-0.16155088852988345</c:v>
                </c:pt>
                <c:pt idx="33">
                  <c:v>-0.32310177705976689</c:v>
                </c:pt>
                <c:pt idx="34">
                  <c:v>-0.32310177705976689</c:v>
                </c:pt>
                <c:pt idx="35">
                  <c:v>-0.32310177705976689</c:v>
                </c:pt>
                <c:pt idx="36">
                  <c:v>-0.32310177705976689</c:v>
                </c:pt>
                <c:pt idx="37">
                  <c:v>-0.32310177705976689</c:v>
                </c:pt>
                <c:pt idx="38">
                  <c:v>-0.32310177705976689</c:v>
                </c:pt>
                <c:pt idx="39">
                  <c:v>-0.32310177705976689</c:v>
                </c:pt>
                <c:pt idx="40">
                  <c:v>-0.32310177705976689</c:v>
                </c:pt>
                <c:pt idx="41">
                  <c:v>-0.32310177705976689</c:v>
                </c:pt>
                <c:pt idx="42">
                  <c:v>-0.32310177705976689</c:v>
                </c:pt>
                <c:pt idx="43">
                  <c:v>-0.32310177705976689</c:v>
                </c:pt>
                <c:pt idx="44">
                  <c:v>-0.32310177705976689</c:v>
                </c:pt>
                <c:pt idx="45">
                  <c:v>-0.32310177705976689</c:v>
                </c:pt>
                <c:pt idx="46">
                  <c:v>-0.16155088852988345</c:v>
                </c:pt>
                <c:pt idx="47">
                  <c:v>-0.32310177705976689</c:v>
                </c:pt>
                <c:pt idx="48">
                  <c:v>-0.32310177705976689</c:v>
                </c:pt>
                <c:pt idx="49">
                  <c:v>-0.32310177705976689</c:v>
                </c:pt>
                <c:pt idx="50">
                  <c:v>-0.32310177705976689</c:v>
                </c:pt>
                <c:pt idx="51">
                  <c:v>-0.32310177705976689</c:v>
                </c:pt>
                <c:pt idx="52">
                  <c:v>-2.1001615508885281</c:v>
                </c:pt>
                <c:pt idx="53">
                  <c:v>-3.2310177705977265</c:v>
                </c:pt>
                <c:pt idx="54">
                  <c:v>-3.3925686591276247</c:v>
                </c:pt>
                <c:pt idx="55">
                  <c:v>-3.2310177705977265</c:v>
                </c:pt>
                <c:pt idx="56">
                  <c:v>-3.3925686591276247</c:v>
                </c:pt>
                <c:pt idx="57">
                  <c:v>-3.3925686591276247</c:v>
                </c:pt>
                <c:pt idx="58">
                  <c:v>-3.3925686591276247</c:v>
                </c:pt>
                <c:pt idx="59">
                  <c:v>-3.2310177705977265</c:v>
                </c:pt>
                <c:pt idx="60">
                  <c:v>-3.2310177705977265</c:v>
                </c:pt>
                <c:pt idx="61">
                  <c:v>-3.5541195476575074</c:v>
                </c:pt>
                <c:pt idx="62">
                  <c:v>-3.5541195476575074</c:v>
                </c:pt>
                <c:pt idx="63">
                  <c:v>-3.5541195476575074</c:v>
                </c:pt>
                <c:pt idx="64">
                  <c:v>-3.3925686591276247</c:v>
                </c:pt>
                <c:pt idx="65">
                  <c:v>-3.2310177705977265</c:v>
                </c:pt>
                <c:pt idx="66">
                  <c:v>-3.0694668820678435</c:v>
                </c:pt>
                <c:pt idx="67">
                  <c:v>-2.8142164781906285</c:v>
                </c:pt>
                <c:pt idx="68">
                  <c:v>-2.6801292407108193</c:v>
                </c:pt>
                <c:pt idx="69">
                  <c:v>-2.6801292407108193</c:v>
                </c:pt>
                <c:pt idx="70">
                  <c:v>-2.6801292407108193</c:v>
                </c:pt>
                <c:pt idx="71">
                  <c:v>-2.8384491114701125</c:v>
                </c:pt>
                <c:pt idx="72">
                  <c:v>-2.8691437802907909</c:v>
                </c:pt>
                <c:pt idx="73">
                  <c:v>-3.0403877221324596</c:v>
                </c:pt>
                <c:pt idx="74">
                  <c:v>-3.02423263327948</c:v>
                </c:pt>
                <c:pt idx="75">
                  <c:v>-2.9870759289176063</c:v>
                </c:pt>
                <c:pt idx="76">
                  <c:v>-2.8739903069466761</c:v>
                </c:pt>
                <c:pt idx="77">
                  <c:v>-2.9063004846526646</c:v>
                </c:pt>
                <c:pt idx="78">
                  <c:v>-2.9208400646203492</c:v>
                </c:pt>
                <c:pt idx="79">
                  <c:v>-2.8400646203554074</c:v>
                </c:pt>
                <c:pt idx="80">
                  <c:v>-2.8158319870759239</c:v>
                </c:pt>
                <c:pt idx="81">
                  <c:v>-2.8982229402261606</c:v>
                </c:pt>
                <c:pt idx="82">
                  <c:v>-3.0064620355411904</c:v>
                </c:pt>
                <c:pt idx="83">
                  <c:v>-3.1324717285944956</c:v>
                </c:pt>
                <c:pt idx="84">
                  <c:v>-3.1066235864297167</c:v>
                </c:pt>
                <c:pt idx="85">
                  <c:v>-2.9806138933764115</c:v>
                </c:pt>
                <c:pt idx="86">
                  <c:v>-2.8901453957996703</c:v>
                </c:pt>
                <c:pt idx="87">
                  <c:v>-2.8077544426494336</c:v>
                </c:pt>
                <c:pt idx="88">
                  <c:v>-2.6817447495961142</c:v>
                </c:pt>
                <c:pt idx="89">
                  <c:v>-2.6995153473344033</c:v>
                </c:pt>
                <c:pt idx="90">
                  <c:v>-2.6995153473344033</c:v>
                </c:pt>
                <c:pt idx="91">
                  <c:v>-2.6833602584814096</c:v>
                </c:pt>
                <c:pt idx="92">
                  <c:v>-2.6833602584814096</c:v>
                </c:pt>
                <c:pt idx="93">
                  <c:v>-2.6833602584814096</c:v>
                </c:pt>
                <c:pt idx="94">
                  <c:v>-2.6397415185783411</c:v>
                </c:pt>
                <c:pt idx="95">
                  <c:v>-2.5072697899838414</c:v>
                </c:pt>
                <c:pt idx="96">
                  <c:v>-2.1567043618739858</c:v>
                </c:pt>
                <c:pt idx="97">
                  <c:v>-2.4394184168012889</c:v>
                </c:pt>
                <c:pt idx="98">
                  <c:v>-2.5557350565428094</c:v>
                </c:pt>
                <c:pt idx="99">
                  <c:v>-2.5250403877221306</c:v>
                </c:pt>
                <c:pt idx="100">
                  <c:v>-2.6462035541195359</c:v>
                </c:pt>
                <c:pt idx="101">
                  <c:v>-2.7528271405492708</c:v>
                </c:pt>
                <c:pt idx="102">
                  <c:v>-2.5605815831986947</c:v>
                </c:pt>
                <c:pt idx="103">
                  <c:v>-2.5702746365104936</c:v>
                </c:pt>
                <c:pt idx="104">
                  <c:v>-2.7156704361873976</c:v>
                </c:pt>
                <c:pt idx="105">
                  <c:v>-2.5945072697899776</c:v>
                </c:pt>
                <c:pt idx="106">
                  <c:v>-2.6187399030694616</c:v>
                </c:pt>
                <c:pt idx="107">
                  <c:v>-2.6252019386106564</c:v>
                </c:pt>
                <c:pt idx="108">
                  <c:v>-2.7221324717285924</c:v>
                </c:pt>
                <c:pt idx="109">
                  <c:v>-2.6914378029079136</c:v>
                </c:pt>
                <c:pt idx="110">
                  <c:v>-2.0581583198707549</c:v>
                </c:pt>
                <c:pt idx="111">
                  <c:v>-2.381260096930522</c:v>
                </c:pt>
                <c:pt idx="112">
                  <c:v>-2.3634894991922324</c:v>
                </c:pt>
                <c:pt idx="113">
                  <c:v>-2.3683360258481323</c:v>
                </c:pt>
                <c:pt idx="114">
                  <c:v>-2.521809369951526</c:v>
                </c:pt>
                <c:pt idx="115">
                  <c:v>-2.6413570274636506</c:v>
                </c:pt>
                <c:pt idx="116">
                  <c:v>-2.78675282714054</c:v>
                </c:pt>
                <c:pt idx="117">
                  <c:v>-2.7802907915993451</c:v>
                </c:pt>
                <c:pt idx="118">
                  <c:v>-2.854604200323092</c:v>
                </c:pt>
                <c:pt idx="119">
                  <c:v>-2.8917609046849657</c:v>
                </c:pt>
                <c:pt idx="120">
                  <c:v>-2.9676898222940218</c:v>
                </c:pt>
                <c:pt idx="121">
                  <c:v>-2.9095315024232549</c:v>
                </c:pt>
                <c:pt idx="122">
                  <c:v>-3.0403877221324596</c:v>
                </c:pt>
                <c:pt idx="123">
                  <c:v>-3.1453957996768853</c:v>
                </c:pt>
                <c:pt idx="124">
                  <c:v>-3.1147011308562065</c:v>
                </c:pt>
                <c:pt idx="125">
                  <c:v>-3.1437802907915904</c:v>
                </c:pt>
                <c:pt idx="126">
                  <c:v>-3.2213247172859414</c:v>
                </c:pt>
                <c:pt idx="127">
                  <c:v>-3.2132471728594374</c:v>
                </c:pt>
                <c:pt idx="128">
                  <c:v>-3.2197092084006464</c:v>
                </c:pt>
                <c:pt idx="129">
                  <c:v>-3.2229402261712363</c:v>
                </c:pt>
                <c:pt idx="130">
                  <c:v>-3.3021001615508832</c:v>
                </c:pt>
                <c:pt idx="131">
                  <c:v>-3.3667205169628311</c:v>
                </c:pt>
                <c:pt idx="132">
                  <c:v>-3.3731825525040255</c:v>
                </c:pt>
                <c:pt idx="133">
                  <c:v>-3.3715670436187306</c:v>
                </c:pt>
                <c:pt idx="134">
                  <c:v>-3.3602584814216367</c:v>
                </c:pt>
                <c:pt idx="135">
                  <c:v>-3.4361873990306928</c:v>
                </c:pt>
                <c:pt idx="136">
                  <c:v>-3.5250403877221239</c:v>
                </c:pt>
                <c:pt idx="137">
                  <c:v>-3.6817447495961226</c:v>
                </c:pt>
                <c:pt idx="138">
                  <c:v>-3.8400646203554012</c:v>
                </c:pt>
                <c:pt idx="139">
                  <c:v>-4.016155088852984</c:v>
                </c:pt>
                <c:pt idx="140">
                  <c:v>-4.2843295638125882</c:v>
                </c:pt>
                <c:pt idx="141">
                  <c:v>-4.3473344103392551</c:v>
                </c:pt>
                <c:pt idx="142">
                  <c:v>-4.3990306946688129</c:v>
                </c:pt>
                <c:pt idx="143">
                  <c:v>-4.5654281098545964</c:v>
                </c:pt>
                <c:pt idx="144">
                  <c:v>-4.7447495961227686</c:v>
                </c:pt>
                <c:pt idx="145">
                  <c:v>-4.7027463651049954</c:v>
                </c:pt>
                <c:pt idx="146">
                  <c:v>-4.6962843295638015</c:v>
                </c:pt>
                <c:pt idx="147">
                  <c:v>-4.6607431340872374</c:v>
                </c:pt>
                <c:pt idx="148">
                  <c:v>-4.6462035541195377</c:v>
                </c:pt>
                <c:pt idx="149">
                  <c:v>-4.6268174474959531</c:v>
                </c:pt>
                <c:pt idx="150">
                  <c:v>-4.6187399030694642</c:v>
                </c:pt>
                <c:pt idx="151">
                  <c:v>-4.8029079159935355</c:v>
                </c:pt>
                <c:pt idx="152">
                  <c:v>-4.7770597738287428</c:v>
                </c:pt>
                <c:pt idx="153">
                  <c:v>-4.8465266558966036</c:v>
                </c:pt>
                <c:pt idx="154">
                  <c:v>-4.9063004846526672</c:v>
                </c:pt>
                <c:pt idx="155">
                  <c:v>-4.9063004846526672</c:v>
                </c:pt>
                <c:pt idx="156">
                  <c:v>-5.5492730210016097</c:v>
                </c:pt>
                <c:pt idx="157">
                  <c:v>-5.2649434571890117</c:v>
                </c:pt>
                <c:pt idx="158">
                  <c:v>-5.91114701130856</c:v>
                </c:pt>
                <c:pt idx="159">
                  <c:v>-6.5088852988691412</c:v>
                </c:pt>
                <c:pt idx="160">
                  <c:v>-6.4927302100161466</c:v>
                </c:pt>
                <c:pt idx="161">
                  <c:v>-6.1567043618739898</c:v>
                </c:pt>
                <c:pt idx="162">
                  <c:v>-6.1857835218093591</c:v>
                </c:pt>
                <c:pt idx="163">
                  <c:v>-6.2261712439418373</c:v>
                </c:pt>
                <c:pt idx="164">
                  <c:v>-6.4620355411954673</c:v>
                </c:pt>
                <c:pt idx="165">
                  <c:v>-6.3796445880452302</c:v>
                </c:pt>
                <c:pt idx="166">
                  <c:v>-6.2810985460419992</c:v>
                </c:pt>
                <c:pt idx="167">
                  <c:v>-6.2778675282713952</c:v>
                </c:pt>
                <c:pt idx="168">
                  <c:v>-6.2746365105008053</c:v>
                </c:pt>
                <c:pt idx="169">
                  <c:v>-6.3004846526655847</c:v>
                </c:pt>
                <c:pt idx="170">
                  <c:v>-6.2810985460419992</c:v>
                </c:pt>
                <c:pt idx="171">
                  <c:v>-6.2891760904684899</c:v>
                </c:pt>
                <c:pt idx="172">
                  <c:v>-6.3424878836833578</c:v>
                </c:pt>
                <c:pt idx="173">
                  <c:v>-6.2681744749596104</c:v>
                </c:pt>
                <c:pt idx="174">
                  <c:v>-6.2245557350565415</c:v>
                </c:pt>
                <c:pt idx="175">
                  <c:v>-6.235864297253622</c:v>
                </c:pt>
                <c:pt idx="176">
                  <c:v>-6.2746365105008053</c:v>
                </c:pt>
                <c:pt idx="177">
                  <c:v>-6.2972536348949797</c:v>
                </c:pt>
                <c:pt idx="178">
                  <c:v>-6.2520193861066167</c:v>
                </c:pt>
                <c:pt idx="179">
                  <c:v>-6.1308562197091963</c:v>
                </c:pt>
                <c:pt idx="180">
                  <c:v>-6.2084006462035477</c:v>
                </c:pt>
                <c:pt idx="181">
                  <c:v>-6.2084006462035477</c:v>
                </c:pt>
                <c:pt idx="182">
                  <c:v>-6.2084006462035477</c:v>
                </c:pt>
                <c:pt idx="183">
                  <c:v>-6.2084006462035477</c:v>
                </c:pt>
                <c:pt idx="184">
                  <c:v>-6.2084006462035477</c:v>
                </c:pt>
                <c:pt idx="185">
                  <c:v>-6.2084006462035477</c:v>
                </c:pt>
                <c:pt idx="186">
                  <c:v>-4.9466882067851303</c:v>
                </c:pt>
                <c:pt idx="187">
                  <c:v>-5.2810985460419912</c:v>
                </c:pt>
                <c:pt idx="188">
                  <c:v>-5.4684975767366684</c:v>
                </c:pt>
                <c:pt idx="189">
                  <c:v>-5.3021001615508849</c:v>
                </c:pt>
                <c:pt idx="190">
                  <c:v>-5.3683360258481283</c:v>
                </c:pt>
                <c:pt idx="191">
                  <c:v>-5.3602584814216385</c:v>
                </c:pt>
                <c:pt idx="192">
                  <c:v>-5.4474959612277747</c:v>
                </c:pt>
                <c:pt idx="193">
                  <c:v>-5.5201938610662262</c:v>
                </c:pt>
                <c:pt idx="194">
                  <c:v>-5.5492730210016097</c:v>
                </c:pt>
                <c:pt idx="195">
                  <c:v>-5.6607431340872312</c:v>
                </c:pt>
                <c:pt idx="196">
                  <c:v>-5.8481421647818932</c:v>
                </c:pt>
                <c:pt idx="197">
                  <c:v>-5.8497576736672023</c:v>
                </c:pt>
                <c:pt idx="198">
                  <c:v>-5.8319870759289136</c:v>
                </c:pt>
                <c:pt idx="199">
                  <c:v>-5.5250403877221261</c:v>
                </c:pt>
                <c:pt idx="200">
                  <c:v>-5.1518578352180819</c:v>
                </c:pt>
                <c:pt idx="201">
                  <c:v>-5.1970920840064601</c:v>
                </c:pt>
                <c:pt idx="202">
                  <c:v>-5.0274636510500725</c:v>
                </c:pt>
                <c:pt idx="203">
                  <c:v>-5.2180936995153386</c:v>
                </c:pt>
                <c:pt idx="204">
                  <c:v>-5.1470113085621962</c:v>
                </c:pt>
                <c:pt idx="205">
                  <c:v>-4.6510500807754376</c:v>
                </c:pt>
                <c:pt idx="206">
                  <c:v>-5.008077544426488</c:v>
                </c:pt>
                <c:pt idx="207">
                  <c:v>-5.1744749596122706</c:v>
                </c:pt>
                <c:pt idx="208">
                  <c:v>-5.3634894991922426</c:v>
                </c:pt>
                <c:pt idx="209">
                  <c:v>-4.6042003231017645</c:v>
                </c:pt>
                <c:pt idx="210">
                  <c:v>-4.5492730210016168</c:v>
                </c:pt>
                <c:pt idx="211">
                  <c:v>-4.7092084006461903</c:v>
                </c:pt>
                <c:pt idx="212">
                  <c:v>-4.8045234248788304</c:v>
                </c:pt>
                <c:pt idx="213">
                  <c:v>-5.0581583198707509</c:v>
                </c:pt>
                <c:pt idx="214">
                  <c:v>-5.2778675282714014</c:v>
                </c:pt>
                <c:pt idx="215">
                  <c:v>-5.3376413570274641</c:v>
                </c:pt>
                <c:pt idx="216">
                  <c:v>-4.8691437802907789</c:v>
                </c:pt>
                <c:pt idx="217">
                  <c:v>-5.0888529886914293</c:v>
                </c:pt>
                <c:pt idx="218">
                  <c:v>-4.4168012924071025</c:v>
                </c:pt>
                <c:pt idx="219">
                  <c:v>-4.2439418416801242</c:v>
                </c:pt>
                <c:pt idx="220">
                  <c:v>-4.7140549273020902</c:v>
                </c:pt>
                <c:pt idx="221">
                  <c:v>-4.7140549273020902</c:v>
                </c:pt>
                <c:pt idx="222">
                  <c:v>-4.6381260096930479</c:v>
                </c:pt>
                <c:pt idx="223">
                  <c:v>-4.6995153473344056</c:v>
                </c:pt>
                <c:pt idx="224">
                  <c:v>-4.4022617124394179</c:v>
                </c:pt>
                <c:pt idx="225">
                  <c:v>-4.4200323101776924</c:v>
                </c:pt>
                <c:pt idx="226">
                  <c:v>-4.34894991922455</c:v>
                </c:pt>
                <c:pt idx="227">
                  <c:v>-4.4345718901453912</c:v>
                </c:pt>
                <c:pt idx="228">
                  <c:v>-4.6591276252019274</c:v>
                </c:pt>
                <c:pt idx="229">
                  <c:v>-4.7269789983844799</c:v>
                </c:pt>
                <c:pt idx="230">
                  <c:v>-4.6122778675282685</c:v>
                </c:pt>
                <c:pt idx="231">
                  <c:v>-4.6074313408723695</c:v>
                </c:pt>
                <c:pt idx="232">
                  <c:v>-4.3618739903069397</c:v>
                </c:pt>
                <c:pt idx="233">
                  <c:v>-4.4975767366720438</c:v>
                </c:pt>
                <c:pt idx="234">
                  <c:v>-4.7221324717285942</c:v>
                </c:pt>
                <c:pt idx="235">
                  <c:v>-4.9999999999999973</c:v>
                </c:pt>
                <c:pt idx="236">
                  <c:v>-4.8917609046849675</c:v>
                </c:pt>
                <c:pt idx="237">
                  <c:v>-4.9030694668820622</c:v>
                </c:pt>
                <c:pt idx="238">
                  <c:v>-4.9757673667205138</c:v>
                </c:pt>
                <c:pt idx="239">
                  <c:v>-4.6187399030694642</c:v>
                </c:pt>
                <c:pt idx="240">
                  <c:v>-4.6526655896607325</c:v>
                </c:pt>
                <c:pt idx="241">
                  <c:v>-4.5896607431340799</c:v>
                </c:pt>
                <c:pt idx="242">
                  <c:v>-4.8756058158319737</c:v>
                </c:pt>
                <c:pt idx="243">
                  <c:v>-4.8820678513731828</c:v>
                </c:pt>
                <c:pt idx="244">
                  <c:v>-5.0743134087237447</c:v>
                </c:pt>
                <c:pt idx="245">
                  <c:v>-5.0452342487883612</c:v>
                </c:pt>
                <c:pt idx="246">
                  <c:v>-5.3586429725363436</c:v>
                </c:pt>
                <c:pt idx="247">
                  <c:v>-5.3198707592891745</c:v>
                </c:pt>
                <c:pt idx="248">
                  <c:v>-4.8465266558966036</c:v>
                </c:pt>
                <c:pt idx="249">
                  <c:v>-5.2762520193861064</c:v>
                </c:pt>
                <c:pt idx="250">
                  <c:v>-5.5331179321486159</c:v>
                </c:pt>
                <c:pt idx="251">
                  <c:v>-5.3489499192245438</c:v>
                </c:pt>
                <c:pt idx="252">
                  <c:v>-5.3570274636510478</c:v>
                </c:pt>
                <c:pt idx="253">
                  <c:v>-5.6704361873990301</c:v>
                </c:pt>
                <c:pt idx="254">
                  <c:v>-5.7075928917609033</c:v>
                </c:pt>
                <c:pt idx="255">
                  <c:v>-5.8917609046849755</c:v>
                </c:pt>
                <c:pt idx="256">
                  <c:v>-5.9499192245557291</c:v>
                </c:pt>
                <c:pt idx="257">
                  <c:v>-5.8675282714054919</c:v>
                </c:pt>
                <c:pt idx="258">
                  <c:v>-5.8820678513731766</c:v>
                </c:pt>
                <c:pt idx="259">
                  <c:v>-5.8126009693053291</c:v>
                </c:pt>
                <c:pt idx="260">
                  <c:v>-6.0145395799676908</c:v>
                </c:pt>
                <c:pt idx="261">
                  <c:v>-6.3618739903069415</c:v>
                </c:pt>
                <c:pt idx="262">
                  <c:v>-6.3295638126009672</c:v>
                </c:pt>
                <c:pt idx="263">
                  <c:v>-6.2261712439418373</c:v>
                </c:pt>
                <c:pt idx="264">
                  <c:v>-6.2762520193861002</c:v>
                </c:pt>
                <c:pt idx="265">
                  <c:v>-5.8966074313408612</c:v>
                </c:pt>
                <c:pt idx="266">
                  <c:v>-6.0581583198707447</c:v>
                </c:pt>
                <c:pt idx="267">
                  <c:v>-6.1066235864297127</c:v>
                </c:pt>
                <c:pt idx="268">
                  <c:v>-6.0274636510500805</c:v>
                </c:pt>
                <c:pt idx="269">
                  <c:v>-5.9273021001615396</c:v>
                </c:pt>
                <c:pt idx="270">
                  <c:v>-6.1712439418416745</c:v>
                </c:pt>
                <c:pt idx="271">
                  <c:v>-6.3505654281098476</c:v>
                </c:pt>
                <c:pt idx="272">
                  <c:v>-6.5266558966074291</c:v>
                </c:pt>
                <c:pt idx="273">
                  <c:v>-6.336025848142163</c:v>
                </c:pt>
                <c:pt idx="274">
                  <c:v>-6.4636510500807622</c:v>
                </c:pt>
                <c:pt idx="275">
                  <c:v>-6.3893376413570149</c:v>
                </c:pt>
                <c:pt idx="276">
                  <c:v>-6.2455573505654209</c:v>
                </c:pt>
                <c:pt idx="277">
                  <c:v>-6.3990306946688156</c:v>
                </c:pt>
                <c:pt idx="278">
                  <c:v>-6.2665589660743013</c:v>
                </c:pt>
                <c:pt idx="279">
                  <c:v>-6.1050080775444178</c:v>
                </c:pt>
                <c:pt idx="280">
                  <c:v>-7.0807754442649422</c:v>
                </c:pt>
                <c:pt idx="281">
                  <c:v>-7.3893376413570246</c:v>
                </c:pt>
                <c:pt idx="282">
                  <c:v>-7.4103392568659023</c:v>
                </c:pt>
                <c:pt idx="283">
                  <c:v>-7.0856219709208412</c:v>
                </c:pt>
                <c:pt idx="284">
                  <c:v>-7.5072697899838392</c:v>
                </c:pt>
                <c:pt idx="285">
                  <c:v>-7.5460420032310074</c:v>
                </c:pt>
                <c:pt idx="286">
                  <c:v>-7.6672051696284269</c:v>
                </c:pt>
                <c:pt idx="287">
                  <c:v>-7.9289176090468372</c:v>
                </c:pt>
                <c:pt idx="288">
                  <c:v>-8.1098546042003186</c:v>
                </c:pt>
                <c:pt idx="289">
                  <c:v>-7.9127625201938567</c:v>
                </c:pt>
                <c:pt idx="290">
                  <c:v>-8.0242326332794782</c:v>
                </c:pt>
                <c:pt idx="291">
                  <c:v>-8.174474959612267</c:v>
                </c:pt>
                <c:pt idx="292">
                  <c:v>-8.0613893376413515</c:v>
                </c:pt>
                <c:pt idx="293">
                  <c:v>-8.0096930533117927</c:v>
                </c:pt>
                <c:pt idx="294">
                  <c:v>-7.9806138933764093</c:v>
                </c:pt>
                <c:pt idx="295">
                  <c:v>-8.0823909531502292</c:v>
                </c:pt>
                <c:pt idx="296">
                  <c:v>-8.2197092084006442</c:v>
                </c:pt>
                <c:pt idx="297">
                  <c:v>-8.2100161550888444</c:v>
                </c:pt>
                <c:pt idx="298">
                  <c:v>-7.8465266558966</c:v>
                </c:pt>
                <c:pt idx="299">
                  <c:v>-7.8949919224555689</c:v>
                </c:pt>
                <c:pt idx="300">
                  <c:v>-7.8546042003230898</c:v>
                </c:pt>
                <c:pt idx="301">
                  <c:v>-7.8901453957996681</c:v>
                </c:pt>
                <c:pt idx="302">
                  <c:v>-7.7948303715670422</c:v>
                </c:pt>
                <c:pt idx="303">
                  <c:v>-7.7802907915993424</c:v>
                </c:pt>
                <c:pt idx="304">
                  <c:v>-7.5218093699515238</c:v>
                </c:pt>
                <c:pt idx="305">
                  <c:v>-7.2504038772213146</c:v>
                </c:pt>
                <c:pt idx="306">
                  <c:v>-7.3085621970920815</c:v>
                </c:pt>
                <c:pt idx="307">
                  <c:v>-7.0387722132471691</c:v>
                </c:pt>
                <c:pt idx="308">
                  <c:v>-7.1066235864297207</c:v>
                </c:pt>
                <c:pt idx="309">
                  <c:v>-7.2633279483037052</c:v>
                </c:pt>
                <c:pt idx="310">
                  <c:v>-7.508885298869135</c:v>
                </c:pt>
                <c:pt idx="311">
                  <c:v>-7.5896607431340763</c:v>
                </c:pt>
                <c:pt idx="312">
                  <c:v>-7.518578352180934</c:v>
                </c:pt>
                <c:pt idx="313">
                  <c:v>-7.2294022617124352</c:v>
                </c:pt>
                <c:pt idx="314">
                  <c:v>-7.1583198707592794</c:v>
                </c:pt>
                <c:pt idx="315">
                  <c:v>-7.2504038772213146</c:v>
                </c:pt>
                <c:pt idx="316">
                  <c:v>-7.2148626817447363</c:v>
                </c:pt>
                <c:pt idx="317">
                  <c:v>-7.0420032310177589</c:v>
                </c:pt>
                <c:pt idx="318">
                  <c:v>-7.1437802907915948</c:v>
                </c:pt>
                <c:pt idx="319">
                  <c:v>-7.0953150242326259</c:v>
                </c:pt>
                <c:pt idx="320">
                  <c:v>-7.4684975767366701</c:v>
                </c:pt>
                <c:pt idx="321">
                  <c:v>-7.4943457189014486</c:v>
                </c:pt>
                <c:pt idx="322">
                  <c:v>-7.3634894991922453</c:v>
                </c:pt>
                <c:pt idx="323">
                  <c:v>-7.5072697899838392</c:v>
                </c:pt>
                <c:pt idx="324">
                  <c:v>-7.5298869143780287</c:v>
                </c:pt>
                <c:pt idx="325">
                  <c:v>-7.7189014539579857</c:v>
                </c:pt>
                <c:pt idx="326">
                  <c:v>-7.8497576736672041</c:v>
                </c:pt>
                <c:pt idx="327">
                  <c:v>-7.9063004846526619</c:v>
                </c:pt>
                <c:pt idx="328">
                  <c:v>-7.948303715670435</c:v>
                </c:pt>
                <c:pt idx="329">
                  <c:v>-7.7576736672051689</c:v>
                </c:pt>
                <c:pt idx="330">
                  <c:v>-7.9030694668820578</c:v>
                </c:pt>
                <c:pt idx="331">
                  <c:v>-7.8546042003230898</c:v>
                </c:pt>
                <c:pt idx="332">
                  <c:v>-7.9870759289176041</c:v>
                </c:pt>
                <c:pt idx="333">
                  <c:v>-7.6203554119547547</c:v>
                </c:pt>
                <c:pt idx="334">
                  <c:v>-7.7237479806138847</c:v>
                </c:pt>
                <c:pt idx="335">
                  <c:v>-8.1567043618739774</c:v>
                </c:pt>
                <c:pt idx="336">
                  <c:v>-7.9999999999999929</c:v>
                </c:pt>
                <c:pt idx="337">
                  <c:v>-8.0080775444264845</c:v>
                </c:pt>
                <c:pt idx="338">
                  <c:v>-7.7463651050080742</c:v>
                </c:pt>
                <c:pt idx="339">
                  <c:v>-7.7689822294022495</c:v>
                </c:pt>
                <c:pt idx="340">
                  <c:v>-7.8239095315024114</c:v>
                </c:pt>
                <c:pt idx="341">
                  <c:v>-7.6978998384491053</c:v>
                </c:pt>
                <c:pt idx="342">
                  <c:v>-7.7447495961227641</c:v>
                </c:pt>
                <c:pt idx="343">
                  <c:v>-7.6898222940226164</c:v>
                </c:pt>
                <c:pt idx="344">
                  <c:v>-7.6009693053311702</c:v>
                </c:pt>
                <c:pt idx="345">
                  <c:v>-7.7269789983844896</c:v>
                </c:pt>
                <c:pt idx="346">
                  <c:v>-7.6252019386106538</c:v>
                </c:pt>
                <c:pt idx="347">
                  <c:v>-7.704361873990301</c:v>
                </c:pt>
                <c:pt idx="348">
                  <c:v>-7.8319870759289163</c:v>
                </c:pt>
                <c:pt idx="349">
                  <c:v>-7.6332794830371444</c:v>
                </c:pt>
                <c:pt idx="350">
                  <c:v>-7.6946688206785021</c:v>
                </c:pt>
                <c:pt idx="351">
                  <c:v>-7.7544426494345631</c:v>
                </c:pt>
                <c:pt idx="352">
                  <c:v>-7.9402261712439319</c:v>
                </c:pt>
                <c:pt idx="353">
                  <c:v>-8.085621970920835</c:v>
                </c:pt>
                <c:pt idx="354">
                  <c:v>-8.2891760904684926</c:v>
                </c:pt>
                <c:pt idx="355">
                  <c:v>-8.1793214862681669</c:v>
                </c:pt>
                <c:pt idx="356">
                  <c:v>-8.3424878836833596</c:v>
                </c:pt>
                <c:pt idx="357">
                  <c:v>-8.6252019386106618</c:v>
                </c:pt>
                <c:pt idx="358">
                  <c:v>-8.6849757673667103</c:v>
                </c:pt>
                <c:pt idx="359">
                  <c:v>-8.6849757673667103</c:v>
                </c:pt>
                <c:pt idx="360">
                  <c:v>-8.6978998384491</c:v>
                </c:pt>
                <c:pt idx="361">
                  <c:v>-8.8368336025848091</c:v>
                </c:pt>
                <c:pt idx="362">
                  <c:v>-8.7253634894991876</c:v>
                </c:pt>
                <c:pt idx="363">
                  <c:v>-8.7221324717285853</c:v>
                </c:pt>
                <c:pt idx="364">
                  <c:v>-8.8723747980613865</c:v>
                </c:pt>
                <c:pt idx="365">
                  <c:v>-9.2536348949919223</c:v>
                </c:pt>
                <c:pt idx="366">
                  <c:v>-9.3780290791599317</c:v>
                </c:pt>
                <c:pt idx="367">
                  <c:v>-9.3327948303715527</c:v>
                </c:pt>
                <c:pt idx="368">
                  <c:v>-9.3683360258481319</c:v>
                </c:pt>
                <c:pt idx="369">
                  <c:v>-9.6171243941841666</c:v>
                </c:pt>
                <c:pt idx="370">
                  <c:v>-9.5137318255250367</c:v>
                </c:pt>
                <c:pt idx="371">
                  <c:v>-9.358642972536348</c:v>
                </c:pt>
                <c:pt idx="372">
                  <c:v>-9.2100161550888391</c:v>
                </c:pt>
                <c:pt idx="373">
                  <c:v>-9.0096930533117874</c:v>
                </c:pt>
                <c:pt idx="374">
                  <c:v>-9.132471728594501</c:v>
                </c:pt>
                <c:pt idx="375">
                  <c:v>-9.1841680129240597</c:v>
                </c:pt>
                <c:pt idx="376">
                  <c:v>-9.6300484652665563</c:v>
                </c:pt>
                <c:pt idx="377">
                  <c:v>-9.5783521809369834</c:v>
                </c:pt>
                <c:pt idx="378">
                  <c:v>-9.838449111470112</c:v>
                </c:pt>
                <c:pt idx="379">
                  <c:v>-10.106623586429716</c:v>
                </c:pt>
                <c:pt idx="380">
                  <c:v>-9.9547657512116317</c:v>
                </c:pt>
                <c:pt idx="381">
                  <c:v>-10.623586429725355</c:v>
                </c:pt>
                <c:pt idx="382">
                  <c:v>-10.786752827140548</c:v>
                </c:pt>
                <c:pt idx="383">
                  <c:v>-11.072697899838442</c:v>
                </c:pt>
                <c:pt idx="384">
                  <c:v>-11.132471728594503</c:v>
                </c:pt>
                <c:pt idx="385">
                  <c:v>-11.284329563812587</c:v>
                </c:pt>
                <c:pt idx="386">
                  <c:v>-11.347334410339254</c:v>
                </c:pt>
                <c:pt idx="387">
                  <c:v>-11.226171243941835</c:v>
                </c:pt>
                <c:pt idx="388">
                  <c:v>-11.670436187399021</c:v>
                </c:pt>
                <c:pt idx="389">
                  <c:v>-11.823909531502414</c:v>
                </c:pt>
                <c:pt idx="390">
                  <c:v>-11.672051696284317</c:v>
                </c:pt>
                <c:pt idx="391">
                  <c:v>-11.576736672051691</c:v>
                </c:pt>
                <c:pt idx="392">
                  <c:v>-11.235864297253634</c:v>
                </c:pt>
                <c:pt idx="393">
                  <c:v>-11.410339256865907</c:v>
                </c:pt>
                <c:pt idx="394">
                  <c:v>-11.151857835218088</c:v>
                </c:pt>
                <c:pt idx="395">
                  <c:v>-11.09046849757673</c:v>
                </c:pt>
                <c:pt idx="396">
                  <c:v>-10.833602584814205</c:v>
                </c:pt>
                <c:pt idx="397">
                  <c:v>-11.071082390953146</c:v>
                </c:pt>
                <c:pt idx="398">
                  <c:v>-11.192245557350551</c:v>
                </c:pt>
                <c:pt idx="399">
                  <c:v>-11.688206785137311</c:v>
                </c:pt>
                <c:pt idx="400">
                  <c:v>-11.686591276252017</c:v>
                </c:pt>
                <c:pt idx="401">
                  <c:v>-11.402261712439417</c:v>
                </c:pt>
                <c:pt idx="402">
                  <c:v>-11.386106623586423</c:v>
                </c:pt>
                <c:pt idx="403">
                  <c:v>-11.153473344103384</c:v>
                </c:pt>
                <c:pt idx="404">
                  <c:v>-11.954765751211619</c:v>
                </c:pt>
                <c:pt idx="405">
                  <c:v>-12.631663974151847</c:v>
                </c:pt>
                <c:pt idx="406">
                  <c:v>-12.447495961227775</c:v>
                </c:pt>
                <c:pt idx="407">
                  <c:v>-12.190630048465264</c:v>
                </c:pt>
                <c:pt idx="408">
                  <c:v>-12.053311793214851</c:v>
                </c:pt>
                <c:pt idx="409">
                  <c:v>-12.229402261712433</c:v>
                </c:pt>
                <c:pt idx="410">
                  <c:v>-12.21809369951534</c:v>
                </c:pt>
                <c:pt idx="411">
                  <c:v>-12.260096930533113</c:v>
                </c:pt>
                <c:pt idx="412">
                  <c:v>-12.387722132471726</c:v>
                </c:pt>
                <c:pt idx="413">
                  <c:v>-12.75444264943456</c:v>
                </c:pt>
                <c:pt idx="414">
                  <c:v>-12.292407108239086</c:v>
                </c:pt>
                <c:pt idx="415">
                  <c:v>-12.111470113085618</c:v>
                </c:pt>
                <c:pt idx="416">
                  <c:v>-12.373182552504028</c:v>
                </c:pt>
                <c:pt idx="417">
                  <c:v>-12.302100161550886</c:v>
                </c:pt>
                <c:pt idx="418">
                  <c:v>-11.605815831987073</c:v>
                </c:pt>
                <c:pt idx="419">
                  <c:v>-11.030694668820669</c:v>
                </c:pt>
                <c:pt idx="420">
                  <c:v>-11.949919224555734</c:v>
                </c:pt>
                <c:pt idx="421">
                  <c:v>-12.043618739903065</c:v>
                </c:pt>
                <c:pt idx="422">
                  <c:v>-11.873990306946679</c:v>
                </c:pt>
                <c:pt idx="423">
                  <c:v>-11.777059773828757</c:v>
                </c:pt>
                <c:pt idx="424">
                  <c:v>-11.22778675282713</c:v>
                </c:pt>
                <c:pt idx="425">
                  <c:v>-11.432956381260096</c:v>
                </c:pt>
                <c:pt idx="426">
                  <c:v>-11.371567043618738</c:v>
                </c:pt>
                <c:pt idx="427">
                  <c:v>-10.613893376413555</c:v>
                </c:pt>
                <c:pt idx="428">
                  <c:v>-10.605815831987066</c:v>
                </c:pt>
                <c:pt idx="429">
                  <c:v>-11.200323101777055</c:v>
                </c:pt>
                <c:pt idx="430">
                  <c:v>-11.082390953150242</c:v>
                </c:pt>
                <c:pt idx="431">
                  <c:v>-10.618739903069455</c:v>
                </c:pt>
                <c:pt idx="432">
                  <c:v>-10.786752827140548</c:v>
                </c:pt>
                <c:pt idx="433">
                  <c:v>-10.925686591276243</c:v>
                </c:pt>
                <c:pt idx="434">
                  <c:v>-11.132471728594503</c:v>
                </c:pt>
                <c:pt idx="435">
                  <c:v>-11.536348949919212</c:v>
                </c:pt>
                <c:pt idx="436">
                  <c:v>-11.436187399030686</c:v>
                </c:pt>
                <c:pt idx="437">
                  <c:v>-10.907915993537953</c:v>
                </c:pt>
                <c:pt idx="438">
                  <c:v>-10.835218093699501</c:v>
                </c:pt>
                <c:pt idx="439">
                  <c:v>-10.437802907915987</c:v>
                </c:pt>
                <c:pt idx="440">
                  <c:v>-10.361873990306945</c:v>
                </c:pt>
                <c:pt idx="441">
                  <c:v>-10.694668820678512</c:v>
                </c:pt>
                <c:pt idx="442">
                  <c:v>-11.201938610662351</c:v>
                </c:pt>
                <c:pt idx="443">
                  <c:v>-11.042003231017762</c:v>
                </c:pt>
                <c:pt idx="444">
                  <c:v>-11.126009693053309</c:v>
                </c:pt>
                <c:pt idx="445">
                  <c:v>-11.176090468497572</c:v>
                </c:pt>
                <c:pt idx="446">
                  <c:v>-11.182552504038766</c:v>
                </c:pt>
                <c:pt idx="447">
                  <c:v>-10.996768982229399</c:v>
                </c:pt>
                <c:pt idx="448">
                  <c:v>-10.775444264943454</c:v>
                </c:pt>
                <c:pt idx="449">
                  <c:v>-10.794830371567038</c:v>
                </c:pt>
                <c:pt idx="450">
                  <c:v>-10.946688206785137</c:v>
                </c:pt>
                <c:pt idx="451">
                  <c:v>-10.9870759289176</c:v>
                </c:pt>
                <c:pt idx="452">
                  <c:v>-11.190630048465257</c:v>
                </c:pt>
                <c:pt idx="453">
                  <c:v>-11.101777059773825</c:v>
                </c:pt>
                <c:pt idx="454">
                  <c:v>-10.940226171243941</c:v>
                </c:pt>
                <c:pt idx="455">
                  <c:v>-10.924071082390947</c:v>
                </c:pt>
                <c:pt idx="456">
                  <c:v>-10.919224555735047</c:v>
                </c:pt>
                <c:pt idx="457">
                  <c:v>-10.830371567043615</c:v>
                </c:pt>
                <c:pt idx="458">
                  <c:v>-11.069466882067838</c:v>
                </c:pt>
                <c:pt idx="459">
                  <c:v>-11.282714054927293</c:v>
                </c:pt>
                <c:pt idx="460">
                  <c:v>-11.526655896607426</c:v>
                </c:pt>
                <c:pt idx="461">
                  <c:v>-11.34410339256865</c:v>
                </c:pt>
                <c:pt idx="462">
                  <c:v>-11.394184168012913</c:v>
                </c:pt>
                <c:pt idx="463">
                  <c:v>-11.583198707592885</c:v>
                </c:pt>
                <c:pt idx="464">
                  <c:v>-11.631663974151852</c:v>
                </c:pt>
                <c:pt idx="465">
                  <c:v>-11.518578352180937</c:v>
                </c:pt>
                <c:pt idx="466">
                  <c:v>-11.497576736672045</c:v>
                </c:pt>
                <c:pt idx="467">
                  <c:v>-11.505654281098533</c:v>
                </c:pt>
                <c:pt idx="468">
                  <c:v>-11.47011308562197</c:v>
                </c:pt>
                <c:pt idx="469">
                  <c:v>-11.43780290791598</c:v>
                </c:pt>
                <c:pt idx="470">
                  <c:v>-11.371567043618738</c:v>
                </c:pt>
                <c:pt idx="471">
                  <c:v>-11.429725363489492</c:v>
                </c:pt>
                <c:pt idx="472">
                  <c:v>-11.36510500807753</c:v>
                </c:pt>
                <c:pt idx="473">
                  <c:v>-11.108239095315021</c:v>
                </c:pt>
                <c:pt idx="474">
                  <c:v>-11.248788368336024</c:v>
                </c:pt>
                <c:pt idx="475">
                  <c:v>-11.190630048465257</c:v>
                </c:pt>
                <c:pt idx="476">
                  <c:v>-10.917609046849751</c:v>
                </c:pt>
                <c:pt idx="477">
                  <c:v>-11.231017770597735</c:v>
                </c:pt>
                <c:pt idx="478">
                  <c:v>-11.313408723747971</c:v>
                </c:pt>
                <c:pt idx="479">
                  <c:v>-11.389337641357015</c:v>
                </c:pt>
                <c:pt idx="480">
                  <c:v>-11.108239095315021</c:v>
                </c:pt>
                <c:pt idx="481">
                  <c:v>-11.158319870759282</c:v>
                </c:pt>
                <c:pt idx="482">
                  <c:v>-11.329563812600965</c:v>
                </c:pt>
                <c:pt idx="483">
                  <c:v>-11.36187399030694</c:v>
                </c:pt>
                <c:pt idx="484">
                  <c:v>-11.397415185783517</c:v>
                </c:pt>
                <c:pt idx="485">
                  <c:v>-11.499192245557339</c:v>
                </c:pt>
                <c:pt idx="486">
                  <c:v>-11.5686591276252</c:v>
                </c:pt>
                <c:pt idx="487">
                  <c:v>-11.399030694668813</c:v>
                </c:pt>
                <c:pt idx="488">
                  <c:v>-11.389337641357015</c:v>
                </c:pt>
                <c:pt idx="489">
                  <c:v>-11.179321486268162</c:v>
                </c:pt>
                <c:pt idx="490">
                  <c:v>-11.135702746365093</c:v>
                </c:pt>
                <c:pt idx="491">
                  <c:v>-11.056542810985446</c:v>
                </c:pt>
                <c:pt idx="492">
                  <c:v>-11.061389337641348</c:v>
                </c:pt>
                <c:pt idx="493">
                  <c:v>-11.147011308562188</c:v>
                </c:pt>
                <c:pt idx="494">
                  <c:v>-11.092084006462025</c:v>
                </c:pt>
                <c:pt idx="495">
                  <c:v>-11.34894991922455</c:v>
                </c:pt>
                <c:pt idx="496">
                  <c:v>-11.095315024232629</c:v>
                </c:pt>
                <c:pt idx="497">
                  <c:v>-11.153473344103384</c:v>
                </c:pt>
                <c:pt idx="498">
                  <c:v>-11.420032310177707</c:v>
                </c:pt>
                <c:pt idx="499">
                  <c:v>-11.345718901453946</c:v>
                </c:pt>
                <c:pt idx="500">
                  <c:v>-11.363489499192235</c:v>
                </c:pt>
                <c:pt idx="501">
                  <c:v>-11.33602584814216</c:v>
                </c:pt>
                <c:pt idx="502">
                  <c:v>-11.266558966074298</c:v>
                </c:pt>
                <c:pt idx="503">
                  <c:v>-11.289176090468487</c:v>
                </c:pt>
                <c:pt idx="504">
                  <c:v>-11.332794830371556</c:v>
                </c:pt>
                <c:pt idx="505">
                  <c:v>-11.379644588045229</c:v>
                </c:pt>
                <c:pt idx="506">
                  <c:v>-11.476575121163163</c:v>
                </c:pt>
                <c:pt idx="507">
                  <c:v>-11.550888529886912</c:v>
                </c:pt>
                <c:pt idx="508">
                  <c:v>-11.510500807754433</c:v>
                </c:pt>
                <c:pt idx="509">
                  <c:v>-11.429725363489492</c:v>
                </c:pt>
                <c:pt idx="510">
                  <c:v>-11.345718901453946</c:v>
                </c:pt>
                <c:pt idx="511">
                  <c:v>-11.189014539579961</c:v>
                </c:pt>
                <c:pt idx="512">
                  <c:v>-11.012924071082379</c:v>
                </c:pt>
                <c:pt idx="513">
                  <c:v>-10.995153473344089</c:v>
                </c:pt>
                <c:pt idx="514">
                  <c:v>-11.016155088852983</c:v>
                </c:pt>
                <c:pt idx="515">
                  <c:v>-10.903069466882068</c:v>
                </c:pt>
                <c:pt idx="516">
                  <c:v>-10.86752827140549</c:v>
                </c:pt>
                <c:pt idx="517">
                  <c:v>-10.936995153473337</c:v>
                </c:pt>
                <c:pt idx="518">
                  <c:v>-11.029079159935373</c:v>
                </c:pt>
                <c:pt idx="519">
                  <c:v>-10.696284329563808</c:v>
                </c:pt>
                <c:pt idx="520">
                  <c:v>-10.794830371567038</c:v>
                </c:pt>
                <c:pt idx="521">
                  <c:v>-10.726978998384485</c:v>
                </c:pt>
                <c:pt idx="522">
                  <c:v>-10.649434571890135</c:v>
                </c:pt>
                <c:pt idx="523" formatCode="0.00">
                  <c:v>-10.143780290791589</c:v>
                </c:pt>
                <c:pt idx="524">
                  <c:v>-9.8546042003230916</c:v>
                </c:pt>
                <c:pt idx="525">
                  <c:v>-10.016155088852976</c:v>
                </c:pt>
                <c:pt idx="526">
                  <c:v>-9.6930533117932072</c:v>
                </c:pt>
                <c:pt idx="527">
                  <c:v>-9.5315024232633245</c:v>
                </c:pt>
                <c:pt idx="528">
                  <c:v>-9.5315024232633245</c:v>
                </c:pt>
                <c:pt idx="529">
                  <c:v>-9.6930533117932072</c:v>
                </c:pt>
                <c:pt idx="530">
                  <c:v>-9.6930533117932072</c:v>
                </c:pt>
                <c:pt idx="531">
                  <c:v>-9.8546042003230916</c:v>
                </c:pt>
                <c:pt idx="532">
                  <c:v>-9.6930533117932072</c:v>
                </c:pt>
                <c:pt idx="533">
                  <c:v>-9.5315024232633245</c:v>
                </c:pt>
                <c:pt idx="534">
                  <c:v>-9.8546042003230916</c:v>
                </c:pt>
                <c:pt idx="535">
                  <c:v>-9.8546042003230916</c:v>
                </c:pt>
                <c:pt idx="536">
                  <c:v>-10.016155088852976</c:v>
                </c:pt>
                <c:pt idx="537">
                  <c:v>-10.016155088852976</c:v>
                </c:pt>
                <c:pt idx="538">
                  <c:v>-10.177705977382873</c:v>
                </c:pt>
                <c:pt idx="539">
                  <c:v>-10.177705977382873</c:v>
                </c:pt>
                <c:pt idx="540">
                  <c:v>-10.177705977382873</c:v>
                </c:pt>
                <c:pt idx="541">
                  <c:v>-10.339256865912756</c:v>
                </c:pt>
                <c:pt idx="542">
                  <c:v>-10.016155088852976</c:v>
                </c:pt>
                <c:pt idx="543">
                  <c:v>-9.8546042003230916</c:v>
                </c:pt>
                <c:pt idx="544">
                  <c:v>-9.6930533117932072</c:v>
                </c:pt>
                <c:pt idx="545" formatCode="0.00">
                  <c:v>-9.3699515347334277</c:v>
                </c:pt>
              </c:numCache>
            </c:numRef>
          </c:val>
          <c:smooth val="0"/>
        </c:ser>
        <c:ser>
          <c:idx val="6"/>
          <c:order val="6"/>
          <c:tx>
            <c:strRef>
              <c:f>'Currency '!$Q$1</c:f>
              <c:strCache>
                <c:ptCount val="1"/>
                <c:pt idx="0">
                  <c:v>Ruble</c:v>
                </c:pt>
              </c:strCache>
            </c:strRef>
          </c:tx>
          <c:marker>
            <c:symbol val="none"/>
          </c:marker>
          <c:cat>
            <c:numRef>
              <c:f>'Currency '!$J$2:$J$547</c:f>
              <c:numCache>
                <c:formatCode>m/d/yyyy</c:formatCode>
                <c:ptCount val="546"/>
                <c:pt idx="0">
                  <c:v>42153</c:v>
                </c:pt>
                <c:pt idx="1">
                  <c:v>42156</c:v>
                </c:pt>
                <c:pt idx="2">
                  <c:v>42157</c:v>
                </c:pt>
                <c:pt idx="3">
                  <c:v>42158</c:v>
                </c:pt>
                <c:pt idx="4">
                  <c:v>42159</c:v>
                </c:pt>
                <c:pt idx="5">
                  <c:v>42160</c:v>
                </c:pt>
                <c:pt idx="6">
                  <c:v>42163</c:v>
                </c:pt>
                <c:pt idx="7">
                  <c:v>42164</c:v>
                </c:pt>
                <c:pt idx="8">
                  <c:v>42165</c:v>
                </c:pt>
                <c:pt idx="9">
                  <c:v>42166</c:v>
                </c:pt>
                <c:pt idx="10">
                  <c:v>42167</c:v>
                </c:pt>
                <c:pt idx="11">
                  <c:v>42170</c:v>
                </c:pt>
                <c:pt idx="12">
                  <c:v>42171</c:v>
                </c:pt>
                <c:pt idx="13">
                  <c:v>42172</c:v>
                </c:pt>
                <c:pt idx="14">
                  <c:v>42173</c:v>
                </c:pt>
                <c:pt idx="15">
                  <c:v>42174</c:v>
                </c:pt>
                <c:pt idx="16">
                  <c:v>42177</c:v>
                </c:pt>
                <c:pt idx="17">
                  <c:v>42178</c:v>
                </c:pt>
                <c:pt idx="18">
                  <c:v>42179</c:v>
                </c:pt>
                <c:pt idx="19">
                  <c:v>42180</c:v>
                </c:pt>
                <c:pt idx="20">
                  <c:v>42181</c:v>
                </c:pt>
                <c:pt idx="21">
                  <c:v>42184</c:v>
                </c:pt>
                <c:pt idx="22">
                  <c:v>42185</c:v>
                </c:pt>
                <c:pt idx="23">
                  <c:v>42186</c:v>
                </c:pt>
                <c:pt idx="24">
                  <c:v>42187</c:v>
                </c:pt>
                <c:pt idx="25">
                  <c:v>42188</c:v>
                </c:pt>
                <c:pt idx="26">
                  <c:v>42191</c:v>
                </c:pt>
                <c:pt idx="27">
                  <c:v>42192</c:v>
                </c:pt>
                <c:pt idx="28">
                  <c:v>42193</c:v>
                </c:pt>
                <c:pt idx="29">
                  <c:v>42194</c:v>
                </c:pt>
                <c:pt idx="30">
                  <c:v>42195</c:v>
                </c:pt>
                <c:pt idx="31">
                  <c:v>42198</c:v>
                </c:pt>
                <c:pt idx="32">
                  <c:v>42199</c:v>
                </c:pt>
                <c:pt idx="33">
                  <c:v>42200</c:v>
                </c:pt>
                <c:pt idx="34">
                  <c:v>42201</c:v>
                </c:pt>
                <c:pt idx="35">
                  <c:v>42202</c:v>
                </c:pt>
                <c:pt idx="36">
                  <c:v>42205</c:v>
                </c:pt>
                <c:pt idx="37">
                  <c:v>42206</c:v>
                </c:pt>
                <c:pt idx="38">
                  <c:v>42207</c:v>
                </c:pt>
                <c:pt idx="39">
                  <c:v>42208</c:v>
                </c:pt>
                <c:pt idx="40">
                  <c:v>42209</c:v>
                </c:pt>
                <c:pt idx="41">
                  <c:v>42212</c:v>
                </c:pt>
                <c:pt idx="42">
                  <c:v>42213</c:v>
                </c:pt>
                <c:pt idx="43">
                  <c:v>42214</c:v>
                </c:pt>
                <c:pt idx="44">
                  <c:v>42215</c:v>
                </c:pt>
                <c:pt idx="45">
                  <c:v>42216</c:v>
                </c:pt>
                <c:pt idx="46">
                  <c:v>42219</c:v>
                </c:pt>
                <c:pt idx="47">
                  <c:v>42220</c:v>
                </c:pt>
                <c:pt idx="48">
                  <c:v>42221</c:v>
                </c:pt>
                <c:pt idx="49">
                  <c:v>42222</c:v>
                </c:pt>
                <c:pt idx="50">
                  <c:v>42223</c:v>
                </c:pt>
                <c:pt idx="51">
                  <c:v>42226</c:v>
                </c:pt>
                <c:pt idx="52">
                  <c:v>42227</c:v>
                </c:pt>
                <c:pt idx="53">
                  <c:v>42228</c:v>
                </c:pt>
                <c:pt idx="54">
                  <c:v>42229</c:v>
                </c:pt>
                <c:pt idx="55">
                  <c:v>42230</c:v>
                </c:pt>
                <c:pt idx="56">
                  <c:v>42233</c:v>
                </c:pt>
                <c:pt idx="57">
                  <c:v>42234</c:v>
                </c:pt>
                <c:pt idx="58">
                  <c:v>42235</c:v>
                </c:pt>
                <c:pt idx="59">
                  <c:v>42236</c:v>
                </c:pt>
                <c:pt idx="60">
                  <c:v>42237</c:v>
                </c:pt>
                <c:pt idx="61">
                  <c:v>42240</c:v>
                </c:pt>
                <c:pt idx="62">
                  <c:v>42241</c:v>
                </c:pt>
                <c:pt idx="63">
                  <c:v>42242</c:v>
                </c:pt>
                <c:pt idx="64">
                  <c:v>42243</c:v>
                </c:pt>
                <c:pt idx="65">
                  <c:v>42244</c:v>
                </c:pt>
                <c:pt idx="66">
                  <c:v>42247</c:v>
                </c:pt>
                <c:pt idx="67">
                  <c:v>42248</c:v>
                </c:pt>
                <c:pt idx="68">
                  <c:v>42249</c:v>
                </c:pt>
                <c:pt idx="69">
                  <c:v>42250</c:v>
                </c:pt>
                <c:pt idx="70">
                  <c:v>42251</c:v>
                </c:pt>
                <c:pt idx="71">
                  <c:v>42254</c:v>
                </c:pt>
                <c:pt idx="72">
                  <c:v>42255</c:v>
                </c:pt>
                <c:pt idx="73">
                  <c:v>42256</c:v>
                </c:pt>
                <c:pt idx="74">
                  <c:v>42257</c:v>
                </c:pt>
                <c:pt idx="75">
                  <c:v>42258</c:v>
                </c:pt>
                <c:pt idx="76">
                  <c:v>42261</c:v>
                </c:pt>
                <c:pt idx="77">
                  <c:v>42262</c:v>
                </c:pt>
                <c:pt idx="78">
                  <c:v>42263</c:v>
                </c:pt>
                <c:pt idx="79">
                  <c:v>42264</c:v>
                </c:pt>
                <c:pt idx="80">
                  <c:v>42265</c:v>
                </c:pt>
                <c:pt idx="81">
                  <c:v>42268</c:v>
                </c:pt>
                <c:pt idx="82">
                  <c:v>42269</c:v>
                </c:pt>
                <c:pt idx="83">
                  <c:v>42270</c:v>
                </c:pt>
                <c:pt idx="84">
                  <c:v>42271</c:v>
                </c:pt>
                <c:pt idx="85">
                  <c:v>42272</c:v>
                </c:pt>
                <c:pt idx="86">
                  <c:v>42275</c:v>
                </c:pt>
                <c:pt idx="87">
                  <c:v>42276</c:v>
                </c:pt>
                <c:pt idx="88">
                  <c:v>42277</c:v>
                </c:pt>
                <c:pt idx="89">
                  <c:v>42278</c:v>
                </c:pt>
                <c:pt idx="90">
                  <c:v>42279</c:v>
                </c:pt>
                <c:pt idx="91">
                  <c:v>42282</c:v>
                </c:pt>
                <c:pt idx="92">
                  <c:v>42283</c:v>
                </c:pt>
                <c:pt idx="93">
                  <c:v>42284</c:v>
                </c:pt>
                <c:pt idx="94">
                  <c:v>42285</c:v>
                </c:pt>
                <c:pt idx="95">
                  <c:v>42286</c:v>
                </c:pt>
                <c:pt idx="96">
                  <c:v>42289</c:v>
                </c:pt>
                <c:pt idx="97">
                  <c:v>42290</c:v>
                </c:pt>
                <c:pt idx="98">
                  <c:v>42291</c:v>
                </c:pt>
                <c:pt idx="99">
                  <c:v>42292</c:v>
                </c:pt>
                <c:pt idx="100">
                  <c:v>42293</c:v>
                </c:pt>
                <c:pt idx="101">
                  <c:v>42296</c:v>
                </c:pt>
                <c:pt idx="102">
                  <c:v>42297</c:v>
                </c:pt>
                <c:pt idx="103">
                  <c:v>42298</c:v>
                </c:pt>
                <c:pt idx="104">
                  <c:v>42299</c:v>
                </c:pt>
                <c:pt idx="105">
                  <c:v>42300</c:v>
                </c:pt>
                <c:pt idx="106">
                  <c:v>42303</c:v>
                </c:pt>
                <c:pt idx="107">
                  <c:v>42304</c:v>
                </c:pt>
                <c:pt idx="108">
                  <c:v>42305</c:v>
                </c:pt>
                <c:pt idx="109">
                  <c:v>42306</c:v>
                </c:pt>
                <c:pt idx="110">
                  <c:v>42307</c:v>
                </c:pt>
                <c:pt idx="111">
                  <c:v>42310</c:v>
                </c:pt>
                <c:pt idx="112">
                  <c:v>42311</c:v>
                </c:pt>
                <c:pt idx="113">
                  <c:v>42312</c:v>
                </c:pt>
                <c:pt idx="114">
                  <c:v>42313</c:v>
                </c:pt>
                <c:pt idx="115">
                  <c:v>42314</c:v>
                </c:pt>
                <c:pt idx="116">
                  <c:v>42317</c:v>
                </c:pt>
                <c:pt idx="117">
                  <c:v>42318</c:v>
                </c:pt>
                <c:pt idx="118">
                  <c:v>42319</c:v>
                </c:pt>
                <c:pt idx="119">
                  <c:v>42320</c:v>
                </c:pt>
                <c:pt idx="120">
                  <c:v>42321</c:v>
                </c:pt>
                <c:pt idx="121">
                  <c:v>42324</c:v>
                </c:pt>
                <c:pt idx="122">
                  <c:v>42325</c:v>
                </c:pt>
                <c:pt idx="123">
                  <c:v>42326</c:v>
                </c:pt>
                <c:pt idx="124">
                  <c:v>42327</c:v>
                </c:pt>
                <c:pt idx="125">
                  <c:v>42328</c:v>
                </c:pt>
                <c:pt idx="126">
                  <c:v>42331</c:v>
                </c:pt>
                <c:pt idx="127">
                  <c:v>42332</c:v>
                </c:pt>
                <c:pt idx="128">
                  <c:v>42333</c:v>
                </c:pt>
                <c:pt idx="129">
                  <c:v>42334</c:v>
                </c:pt>
                <c:pt idx="130">
                  <c:v>42335</c:v>
                </c:pt>
                <c:pt idx="131">
                  <c:v>42338</c:v>
                </c:pt>
                <c:pt idx="132">
                  <c:v>42339</c:v>
                </c:pt>
                <c:pt idx="133">
                  <c:v>42340</c:v>
                </c:pt>
                <c:pt idx="134">
                  <c:v>42341</c:v>
                </c:pt>
                <c:pt idx="135">
                  <c:v>42342</c:v>
                </c:pt>
                <c:pt idx="136">
                  <c:v>42345</c:v>
                </c:pt>
                <c:pt idx="137">
                  <c:v>42346</c:v>
                </c:pt>
                <c:pt idx="138">
                  <c:v>42347</c:v>
                </c:pt>
                <c:pt idx="139">
                  <c:v>42348</c:v>
                </c:pt>
                <c:pt idx="140">
                  <c:v>42349</c:v>
                </c:pt>
                <c:pt idx="141">
                  <c:v>42352</c:v>
                </c:pt>
                <c:pt idx="142">
                  <c:v>42353</c:v>
                </c:pt>
                <c:pt idx="143">
                  <c:v>42354</c:v>
                </c:pt>
                <c:pt idx="144">
                  <c:v>42355</c:v>
                </c:pt>
                <c:pt idx="145">
                  <c:v>42356</c:v>
                </c:pt>
                <c:pt idx="146">
                  <c:v>42359</c:v>
                </c:pt>
                <c:pt idx="147">
                  <c:v>42360</c:v>
                </c:pt>
                <c:pt idx="148">
                  <c:v>42361</c:v>
                </c:pt>
                <c:pt idx="149">
                  <c:v>42362</c:v>
                </c:pt>
                <c:pt idx="150">
                  <c:v>42363</c:v>
                </c:pt>
                <c:pt idx="151">
                  <c:v>42366</c:v>
                </c:pt>
                <c:pt idx="152">
                  <c:v>42367</c:v>
                </c:pt>
                <c:pt idx="153">
                  <c:v>42368</c:v>
                </c:pt>
                <c:pt idx="154">
                  <c:v>42369</c:v>
                </c:pt>
                <c:pt idx="155">
                  <c:v>42370</c:v>
                </c:pt>
                <c:pt idx="156">
                  <c:v>42373</c:v>
                </c:pt>
                <c:pt idx="157">
                  <c:v>42374</c:v>
                </c:pt>
                <c:pt idx="158">
                  <c:v>42375</c:v>
                </c:pt>
                <c:pt idx="159">
                  <c:v>42376</c:v>
                </c:pt>
                <c:pt idx="160">
                  <c:v>42377</c:v>
                </c:pt>
                <c:pt idx="161">
                  <c:v>42380</c:v>
                </c:pt>
                <c:pt idx="162">
                  <c:v>42381</c:v>
                </c:pt>
                <c:pt idx="163">
                  <c:v>42382</c:v>
                </c:pt>
                <c:pt idx="164">
                  <c:v>42383</c:v>
                </c:pt>
                <c:pt idx="165">
                  <c:v>42384</c:v>
                </c:pt>
                <c:pt idx="166">
                  <c:v>42387</c:v>
                </c:pt>
                <c:pt idx="167">
                  <c:v>42388</c:v>
                </c:pt>
                <c:pt idx="168">
                  <c:v>42389</c:v>
                </c:pt>
                <c:pt idx="169">
                  <c:v>42390</c:v>
                </c:pt>
                <c:pt idx="170">
                  <c:v>42391</c:v>
                </c:pt>
                <c:pt idx="171">
                  <c:v>42394</c:v>
                </c:pt>
                <c:pt idx="172">
                  <c:v>42395</c:v>
                </c:pt>
                <c:pt idx="173">
                  <c:v>42396</c:v>
                </c:pt>
                <c:pt idx="174">
                  <c:v>42397</c:v>
                </c:pt>
                <c:pt idx="175">
                  <c:v>42398</c:v>
                </c:pt>
                <c:pt idx="176">
                  <c:v>42401</c:v>
                </c:pt>
                <c:pt idx="177">
                  <c:v>42402</c:v>
                </c:pt>
                <c:pt idx="178">
                  <c:v>42403</c:v>
                </c:pt>
                <c:pt idx="179">
                  <c:v>42404</c:v>
                </c:pt>
                <c:pt idx="180">
                  <c:v>42405</c:v>
                </c:pt>
                <c:pt idx="181">
                  <c:v>42408</c:v>
                </c:pt>
                <c:pt idx="182">
                  <c:v>42409</c:v>
                </c:pt>
                <c:pt idx="183">
                  <c:v>42410</c:v>
                </c:pt>
                <c:pt idx="184">
                  <c:v>42411</c:v>
                </c:pt>
                <c:pt idx="185">
                  <c:v>42412</c:v>
                </c:pt>
                <c:pt idx="186">
                  <c:v>42415</c:v>
                </c:pt>
                <c:pt idx="187">
                  <c:v>42416</c:v>
                </c:pt>
                <c:pt idx="188">
                  <c:v>42417</c:v>
                </c:pt>
                <c:pt idx="189">
                  <c:v>42418</c:v>
                </c:pt>
                <c:pt idx="190">
                  <c:v>42419</c:v>
                </c:pt>
                <c:pt idx="191">
                  <c:v>42422</c:v>
                </c:pt>
                <c:pt idx="192">
                  <c:v>42423</c:v>
                </c:pt>
                <c:pt idx="193">
                  <c:v>42424</c:v>
                </c:pt>
                <c:pt idx="194">
                  <c:v>42425</c:v>
                </c:pt>
                <c:pt idx="195">
                  <c:v>42426</c:v>
                </c:pt>
                <c:pt idx="196">
                  <c:v>42429</c:v>
                </c:pt>
                <c:pt idx="197">
                  <c:v>42430</c:v>
                </c:pt>
                <c:pt idx="198">
                  <c:v>42431</c:v>
                </c:pt>
                <c:pt idx="199">
                  <c:v>42432</c:v>
                </c:pt>
                <c:pt idx="200">
                  <c:v>42433</c:v>
                </c:pt>
                <c:pt idx="201">
                  <c:v>42436</c:v>
                </c:pt>
                <c:pt idx="202">
                  <c:v>42437</c:v>
                </c:pt>
                <c:pt idx="203">
                  <c:v>42438</c:v>
                </c:pt>
                <c:pt idx="204">
                  <c:v>42439</c:v>
                </c:pt>
                <c:pt idx="205">
                  <c:v>42440</c:v>
                </c:pt>
                <c:pt idx="206">
                  <c:v>42443</c:v>
                </c:pt>
                <c:pt idx="207">
                  <c:v>42444</c:v>
                </c:pt>
                <c:pt idx="208">
                  <c:v>42445</c:v>
                </c:pt>
                <c:pt idx="209">
                  <c:v>42446</c:v>
                </c:pt>
                <c:pt idx="210">
                  <c:v>42447</c:v>
                </c:pt>
                <c:pt idx="211">
                  <c:v>42450</c:v>
                </c:pt>
                <c:pt idx="212">
                  <c:v>42451</c:v>
                </c:pt>
                <c:pt idx="213">
                  <c:v>42452</c:v>
                </c:pt>
                <c:pt idx="214">
                  <c:v>42453</c:v>
                </c:pt>
                <c:pt idx="215">
                  <c:v>42454</c:v>
                </c:pt>
                <c:pt idx="216">
                  <c:v>42457</c:v>
                </c:pt>
                <c:pt idx="217">
                  <c:v>42458</c:v>
                </c:pt>
                <c:pt idx="218">
                  <c:v>42459</c:v>
                </c:pt>
                <c:pt idx="219">
                  <c:v>42460</c:v>
                </c:pt>
                <c:pt idx="220">
                  <c:v>42461</c:v>
                </c:pt>
                <c:pt idx="221">
                  <c:v>42464</c:v>
                </c:pt>
                <c:pt idx="222">
                  <c:v>42465</c:v>
                </c:pt>
                <c:pt idx="223">
                  <c:v>42466</c:v>
                </c:pt>
                <c:pt idx="224">
                  <c:v>42467</c:v>
                </c:pt>
                <c:pt idx="225">
                  <c:v>42468</c:v>
                </c:pt>
                <c:pt idx="226">
                  <c:v>42471</c:v>
                </c:pt>
                <c:pt idx="227">
                  <c:v>42472</c:v>
                </c:pt>
                <c:pt idx="228">
                  <c:v>42473</c:v>
                </c:pt>
                <c:pt idx="229">
                  <c:v>42474</c:v>
                </c:pt>
                <c:pt idx="230">
                  <c:v>42475</c:v>
                </c:pt>
                <c:pt idx="231">
                  <c:v>42478</c:v>
                </c:pt>
                <c:pt idx="232">
                  <c:v>42479</c:v>
                </c:pt>
                <c:pt idx="233">
                  <c:v>42480</c:v>
                </c:pt>
                <c:pt idx="234">
                  <c:v>42481</c:v>
                </c:pt>
                <c:pt idx="235">
                  <c:v>42482</c:v>
                </c:pt>
                <c:pt idx="236">
                  <c:v>42485</c:v>
                </c:pt>
                <c:pt idx="237">
                  <c:v>42486</c:v>
                </c:pt>
                <c:pt idx="238">
                  <c:v>42487</c:v>
                </c:pt>
                <c:pt idx="239">
                  <c:v>42488</c:v>
                </c:pt>
                <c:pt idx="240">
                  <c:v>42489</c:v>
                </c:pt>
                <c:pt idx="241">
                  <c:v>42492</c:v>
                </c:pt>
                <c:pt idx="242">
                  <c:v>42493</c:v>
                </c:pt>
                <c:pt idx="243">
                  <c:v>42494</c:v>
                </c:pt>
                <c:pt idx="244">
                  <c:v>42495</c:v>
                </c:pt>
                <c:pt idx="245">
                  <c:v>42496</c:v>
                </c:pt>
                <c:pt idx="246">
                  <c:v>42499</c:v>
                </c:pt>
                <c:pt idx="247">
                  <c:v>42500</c:v>
                </c:pt>
                <c:pt idx="248">
                  <c:v>42501</c:v>
                </c:pt>
                <c:pt idx="249">
                  <c:v>42502</c:v>
                </c:pt>
                <c:pt idx="250">
                  <c:v>42503</c:v>
                </c:pt>
                <c:pt idx="251">
                  <c:v>42506</c:v>
                </c:pt>
                <c:pt idx="252">
                  <c:v>42507</c:v>
                </c:pt>
                <c:pt idx="253">
                  <c:v>42508</c:v>
                </c:pt>
                <c:pt idx="254">
                  <c:v>42509</c:v>
                </c:pt>
                <c:pt idx="255">
                  <c:v>42510</c:v>
                </c:pt>
                <c:pt idx="256">
                  <c:v>42513</c:v>
                </c:pt>
                <c:pt idx="257">
                  <c:v>42514</c:v>
                </c:pt>
                <c:pt idx="258">
                  <c:v>42515</c:v>
                </c:pt>
                <c:pt idx="259">
                  <c:v>42516</c:v>
                </c:pt>
                <c:pt idx="260">
                  <c:v>42517</c:v>
                </c:pt>
                <c:pt idx="261">
                  <c:v>42520</c:v>
                </c:pt>
                <c:pt idx="262">
                  <c:v>42521</c:v>
                </c:pt>
                <c:pt idx="263">
                  <c:v>42522</c:v>
                </c:pt>
                <c:pt idx="264">
                  <c:v>42523</c:v>
                </c:pt>
                <c:pt idx="265">
                  <c:v>42524</c:v>
                </c:pt>
                <c:pt idx="266">
                  <c:v>42527</c:v>
                </c:pt>
                <c:pt idx="267">
                  <c:v>42528</c:v>
                </c:pt>
                <c:pt idx="268">
                  <c:v>42529</c:v>
                </c:pt>
                <c:pt idx="269">
                  <c:v>42530</c:v>
                </c:pt>
                <c:pt idx="270">
                  <c:v>42531</c:v>
                </c:pt>
                <c:pt idx="271">
                  <c:v>42534</c:v>
                </c:pt>
                <c:pt idx="272">
                  <c:v>42535</c:v>
                </c:pt>
                <c:pt idx="273">
                  <c:v>42536</c:v>
                </c:pt>
                <c:pt idx="274">
                  <c:v>42537</c:v>
                </c:pt>
                <c:pt idx="275">
                  <c:v>42538</c:v>
                </c:pt>
                <c:pt idx="276">
                  <c:v>42541</c:v>
                </c:pt>
                <c:pt idx="277">
                  <c:v>42542</c:v>
                </c:pt>
                <c:pt idx="278">
                  <c:v>42543</c:v>
                </c:pt>
                <c:pt idx="279">
                  <c:v>42544</c:v>
                </c:pt>
                <c:pt idx="280">
                  <c:v>42545</c:v>
                </c:pt>
                <c:pt idx="281">
                  <c:v>42548</c:v>
                </c:pt>
                <c:pt idx="282">
                  <c:v>42549</c:v>
                </c:pt>
                <c:pt idx="283">
                  <c:v>42550</c:v>
                </c:pt>
                <c:pt idx="284">
                  <c:v>42551</c:v>
                </c:pt>
                <c:pt idx="285">
                  <c:v>42552</c:v>
                </c:pt>
                <c:pt idx="286">
                  <c:v>42555</c:v>
                </c:pt>
                <c:pt idx="287">
                  <c:v>42556</c:v>
                </c:pt>
                <c:pt idx="288">
                  <c:v>42557</c:v>
                </c:pt>
                <c:pt idx="289">
                  <c:v>42558</c:v>
                </c:pt>
                <c:pt idx="290">
                  <c:v>42559</c:v>
                </c:pt>
                <c:pt idx="291">
                  <c:v>42562</c:v>
                </c:pt>
                <c:pt idx="292">
                  <c:v>42563</c:v>
                </c:pt>
                <c:pt idx="293">
                  <c:v>42564</c:v>
                </c:pt>
                <c:pt idx="294">
                  <c:v>42565</c:v>
                </c:pt>
                <c:pt idx="295">
                  <c:v>42566</c:v>
                </c:pt>
                <c:pt idx="296">
                  <c:v>42569</c:v>
                </c:pt>
                <c:pt idx="297">
                  <c:v>42570</c:v>
                </c:pt>
                <c:pt idx="298">
                  <c:v>42571</c:v>
                </c:pt>
                <c:pt idx="299">
                  <c:v>42572</c:v>
                </c:pt>
                <c:pt idx="300">
                  <c:v>42573</c:v>
                </c:pt>
                <c:pt idx="301">
                  <c:v>42576</c:v>
                </c:pt>
                <c:pt idx="302">
                  <c:v>42577</c:v>
                </c:pt>
                <c:pt idx="303">
                  <c:v>42578</c:v>
                </c:pt>
                <c:pt idx="304">
                  <c:v>42579</c:v>
                </c:pt>
                <c:pt idx="305">
                  <c:v>42580</c:v>
                </c:pt>
                <c:pt idx="306">
                  <c:v>42583</c:v>
                </c:pt>
                <c:pt idx="307">
                  <c:v>42584</c:v>
                </c:pt>
                <c:pt idx="308">
                  <c:v>42585</c:v>
                </c:pt>
                <c:pt idx="309">
                  <c:v>42586</c:v>
                </c:pt>
                <c:pt idx="310">
                  <c:v>42587</c:v>
                </c:pt>
                <c:pt idx="311">
                  <c:v>42590</c:v>
                </c:pt>
                <c:pt idx="312">
                  <c:v>42591</c:v>
                </c:pt>
                <c:pt idx="313">
                  <c:v>42592</c:v>
                </c:pt>
                <c:pt idx="314">
                  <c:v>42593</c:v>
                </c:pt>
                <c:pt idx="315">
                  <c:v>42594</c:v>
                </c:pt>
                <c:pt idx="316">
                  <c:v>42597</c:v>
                </c:pt>
                <c:pt idx="317">
                  <c:v>42598</c:v>
                </c:pt>
                <c:pt idx="318">
                  <c:v>42599</c:v>
                </c:pt>
                <c:pt idx="319">
                  <c:v>42600</c:v>
                </c:pt>
                <c:pt idx="320">
                  <c:v>42601</c:v>
                </c:pt>
                <c:pt idx="321">
                  <c:v>42604</c:v>
                </c:pt>
                <c:pt idx="322">
                  <c:v>42605</c:v>
                </c:pt>
                <c:pt idx="323">
                  <c:v>42606</c:v>
                </c:pt>
                <c:pt idx="324">
                  <c:v>42607</c:v>
                </c:pt>
                <c:pt idx="325">
                  <c:v>42608</c:v>
                </c:pt>
                <c:pt idx="326">
                  <c:v>42611</c:v>
                </c:pt>
                <c:pt idx="327">
                  <c:v>42612</c:v>
                </c:pt>
                <c:pt idx="328">
                  <c:v>42613</c:v>
                </c:pt>
                <c:pt idx="329">
                  <c:v>42614</c:v>
                </c:pt>
                <c:pt idx="330">
                  <c:v>42615</c:v>
                </c:pt>
                <c:pt idx="331">
                  <c:v>42618</c:v>
                </c:pt>
                <c:pt idx="332">
                  <c:v>42619</c:v>
                </c:pt>
                <c:pt idx="333">
                  <c:v>42620</c:v>
                </c:pt>
                <c:pt idx="334">
                  <c:v>42621</c:v>
                </c:pt>
                <c:pt idx="335">
                  <c:v>42622</c:v>
                </c:pt>
                <c:pt idx="336">
                  <c:v>42625</c:v>
                </c:pt>
                <c:pt idx="337">
                  <c:v>42626</c:v>
                </c:pt>
                <c:pt idx="338">
                  <c:v>42627</c:v>
                </c:pt>
                <c:pt idx="339">
                  <c:v>42628</c:v>
                </c:pt>
                <c:pt idx="340">
                  <c:v>42629</c:v>
                </c:pt>
                <c:pt idx="341">
                  <c:v>42632</c:v>
                </c:pt>
                <c:pt idx="342">
                  <c:v>42633</c:v>
                </c:pt>
                <c:pt idx="343">
                  <c:v>42634</c:v>
                </c:pt>
                <c:pt idx="344">
                  <c:v>42635</c:v>
                </c:pt>
                <c:pt idx="345">
                  <c:v>42636</c:v>
                </c:pt>
                <c:pt idx="346">
                  <c:v>42639</c:v>
                </c:pt>
                <c:pt idx="347">
                  <c:v>42640</c:v>
                </c:pt>
                <c:pt idx="348">
                  <c:v>42641</c:v>
                </c:pt>
                <c:pt idx="349">
                  <c:v>42642</c:v>
                </c:pt>
                <c:pt idx="350">
                  <c:v>42643</c:v>
                </c:pt>
                <c:pt idx="351">
                  <c:v>42646</c:v>
                </c:pt>
                <c:pt idx="352">
                  <c:v>42647</c:v>
                </c:pt>
                <c:pt idx="353">
                  <c:v>42648</c:v>
                </c:pt>
                <c:pt idx="354">
                  <c:v>42649</c:v>
                </c:pt>
                <c:pt idx="355">
                  <c:v>42650</c:v>
                </c:pt>
                <c:pt idx="356">
                  <c:v>42653</c:v>
                </c:pt>
                <c:pt idx="357">
                  <c:v>42654</c:v>
                </c:pt>
                <c:pt idx="358">
                  <c:v>42655</c:v>
                </c:pt>
                <c:pt idx="359">
                  <c:v>42656</c:v>
                </c:pt>
                <c:pt idx="360">
                  <c:v>42657</c:v>
                </c:pt>
                <c:pt idx="361">
                  <c:v>42660</c:v>
                </c:pt>
                <c:pt idx="362">
                  <c:v>42661</c:v>
                </c:pt>
                <c:pt idx="363">
                  <c:v>42662</c:v>
                </c:pt>
                <c:pt idx="364">
                  <c:v>42663</c:v>
                </c:pt>
                <c:pt idx="365">
                  <c:v>42664</c:v>
                </c:pt>
                <c:pt idx="366">
                  <c:v>42667</c:v>
                </c:pt>
                <c:pt idx="367">
                  <c:v>42668</c:v>
                </c:pt>
                <c:pt idx="368">
                  <c:v>42669</c:v>
                </c:pt>
                <c:pt idx="369">
                  <c:v>42670</c:v>
                </c:pt>
                <c:pt idx="370">
                  <c:v>42671</c:v>
                </c:pt>
                <c:pt idx="371">
                  <c:v>42674</c:v>
                </c:pt>
                <c:pt idx="372">
                  <c:v>42675</c:v>
                </c:pt>
                <c:pt idx="373">
                  <c:v>42676</c:v>
                </c:pt>
                <c:pt idx="374">
                  <c:v>42677</c:v>
                </c:pt>
                <c:pt idx="375">
                  <c:v>42678</c:v>
                </c:pt>
                <c:pt idx="376">
                  <c:v>42681</c:v>
                </c:pt>
                <c:pt idx="377">
                  <c:v>42682</c:v>
                </c:pt>
                <c:pt idx="378">
                  <c:v>42683</c:v>
                </c:pt>
                <c:pt idx="379">
                  <c:v>42684</c:v>
                </c:pt>
                <c:pt idx="380">
                  <c:v>42685</c:v>
                </c:pt>
                <c:pt idx="381">
                  <c:v>42688</c:v>
                </c:pt>
                <c:pt idx="382">
                  <c:v>42689</c:v>
                </c:pt>
                <c:pt idx="383">
                  <c:v>42690</c:v>
                </c:pt>
                <c:pt idx="384">
                  <c:v>42691</c:v>
                </c:pt>
                <c:pt idx="385">
                  <c:v>42692</c:v>
                </c:pt>
                <c:pt idx="386">
                  <c:v>42695</c:v>
                </c:pt>
                <c:pt idx="387">
                  <c:v>42696</c:v>
                </c:pt>
                <c:pt idx="388">
                  <c:v>42697</c:v>
                </c:pt>
                <c:pt idx="389">
                  <c:v>42698</c:v>
                </c:pt>
                <c:pt idx="390">
                  <c:v>42699</c:v>
                </c:pt>
                <c:pt idx="391">
                  <c:v>42702</c:v>
                </c:pt>
                <c:pt idx="392">
                  <c:v>42703</c:v>
                </c:pt>
                <c:pt idx="393">
                  <c:v>42704</c:v>
                </c:pt>
                <c:pt idx="394">
                  <c:v>42705</c:v>
                </c:pt>
                <c:pt idx="395">
                  <c:v>42706</c:v>
                </c:pt>
                <c:pt idx="396">
                  <c:v>42709</c:v>
                </c:pt>
                <c:pt idx="397">
                  <c:v>42710</c:v>
                </c:pt>
                <c:pt idx="398">
                  <c:v>42711</c:v>
                </c:pt>
                <c:pt idx="399">
                  <c:v>42712</c:v>
                </c:pt>
                <c:pt idx="400">
                  <c:v>42713</c:v>
                </c:pt>
                <c:pt idx="401">
                  <c:v>42716</c:v>
                </c:pt>
                <c:pt idx="402">
                  <c:v>42717</c:v>
                </c:pt>
                <c:pt idx="403">
                  <c:v>42718</c:v>
                </c:pt>
                <c:pt idx="404">
                  <c:v>42719</c:v>
                </c:pt>
                <c:pt idx="405">
                  <c:v>42720</c:v>
                </c:pt>
                <c:pt idx="406">
                  <c:v>42723</c:v>
                </c:pt>
                <c:pt idx="407">
                  <c:v>42724</c:v>
                </c:pt>
                <c:pt idx="408">
                  <c:v>42725</c:v>
                </c:pt>
                <c:pt idx="409">
                  <c:v>42726</c:v>
                </c:pt>
                <c:pt idx="410">
                  <c:v>42727</c:v>
                </c:pt>
                <c:pt idx="411">
                  <c:v>42730</c:v>
                </c:pt>
                <c:pt idx="412">
                  <c:v>42731</c:v>
                </c:pt>
                <c:pt idx="413">
                  <c:v>42732</c:v>
                </c:pt>
                <c:pt idx="414">
                  <c:v>42733</c:v>
                </c:pt>
                <c:pt idx="415">
                  <c:v>42734</c:v>
                </c:pt>
                <c:pt idx="416">
                  <c:v>42737</c:v>
                </c:pt>
                <c:pt idx="417">
                  <c:v>42738</c:v>
                </c:pt>
                <c:pt idx="418">
                  <c:v>42739</c:v>
                </c:pt>
                <c:pt idx="419">
                  <c:v>42740</c:v>
                </c:pt>
                <c:pt idx="420">
                  <c:v>42741</c:v>
                </c:pt>
                <c:pt idx="421">
                  <c:v>42744</c:v>
                </c:pt>
                <c:pt idx="422">
                  <c:v>42745</c:v>
                </c:pt>
                <c:pt idx="423">
                  <c:v>42746</c:v>
                </c:pt>
                <c:pt idx="424">
                  <c:v>42747</c:v>
                </c:pt>
                <c:pt idx="425">
                  <c:v>42748</c:v>
                </c:pt>
                <c:pt idx="426">
                  <c:v>42751</c:v>
                </c:pt>
                <c:pt idx="427">
                  <c:v>42752</c:v>
                </c:pt>
                <c:pt idx="428">
                  <c:v>42753</c:v>
                </c:pt>
                <c:pt idx="429">
                  <c:v>42754</c:v>
                </c:pt>
                <c:pt idx="430">
                  <c:v>42755</c:v>
                </c:pt>
                <c:pt idx="431">
                  <c:v>42758</c:v>
                </c:pt>
                <c:pt idx="432">
                  <c:v>42759</c:v>
                </c:pt>
                <c:pt idx="433">
                  <c:v>42760</c:v>
                </c:pt>
                <c:pt idx="434">
                  <c:v>42761</c:v>
                </c:pt>
                <c:pt idx="435">
                  <c:v>42762</c:v>
                </c:pt>
                <c:pt idx="436">
                  <c:v>42765</c:v>
                </c:pt>
                <c:pt idx="437">
                  <c:v>42766</c:v>
                </c:pt>
                <c:pt idx="438">
                  <c:v>42767</c:v>
                </c:pt>
                <c:pt idx="439">
                  <c:v>42768</c:v>
                </c:pt>
                <c:pt idx="440">
                  <c:v>42769</c:v>
                </c:pt>
                <c:pt idx="441">
                  <c:v>42772</c:v>
                </c:pt>
                <c:pt idx="442">
                  <c:v>42773</c:v>
                </c:pt>
                <c:pt idx="443">
                  <c:v>42774</c:v>
                </c:pt>
                <c:pt idx="444">
                  <c:v>42775</c:v>
                </c:pt>
                <c:pt idx="445">
                  <c:v>42776</c:v>
                </c:pt>
                <c:pt idx="446">
                  <c:v>42779</c:v>
                </c:pt>
                <c:pt idx="447">
                  <c:v>42780</c:v>
                </c:pt>
                <c:pt idx="448">
                  <c:v>42781</c:v>
                </c:pt>
                <c:pt idx="449">
                  <c:v>42782</c:v>
                </c:pt>
                <c:pt idx="450">
                  <c:v>42783</c:v>
                </c:pt>
                <c:pt idx="451">
                  <c:v>42786</c:v>
                </c:pt>
                <c:pt idx="452">
                  <c:v>42787</c:v>
                </c:pt>
                <c:pt idx="453">
                  <c:v>42788</c:v>
                </c:pt>
                <c:pt idx="454">
                  <c:v>42789</c:v>
                </c:pt>
                <c:pt idx="455">
                  <c:v>42790</c:v>
                </c:pt>
                <c:pt idx="456">
                  <c:v>42793</c:v>
                </c:pt>
                <c:pt idx="457">
                  <c:v>42794</c:v>
                </c:pt>
                <c:pt idx="458">
                  <c:v>42795</c:v>
                </c:pt>
                <c:pt idx="459">
                  <c:v>42796</c:v>
                </c:pt>
                <c:pt idx="460">
                  <c:v>42797</c:v>
                </c:pt>
                <c:pt idx="461">
                  <c:v>42800</c:v>
                </c:pt>
                <c:pt idx="462">
                  <c:v>42801</c:v>
                </c:pt>
                <c:pt idx="463">
                  <c:v>42802</c:v>
                </c:pt>
                <c:pt idx="464">
                  <c:v>42803</c:v>
                </c:pt>
                <c:pt idx="465">
                  <c:v>42804</c:v>
                </c:pt>
                <c:pt idx="466">
                  <c:v>42807</c:v>
                </c:pt>
                <c:pt idx="467">
                  <c:v>42808</c:v>
                </c:pt>
                <c:pt idx="468">
                  <c:v>42809</c:v>
                </c:pt>
                <c:pt idx="469">
                  <c:v>42810</c:v>
                </c:pt>
                <c:pt idx="470">
                  <c:v>42811</c:v>
                </c:pt>
                <c:pt idx="471">
                  <c:v>42814</c:v>
                </c:pt>
                <c:pt idx="472">
                  <c:v>42815</c:v>
                </c:pt>
                <c:pt idx="473">
                  <c:v>42816</c:v>
                </c:pt>
                <c:pt idx="474">
                  <c:v>42817</c:v>
                </c:pt>
                <c:pt idx="475">
                  <c:v>42818</c:v>
                </c:pt>
                <c:pt idx="476">
                  <c:v>42821</c:v>
                </c:pt>
                <c:pt idx="477">
                  <c:v>42822</c:v>
                </c:pt>
                <c:pt idx="478">
                  <c:v>42823</c:v>
                </c:pt>
                <c:pt idx="479">
                  <c:v>42824</c:v>
                </c:pt>
                <c:pt idx="480">
                  <c:v>42825</c:v>
                </c:pt>
                <c:pt idx="481">
                  <c:v>42828</c:v>
                </c:pt>
                <c:pt idx="482">
                  <c:v>42829</c:v>
                </c:pt>
                <c:pt idx="483">
                  <c:v>42830</c:v>
                </c:pt>
                <c:pt idx="484">
                  <c:v>42831</c:v>
                </c:pt>
                <c:pt idx="485">
                  <c:v>42832</c:v>
                </c:pt>
                <c:pt idx="486">
                  <c:v>42835</c:v>
                </c:pt>
                <c:pt idx="487">
                  <c:v>42836</c:v>
                </c:pt>
                <c:pt idx="488">
                  <c:v>42837</c:v>
                </c:pt>
                <c:pt idx="489">
                  <c:v>42838</c:v>
                </c:pt>
                <c:pt idx="490">
                  <c:v>42839</c:v>
                </c:pt>
                <c:pt idx="491">
                  <c:v>42842</c:v>
                </c:pt>
                <c:pt idx="492">
                  <c:v>42843</c:v>
                </c:pt>
                <c:pt idx="493">
                  <c:v>42844</c:v>
                </c:pt>
                <c:pt idx="494">
                  <c:v>42845</c:v>
                </c:pt>
                <c:pt idx="495">
                  <c:v>42846</c:v>
                </c:pt>
                <c:pt idx="496">
                  <c:v>42849</c:v>
                </c:pt>
                <c:pt idx="497">
                  <c:v>42850</c:v>
                </c:pt>
                <c:pt idx="498">
                  <c:v>42851</c:v>
                </c:pt>
                <c:pt idx="499">
                  <c:v>42852</c:v>
                </c:pt>
                <c:pt idx="500">
                  <c:v>42853</c:v>
                </c:pt>
                <c:pt idx="501">
                  <c:v>42856</c:v>
                </c:pt>
                <c:pt idx="502">
                  <c:v>42857</c:v>
                </c:pt>
                <c:pt idx="503">
                  <c:v>42858</c:v>
                </c:pt>
                <c:pt idx="504">
                  <c:v>42859</c:v>
                </c:pt>
                <c:pt idx="505">
                  <c:v>42860</c:v>
                </c:pt>
                <c:pt idx="506">
                  <c:v>42863</c:v>
                </c:pt>
                <c:pt idx="507">
                  <c:v>42864</c:v>
                </c:pt>
                <c:pt idx="508">
                  <c:v>42865</c:v>
                </c:pt>
                <c:pt idx="509">
                  <c:v>42866</c:v>
                </c:pt>
                <c:pt idx="510">
                  <c:v>42867</c:v>
                </c:pt>
                <c:pt idx="511">
                  <c:v>42870</c:v>
                </c:pt>
                <c:pt idx="512">
                  <c:v>42871</c:v>
                </c:pt>
                <c:pt idx="513">
                  <c:v>42872</c:v>
                </c:pt>
                <c:pt idx="514">
                  <c:v>42873</c:v>
                </c:pt>
                <c:pt idx="515">
                  <c:v>42874</c:v>
                </c:pt>
                <c:pt idx="516">
                  <c:v>42877</c:v>
                </c:pt>
                <c:pt idx="517">
                  <c:v>42878</c:v>
                </c:pt>
                <c:pt idx="518">
                  <c:v>42879</c:v>
                </c:pt>
                <c:pt idx="519">
                  <c:v>42880</c:v>
                </c:pt>
                <c:pt idx="520">
                  <c:v>42881</c:v>
                </c:pt>
                <c:pt idx="521">
                  <c:v>42884</c:v>
                </c:pt>
                <c:pt idx="522">
                  <c:v>42885</c:v>
                </c:pt>
                <c:pt idx="523">
                  <c:v>42886</c:v>
                </c:pt>
                <c:pt idx="524">
                  <c:v>42887</c:v>
                </c:pt>
                <c:pt idx="525">
                  <c:v>42888</c:v>
                </c:pt>
                <c:pt idx="526">
                  <c:v>42891</c:v>
                </c:pt>
                <c:pt idx="527">
                  <c:v>42892</c:v>
                </c:pt>
                <c:pt idx="528">
                  <c:v>42893</c:v>
                </c:pt>
                <c:pt idx="529">
                  <c:v>42894</c:v>
                </c:pt>
                <c:pt idx="530">
                  <c:v>42895</c:v>
                </c:pt>
                <c:pt idx="531">
                  <c:v>42898</c:v>
                </c:pt>
                <c:pt idx="532">
                  <c:v>42899</c:v>
                </c:pt>
                <c:pt idx="533">
                  <c:v>42900</c:v>
                </c:pt>
                <c:pt idx="534">
                  <c:v>42901</c:v>
                </c:pt>
                <c:pt idx="535">
                  <c:v>42902</c:v>
                </c:pt>
                <c:pt idx="536">
                  <c:v>42905</c:v>
                </c:pt>
                <c:pt idx="537">
                  <c:v>42906</c:v>
                </c:pt>
                <c:pt idx="538">
                  <c:v>42907</c:v>
                </c:pt>
                <c:pt idx="539">
                  <c:v>42908</c:v>
                </c:pt>
                <c:pt idx="540">
                  <c:v>42909</c:v>
                </c:pt>
                <c:pt idx="541">
                  <c:v>42912</c:v>
                </c:pt>
                <c:pt idx="542">
                  <c:v>42913</c:v>
                </c:pt>
                <c:pt idx="543">
                  <c:v>42914</c:v>
                </c:pt>
                <c:pt idx="544">
                  <c:v>42915</c:v>
                </c:pt>
                <c:pt idx="545">
                  <c:v>42916</c:v>
                </c:pt>
              </c:numCache>
            </c:numRef>
          </c:cat>
          <c:val>
            <c:numRef>
              <c:f>'Currency '!$Q$2:$Q$547</c:f>
              <c:numCache>
                <c:formatCode>General</c:formatCode>
                <c:ptCount val="546"/>
                <c:pt idx="0">
                  <c:v>0</c:v>
                </c:pt>
                <c:pt idx="1">
                  <c:v>-1.8871521158978308</c:v>
                </c:pt>
                <c:pt idx="2">
                  <c:v>-0.57186427754479063</c:v>
                </c:pt>
                <c:pt idx="3">
                  <c:v>-3.4121235226839479</c:v>
                </c:pt>
                <c:pt idx="4">
                  <c:v>-6.7098741898589331</c:v>
                </c:pt>
                <c:pt idx="5">
                  <c:v>-7.987037743042313</c:v>
                </c:pt>
                <c:pt idx="6">
                  <c:v>-7.1673656118947733</c:v>
                </c:pt>
                <c:pt idx="7">
                  <c:v>-6.0617613419748375</c:v>
                </c:pt>
                <c:pt idx="8">
                  <c:v>-3.6599313762866981</c:v>
                </c:pt>
                <c:pt idx="9">
                  <c:v>-4.3080442241707928</c:v>
                </c:pt>
                <c:pt idx="10">
                  <c:v>-5.0705299275638511</c:v>
                </c:pt>
                <c:pt idx="11">
                  <c:v>-4.0030499428135746</c:v>
                </c:pt>
                <c:pt idx="12">
                  <c:v>-2.2493328250095304</c:v>
                </c:pt>
                <c:pt idx="13">
                  <c:v>-3.3930613800991249</c:v>
                </c:pt>
                <c:pt idx="14">
                  <c:v>-1.4868471216164718</c:v>
                </c:pt>
                <c:pt idx="15">
                  <c:v>-3.3358749523446432</c:v>
                </c:pt>
                <c:pt idx="16">
                  <c:v>-2.4590163934426212</c:v>
                </c:pt>
                <c:pt idx="17">
                  <c:v>-3.0499428135722479</c:v>
                </c:pt>
                <c:pt idx="18">
                  <c:v>-3.869614944719789</c:v>
                </c:pt>
                <c:pt idx="19">
                  <c:v>-4.2127335112466655</c:v>
                </c:pt>
                <c:pt idx="20">
                  <c:v>-5.051467784979029</c:v>
                </c:pt>
                <c:pt idx="21">
                  <c:v>-5.8520777735417466</c:v>
                </c:pt>
                <c:pt idx="22">
                  <c:v>-5.3564620663362605</c:v>
                </c:pt>
                <c:pt idx="23">
                  <c:v>-5.9855127716355332</c:v>
                </c:pt>
                <c:pt idx="24">
                  <c:v>-5.6614563476934787</c:v>
                </c:pt>
                <c:pt idx="25">
                  <c:v>-6.6717499046892863</c:v>
                </c:pt>
                <c:pt idx="26">
                  <c:v>-7.8345406023637043</c:v>
                </c:pt>
                <c:pt idx="27">
                  <c:v>-8.9973313000381214</c:v>
                </c:pt>
                <c:pt idx="28">
                  <c:v>-9.5691955775829136</c:v>
                </c:pt>
                <c:pt idx="29">
                  <c:v>-8.9210827296988171</c:v>
                </c:pt>
                <c:pt idx="30">
                  <c:v>-7.3961113229127005</c:v>
                </c:pt>
                <c:pt idx="31">
                  <c:v>-7.5676706061761312</c:v>
                </c:pt>
                <c:pt idx="32">
                  <c:v>-7.6057948913457905</c:v>
                </c:pt>
                <c:pt idx="33">
                  <c:v>-8.4445291650781549</c:v>
                </c:pt>
                <c:pt idx="34">
                  <c:v>-8.2348455966450622</c:v>
                </c:pt>
                <c:pt idx="35">
                  <c:v>-8.5017155928326353</c:v>
                </c:pt>
                <c:pt idx="36">
                  <c:v>-8.4445291650781549</c:v>
                </c:pt>
                <c:pt idx="37">
                  <c:v>-8.5017155928326353</c:v>
                </c:pt>
                <c:pt idx="38">
                  <c:v>-8.9210827296988171</c:v>
                </c:pt>
                <c:pt idx="39">
                  <c:v>-10.236370568051845</c:v>
                </c:pt>
                <c:pt idx="40">
                  <c:v>-11.532596263820048</c:v>
                </c:pt>
                <c:pt idx="41">
                  <c:v>-12.962256957682039</c:v>
                </c:pt>
                <c:pt idx="42">
                  <c:v>-14.982844071673654</c:v>
                </c:pt>
                <c:pt idx="43">
                  <c:v>-11.951963400686228</c:v>
                </c:pt>
                <c:pt idx="44">
                  <c:v>-13.133816240945484</c:v>
                </c:pt>
                <c:pt idx="45">
                  <c:v>-17.194052611513527</c:v>
                </c:pt>
                <c:pt idx="46">
                  <c:v>-19.977125428898201</c:v>
                </c:pt>
                <c:pt idx="47">
                  <c:v>-19.595882577201678</c:v>
                </c:pt>
                <c:pt idx="48">
                  <c:v>-21.406786122760192</c:v>
                </c:pt>
                <c:pt idx="49">
                  <c:v>-22.531452535264965</c:v>
                </c:pt>
                <c:pt idx="50">
                  <c:v>-21.902401829965694</c:v>
                </c:pt>
                <c:pt idx="51">
                  <c:v>-20.053373999237508</c:v>
                </c:pt>
                <c:pt idx="52">
                  <c:v>-22.436141822340836</c:v>
                </c:pt>
                <c:pt idx="53">
                  <c:v>-22.531452535264965</c:v>
                </c:pt>
                <c:pt idx="54">
                  <c:v>-23.255813953488364</c:v>
                </c:pt>
                <c:pt idx="55">
                  <c:v>-23.122378955394591</c:v>
                </c:pt>
                <c:pt idx="56">
                  <c:v>-24.780785360274482</c:v>
                </c:pt>
                <c:pt idx="57">
                  <c:v>-25.352649637819297</c:v>
                </c:pt>
                <c:pt idx="58">
                  <c:v>-26.686999618757135</c:v>
                </c:pt>
                <c:pt idx="59">
                  <c:v>-28.021349599694993</c:v>
                </c:pt>
                <c:pt idx="60">
                  <c:v>-31.090354555852066</c:v>
                </c:pt>
                <c:pt idx="61">
                  <c:v>-33.377811666031256</c:v>
                </c:pt>
                <c:pt idx="62">
                  <c:v>-31.166603126191383</c:v>
                </c:pt>
                <c:pt idx="63">
                  <c:v>-32.062523827678227</c:v>
                </c:pt>
                <c:pt idx="64">
                  <c:v>-27.068242470453669</c:v>
                </c:pt>
                <c:pt idx="65">
                  <c:v>-24.3614182234083</c:v>
                </c:pt>
                <c:pt idx="66">
                  <c:v>-22.93175752954631</c:v>
                </c:pt>
                <c:pt idx="67">
                  <c:v>-27.088257720167753</c:v>
                </c:pt>
                <c:pt idx="68">
                  <c:v>-27.624666412504755</c:v>
                </c:pt>
                <c:pt idx="69">
                  <c:v>-26.686999618757135</c:v>
                </c:pt>
                <c:pt idx="70">
                  <c:v>-30.566145634769352</c:v>
                </c:pt>
                <c:pt idx="71">
                  <c:v>-31.765154403354927</c:v>
                </c:pt>
                <c:pt idx="72">
                  <c:v>-29.520777735417465</c:v>
                </c:pt>
                <c:pt idx="73">
                  <c:v>-30.670987418985884</c:v>
                </c:pt>
                <c:pt idx="74">
                  <c:v>-29.080632863133811</c:v>
                </c:pt>
                <c:pt idx="75">
                  <c:v>-29.617613419748373</c:v>
                </c:pt>
                <c:pt idx="76">
                  <c:v>-28.734083110941672</c:v>
                </c:pt>
                <c:pt idx="77">
                  <c:v>-27.261151353412128</c:v>
                </c:pt>
                <c:pt idx="78">
                  <c:v>-24.675562333206237</c:v>
                </c:pt>
                <c:pt idx="79">
                  <c:v>-24.836065573770501</c:v>
                </c:pt>
                <c:pt idx="80">
                  <c:v>-26.753717117804047</c:v>
                </c:pt>
                <c:pt idx="81">
                  <c:v>-25.844262295081961</c:v>
                </c:pt>
                <c:pt idx="82">
                  <c:v>-25.730270682424706</c:v>
                </c:pt>
                <c:pt idx="83">
                  <c:v>-27.19119329012582</c:v>
                </c:pt>
                <c:pt idx="84">
                  <c:v>-25.906595501334351</c:v>
                </c:pt>
                <c:pt idx="85">
                  <c:v>-24.684521540221109</c:v>
                </c:pt>
                <c:pt idx="86">
                  <c:v>-26.325390773922997</c:v>
                </c:pt>
                <c:pt idx="87">
                  <c:v>-25.668890583301557</c:v>
                </c:pt>
                <c:pt idx="88">
                  <c:v>-24.593785741517355</c:v>
                </c:pt>
                <c:pt idx="89">
                  <c:v>-25.203393061380108</c:v>
                </c:pt>
                <c:pt idx="90">
                  <c:v>-26.544033549370955</c:v>
                </c:pt>
                <c:pt idx="91">
                  <c:v>-23.036027449485331</c:v>
                </c:pt>
                <c:pt idx="92">
                  <c:v>-20.913267251239041</c:v>
                </c:pt>
                <c:pt idx="93">
                  <c:v>-19.666984369043071</c:v>
                </c:pt>
                <c:pt idx="94">
                  <c:v>-17.032786885245905</c:v>
                </c:pt>
                <c:pt idx="95">
                  <c:v>-17.261723217689674</c:v>
                </c:pt>
                <c:pt idx="96">
                  <c:v>-18.214639725505144</c:v>
                </c:pt>
                <c:pt idx="97">
                  <c:v>-20.231223789553951</c:v>
                </c:pt>
                <c:pt idx="98">
                  <c:v>-19.403926801372471</c:v>
                </c:pt>
                <c:pt idx="99">
                  <c:v>-16.994471978650406</c:v>
                </c:pt>
                <c:pt idx="100">
                  <c:v>-16.812809759817004</c:v>
                </c:pt>
                <c:pt idx="101">
                  <c:v>-18.822531452535259</c:v>
                </c:pt>
                <c:pt idx="102">
                  <c:v>-18.408311094166976</c:v>
                </c:pt>
                <c:pt idx="103">
                  <c:v>-20.113800991231408</c:v>
                </c:pt>
                <c:pt idx="104">
                  <c:v>-19.232176896683185</c:v>
                </c:pt>
                <c:pt idx="105">
                  <c:v>-18.890583301563087</c:v>
                </c:pt>
                <c:pt idx="106">
                  <c:v>-20.106747998475033</c:v>
                </c:pt>
                <c:pt idx="107">
                  <c:v>-24.235798703774293</c:v>
                </c:pt>
                <c:pt idx="108">
                  <c:v>-21.84140297369424</c:v>
                </c:pt>
                <c:pt idx="109">
                  <c:v>-22.715592832634378</c:v>
                </c:pt>
                <c:pt idx="110">
                  <c:v>-21.911551658406399</c:v>
                </c:pt>
                <c:pt idx="111">
                  <c:v>-21.340831109416698</c:v>
                </c:pt>
                <c:pt idx="112">
                  <c:v>-19.319862752573382</c:v>
                </c:pt>
                <c:pt idx="113">
                  <c:v>-20.472359893252008</c:v>
                </c:pt>
                <c:pt idx="114">
                  <c:v>-20.831681280975982</c:v>
                </c:pt>
                <c:pt idx="115">
                  <c:v>-22.96035074342355</c:v>
                </c:pt>
                <c:pt idx="116">
                  <c:v>-23.199199390011447</c:v>
                </c:pt>
                <c:pt idx="117">
                  <c:v>-23.062333206252372</c:v>
                </c:pt>
                <c:pt idx="118">
                  <c:v>-24.719214639725507</c:v>
                </c:pt>
                <c:pt idx="119">
                  <c:v>-27.126191383911539</c:v>
                </c:pt>
                <c:pt idx="120">
                  <c:v>-27.220930232558132</c:v>
                </c:pt>
                <c:pt idx="121">
                  <c:v>-24.537361799466265</c:v>
                </c:pt>
                <c:pt idx="122">
                  <c:v>-24.192337018680909</c:v>
                </c:pt>
                <c:pt idx="123">
                  <c:v>-23.453678993518874</c:v>
                </c:pt>
                <c:pt idx="124">
                  <c:v>-22.987228364468155</c:v>
                </c:pt>
                <c:pt idx="125">
                  <c:v>-23.408311094166972</c:v>
                </c:pt>
                <c:pt idx="126">
                  <c:v>-25.489897064430028</c:v>
                </c:pt>
                <c:pt idx="127">
                  <c:v>-24.775638581776597</c:v>
                </c:pt>
                <c:pt idx="128">
                  <c:v>-24.926038886770861</c:v>
                </c:pt>
                <c:pt idx="129">
                  <c:v>-25.472550514677856</c:v>
                </c:pt>
                <c:pt idx="130">
                  <c:v>-26.62733511246665</c:v>
                </c:pt>
                <c:pt idx="131">
                  <c:v>-26.609226077011062</c:v>
                </c:pt>
                <c:pt idx="132">
                  <c:v>-27.082539077392305</c:v>
                </c:pt>
                <c:pt idx="133">
                  <c:v>-28.447007243614191</c:v>
                </c:pt>
                <c:pt idx="134">
                  <c:v>-28.664887533358758</c:v>
                </c:pt>
                <c:pt idx="135">
                  <c:v>-29.700724361418214</c:v>
                </c:pt>
                <c:pt idx="136">
                  <c:v>-32.379336637438058</c:v>
                </c:pt>
                <c:pt idx="137">
                  <c:v>-32.406595501334337</c:v>
                </c:pt>
                <c:pt idx="138">
                  <c:v>-32.133816240945492</c:v>
                </c:pt>
                <c:pt idx="139">
                  <c:v>-31.096645062905083</c:v>
                </c:pt>
                <c:pt idx="140">
                  <c:v>-34.159550133434998</c:v>
                </c:pt>
                <c:pt idx="141">
                  <c:v>-34.279260388867691</c:v>
                </c:pt>
                <c:pt idx="142">
                  <c:v>-33.341593595120081</c:v>
                </c:pt>
                <c:pt idx="143">
                  <c:v>-34.192908882958442</c:v>
                </c:pt>
                <c:pt idx="144">
                  <c:v>-35.746664125047651</c:v>
                </c:pt>
                <c:pt idx="145">
                  <c:v>-34.870186808997325</c:v>
                </c:pt>
                <c:pt idx="146">
                  <c:v>-35.857796416317193</c:v>
                </c:pt>
                <c:pt idx="147">
                  <c:v>-35.827487609607317</c:v>
                </c:pt>
                <c:pt idx="148">
                  <c:v>-32.948532215020961</c:v>
                </c:pt>
                <c:pt idx="149">
                  <c:v>-33.98017537171178</c:v>
                </c:pt>
                <c:pt idx="150">
                  <c:v>-34.711017918414022</c:v>
                </c:pt>
                <c:pt idx="151">
                  <c:v>-37.684712161646964</c:v>
                </c:pt>
                <c:pt idx="152">
                  <c:v>-37.828821959588268</c:v>
                </c:pt>
                <c:pt idx="153">
                  <c:v>-39.580632863133822</c:v>
                </c:pt>
                <c:pt idx="154">
                  <c:v>-38.240373617994656</c:v>
                </c:pt>
                <c:pt idx="155">
                  <c:v>-38.240373617994656</c:v>
                </c:pt>
                <c:pt idx="156">
                  <c:v>-39.052611513534124</c:v>
                </c:pt>
                <c:pt idx="157">
                  <c:v>-39.829775066717488</c:v>
                </c:pt>
                <c:pt idx="158">
                  <c:v>-42.344262295081961</c:v>
                </c:pt>
                <c:pt idx="159">
                  <c:v>-42.525162028211959</c:v>
                </c:pt>
                <c:pt idx="160">
                  <c:v>-40.874571101791837</c:v>
                </c:pt>
                <c:pt idx="161">
                  <c:v>-45.233511246664115</c:v>
                </c:pt>
                <c:pt idx="162">
                  <c:v>-46.710064811284788</c:v>
                </c:pt>
                <c:pt idx="163">
                  <c:v>-46.130956919557768</c:v>
                </c:pt>
                <c:pt idx="164">
                  <c:v>-44.976553564620652</c:v>
                </c:pt>
                <c:pt idx="165">
                  <c:v>-48.122188333968722</c:v>
                </c:pt>
                <c:pt idx="166">
                  <c:v>-51.195768204346173</c:v>
                </c:pt>
                <c:pt idx="167">
                  <c:v>-50.07624857033931</c:v>
                </c:pt>
                <c:pt idx="168">
                  <c:v>-55.220548989706451</c:v>
                </c:pt>
                <c:pt idx="169">
                  <c:v>-57.166603126191383</c:v>
                </c:pt>
                <c:pt idx="170">
                  <c:v>-48.902973694243244</c:v>
                </c:pt>
                <c:pt idx="171">
                  <c:v>-52.783835303088075</c:v>
                </c:pt>
                <c:pt idx="172">
                  <c:v>-50.266298131910027</c:v>
                </c:pt>
                <c:pt idx="173">
                  <c:v>-48.831490659550127</c:v>
                </c:pt>
                <c:pt idx="174">
                  <c:v>-45.444147922226449</c:v>
                </c:pt>
                <c:pt idx="175">
                  <c:v>-44.00800609988562</c:v>
                </c:pt>
                <c:pt idx="176">
                  <c:v>-47.403736179946634</c:v>
                </c:pt>
                <c:pt idx="177">
                  <c:v>-52.183568433091864</c:v>
                </c:pt>
                <c:pt idx="178">
                  <c:v>-46.395920701486851</c:v>
                </c:pt>
                <c:pt idx="179">
                  <c:v>-46.494853221502105</c:v>
                </c:pt>
                <c:pt idx="180">
                  <c:v>-47.801372474266088</c:v>
                </c:pt>
                <c:pt idx="181">
                  <c:v>-48.647159740754859</c:v>
                </c:pt>
                <c:pt idx="182">
                  <c:v>-51.9052611513534</c:v>
                </c:pt>
                <c:pt idx="183">
                  <c:v>-51.082729698818142</c:v>
                </c:pt>
                <c:pt idx="184">
                  <c:v>-52.600648112847878</c:v>
                </c:pt>
                <c:pt idx="185">
                  <c:v>-49.950057186427742</c:v>
                </c:pt>
                <c:pt idx="186">
                  <c:v>-46.724170796797573</c:v>
                </c:pt>
                <c:pt idx="187">
                  <c:v>-48.627906976744192</c:v>
                </c:pt>
                <c:pt idx="188">
                  <c:v>-42.96606938619901</c:v>
                </c:pt>
                <c:pt idx="189">
                  <c:v>-45.639725505146785</c:v>
                </c:pt>
                <c:pt idx="190">
                  <c:v>-46.778497903164315</c:v>
                </c:pt>
                <c:pt idx="191">
                  <c:v>-43.296606938619902</c:v>
                </c:pt>
                <c:pt idx="192">
                  <c:v>-45.417079679755986</c:v>
                </c:pt>
                <c:pt idx="193">
                  <c:v>-44.429851315287834</c:v>
                </c:pt>
                <c:pt idx="194">
                  <c:v>-43.585589020205873</c:v>
                </c:pt>
                <c:pt idx="195">
                  <c:v>-45.477506671749893</c:v>
                </c:pt>
                <c:pt idx="196">
                  <c:v>-43.329584445291665</c:v>
                </c:pt>
                <c:pt idx="197">
                  <c:v>-39.867136866183763</c:v>
                </c:pt>
                <c:pt idx="198">
                  <c:v>-39.777544796035059</c:v>
                </c:pt>
                <c:pt idx="199">
                  <c:v>-39.687952725886383</c:v>
                </c:pt>
                <c:pt idx="200">
                  <c:v>-37.091117041555485</c:v>
                </c:pt>
                <c:pt idx="201">
                  <c:v>-35.918795272588632</c:v>
                </c:pt>
                <c:pt idx="202">
                  <c:v>-38.694815097216917</c:v>
                </c:pt>
                <c:pt idx="203">
                  <c:v>-35.644300419367148</c:v>
                </c:pt>
                <c:pt idx="204">
                  <c:v>-36.668890583301561</c:v>
                </c:pt>
                <c:pt idx="205">
                  <c:v>-33.155547083492173</c:v>
                </c:pt>
                <c:pt idx="206">
                  <c:v>-33.944910407929846</c:v>
                </c:pt>
                <c:pt idx="207">
                  <c:v>-35.463781929088832</c:v>
                </c:pt>
                <c:pt idx="208">
                  <c:v>-34.56176134197483</c:v>
                </c:pt>
                <c:pt idx="209">
                  <c:v>-29.756576439191768</c:v>
                </c:pt>
                <c:pt idx="210">
                  <c:v>-30.439573008006104</c:v>
                </c:pt>
                <c:pt idx="211">
                  <c:v>-29.419557758292036</c:v>
                </c:pt>
                <c:pt idx="212">
                  <c:v>-28.16202821197103</c:v>
                </c:pt>
                <c:pt idx="213">
                  <c:v>-30.098741898589388</c:v>
                </c:pt>
                <c:pt idx="214">
                  <c:v>-31.214639725505144</c:v>
                </c:pt>
                <c:pt idx="215">
                  <c:v>-30.248760960731996</c:v>
                </c:pt>
                <c:pt idx="216">
                  <c:v>-30.469500571864273</c:v>
                </c:pt>
                <c:pt idx="217">
                  <c:v>-29.925085779641623</c:v>
                </c:pt>
                <c:pt idx="218">
                  <c:v>-29.591117041555481</c:v>
                </c:pt>
                <c:pt idx="219">
                  <c:v>-28.121997712542889</c:v>
                </c:pt>
                <c:pt idx="220">
                  <c:v>-29.017346549752197</c:v>
                </c:pt>
                <c:pt idx="221">
                  <c:v>-30.718642775447965</c:v>
                </c:pt>
                <c:pt idx="222">
                  <c:v>-30.593023255813957</c:v>
                </c:pt>
                <c:pt idx="223">
                  <c:v>-28.985894014487219</c:v>
                </c:pt>
                <c:pt idx="224">
                  <c:v>-29.94281357224553</c:v>
                </c:pt>
                <c:pt idx="225">
                  <c:v>-27.94224170796797</c:v>
                </c:pt>
                <c:pt idx="226">
                  <c:v>-27.123713305375514</c:v>
                </c:pt>
                <c:pt idx="227">
                  <c:v>-25.096073198627522</c:v>
                </c:pt>
                <c:pt idx="228">
                  <c:v>-26.336637438048037</c:v>
                </c:pt>
                <c:pt idx="229">
                  <c:v>-26.008387342737322</c:v>
                </c:pt>
                <c:pt idx="230">
                  <c:v>-26.739801753717124</c:v>
                </c:pt>
                <c:pt idx="231">
                  <c:v>-26.230842546702238</c:v>
                </c:pt>
                <c:pt idx="232">
                  <c:v>-25.581014105985517</c:v>
                </c:pt>
                <c:pt idx="233">
                  <c:v>-24.228745711017918</c:v>
                </c:pt>
                <c:pt idx="234">
                  <c:v>-27.243614182234072</c:v>
                </c:pt>
                <c:pt idx="235">
                  <c:v>-26.825200152497136</c:v>
                </c:pt>
                <c:pt idx="236">
                  <c:v>-26.881433473122375</c:v>
                </c:pt>
                <c:pt idx="237">
                  <c:v>-24.731033168128082</c:v>
                </c:pt>
                <c:pt idx="238">
                  <c:v>-24.142203583682804</c:v>
                </c:pt>
                <c:pt idx="239">
                  <c:v>-23.417460922607695</c:v>
                </c:pt>
                <c:pt idx="240">
                  <c:v>-23.459969500571862</c:v>
                </c:pt>
                <c:pt idx="241">
                  <c:v>-24.258101410598552</c:v>
                </c:pt>
                <c:pt idx="242">
                  <c:v>-27.006862371330527</c:v>
                </c:pt>
                <c:pt idx="243">
                  <c:v>-27.041364849409067</c:v>
                </c:pt>
                <c:pt idx="244">
                  <c:v>-25.235608082348453</c:v>
                </c:pt>
                <c:pt idx="245">
                  <c:v>-25.547083492184509</c:v>
                </c:pt>
                <c:pt idx="246">
                  <c:v>-26.817003431185661</c:v>
                </c:pt>
                <c:pt idx="247">
                  <c:v>-26.317003431185665</c:v>
                </c:pt>
                <c:pt idx="248">
                  <c:v>-24.202821197102558</c:v>
                </c:pt>
                <c:pt idx="249">
                  <c:v>-24.004956157072048</c:v>
                </c:pt>
                <c:pt idx="250">
                  <c:v>-24.3069004956157</c:v>
                </c:pt>
                <c:pt idx="251">
                  <c:v>-23.481128478841015</c:v>
                </c:pt>
                <c:pt idx="252">
                  <c:v>-23.64468166221884</c:v>
                </c:pt>
                <c:pt idx="253">
                  <c:v>-24.297941288600832</c:v>
                </c:pt>
                <c:pt idx="254">
                  <c:v>-27.727792603888673</c:v>
                </c:pt>
                <c:pt idx="255">
                  <c:v>-27.374952344643528</c:v>
                </c:pt>
                <c:pt idx="256">
                  <c:v>-27.427563858177663</c:v>
                </c:pt>
                <c:pt idx="257">
                  <c:v>-26.8850552802135</c:v>
                </c:pt>
                <c:pt idx="258">
                  <c:v>-25.196340068623709</c:v>
                </c:pt>
                <c:pt idx="259">
                  <c:v>-24.978269157453283</c:v>
                </c:pt>
                <c:pt idx="260">
                  <c:v>-25.880289744567285</c:v>
                </c:pt>
                <c:pt idx="261">
                  <c:v>-25.19138391155165</c:v>
                </c:pt>
                <c:pt idx="262">
                  <c:v>-25.841974837971787</c:v>
                </c:pt>
                <c:pt idx="263">
                  <c:v>-27.955966450629038</c:v>
                </c:pt>
                <c:pt idx="264">
                  <c:v>-27.604460541364844</c:v>
                </c:pt>
                <c:pt idx="265">
                  <c:v>-25.3412123522684</c:v>
                </c:pt>
                <c:pt idx="266">
                  <c:v>-24.921845215402222</c:v>
                </c:pt>
                <c:pt idx="267">
                  <c:v>-23.464163171940527</c:v>
                </c:pt>
                <c:pt idx="268">
                  <c:v>-21.41631719405261</c:v>
                </c:pt>
                <c:pt idx="269">
                  <c:v>-22.398589401448728</c:v>
                </c:pt>
                <c:pt idx="270">
                  <c:v>-24.074532977506671</c:v>
                </c:pt>
                <c:pt idx="271">
                  <c:v>-25.341021730842549</c:v>
                </c:pt>
                <c:pt idx="272">
                  <c:v>-25.690049561570717</c:v>
                </c:pt>
                <c:pt idx="273">
                  <c:v>-24.774876096073207</c:v>
                </c:pt>
                <c:pt idx="274">
                  <c:v>-24.636866183759057</c:v>
                </c:pt>
                <c:pt idx="275">
                  <c:v>-23.62409454822722</c:v>
                </c:pt>
                <c:pt idx="276">
                  <c:v>-22.268966831871911</c:v>
                </c:pt>
                <c:pt idx="277">
                  <c:v>-22.176896683187177</c:v>
                </c:pt>
                <c:pt idx="278">
                  <c:v>-22.653831490659549</c:v>
                </c:pt>
                <c:pt idx="279">
                  <c:v>-22.032596263820047</c:v>
                </c:pt>
                <c:pt idx="280">
                  <c:v>-23.890202058711402</c:v>
                </c:pt>
                <c:pt idx="281">
                  <c:v>-24.761151353412135</c:v>
                </c:pt>
                <c:pt idx="282">
                  <c:v>-23.017537171178031</c:v>
                </c:pt>
                <c:pt idx="283">
                  <c:v>-21.596073198627519</c:v>
                </c:pt>
                <c:pt idx="284">
                  <c:v>-21.888677087304607</c:v>
                </c:pt>
                <c:pt idx="285">
                  <c:v>-21.851124666412499</c:v>
                </c:pt>
                <c:pt idx="286">
                  <c:v>-21.697865040030496</c:v>
                </c:pt>
                <c:pt idx="287">
                  <c:v>-22.975981700343112</c:v>
                </c:pt>
                <c:pt idx="288">
                  <c:v>-22.488562714449088</c:v>
                </c:pt>
                <c:pt idx="289">
                  <c:v>-22.79298513152877</c:v>
                </c:pt>
                <c:pt idx="290">
                  <c:v>-21.623713305375528</c:v>
                </c:pt>
                <c:pt idx="291">
                  <c:v>-22.109607319862754</c:v>
                </c:pt>
                <c:pt idx="292">
                  <c:v>-21.533358749523444</c:v>
                </c:pt>
                <c:pt idx="293">
                  <c:v>-21.858749523446438</c:v>
                </c:pt>
                <c:pt idx="294">
                  <c:v>-19.818337781166608</c:v>
                </c:pt>
                <c:pt idx="295">
                  <c:v>-20.863515059092641</c:v>
                </c:pt>
                <c:pt idx="296">
                  <c:v>-19.749332825009532</c:v>
                </c:pt>
                <c:pt idx="297">
                  <c:v>-20.993518871521154</c:v>
                </c:pt>
                <c:pt idx="298">
                  <c:v>-21.701677468547469</c:v>
                </c:pt>
                <c:pt idx="299">
                  <c:v>-22.547655356462062</c:v>
                </c:pt>
                <c:pt idx="300">
                  <c:v>-23.626000762485713</c:v>
                </c:pt>
                <c:pt idx="301">
                  <c:v>-24.842927945101021</c:v>
                </c:pt>
                <c:pt idx="302">
                  <c:v>-25.805375524208923</c:v>
                </c:pt>
                <c:pt idx="303">
                  <c:v>-26.477316050324045</c:v>
                </c:pt>
                <c:pt idx="304">
                  <c:v>-27.24494853221503</c:v>
                </c:pt>
                <c:pt idx="305">
                  <c:v>-25.932138772398002</c:v>
                </c:pt>
                <c:pt idx="306">
                  <c:v>-27.118947769729314</c:v>
                </c:pt>
                <c:pt idx="307">
                  <c:v>-27.223980175371697</c:v>
                </c:pt>
                <c:pt idx="308">
                  <c:v>-26.19919939001143</c:v>
                </c:pt>
                <c:pt idx="309">
                  <c:v>-25.122378955394588</c:v>
                </c:pt>
                <c:pt idx="310">
                  <c:v>-25.10141059855129</c:v>
                </c:pt>
                <c:pt idx="311">
                  <c:v>-23.060426991993907</c:v>
                </c:pt>
                <c:pt idx="312">
                  <c:v>-23.44948532215021</c:v>
                </c:pt>
                <c:pt idx="313">
                  <c:v>-23.357033930613795</c:v>
                </c:pt>
                <c:pt idx="314">
                  <c:v>-22.483225314525352</c:v>
                </c:pt>
                <c:pt idx="315">
                  <c:v>-23.626763248189103</c:v>
                </c:pt>
                <c:pt idx="316">
                  <c:v>-22.080632863133804</c:v>
                </c:pt>
                <c:pt idx="317">
                  <c:v>-21.511246664125043</c:v>
                </c:pt>
                <c:pt idx="318">
                  <c:v>-22.318719024018307</c:v>
                </c:pt>
                <c:pt idx="319">
                  <c:v>-21.384102173084255</c:v>
                </c:pt>
                <c:pt idx="320">
                  <c:v>-21.686618375905443</c:v>
                </c:pt>
                <c:pt idx="321">
                  <c:v>-23.292603888677078</c:v>
                </c:pt>
                <c:pt idx="322">
                  <c:v>-22.834349980937862</c:v>
                </c:pt>
                <c:pt idx="323">
                  <c:v>-24.16050324056425</c:v>
                </c:pt>
                <c:pt idx="324">
                  <c:v>-23.357415173465505</c:v>
                </c:pt>
                <c:pt idx="325">
                  <c:v>-23.173846740373623</c:v>
                </c:pt>
                <c:pt idx="326">
                  <c:v>-24.01849027830729</c:v>
                </c:pt>
                <c:pt idx="327">
                  <c:v>-24.428135722455213</c:v>
                </c:pt>
                <c:pt idx="328">
                  <c:v>-24.45005718642776</c:v>
                </c:pt>
                <c:pt idx="329">
                  <c:v>-25.692146397255062</c:v>
                </c:pt>
                <c:pt idx="330">
                  <c:v>-24.147731605032398</c:v>
                </c:pt>
                <c:pt idx="331">
                  <c:v>-24.025924513915349</c:v>
                </c:pt>
                <c:pt idx="332">
                  <c:v>-23.084826534502483</c:v>
                </c:pt>
                <c:pt idx="333">
                  <c:v>-22.670224933282505</c:v>
                </c:pt>
                <c:pt idx="334">
                  <c:v>-21.810331681280971</c:v>
                </c:pt>
                <c:pt idx="335">
                  <c:v>-23.368280594738835</c:v>
                </c:pt>
                <c:pt idx="336">
                  <c:v>-23.1054136484941</c:v>
                </c:pt>
                <c:pt idx="337">
                  <c:v>-24.586732748760951</c:v>
                </c:pt>
                <c:pt idx="338">
                  <c:v>-24.148303469309962</c:v>
                </c:pt>
                <c:pt idx="339">
                  <c:v>-23.524780785360281</c:v>
                </c:pt>
                <c:pt idx="340">
                  <c:v>-23.902592451391545</c:v>
                </c:pt>
                <c:pt idx="341">
                  <c:v>-23.305375524208934</c:v>
                </c:pt>
                <c:pt idx="342">
                  <c:v>-23.564048799085029</c:v>
                </c:pt>
                <c:pt idx="343">
                  <c:v>-22.407739229889451</c:v>
                </c:pt>
                <c:pt idx="344">
                  <c:v>-21.345787266488752</c:v>
                </c:pt>
                <c:pt idx="345">
                  <c:v>-22.102554327106379</c:v>
                </c:pt>
                <c:pt idx="346">
                  <c:v>-21.640297369424321</c:v>
                </c:pt>
                <c:pt idx="347">
                  <c:v>-21.878192908882959</c:v>
                </c:pt>
                <c:pt idx="348">
                  <c:v>-21.508768585589014</c:v>
                </c:pt>
                <c:pt idx="349">
                  <c:v>-20.329203202439945</c:v>
                </c:pt>
                <c:pt idx="350">
                  <c:v>-19.861036980556616</c:v>
                </c:pt>
                <c:pt idx="351">
                  <c:v>-18.560998856271439</c:v>
                </c:pt>
                <c:pt idx="352">
                  <c:v>-19.373046130385056</c:v>
                </c:pt>
                <c:pt idx="353">
                  <c:v>-18.885055280213496</c:v>
                </c:pt>
                <c:pt idx="354">
                  <c:v>-18.455966450629056</c:v>
                </c:pt>
                <c:pt idx="355">
                  <c:v>-18.608082348455966</c:v>
                </c:pt>
                <c:pt idx="356">
                  <c:v>-18.215783454060229</c:v>
                </c:pt>
                <c:pt idx="357">
                  <c:v>-19.422035836828062</c:v>
                </c:pt>
                <c:pt idx="358">
                  <c:v>-19.905451772779259</c:v>
                </c:pt>
                <c:pt idx="359">
                  <c:v>-19.92432329393824</c:v>
                </c:pt>
                <c:pt idx="360">
                  <c:v>-20.066717499046895</c:v>
                </c:pt>
                <c:pt idx="361">
                  <c:v>-20.239801753717124</c:v>
                </c:pt>
                <c:pt idx="362">
                  <c:v>-19.991040792985125</c:v>
                </c:pt>
                <c:pt idx="363">
                  <c:v>-18.586542127335118</c:v>
                </c:pt>
                <c:pt idx="364">
                  <c:v>-18.930613800991225</c:v>
                </c:pt>
                <c:pt idx="365">
                  <c:v>-19.191765154403349</c:v>
                </c:pt>
                <c:pt idx="366">
                  <c:v>-18.609226077011055</c:v>
                </c:pt>
                <c:pt idx="367">
                  <c:v>-18.365421273351114</c:v>
                </c:pt>
                <c:pt idx="368">
                  <c:v>-19.977887914601595</c:v>
                </c:pt>
                <c:pt idx="369">
                  <c:v>-19.702630575676704</c:v>
                </c:pt>
                <c:pt idx="370">
                  <c:v>-19.923942051086545</c:v>
                </c:pt>
                <c:pt idx="371">
                  <c:v>-20.81338162409455</c:v>
                </c:pt>
                <c:pt idx="372">
                  <c:v>-20.711017918414033</c:v>
                </c:pt>
                <c:pt idx="373">
                  <c:v>-21.587876477316044</c:v>
                </c:pt>
                <c:pt idx="374">
                  <c:v>-21.486847121616467</c:v>
                </c:pt>
                <c:pt idx="375">
                  <c:v>-22.610369805566137</c:v>
                </c:pt>
                <c:pt idx="376">
                  <c:v>-21.572436141822333</c:v>
                </c:pt>
                <c:pt idx="377">
                  <c:v>-21.335303088067104</c:v>
                </c:pt>
                <c:pt idx="378">
                  <c:v>-21.636675562333206</c:v>
                </c:pt>
                <c:pt idx="379">
                  <c:v>-24.211208539839866</c:v>
                </c:pt>
                <c:pt idx="380">
                  <c:v>-25.36523065192527</c:v>
                </c:pt>
                <c:pt idx="381">
                  <c:v>-26.362943194815109</c:v>
                </c:pt>
                <c:pt idx="382">
                  <c:v>-23.000190621425858</c:v>
                </c:pt>
                <c:pt idx="383">
                  <c:v>-22.989706443004181</c:v>
                </c:pt>
                <c:pt idx="384">
                  <c:v>-23.216736561189471</c:v>
                </c:pt>
                <c:pt idx="385">
                  <c:v>-23.229126953869613</c:v>
                </c:pt>
                <c:pt idx="386">
                  <c:v>-21.902592451391534</c:v>
                </c:pt>
                <c:pt idx="387">
                  <c:v>-21.851505909264194</c:v>
                </c:pt>
                <c:pt idx="388">
                  <c:v>-22.76038886770872</c:v>
                </c:pt>
                <c:pt idx="389">
                  <c:v>-22.814334731223781</c:v>
                </c:pt>
                <c:pt idx="390">
                  <c:v>-23.581776591688911</c:v>
                </c:pt>
                <c:pt idx="391">
                  <c:v>-23.573198627525723</c:v>
                </c:pt>
                <c:pt idx="392">
                  <c:v>-24.558330156309566</c:v>
                </c:pt>
                <c:pt idx="393">
                  <c:v>-22.177468547464741</c:v>
                </c:pt>
                <c:pt idx="394">
                  <c:v>-21.726839496759435</c:v>
                </c:pt>
                <c:pt idx="395">
                  <c:v>-21.663553183377811</c:v>
                </c:pt>
                <c:pt idx="396">
                  <c:v>-21.257338924895162</c:v>
                </c:pt>
                <c:pt idx="397">
                  <c:v>-21.670034311856647</c:v>
                </c:pt>
                <c:pt idx="398">
                  <c:v>-21.453297750667168</c:v>
                </c:pt>
                <c:pt idx="399">
                  <c:v>-20.660693861990087</c:v>
                </c:pt>
                <c:pt idx="400">
                  <c:v>-19.286122760198246</c:v>
                </c:pt>
                <c:pt idx="401">
                  <c:v>-15.927563858177665</c:v>
                </c:pt>
                <c:pt idx="402">
                  <c:v>-15.456538314906593</c:v>
                </c:pt>
                <c:pt idx="403">
                  <c:v>-17.187952725886383</c:v>
                </c:pt>
                <c:pt idx="404">
                  <c:v>-17.760770110560419</c:v>
                </c:pt>
                <c:pt idx="405">
                  <c:v>-19.014677849790314</c:v>
                </c:pt>
                <c:pt idx="406">
                  <c:v>-17.966069386199003</c:v>
                </c:pt>
                <c:pt idx="407">
                  <c:v>-17.09283263438811</c:v>
                </c:pt>
                <c:pt idx="408">
                  <c:v>-16.499428135722454</c:v>
                </c:pt>
                <c:pt idx="409">
                  <c:v>-16.261341974837965</c:v>
                </c:pt>
                <c:pt idx="410">
                  <c:v>-16.648875333587497</c:v>
                </c:pt>
                <c:pt idx="411">
                  <c:v>-16.189477697293182</c:v>
                </c:pt>
                <c:pt idx="412">
                  <c:v>-15.711780404117414</c:v>
                </c:pt>
                <c:pt idx="413">
                  <c:v>-14.757910789172698</c:v>
                </c:pt>
                <c:pt idx="414">
                  <c:v>-15.201486847121615</c:v>
                </c:pt>
                <c:pt idx="415">
                  <c:v>-16.703011818528402</c:v>
                </c:pt>
                <c:pt idx="416">
                  <c:v>-16.545749142203576</c:v>
                </c:pt>
                <c:pt idx="417">
                  <c:v>-16.249523446435372</c:v>
                </c:pt>
                <c:pt idx="418">
                  <c:v>-15.15783454060236</c:v>
                </c:pt>
                <c:pt idx="419">
                  <c:v>-13.629622569576824</c:v>
                </c:pt>
                <c:pt idx="420">
                  <c:v>-13.436523065192526</c:v>
                </c:pt>
                <c:pt idx="421">
                  <c:v>-14.150972169271828</c:v>
                </c:pt>
                <c:pt idx="422">
                  <c:v>-14.642394205108648</c:v>
                </c:pt>
                <c:pt idx="423">
                  <c:v>-14.146206633625624</c:v>
                </c:pt>
                <c:pt idx="424">
                  <c:v>-13.244757910789174</c:v>
                </c:pt>
                <c:pt idx="425">
                  <c:v>-13.683759054517727</c:v>
                </c:pt>
                <c:pt idx="426">
                  <c:v>-13.960922607701109</c:v>
                </c:pt>
                <c:pt idx="427">
                  <c:v>-13.174799847502852</c:v>
                </c:pt>
                <c:pt idx="428">
                  <c:v>-13.274304231795645</c:v>
                </c:pt>
                <c:pt idx="429">
                  <c:v>-14.099123141441098</c:v>
                </c:pt>
                <c:pt idx="430">
                  <c:v>-14.092832634388101</c:v>
                </c:pt>
                <c:pt idx="431">
                  <c:v>-13.456919557758292</c:v>
                </c:pt>
                <c:pt idx="432">
                  <c:v>-12.858940144872289</c:v>
                </c:pt>
                <c:pt idx="433">
                  <c:v>-13.241136103698055</c:v>
                </c:pt>
                <c:pt idx="434">
                  <c:v>-15.283072817384671</c:v>
                </c:pt>
                <c:pt idx="435">
                  <c:v>-14.241136103698057</c:v>
                </c:pt>
                <c:pt idx="436">
                  <c:v>-14.106557377049183</c:v>
                </c:pt>
                <c:pt idx="437">
                  <c:v>-14.585017155928323</c:v>
                </c:pt>
                <c:pt idx="438">
                  <c:v>-14.793366374380474</c:v>
                </c:pt>
                <c:pt idx="439">
                  <c:v>-12.870377430423172</c:v>
                </c:pt>
                <c:pt idx="440">
                  <c:v>-12.361418223408311</c:v>
                </c:pt>
                <c:pt idx="441">
                  <c:v>-12.370377430423178</c:v>
                </c:pt>
                <c:pt idx="442">
                  <c:v>-13.121997712542891</c:v>
                </c:pt>
                <c:pt idx="443">
                  <c:v>-12.829203202439949</c:v>
                </c:pt>
                <c:pt idx="444">
                  <c:v>-12.277735417460921</c:v>
                </c:pt>
                <c:pt idx="445">
                  <c:v>-11.253335874952347</c:v>
                </c:pt>
                <c:pt idx="446">
                  <c:v>-10.791269538696145</c:v>
                </c:pt>
                <c:pt idx="447">
                  <c:v>-9.2499046892870744</c:v>
                </c:pt>
                <c:pt idx="448">
                  <c:v>-9.2546702249332764</c:v>
                </c:pt>
                <c:pt idx="449">
                  <c:v>-9.7028211971025549</c:v>
                </c:pt>
                <c:pt idx="450">
                  <c:v>-11.528783835303091</c:v>
                </c:pt>
                <c:pt idx="451">
                  <c:v>-10.571292413267244</c:v>
                </c:pt>
                <c:pt idx="452">
                  <c:v>-9.9292794510102933</c:v>
                </c:pt>
                <c:pt idx="453">
                  <c:v>-10.549752192146393</c:v>
                </c:pt>
                <c:pt idx="454">
                  <c:v>-10.143537933663744</c:v>
                </c:pt>
                <c:pt idx="455">
                  <c:v>-11.292794510102935</c:v>
                </c:pt>
                <c:pt idx="456">
                  <c:v>-10.584826534502474</c:v>
                </c:pt>
                <c:pt idx="457">
                  <c:v>-11.426991993900112</c:v>
                </c:pt>
                <c:pt idx="458">
                  <c:v>-11.133244376667935</c:v>
                </c:pt>
                <c:pt idx="459">
                  <c:v>-12.016584064048796</c:v>
                </c:pt>
                <c:pt idx="460">
                  <c:v>-11.375333587495236</c:v>
                </c:pt>
                <c:pt idx="461">
                  <c:v>-11.139534883720934</c:v>
                </c:pt>
                <c:pt idx="462">
                  <c:v>-10.765345024780787</c:v>
                </c:pt>
                <c:pt idx="463">
                  <c:v>-11.779451010293551</c:v>
                </c:pt>
                <c:pt idx="464">
                  <c:v>-13.100648112847882</c:v>
                </c:pt>
                <c:pt idx="465">
                  <c:v>-12.597216927182615</c:v>
                </c:pt>
                <c:pt idx="466">
                  <c:v>-12.146206633625614</c:v>
                </c:pt>
                <c:pt idx="467">
                  <c:v>-13.085207777354174</c:v>
                </c:pt>
                <c:pt idx="468">
                  <c:v>-12.644491040792982</c:v>
                </c:pt>
                <c:pt idx="469">
                  <c:v>-10.124285169653067</c:v>
                </c:pt>
                <c:pt idx="470">
                  <c:v>-9.1109416698436938</c:v>
                </c:pt>
                <c:pt idx="471">
                  <c:v>-9.3966831871902343</c:v>
                </c:pt>
                <c:pt idx="472">
                  <c:v>-9.9508196721311446</c:v>
                </c:pt>
                <c:pt idx="473">
                  <c:v>-10.215020968356846</c:v>
                </c:pt>
                <c:pt idx="474">
                  <c:v>-9.5486084635913073</c:v>
                </c:pt>
                <c:pt idx="475">
                  <c:v>-8.6313381624094525</c:v>
                </c:pt>
                <c:pt idx="476">
                  <c:v>-8.5804422417079689</c:v>
                </c:pt>
                <c:pt idx="477">
                  <c:v>-8.6519252764010712</c:v>
                </c:pt>
                <c:pt idx="478">
                  <c:v>-8.0468928707586649</c:v>
                </c:pt>
                <c:pt idx="479">
                  <c:v>-7.0005718642775436</c:v>
                </c:pt>
                <c:pt idx="480">
                  <c:v>-7.2967975600457482</c:v>
                </c:pt>
                <c:pt idx="481">
                  <c:v>-7.2483797178802938</c:v>
                </c:pt>
                <c:pt idx="482">
                  <c:v>-7.1059855127716398</c:v>
                </c:pt>
                <c:pt idx="483">
                  <c:v>-7.2817384674037369</c:v>
                </c:pt>
                <c:pt idx="484">
                  <c:v>-7.1816622188333925</c:v>
                </c:pt>
                <c:pt idx="485">
                  <c:v>-9.0392680137247368</c:v>
                </c:pt>
                <c:pt idx="486">
                  <c:v>-9.1219977125428819</c:v>
                </c:pt>
                <c:pt idx="487">
                  <c:v>-8.7840259245139158</c:v>
                </c:pt>
                <c:pt idx="488">
                  <c:v>-8.5970263057567635</c:v>
                </c:pt>
                <c:pt idx="489">
                  <c:v>-7.114182234083116</c:v>
                </c:pt>
                <c:pt idx="490">
                  <c:v>-7.3259626382005258</c:v>
                </c:pt>
                <c:pt idx="491">
                  <c:v>-6.6383911551658432</c:v>
                </c:pt>
                <c:pt idx="492">
                  <c:v>-7.0434616850934049</c:v>
                </c:pt>
                <c:pt idx="493">
                  <c:v>-7.7041555470834968</c:v>
                </c:pt>
                <c:pt idx="494">
                  <c:v>-7.0768204346168488</c:v>
                </c:pt>
                <c:pt idx="495">
                  <c:v>-7.7195958825772042</c:v>
                </c:pt>
                <c:pt idx="496">
                  <c:v>-6.5354555852077763</c:v>
                </c:pt>
                <c:pt idx="497">
                  <c:v>-7.1042699199390018</c:v>
                </c:pt>
                <c:pt idx="498">
                  <c:v>-8.8800991231414343</c:v>
                </c:pt>
                <c:pt idx="499">
                  <c:v>-8.907739229889442</c:v>
                </c:pt>
                <c:pt idx="500">
                  <c:v>-8.4323293938238653</c:v>
                </c:pt>
                <c:pt idx="501">
                  <c:v>-8.4653069004956141</c:v>
                </c:pt>
                <c:pt idx="502">
                  <c:v>-8.6971025543271061</c:v>
                </c:pt>
                <c:pt idx="503">
                  <c:v>-9.2642012962256945</c:v>
                </c:pt>
                <c:pt idx="504">
                  <c:v>-11.215974075486079</c:v>
                </c:pt>
                <c:pt idx="505">
                  <c:v>-10.931185665268771</c:v>
                </c:pt>
                <c:pt idx="506">
                  <c:v>-11.210446054136487</c:v>
                </c:pt>
                <c:pt idx="507">
                  <c:v>-11.400495615707202</c:v>
                </c:pt>
                <c:pt idx="508">
                  <c:v>-9.5015249714067807</c:v>
                </c:pt>
                <c:pt idx="509">
                  <c:v>-8.8619900876858573</c:v>
                </c:pt>
                <c:pt idx="510">
                  <c:v>-8.8522683949675987</c:v>
                </c:pt>
                <c:pt idx="511">
                  <c:v>-7.3999237514296556</c:v>
                </c:pt>
                <c:pt idx="512">
                  <c:v>-7.5981700343118508</c:v>
                </c:pt>
                <c:pt idx="513">
                  <c:v>-8.3888677087304551</c:v>
                </c:pt>
                <c:pt idx="514">
                  <c:v>-9.7804041174227994</c:v>
                </c:pt>
                <c:pt idx="515">
                  <c:v>-8.3747617232176879</c:v>
                </c:pt>
                <c:pt idx="516">
                  <c:v>-7.9035455585207774</c:v>
                </c:pt>
                <c:pt idx="517">
                  <c:v>-7.5491803278688456</c:v>
                </c:pt>
                <c:pt idx="518">
                  <c:v>-7.7342737323675204</c:v>
                </c:pt>
                <c:pt idx="519">
                  <c:v>-8.1978650400304911</c:v>
                </c:pt>
                <c:pt idx="520">
                  <c:v>-7.9813191002668651</c:v>
                </c:pt>
                <c:pt idx="521">
                  <c:v>-7.4992375142966079</c:v>
                </c:pt>
                <c:pt idx="522">
                  <c:v>-7.9580632863133776</c:v>
                </c:pt>
                <c:pt idx="523" formatCode="0.00">
                  <c:v>-8.1326725123903874</c:v>
                </c:pt>
                <c:pt idx="524">
                  <c:v>-7.2054898970644317</c:v>
                </c:pt>
                <c:pt idx="525">
                  <c:v>-7.9107891727030086</c:v>
                </c:pt>
                <c:pt idx="526">
                  <c:v>-7.9679756004574918</c:v>
                </c:pt>
                <c:pt idx="527">
                  <c:v>-7.7011056042699186</c:v>
                </c:pt>
                <c:pt idx="528">
                  <c:v>-8.7304613038505501</c:v>
                </c:pt>
                <c:pt idx="529">
                  <c:v>-8.4064048799084947</c:v>
                </c:pt>
                <c:pt idx="530">
                  <c:v>-8.5970263057567635</c:v>
                </c:pt>
                <c:pt idx="531">
                  <c:v>-8.7304613038505501</c:v>
                </c:pt>
                <c:pt idx="532">
                  <c:v>-8.482653450247799</c:v>
                </c:pt>
                <c:pt idx="533">
                  <c:v>-9.0163934426229435</c:v>
                </c:pt>
                <c:pt idx="534">
                  <c:v>-10.312619138391149</c:v>
                </c:pt>
                <c:pt idx="535">
                  <c:v>-10.102935569958058</c:v>
                </c:pt>
                <c:pt idx="536">
                  <c:v>-11.265726267632475</c:v>
                </c:pt>
                <c:pt idx="537">
                  <c:v>-13.820053373999237</c:v>
                </c:pt>
                <c:pt idx="538">
                  <c:v>-14.982844071673654</c:v>
                </c:pt>
                <c:pt idx="539">
                  <c:v>-13.934426229508201</c:v>
                </c:pt>
                <c:pt idx="540">
                  <c:v>-13.400686237133055</c:v>
                </c:pt>
                <c:pt idx="541">
                  <c:v>-12.314144109797942</c:v>
                </c:pt>
                <c:pt idx="542">
                  <c:v>-12.7144491040793</c:v>
                </c:pt>
                <c:pt idx="543">
                  <c:v>-13.019443385436519</c:v>
                </c:pt>
                <c:pt idx="544">
                  <c:v>-13.495996950057181</c:v>
                </c:pt>
                <c:pt idx="545" formatCode="0.00">
                  <c:v>-12.733511246664126</c:v>
                </c:pt>
              </c:numCache>
            </c:numRef>
          </c:val>
          <c:smooth val="0"/>
        </c:ser>
        <c:dLbls>
          <c:showLegendKey val="0"/>
          <c:showVal val="0"/>
          <c:showCatName val="0"/>
          <c:showSerName val="0"/>
          <c:showPercent val="0"/>
          <c:showBubbleSize val="0"/>
        </c:dLbls>
        <c:smooth val="0"/>
        <c:axId val="344482712"/>
        <c:axId val="344483104"/>
      </c:lineChart>
      <c:dateAx>
        <c:axId val="344482712"/>
        <c:scaling>
          <c:orientation val="minMax"/>
        </c:scaling>
        <c:delete val="0"/>
        <c:axPos val="b"/>
        <c:numFmt formatCode="[$-409]mmm\-yy;@" sourceLinked="0"/>
        <c:majorTickMark val="out"/>
        <c:minorTickMark val="none"/>
        <c:tickLblPos val="low"/>
        <c:txPr>
          <a:bodyPr rot="-5400000" vert="horz"/>
          <a:lstStyle/>
          <a:p>
            <a:pPr>
              <a:defRPr/>
            </a:pPr>
            <a:endParaRPr lang="en-US"/>
          </a:p>
        </c:txPr>
        <c:crossAx val="344483104"/>
        <c:crosses val="autoZero"/>
        <c:auto val="1"/>
        <c:lblOffset val="100"/>
        <c:baseTimeUnit val="days"/>
        <c:majorUnit val="1"/>
      </c:dateAx>
      <c:valAx>
        <c:axId val="344483104"/>
        <c:scaling>
          <c:orientation val="minMax"/>
        </c:scaling>
        <c:delete val="0"/>
        <c:axPos val="l"/>
        <c:majorGridlines/>
        <c:numFmt formatCode="0" sourceLinked="0"/>
        <c:majorTickMark val="out"/>
        <c:minorTickMark val="none"/>
        <c:tickLblPos val="nextTo"/>
        <c:crossAx val="344482712"/>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7050623703483605"/>
        </c:manualLayout>
      </c:layout>
      <c:lineChart>
        <c:grouping val="standard"/>
        <c:varyColors val="0"/>
        <c:ser>
          <c:idx val="0"/>
          <c:order val="0"/>
          <c:tx>
            <c:strRef>
              <c:f>Int_ind!$P$70</c:f>
              <c:strCache>
                <c:ptCount val="1"/>
                <c:pt idx="0">
                  <c:v>FTSE 100 (LHS)</c:v>
                </c:pt>
              </c:strCache>
            </c:strRef>
          </c:tx>
          <c:marker>
            <c:symbol val="none"/>
          </c:marker>
          <c:cat>
            <c:numRef>
              <c:f>Int_ind!$O$143:$O$169</c:f>
              <c:numCache>
                <c:formatCode>[$-409]mmm\-yy;@</c:formatCode>
                <c:ptCount val="2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42892</c:v>
                </c:pt>
              </c:numCache>
            </c:numRef>
          </c:cat>
          <c:val>
            <c:numRef>
              <c:f>Int_ind!$P$143:$P$169</c:f>
              <c:numCache>
                <c:formatCode>0.00</c:formatCode>
                <c:ptCount val="27"/>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7312.72</c:v>
                </c:pt>
              </c:numCache>
            </c:numRef>
          </c:val>
          <c:smooth val="0"/>
        </c:ser>
        <c:ser>
          <c:idx val="1"/>
          <c:order val="1"/>
          <c:tx>
            <c:strRef>
              <c:f>Int_ind!$Q$70</c:f>
              <c:strCache>
                <c:ptCount val="1"/>
                <c:pt idx="0">
                  <c:v>Dow Jones Industrial Average (LHS)</c:v>
                </c:pt>
              </c:strCache>
            </c:strRef>
          </c:tx>
          <c:marker>
            <c:symbol val="none"/>
          </c:marker>
          <c:cat>
            <c:numRef>
              <c:f>Int_ind!$O$143:$O$169</c:f>
              <c:numCache>
                <c:formatCode>[$-409]mmm\-yy;@</c:formatCode>
                <c:ptCount val="2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42892</c:v>
                </c:pt>
              </c:numCache>
            </c:numRef>
          </c:cat>
          <c:val>
            <c:numRef>
              <c:f>Int_ind!$Q$143:$Q$169</c:f>
              <c:numCache>
                <c:formatCode>0.00</c:formatCode>
                <c:ptCount val="27"/>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21349.63</c:v>
                </c:pt>
              </c:numCache>
            </c:numRef>
          </c:val>
          <c:smooth val="0"/>
        </c:ser>
        <c:dLbls>
          <c:showLegendKey val="0"/>
          <c:showVal val="0"/>
          <c:showCatName val="0"/>
          <c:showSerName val="0"/>
          <c:showPercent val="0"/>
          <c:showBubbleSize val="0"/>
        </c:dLbls>
        <c:marker val="1"/>
        <c:smooth val="0"/>
        <c:axId val="344483888"/>
        <c:axId val="441929744"/>
      </c:lineChart>
      <c:lineChart>
        <c:grouping val="standard"/>
        <c:varyColors val="0"/>
        <c:ser>
          <c:idx val="2"/>
          <c:order val="2"/>
          <c:tx>
            <c:strRef>
              <c:f>Int_ind!$R$70</c:f>
              <c:strCache>
                <c:ptCount val="1"/>
                <c:pt idx="0">
                  <c:v>Nasdaq Composite (RHS)</c:v>
                </c:pt>
              </c:strCache>
            </c:strRef>
          </c:tx>
          <c:marker>
            <c:symbol val="none"/>
          </c:marker>
          <c:cat>
            <c:numRef>
              <c:f>Int_ind!$O$143:$O$169</c:f>
              <c:numCache>
                <c:formatCode>[$-409]mmm\-yy;@</c:formatCode>
                <c:ptCount val="2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42892</c:v>
                </c:pt>
              </c:numCache>
            </c:numRef>
          </c:cat>
          <c:val>
            <c:numRef>
              <c:f>Int_ind!$R$143:$R$169</c:f>
              <c:numCache>
                <c:formatCode>0.00</c:formatCode>
                <c:ptCount val="27"/>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6140.42</c:v>
                </c:pt>
              </c:numCache>
            </c:numRef>
          </c:val>
          <c:smooth val="0"/>
        </c:ser>
        <c:ser>
          <c:idx val="3"/>
          <c:order val="3"/>
          <c:tx>
            <c:strRef>
              <c:f>Int_ind!$S$70</c:f>
              <c:strCache>
                <c:ptCount val="1"/>
                <c:pt idx="0">
                  <c:v>Nikkei 225 (RHS)</c:v>
                </c:pt>
              </c:strCache>
            </c:strRef>
          </c:tx>
          <c:marker>
            <c:symbol val="none"/>
          </c:marker>
          <c:cat>
            <c:numRef>
              <c:f>Int_ind!$O$143:$O$169</c:f>
              <c:numCache>
                <c:formatCode>[$-409]mmm\-yy;@</c:formatCode>
                <c:ptCount val="2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42892</c:v>
                </c:pt>
              </c:numCache>
            </c:numRef>
          </c:cat>
          <c:val>
            <c:numRef>
              <c:f>Int_ind!$S$143:$S$169</c:f>
              <c:numCache>
                <c:formatCode>0.00</c:formatCode>
                <c:ptCount val="27"/>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20033.43</c:v>
                </c:pt>
              </c:numCache>
            </c:numRef>
          </c:val>
          <c:smooth val="0"/>
        </c:ser>
        <c:ser>
          <c:idx val="4"/>
          <c:order val="4"/>
          <c:tx>
            <c:strRef>
              <c:f>Int_ind!$T$70</c:f>
              <c:strCache>
                <c:ptCount val="1"/>
                <c:pt idx="0">
                  <c:v>Dax (RHS)</c:v>
                </c:pt>
              </c:strCache>
            </c:strRef>
          </c:tx>
          <c:marker>
            <c:symbol val="none"/>
          </c:marker>
          <c:cat>
            <c:numRef>
              <c:f>Int_ind!$O$143:$O$169</c:f>
              <c:numCache>
                <c:formatCode>[$-409]mmm\-yy;@</c:formatCode>
                <c:ptCount val="27"/>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42892</c:v>
                </c:pt>
              </c:numCache>
            </c:numRef>
          </c:cat>
          <c:val>
            <c:numRef>
              <c:f>Int_ind!$T$143:$T$169</c:f>
              <c:numCache>
                <c:formatCode>0.00</c:formatCode>
                <c:ptCount val="27"/>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12325.12</c:v>
                </c:pt>
              </c:numCache>
            </c:numRef>
          </c:val>
          <c:smooth val="0"/>
        </c:ser>
        <c:dLbls>
          <c:showLegendKey val="0"/>
          <c:showVal val="0"/>
          <c:showCatName val="0"/>
          <c:showSerName val="0"/>
          <c:showPercent val="0"/>
          <c:showBubbleSize val="0"/>
        </c:dLbls>
        <c:marker val="1"/>
        <c:smooth val="0"/>
        <c:axId val="441930528"/>
        <c:axId val="441930136"/>
      </c:lineChart>
      <c:dateAx>
        <c:axId val="344483888"/>
        <c:scaling>
          <c:orientation val="minMax"/>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441929744"/>
        <c:crosses val="autoZero"/>
        <c:auto val="1"/>
        <c:lblOffset val="100"/>
        <c:baseTimeUnit val="months"/>
        <c:majorUnit val="1"/>
      </c:dateAx>
      <c:valAx>
        <c:axId val="441929744"/>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44483888"/>
        <c:crosses val="autoZero"/>
        <c:crossBetween val="between"/>
      </c:valAx>
      <c:valAx>
        <c:axId val="441930136"/>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41930528"/>
        <c:crosses val="max"/>
        <c:crossBetween val="between"/>
      </c:valAx>
      <c:dateAx>
        <c:axId val="441930528"/>
        <c:scaling>
          <c:orientation val="minMax"/>
        </c:scaling>
        <c:delete val="1"/>
        <c:axPos val="b"/>
        <c:numFmt formatCode="[$-409]mmm\-yy;@" sourceLinked="1"/>
        <c:majorTickMark val="out"/>
        <c:minorTickMark val="none"/>
        <c:tickLblPos val="none"/>
        <c:crossAx val="441930136"/>
        <c:crosses val="autoZero"/>
        <c:auto val="1"/>
        <c:lblOffset val="100"/>
        <c:baseTimeUnit val="months"/>
        <c:majorUnit val="1"/>
        <c:minorUnit val="1"/>
      </c:dateAx>
    </c:plotArea>
    <c:legend>
      <c:legendPos val="r"/>
      <c:layout>
        <c:manualLayout>
          <c:xMode val="edge"/>
          <c:yMode val="edge"/>
          <c:x val="5.1206241751138006E-2"/>
          <c:y val="0.8623458295589157"/>
          <c:w val="0.92418117997077043"/>
          <c:h val="0.12623494390245243"/>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465193510706116"/>
          <c:h val="0.71634940060868091"/>
        </c:manualLayout>
      </c:layout>
      <c:lineChart>
        <c:grouping val="standard"/>
        <c:varyColors val="0"/>
        <c:ser>
          <c:idx val="0"/>
          <c:order val="0"/>
          <c:tx>
            <c:strRef>
              <c:f>Int_ind!$K$70</c:f>
              <c:strCache>
                <c:ptCount val="1"/>
                <c:pt idx="0">
                  <c:v>BSE SENSEX (RHS)</c:v>
                </c:pt>
              </c:strCache>
            </c:strRef>
          </c:tx>
          <c:marker>
            <c:symbol val="none"/>
          </c:marker>
          <c:cat>
            <c:numRef>
              <c:f>Int_ind!$J$92:$J$169</c:f>
              <c:numCache>
                <c:formatCode>[$-409]mmm\-yy;@</c:formatCode>
                <c:ptCount val="78"/>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numCache>
            </c:numRef>
          </c:cat>
          <c:val>
            <c:numRef>
              <c:f>Int_ind!$K$92:$K$169</c:f>
              <c:numCache>
                <c:formatCode>0</c:formatCode>
                <c:ptCount val="78"/>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numCache>
            </c:numRef>
          </c:val>
          <c:smooth val="0"/>
        </c:ser>
        <c:ser>
          <c:idx val="2"/>
          <c:order val="2"/>
          <c:tx>
            <c:strRef>
              <c:f>Int_ind!$M$70</c:f>
              <c:strCache>
                <c:ptCount val="1"/>
                <c:pt idx="0">
                  <c:v>Brazil Bovespa (RHS)</c:v>
                </c:pt>
              </c:strCache>
            </c:strRef>
          </c:tx>
          <c:marker>
            <c:symbol val="none"/>
          </c:marker>
          <c:cat>
            <c:numRef>
              <c:f>Int_ind!$J$92:$J$169</c:f>
              <c:numCache>
                <c:formatCode>[$-409]mmm\-yy;@</c:formatCode>
                <c:ptCount val="78"/>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numCache>
            </c:numRef>
          </c:cat>
          <c:val>
            <c:numRef>
              <c:f>Int_ind!$M$92:$M$169</c:f>
              <c:numCache>
                <c:formatCode>0</c:formatCode>
                <c:ptCount val="78"/>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numCache>
            </c:numRef>
          </c:val>
          <c:smooth val="0"/>
        </c:ser>
        <c:dLbls>
          <c:showLegendKey val="0"/>
          <c:showVal val="0"/>
          <c:showCatName val="0"/>
          <c:showSerName val="0"/>
          <c:showPercent val="0"/>
          <c:showBubbleSize val="0"/>
        </c:dLbls>
        <c:marker val="1"/>
        <c:smooth val="0"/>
        <c:axId val="441931312"/>
        <c:axId val="315806328"/>
      </c:lineChart>
      <c:lineChart>
        <c:grouping val="standard"/>
        <c:varyColors val="0"/>
        <c:ser>
          <c:idx val="1"/>
          <c:order val="1"/>
          <c:tx>
            <c:strRef>
              <c:f>Int_ind!$L$70</c:f>
              <c:strCache>
                <c:ptCount val="1"/>
                <c:pt idx="0">
                  <c:v>Russian Traded (LHS)</c:v>
                </c:pt>
              </c:strCache>
            </c:strRef>
          </c:tx>
          <c:marker>
            <c:symbol val="none"/>
          </c:marker>
          <c:cat>
            <c:numRef>
              <c:f>Int_ind!$J$92:$J$169</c:f>
              <c:numCache>
                <c:formatCode>[$-409]mmm\-yy;@</c:formatCode>
                <c:ptCount val="78"/>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numCache>
            </c:numRef>
          </c:cat>
          <c:val>
            <c:numRef>
              <c:f>Int_ind!$L$92:$L$169</c:f>
              <c:numCache>
                <c:formatCode>0</c:formatCode>
                <c:ptCount val="78"/>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numCache>
            </c:numRef>
          </c:val>
          <c:smooth val="0"/>
        </c:ser>
        <c:ser>
          <c:idx val="3"/>
          <c:order val="3"/>
          <c:tx>
            <c:strRef>
              <c:f>Int_ind!$N$70</c:f>
              <c:strCache>
                <c:ptCount val="1"/>
                <c:pt idx="0">
                  <c:v>China Shanghai Composite (LHS)</c:v>
                </c:pt>
              </c:strCache>
            </c:strRef>
          </c:tx>
          <c:marker>
            <c:symbol val="none"/>
          </c:marker>
          <c:cat>
            <c:numRef>
              <c:f>Int_ind!$J$92:$J$169</c:f>
              <c:numCache>
                <c:formatCode>[$-409]mmm\-yy;@</c:formatCode>
                <c:ptCount val="78"/>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numCache>
            </c:numRef>
          </c:cat>
          <c:val>
            <c:numRef>
              <c:f>Int_ind!$N$92:$N$169</c:f>
              <c:numCache>
                <c:formatCode>0</c:formatCode>
                <c:ptCount val="78"/>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General">
                  <c:v>3085.491</c:v>
                </c:pt>
                <c:pt idx="68" formatCode="General">
                  <c:v>3004.703</c:v>
                </c:pt>
                <c:pt idx="69" formatCode="General">
                  <c:v>3100.4920000000002</c:v>
                </c:pt>
                <c:pt idx="70" formatCode="General">
                  <c:v>3250.0349999999999</c:v>
                </c:pt>
                <c:pt idx="71" formatCode="0.00">
                  <c:v>3103.6370000000002</c:v>
                </c:pt>
                <c:pt idx="72" formatCode="0.00">
                  <c:v>3159.1660000000002</c:v>
                </c:pt>
                <c:pt idx="73" formatCode="0.00">
                  <c:v>3241.7330000000002</c:v>
                </c:pt>
                <c:pt idx="74" formatCode="[$-409]mmm\-yy;@">
                  <c:v>3222.5140000000001</c:v>
                </c:pt>
                <c:pt idx="75">
                  <c:v>3154.6579999999999</c:v>
                </c:pt>
                <c:pt idx="76">
                  <c:v>3117.1779999999999</c:v>
                </c:pt>
                <c:pt idx="77">
                  <c:v>3192.4</c:v>
                </c:pt>
              </c:numCache>
            </c:numRef>
          </c:val>
          <c:smooth val="0"/>
        </c:ser>
        <c:ser>
          <c:idx val="4"/>
          <c:order val="4"/>
          <c:tx>
            <c:strRef>
              <c:f>Int_ind!$O$70</c:f>
              <c:strCache>
                <c:ptCount val="1"/>
                <c:pt idx="0">
                  <c:v>FTSE/JSE Africa All Share(LHS)</c:v>
                </c:pt>
              </c:strCache>
            </c:strRef>
          </c:tx>
          <c:marker>
            <c:symbol val="none"/>
          </c:marker>
          <c:cat>
            <c:numRef>
              <c:f>Int_ind!$J$92:$J$169</c:f>
              <c:numCache>
                <c:formatCode>[$-409]mmm\-yy;@</c:formatCode>
                <c:ptCount val="78"/>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numCache>
            </c:numRef>
          </c:cat>
          <c:val>
            <c:numRef>
              <c:f>Int_ind!$O$92:$O$169</c:f>
              <c:numCache>
                <c:formatCode>General</c:formatCode>
                <c:ptCount val="78"/>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c:v>52733.120000000003</c:v>
                </c:pt>
                <c:pt idx="68">
                  <c:v>51949.83</c:v>
                </c:pt>
                <c:pt idx="69">
                  <c:v>50590.080000000002</c:v>
                </c:pt>
                <c:pt idx="70">
                  <c:v>50209.43</c:v>
                </c:pt>
                <c:pt idx="71" formatCode="0.00">
                  <c:v>50653.54</c:v>
                </c:pt>
                <c:pt idx="72" formatCode="0.00">
                  <c:v>52788.12</c:v>
                </c:pt>
                <c:pt idx="73" formatCode="0.0">
                  <c:v>51146.05</c:v>
                </c:pt>
                <c:pt idx="74" formatCode="0.0">
                  <c:v>52056.06</c:v>
                </c:pt>
                <c:pt idx="75" formatCode="0.0">
                  <c:v>53817.31</c:v>
                </c:pt>
                <c:pt idx="76" formatCode="0.0">
                  <c:v>53562.6</c:v>
                </c:pt>
                <c:pt idx="77" formatCode="0.0">
                  <c:v>51611</c:v>
                </c:pt>
              </c:numCache>
            </c:numRef>
          </c:val>
          <c:smooth val="0"/>
        </c:ser>
        <c:dLbls>
          <c:showLegendKey val="0"/>
          <c:showVal val="0"/>
          <c:showCatName val="0"/>
          <c:showSerName val="0"/>
          <c:showPercent val="0"/>
          <c:showBubbleSize val="0"/>
        </c:dLbls>
        <c:marker val="1"/>
        <c:smooth val="0"/>
        <c:axId val="315807112"/>
        <c:axId val="315806720"/>
      </c:lineChart>
      <c:dateAx>
        <c:axId val="441931312"/>
        <c:scaling>
          <c:orientation val="minMax"/>
          <c:min val="42125"/>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315806328"/>
        <c:crosses val="autoZero"/>
        <c:auto val="1"/>
        <c:lblOffset val="100"/>
        <c:baseTimeUnit val="days"/>
        <c:majorUnit val="1"/>
        <c:majorTimeUnit val="months"/>
      </c:dateAx>
      <c:valAx>
        <c:axId val="315806328"/>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441931312"/>
        <c:crosses val="max"/>
        <c:crossBetween val="between"/>
        <c:majorUnit val="10000"/>
      </c:valAx>
      <c:valAx>
        <c:axId val="315806720"/>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315807112"/>
        <c:crosses val="autoZero"/>
        <c:crossBetween val="between"/>
      </c:valAx>
      <c:dateAx>
        <c:axId val="315807112"/>
        <c:scaling>
          <c:orientation val="minMax"/>
        </c:scaling>
        <c:delete val="1"/>
        <c:axPos val="b"/>
        <c:numFmt formatCode="[$-409]mmm\-yy;@" sourceLinked="1"/>
        <c:majorTickMark val="out"/>
        <c:minorTickMark val="none"/>
        <c:tickLblPos val="none"/>
        <c:crossAx val="315806720"/>
        <c:crosses val="autoZero"/>
        <c:auto val="1"/>
        <c:lblOffset val="100"/>
        <c:baseTimeUnit val="days"/>
      </c:dateAx>
      <c:spPr>
        <a:solidFill>
          <a:schemeClr val="bg1"/>
        </a:solidFill>
        <a:ln w="25400">
          <a:noFill/>
        </a:ln>
      </c:spPr>
    </c:plotArea>
    <c:legend>
      <c:legendPos val="b"/>
      <c:layout>
        <c:manualLayout>
          <c:xMode val="edge"/>
          <c:yMode val="edge"/>
          <c:x val="4.630851378440444E-2"/>
          <c:y val="0.90320447920121449"/>
          <c:w val="0.95369148621559552"/>
          <c:h val="6.6470645348049709E-2"/>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391866300133353E-2"/>
          <c:y val="5.0408715936614619E-2"/>
          <c:w val="0.82510805215842919"/>
          <c:h val="0.59736662883087399"/>
        </c:manualLayout>
      </c:layout>
      <c:lineChart>
        <c:grouping val="standard"/>
        <c:varyColors val="0"/>
        <c:ser>
          <c:idx val="0"/>
          <c:order val="0"/>
          <c:tx>
            <c:strRef>
              <c:f>'mCAP CHART'!$A$2</c:f>
              <c:strCache>
                <c:ptCount val="1"/>
                <c:pt idx="0">
                  <c:v>Japan (LHS)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CHART'!$B$2:$AB$2</c:f>
              <c:numCache>
                <c:formatCode>0</c:formatCode>
                <c:ptCount val="27"/>
                <c:pt idx="0">
                  <c:v>5652598.7719999999</c:v>
                </c:pt>
                <c:pt idx="1">
                  <c:v>5556567.7921000002</c:v>
                </c:pt>
                <c:pt idx="2">
                  <c:v>5389186.7019999996</c:v>
                </c:pt>
                <c:pt idx="3">
                  <c:v>5323905.3778999997</c:v>
                </c:pt>
                <c:pt idx="4">
                  <c:v>5307603.5093999999</c:v>
                </c:pt>
                <c:pt idx="5">
                  <c:v>5272041.5751</c:v>
                </c:pt>
                <c:pt idx="6">
                  <c:v>5084266.1694999998</c:v>
                </c:pt>
                <c:pt idx="7">
                  <c:v>4997125.6382999998</c:v>
                </c:pt>
                <c:pt idx="8">
                  <c:v>5217617.5120000001</c:v>
                </c:pt>
                <c:pt idx="9">
                  <c:v>5129749.9627999999</c:v>
                </c:pt>
                <c:pt idx="10" formatCode="General">
                  <c:v>5043901</c:v>
                </c:pt>
                <c:pt idx="11">
                  <c:v>5100372.2214000002</c:v>
                </c:pt>
                <c:pt idx="12">
                  <c:v>4773252.8580999998</c:v>
                </c:pt>
                <c:pt idx="13">
                  <c:v>4911396.1534000002</c:v>
                </c:pt>
                <c:pt idx="14">
                  <c:v>4951458.1507999999</c:v>
                </c:pt>
                <c:pt idx="15">
                  <c:v>4722409.0824999996</c:v>
                </c:pt>
                <c:pt idx="16">
                  <c:v>4554562.5312000001</c:v>
                </c:pt>
                <c:pt idx="17">
                  <c:v>4636755.608</c:v>
                </c:pt>
                <c:pt idx="18">
                  <c:v>5029957.4649</c:v>
                </c:pt>
                <c:pt idx="19">
                  <c:v>5015777.0663000001</c:v>
                </c:pt>
                <c:pt idx="20">
                  <c:v>4884613.3872999996</c:v>
                </c:pt>
                <c:pt idx="21">
                  <c:v>4466806.6957999999</c:v>
                </c:pt>
                <c:pt idx="22">
                  <c:v>4800669.6438999996</c:v>
                </c:pt>
                <c:pt idx="23">
                  <c:v>5067360.9030999998</c:v>
                </c:pt>
                <c:pt idx="24">
                  <c:v>5023313.5379999997</c:v>
                </c:pt>
                <c:pt idx="25">
                  <c:v>5069566.5453000003</c:v>
                </c:pt>
                <c:pt idx="26">
                  <c:v>5026097.8717</c:v>
                </c:pt>
              </c:numCache>
            </c:numRef>
          </c:val>
          <c:smooth val="0"/>
        </c:ser>
        <c:ser>
          <c:idx val="2"/>
          <c:order val="2"/>
          <c:tx>
            <c:strRef>
              <c:f>'mCAP CHART'!$A$4</c:f>
              <c:strCache>
                <c:ptCount val="1"/>
                <c:pt idx="0">
                  <c:v>India (LHS)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CHART'!$B$4:$AB$4</c:f>
              <c:numCache>
                <c:formatCode>0</c:formatCode>
                <c:ptCount val="27"/>
                <c:pt idx="0">
                  <c:v>1950997.3566000001</c:v>
                </c:pt>
                <c:pt idx="1">
                  <c:v>1961199.585</c:v>
                </c:pt>
                <c:pt idx="2">
                  <c:v>1961124.7464000001</c:v>
                </c:pt>
                <c:pt idx="3">
                  <c:v>1872766.0597999999</c:v>
                </c:pt>
                <c:pt idx="4">
                  <c:v>1760638.7882000001</c:v>
                </c:pt>
                <c:pt idx="5">
                  <c:v>1686066.0863000001</c:v>
                </c:pt>
                <c:pt idx="6">
                  <c:v>1564173.6895000001</c:v>
                </c:pt>
                <c:pt idx="7">
                  <c:v>1574672.3402</c:v>
                </c:pt>
                <c:pt idx="8">
                  <c:v>1707125.7154000001</c:v>
                </c:pt>
                <c:pt idx="9">
                  <c:v>1664809.5038000001</c:v>
                </c:pt>
                <c:pt idx="10" formatCode="General">
                  <c:v>1660088</c:v>
                </c:pt>
                <c:pt idx="11">
                  <c:v>1628449.9177999999</c:v>
                </c:pt>
                <c:pt idx="12">
                  <c:v>1522987.9542</c:v>
                </c:pt>
                <c:pt idx="13">
                  <c:v>1475311.0649999999</c:v>
                </c:pt>
                <c:pt idx="14">
                  <c:v>1461330.3718000001</c:v>
                </c:pt>
                <c:pt idx="15">
                  <c:v>1431949.4733</c:v>
                </c:pt>
                <c:pt idx="16">
                  <c:v>1259876.6359999999</c:v>
                </c:pt>
                <c:pt idx="17">
                  <c:v>1387174.6973999999</c:v>
                </c:pt>
                <c:pt idx="18">
                  <c:v>1516301.9728999999</c:v>
                </c:pt>
                <c:pt idx="19">
                  <c:v>1490394.7357999999</c:v>
                </c:pt>
                <c:pt idx="20">
                  <c:v>1508519.9054</c:v>
                </c:pt>
                <c:pt idx="21">
                  <c:v>1478198.4855</c:v>
                </c:pt>
                <c:pt idx="22">
                  <c:v>1464711.0330000001</c:v>
                </c:pt>
                <c:pt idx="23">
                  <c:v>1623995.8681000001</c:v>
                </c:pt>
                <c:pt idx="24">
                  <c:v>1580065.5674000001</c:v>
                </c:pt>
                <c:pt idx="25">
                  <c:v>1607120.3735</c:v>
                </c:pt>
                <c:pt idx="26">
                  <c:v>1566867.5486999999</c:v>
                </c:pt>
              </c:numCache>
            </c:numRef>
          </c:val>
          <c:smooth val="0"/>
        </c:ser>
        <c:ser>
          <c:idx val="3"/>
          <c:order val="3"/>
          <c:tx>
            <c:strRef>
              <c:f>'mCAP CHART'!$A$5</c:f>
              <c:strCache>
                <c:ptCount val="1"/>
                <c:pt idx="0">
                  <c:v>Brazil (LHS)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CHART'!$B$5:$AB$5</c:f>
              <c:numCache>
                <c:formatCode>0</c:formatCode>
                <c:ptCount val="27"/>
                <c:pt idx="0">
                  <c:v>735076.20860999997</c:v>
                </c:pt>
                <c:pt idx="1">
                  <c:v>763217.79963000002</c:v>
                </c:pt>
                <c:pt idx="2">
                  <c:v>787362.54815000005</c:v>
                </c:pt>
                <c:pt idx="3">
                  <c:v>800660.92050999997</c:v>
                </c:pt>
                <c:pt idx="4">
                  <c:v>826966.43345999997</c:v>
                </c:pt>
                <c:pt idx="5">
                  <c:v>774509.65572000004</c:v>
                </c:pt>
                <c:pt idx="6">
                  <c:v>710650.33733999997</c:v>
                </c:pt>
                <c:pt idx="7">
                  <c:v>700407.96794999996</c:v>
                </c:pt>
                <c:pt idx="8">
                  <c:v>788725.92279999994</c:v>
                </c:pt>
                <c:pt idx="9">
                  <c:v>714156.28619000001</c:v>
                </c:pt>
                <c:pt idx="10" formatCode="General">
                  <c:v>712407</c:v>
                </c:pt>
                <c:pt idx="11">
                  <c:v>709507.20148000005</c:v>
                </c:pt>
                <c:pt idx="12">
                  <c:v>644825.58773999999</c:v>
                </c:pt>
                <c:pt idx="13">
                  <c:v>545067.53509000002</c:v>
                </c:pt>
                <c:pt idx="14">
                  <c:v>617001.96839000005</c:v>
                </c:pt>
                <c:pt idx="15">
                  <c:v>560020.63252999994</c:v>
                </c:pt>
                <c:pt idx="16">
                  <c:v>441804.092</c:v>
                </c:pt>
                <c:pt idx="17">
                  <c:v>425530.31568</c:v>
                </c:pt>
                <c:pt idx="18">
                  <c:v>454036.2451</c:v>
                </c:pt>
                <c:pt idx="19">
                  <c:v>494382.8296</c:v>
                </c:pt>
                <c:pt idx="20">
                  <c:v>503920.50053000002</c:v>
                </c:pt>
                <c:pt idx="21">
                  <c:v>482054.13805000001</c:v>
                </c:pt>
                <c:pt idx="22">
                  <c:v>548466.69210999995</c:v>
                </c:pt>
                <c:pt idx="23">
                  <c:v>629866.35620000004</c:v>
                </c:pt>
                <c:pt idx="24">
                  <c:v>722254.10759000003</c:v>
                </c:pt>
                <c:pt idx="25">
                  <c:v>696170.20215999999</c:v>
                </c:pt>
                <c:pt idx="26">
                  <c:v>771978.0098</c:v>
                </c:pt>
              </c:numCache>
            </c:numRef>
          </c:val>
          <c:smooth val="0"/>
        </c:ser>
        <c:ser>
          <c:idx val="4"/>
          <c:order val="4"/>
          <c:tx>
            <c:strRef>
              <c:f>'mCAP CHART'!$A$6</c:f>
              <c:strCache>
                <c:ptCount val="1"/>
                <c:pt idx="0">
                  <c:v>China (LHS)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CHART'!$B$6:$AB$6</c:f>
              <c:numCache>
                <c:formatCode>0</c:formatCode>
                <c:ptCount val="27"/>
                <c:pt idx="0">
                  <c:v>6996992.6404999997</c:v>
                </c:pt>
                <c:pt idx="1">
                  <c:v>6699968.6456000004</c:v>
                </c:pt>
                <c:pt idx="2">
                  <c:v>6808334.7143000001</c:v>
                </c:pt>
                <c:pt idx="3">
                  <c:v>6886227.5146000003</c:v>
                </c:pt>
                <c:pt idx="4">
                  <c:v>6842644.7357999999</c:v>
                </c:pt>
                <c:pt idx="5">
                  <c:v>6609473.6052000001</c:v>
                </c:pt>
                <c:pt idx="6">
                  <c:v>6486902.8217000002</c:v>
                </c:pt>
                <c:pt idx="7">
                  <c:v>6791570.7483999999</c:v>
                </c:pt>
                <c:pt idx="8">
                  <c:v>6576145.1388999997</c:v>
                </c:pt>
                <c:pt idx="9">
                  <c:v>6387253.4775</c:v>
                </c:pt>
                <c:pt idx="10" formatCode="General">
                  <c:v>6415323</c:v>
                </c:pt>
                <c:pt idx="11">
                  <c:v>6143345.9502999997</c:v>
                </c:pt>
                <c:pt idx="12">
                  <c:v>6055251.2588999998</c:v>
                </c:pt>
                <c:pt idx="13">
                  <c:v>5838702.6168999998</c:v>
                </c:pt>
                <c:pt idx="14">
                  <c:v>5898152.3762999997</c:v>
                </c:pt>
                <c:pt idx="15">
                  <c:v>6036828.7953000003</c:v>
                </c:pt>
                <c:pt idx="16">
                  <c:v>5108795.4008999998</c:v>
                </c:pt>
                <c:pt idx="17">
                  <c:v>5208530.4271</c:v>
                </c:pt>
                <c:pt idx="18">
                  <c:v>7091933.7044000002</c:v>
                </c:pt>
                <c:pt idx="19">
                  <c:v>6661877.3640000001</c:v>
                </c:pt>
                <c:pt idx="20">
                  <c:v>6133774.7347999997</c:v>
                </c:pt>
                <c:pt idx="21">
                  <c:v>5180367.0017999997</c:v>
                </c:pt>
                <c:pt idx="22">
                  <c:v>5359644.5591000002</c:v>
                </c:pt>
                <c:pt idx="23">
                  <c:v>6566114.9183</c:v>
                </c:pt>
                <c:pt idx="24">
                  <c:v>8067166.3528000005</c:v>
                </c:pt>
                <c:pt idx="25">
                  <c:v>8831840.8926999997</c:v>
                </c:pt>
                <c:pt idx="26">
                  <c:v>7727197.5212000003</c:v>
                </c:pt>
              </c:numCache>
            </c:numRef>
          </c:val>
          <c:smooth val="0"/>
        </c:ser>
        <c:ser>
          <c:idx val="5"/>
          <c:order val="5"/>
          <c:tx>
            <c:strRef>
              <c:f>'mCAP CHART'!$A$7</c:f>
              <c:strCache>
                <c:ptCount val="1"/>
                <c:pt idx="0">
                  <c:v>Russia (LHS)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CHART'!$B$7:$AB$7</c:f>
              <c:numCache>
                <c:formatCode>0</c:formatCode>
                <c:ptCount val="27"/>
                <c:pt idx="0">
                  <c:v>522597.10561000003</c:v>
                </c:pt>
                <c:pt idx="1">
                  <c:v>557932.91037000006</c:v>
                </c:pt>
                <c:pt idx="2">
                  <c:v>575203.76156999997</c:v>
                </c:pt>
                <c:pt idx="3">
                  <c:v>593305.89745000005</c:v>
                </c:pt>
                <c:pt idx="4">
                  <c:v>580652.57071</c:v>
                </c:pt>
                <c:pt idx="5">
                  <c:v>609008.30151999998</c:v>
                </c:pt>
                <c:pt idx="6">
                  <c:v>591944.79405000003</c:v>
                </c:pt>
                <c:pt idx="7">
                  <c:v>533320.18672</c:v>
                </c:pt>
                <c:pt idx="8">
                  <c:v>515373.43232000002</c:v>
                </c:pt>
                <c:pt idx="9">
                  <c:v>511723.47051000001</c:v>
                </c:pt>
                <c:pt idx="10" formatCode="General">
                  <c:v>489737</c:v>
                </c:pt>
                <c:pt idx="11">
                  <c:v>472538.79690999998</c:v>
                </c:pt>
                <c:pt idx="12">
                  <c:v>473076.31138000003</c:v>
                </c:pt>
                <c:pt idx="13">
                  <c:v>457027.59522999998</c:v>
                </c:pt>
                <c:pt idx="14">
                  <c:v>486943.65315999999</c:v>
                </c:pt>
                <c:pt idx="15">
                  <c:v>447672.31942999997</c:v>
                </c:pt>
                <c:pt idx="16">
                  <c:v>389622.36079000001</c:v>
                </c:pt>
                <c:pt idx="17">
                  <c:v>367320.74205</c:v>
                </c:pt>
                <c:pt idx="18">
                  <c:v>387889.16118</c:v>
                </c:pt>
                <c:pt idx="19">
                  <c:v>455302.43648999999</c:v>
                </c:pt>
                <c:pt idx="20">
                  <c:v>457669.62939000002</c:v>
                </c:pt>
                <c:pt idx="21">
                  <c:v>404235.81088</c:v>
                </c:pt>
                <c:pt idx="22">
                  <c:v>425593.37693000003</c:v>
                </c:pt>
                <c:pt idx="23">
                  <c:v>428270.86252999998</c:v>
                </c:pt>
                <c:pt idx="24">
                  <c:v>462478.48992999998</c:v>
                </c:pt>
                <c:pt idx="25">
                  <c:v>477619.11125999998</c:v>
                </c:pt>
                <c:pt idx="26">
                  <c:v>506101.24965999997</c:v>
                </c:pt>
              </c:numCache>
            </c:numRef>
          </c:val>
          <c:smooth val="0"/>
        </c:ser>
        <c:ser>
          <c:idx val="6"/>
          <c:order val="6"/>
          <c:tx>
            <c:strRef>
              <c:f>'mCAP CHART'!$A$8</c:f>
              <c:strCache>
                <c:ptCount val="1"/>
                <c:pt idx="0">
                  <c:v>South Africa (LHS)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CHART'!$B$8:$AB$8</c:f>
              <c:numCache>
                <c:formatCode>0</c:formatCode>
                <c:ptCount val="27"/>
                <c:pt idx="0">
                  <c:v>442065.95835999999</c:v>
                </c:pt>
                <c:pt idx="1">
                  <c:v>466503.90681999997</c:v>
                </c:pt>
                <c:pt idx="2">
                  <c:v>454319.63432000001</c:v>
                </c:pt>
                <c:pt idx="3">
                  <c:v>448788.91629999998</c:v>
                </c:pt>
                <c:pt idx="4">
                  <c:v>448911.03609000001</c:v>
                </c:pt>
                <c:pt idx="5">
                  <c:v>437042.96917</c:v>
                </c:pt>
                <c:pt idx="6">
                  <c:v>421650.52126000001</c:v>
                </c:pt>
                <c:pt idx="7">
                  <c:v>401945.78434000001</c:v>
                </c:pt>
                <c:pt idx="8">
                  <c:v>427998.86917999998</c:v>
                </c:pt>
                <c:pt idx="9">
                  <c:v>429210.147</c:v>
                </c:pt>
                <c:pt idx="10" formatCode="General">
                  <c:v>402743</c:v>
                </c:pt>
                <c:pt idx="11">
                  <c:v>436883.28597000003</c:v>
                </c:pt>
                <c:pt idx="12">
                  <c:v>398892.85525999998</c:v>
                </c:pt>
                <c:pt idx="13">
                  <c:v>370497.40675000002</c:v>
                </c:pt>
                <c:pt idx="14">
                  <c:v>412887.40279000002</c:v>
                </c:pt>
                <c:pt idx="15">
                  <c:v>394383.92528999998</c:v>
                </c:pt>
                <c:pt idx="16">
                  <c:v>336375.98992999998</c:v>
                </c:pt>
                <c:pt idx="17">
                  <c:v>339802.8247</c:v>
                </c:pt>
                <c:pt idx="18">
                  <c:v>355922.59007999999</c:v>
                </c:pt>
                <c:pt idx="19">
                  <c:v>393517.31037000002</c:v>
                </c:pt>
                <c:pt idx="20">
                  <c:v>445973.07795000001</c:v>
                </c:pt>
                <c:pt idx="21">
                  <c:v>416050.13802999997</c:v>
                </c:pt>
                <c:pt idx="22">
                  <c:v>453055.59594999999</c:v>
                </c:pt>
                <c:pt idx="23">
                  <c:v>489245.54365000001</c:v>
                </c:pt>
                <c:pt idx="24">
                  <c:v>516012.87706000003</c:v>
                </c:pt>
                <c:pt idx="25">
                  <c:v>507906.42333999998</c:v>
                </c:pt>
                <c:pt idx="26">
                  <c:v>546081.53365999996</c:v>
                </c:pt>
              </c:numCache>
            </c:numRef>
          </c:val>
          <c:smooth val="0"/>
        </c:ser>
        <c:dLbls>
          <c:showLegendKey val="0"/>
          <c:showVal val="0"/>
          <c:showCatName val="0"/>
          <c:showSerName val="0"/>
          <c:showPercent val="0"/>
          <c:showBubbleSize val="0"/>
        </c:dLbls>
        <c:marker val="1"/>
        <c:smooth val="0"/>
        <c:axId val="315807896"/>
        <c:axId val="492986576"/>
      </c:lineChart>
      <c:lineChart>
        <c:grouping val="standard"/>
        <c:varyColors val="0"/>
        <c:ser>
          <c:idx val="1"/>
          <c:order val="1"/>
          <c:tx>
            <c:strRef>
              <c:f>'mCAP CHART'!$A$3</c:f>
              <c:strCache>
                <c:ptCount val="1"/>
                <c:pt idx="0">
                  <c:v>USA (RHS)</c:v>
                </c:pt>
              </c:strCache>
            </c:strRef>
          </c:tx>
          <c:marker>
            <c:symbol val="none"/>
          </c:marker>
          <c:cat>
            <c:numRef>
              <c:f>'mCAP CHART'!$B$1:$AB$1</c:f>
              <c:numCache>
                <c:formatCode>d\-mmm\-yy</c:formatCode>
                <c:ptCount val="27"/>
                <c:pt idx="0" formatCode="m/d/yyyy">
                  <c:v>42916</c:v>
                </c:pt>
                <c:pt idx="1">
                  <c:v>42885</c:v>
                </c:pt>
                <c:pt idx="2">
                  <c:v>42855</c:v>
                </c:pt>
                <c:pt idx="3">
                  <c:v>42825</c:v>
                </c:pt>
                <c:pt idx="4">
                  <c:v>42794</c:v>
                </c:pt>
                <c:pt idx="5">
                  <c:v>42765</c:v>
                </c:pt>
                <c:pt idx="6">
                  <c:v>42734</c:v>
                </c:pt>
                <c:pt idx="7">
                  <c:v>42704</c:v>
                </c:pt>
                <c:pt idx="8">
                  <c:v>42674</c:v>
                </c:pt>
                <c:pt idx="9" formatCode="[$-409]d\-mmm\-yy;@">
                  <c:v>42643</c:v>
                </c:pt>
                <c:pt idx="10" formatCode="[$-14009]d\ mmmm\ yyyy;@">
                  <c:v>42613</c:v>
                </c:pt>
                <c:pt idx="11" formatCode="[$-14009]dd\ mmmm\ yyyy;@">
                  <c:v>42582</c:v>
                </c:pt>
                <c:pt idx="12" formatCode="[$-14009]dd\ mmmm\ yyyy;@">
                  <c:v>42551</c:v>
                </c:pt>
                <c:pt idx="13" formatCode="[$-409]d\-mmm\-yy;@">
                  <c:v>42521</c:v>
                </c:pt>
                <c:pt idx="14" formatCode="[$-409]d\-mmm\-yy;@">
                  <c:v>42490</c:v>
                </c:pt>
                <c:pt idx="15" formatCode="[$-409]d\-mmm\-yy;@">
                  <c:v>42460</c:v>
                </c:pt>
                <c:pt idx="16" formatCode="[$-409]d\-mmm\-yy;@">
                  <c:v>42429</c:v>
                </c:pt>
                <c:pt idx="17" formatCode="[$-409]d\-mmm\-yy;@">
                  <c:v>42400</c:v>
                </c:pt>
                <c:pt idx="18" formatCode="[$-409]d\-mmm\-yy;@">
                  <c:v>42369</c:v>
                </c:pt>
                <c:pt idx="19" formatCode="[$-409]d\-mmm\-yy;@">
                  <c:v>42338</c:v>
                </c:pt>
                <c:pt idx="20" formatCode="[$-409]d\-mmm\-yy;@">
                  <c:v>42308</c:v>
                </c:pt>
                <c:pt idx="21" formatCode="[$-409]d\-mmm\-yy;@">
                  <c:v>42277</c:v>
                </c:pt>
                <c:pt idx="22" formatCode="[$-409]d\-mmm\-yy;@">
                  <c:v>42247</c:v>
                </c:pt>
                <c:pt idx="23" formatCode="[$-409]d\-mmm\-yy;@">
                  <c:v>42216</c:v>
                </c:pt>
                <c:pt idx="24" formatCode="[$-409]d\-mmm\-yy;@">
                  <c:v>42185</c:v>
                </c:pt>
                <c:pt idx="25" formatCode="[$-409]d\-mmm\-yy;@">
                  <c:v>42155</c:v>
                </c:pt>
                <c:pt idx="26" formatCode="[$-409]d\-mmm\-yy;@">
                  <c:v>42124</c:v>
                </c:pt>
              </c:numCache>
            </c:numRef>
          </c:cat>
          <c:val>
            <c:numRef>
              <c:f>'mCAP CHART'!$B$3:$AB$3</c:f>
              <c:numCache>
                <c:formatCode>0</c:formatCode>
                <c:ptCount val="27"/>
                <c:pt idx="0">
                  <c:v>26997560.866999999</c:v>
                </c:pt>
                <c:pt idx="1">
                  <c:v>26913466.888</c:v>
                </c:pt>
                <c:pt idx="2">
                  <c:v>26696106.193999998</c:v>
                </c:pt>
                <c:pt idx="3">
                  <c:v>26459998.818999998</c:v>
                </c:pt>
                <c:pt idx="4">
                  <c:v>26535724.960999999</c:v>
                </c:pt>
                <c:pt idx="5">
                  <c:v>25693050.118999999</c:v>
                </c:pt>
                <c:pt idx="6">
                  <c:v>25204455.309</c:v>
                </c:pt>
                <c:pt idx="7">
                  <c:v>24844563.032000002</c:v>
                </c:pt>
                <c:pt idx="8">
                  <c:v>23799592.616999999</c:v>
                </c:pt>
                <c:pt idx="9">
                  <c:v>24340526.645</c:v>
                </c:pt>
                <c:pt idx="10" formatCode="General">
                  <c:v>24398414</c:v>
                </c:pt>
                <c:pt idx="11">
                  <c:v>24341787.238000002</c:v>
                </c:pt>
                <c:pt idx="12">
                  <c:v>23413914.675000001</c:v>
                </c:pt>
                <c:pt idx="13">
                  <c:v>23608638.182</c:v>
                </c:pt>
                <c:pt idx="14">
                  <c:v>23304754.055</c:v>
                </c:pt>
                <c:pt idx="15">
                  <c:v>23172275.324000001</c:v>
                </c:pt>
                <c:pt idx="16">
                  <c:v>21907192.447000001</c:v>
                </c:pt>
                <c:pt idx="17">
                  <c:v>21961913.749000002</c:v>
                </c:pt>
                <c:pt idx="18">
                  <c:v>23544144.916000001</c:v>
                </c:pt>
                <c:pt idx="19">
                  <c:v>24061764.601</c:v>
                </c:pt>
                <c:pt idx="20">
                  <c:v>24027523.712000001</c:v>
                </c:pt>
                <c:pt idx="21">
                  <c:v>22280417.002</c:v>
                </c:pt>
                <c:pt idx="22">
                  <c:v>23149450.77</c:v>
                </c:pt>
                <c:pt idx="23">
                  <c:v>24826119.083000001</c:v>
                </c:pt>
                <c:pt idx="24">
                  <c:v>24528957.568</c:v>
                </c:pt>
                <c:pt idx="25">
                  <c:v>24878954.135000002</c:v>
                </c:pt>
                <c:pt idx="26">
                  <c:v>24639707.173</c:v>
                </c:pt>
              </c:numCache>
            </c:numRef>
          </c:val>
          <c:smooth val="0"/>
        </c:ser>
        <c:dLbls>
          <c:showLegendKey val="0"/>
          <c:showVal val="0"/>
          <c:showCatName val="0"/>
          <c:showSerName val="0"/>
          <c:showPercent val="0"/>
          <c:showBubbleSize val="0"/>
        </c:dLbls>
        <c:marker val="1"/>
        <c:smooth val="0"/>
        <c:axId val="492987360"/>
        <c:axId val="492986968"/>
      </c:lineChart>
      <c:dateAx>
        <c:axId val="315807896"/>
        <c:scaling>
          <c:orientation val="minMax"/>
        </c:scaling>
        <c:delete val="0"/>
        <c:axPos val="b"/>
        <c:numFmt formatCode="[$-409]mmm\-yy;@" sourceLinked="0"/>
        <c:majorTickMark val="out"/>
        <c:minorTickMark val="none"/>
        <c:tickLblPos val="nextTo"/>
        <c:txPr>
          <a:bodyPr rot="-5400000" vert="horz"/>
          <a:lstStyle/>
          <a:p>
            <a:pPr>
              <a:defRPr/>
            </a:pPr>
            <a:endParaRPr lang="en-US"/>
          </a:p>
        </c:txPr>
        <c:crossAx val="492986576"/>
        <c:crosses val="autoZero"/>
        <c:auto val="1"/>
        <c:lblOffset val="100"/>
        <c:baseTimeUnit val="months"/>
        <c:majorUnit val="1"/>
        <c:majorTimeUnit val="months"/>
      </c:dateAx>
      <c:valAx>
        <c:axId val="492986576"/>
        <c:scaling>
          <c:orientation val="minMax"/>
        </c:scaling>
        <c:delete val="0"/>
        <c:axPos val="l"/>
        <c:majorGridlines/>
        <c:numFmt formatCode="@" sourceLinked="0"/>
        <c:majorTickMark val="out"/>
        <c:minorTickMark val="none"/>
        <c:tickLblPos val="nextTo"/>
        <c:crossAx val="315807896"/>
        <c:crosses val="autoZero"/>
        <c:crossBetween val="between"/>
        <c:dispUnits>
          <c:builtInUnit val="millions"/>
          <c:dispUnitsLbl>
            <c:tx>
              <c:rich>
                <a:bodyPr/>
                <a:lstStyle/>
                <a:p>
                  <a:pPr>
                    <a:defRPr/>
                  </a:pPr>
                  <a:r>
                    <a:rPr lang="en-US"/>
                    <a:t>Trillions</a:t>
                  </a:r>
                </a:p>
              </c:rich>
            </c:tx>
          </c:dispUnitsLbl>
        </c:dispUnits>
      </c:valAx>
      <c:valAx>
        <c:axId val="492986968"/>
        <c:scaling>
          <c:orientation val="minMax"/>
          <c:min val="10"/>
        </c:scaling>
        <c:delete val="0"/>
        <c:axPos val="r"/>
        <c:numFmt formatCode="0" sourceLinked="1"/>
        <c:majorTickMark val="out"/>
        <c:minorTickMark val="none"/>
        <c:tickLblPos val="nextTo"/>
        <c:crossAx val="492987360"/>
        <c:crosses val="max"/>
        <c:crossBetween val="between"/>
        <c:dispUnits>
          <c:builtInUnit val="millions"/>
          <c:dispUnitsLbl>
            <c:tx>
              <c:rich>
                <a:bodyPr/>
                <a:lstStyle/>
                <a:p>
                  <a:pPr>
                    <a:defRPr/>
                  </a:pPr>
                  <a:r>
                    <a:rPr lang="en-US"/>
                    <a:t>Trillions</a:t>
                  </a:r>
                </a:p>
              </c:rich>
            </c:tx>
          </c:dispUnitsLbl>
        </c:dispUnits>
      </c:valAx>
      <c:dateAx>
        <c:axId val="492987360"/>
        <c:scaling>
          <c:orientation val="minMax"/>
        </c:scaling>
        <c:delete val="1"/>
        <c:axPos val="b"/>
        <c:numFmt formatCode="m/d/yyyy" sourceLinked="1"/>
        <c:majorTickMark val="out"/>
        <c:minorTickMark val="none"/>
        <c:tickLblPos val="nextTo"/>
        <c:crossAx val="492986968"/>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0880084525498"/>
          <c:y val="8.9669712232678375E-2"/>
          <c:w val="0.70579777405954103"/>
          <c:h val="0.6463389186317899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'F2&amp;F3'!$A$23:$A$34</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'F2&amp;F3'!$D$23:$D$34</c:f>
              <c:numCache>
                <c:formatCode>#,##0</c:formatCode>
                <c:ptCount val="12"/>
                <c:pt idx="0">
                  <c:v>20367</c:v>
                </c:pt>
                <c:pt idx="1">
                  <c:v>21392</c:v>
                </c:pt>
                <c:pt idx="2">
                  <c:v>22946.000110468703</c:v>
                </c:pt>
                <c:pt idx="3">
                  <c:v>20271</c:v>
                </c:pt>
                <c:pt idx="4">
                  <c:v>22516.94052174181</c:v>
                </c:pt>
                <c:pt idx="5">
                  <c:v>15579.399973632773</c:v>
                </c:pt>
                <c:pt idx="6">
                  <c:v>19291.367354367052</c:v>
                </c:pt>
                <c:pt idx="7">
                  <c:v>25068.413475065521</c:v>
                </c:pt>
                <c:pt idx="8">
                  <c:v>25283.634812247459</c:v>
                </c:pt>
                <c:pt idx="9">
                  <c:v>26228.344143925562</c:v>
                </c:pt>
                <c:pt idx="10">
                  <c:v>26750.082811158594</c:v>
                </c:pt>
                <c:pt idx="11">
                  <c:v>23157.368473639526</c:v>
                </c:pt>
              </c:numCache>
            </c:numRef>
          </c:val>
        </c:ser>
        <c:dLbls>
          <c:showLegendKey val="0"/>
          <c:showVal val="0"/>
          <c:showCatName val="0"/>
          <c:showSerName val="0"/>
          <c:showPercent val="0"/>
          <c:showBubbleSize val="0"/>
        </c:dLbls>
        <c:gapWidth val="200"/>
        <c:overlap val="-100"/>
        <c:axId val="333382656"/>
        <c:axId val="333383048"/>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'F2&amp;F3'!$A$23:$A$34</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'F2&amp;F3'!$E$23:$E$34</c:f>
              <c:numCache>
                <c:formatCode>#,##0</c:formatCode>
                <c:ptCount val="12"/>
                <c:pt idx="0">
                  <c:v>8506</c:v>
                </c:pt>
                <c:pt idx="1">
                  <c:v>8640</c:v>
                </c:pt>
                <c:pt idx="2">
                  <c:v>8783</c:v>
                </c:pt>
                <c:pt idx="3">
                  <c:v>8666</c:v>
                </c:pt>
                <c:pt idx="4">
                  <c:v>8250.75</c:v>
                </c:pt>
                <c:pt idx="5">
                  <c:v>8114.0272727272732</c:v>
                </c:pt>
                <c:pt idx="6">
                  <c:v>8386.2047619047607</c:v>
                </c:pt>
                <c:pt idx="7">
                  <c:v>8813.339473684211</c:v>
                </c:pt>
                <c:pt idx="8">
                  <c:v>8630.613636363636</c:v>
                </c:pt>
                <c:pt idx="9">
                  <c:v>9214.5722222222194</c:v>
                </c:pt>
                <c:pt idx="10">
                  <c:v>9436.9863636363607</c:v>
                </c:pt>
                <c:pt idx="11">
                  <c:v>9606.9547619047607</c:v>
                </c:pt>
              </c:numCache>
            </c:numRef>
          </c:val>
          <c:smooth val="0"/>
        </c:ser>
        <c:dLbls>
          <c:showLegendKey val="0"/>
          <c:showVal val="0"/>
          <c:showCatName val="0"/>
          <c:showSerName val="0"/>
          <c:showPercent val="0"/>
          <c:showBubbleSize val="0"/>
        </c:dLbls>
        <c:marker val="1"/>
        <c:smooth val="0"/>
        <c:axId val="495947136"/>
        <c:axId val="333383440"/>
      </c:lineChart>
      <c:dateAx>
        <c:axId val="333382656"/>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33383048"/>
        <c:crosses val="autoZero"/>
        <c:auto val="1"/>
        <c:lblOffset val="100"/>
        <c:baseTimeUnit val="months"/>
      </c:dateAx>
      <c:valAx>
        <c:axId val="333383048"/>
        <c:scaling>
          <c:orientation val="minMax"/>
          <c:max val="30000"/>
          <c:min val="10000"/>
        </c:scaling>
        <c:delete val="0"/>
        <c:axPos val="l"/>
        <c:numFmt formatCode="#,##0" sourceLinked="1"/>
        <c:majorTickMark val="none"/>
        <c:minorTickMark val="none"/>
        <c:tickLblPos val="nextTo"/>
        <c:txPr>
          <a:bodyPr/>
          <a:lstStyle/>
          <a:p>
            <a:pPr>
              <a:defRPr lang="en-IN"/>
            </a:pPr>
            <a:endParaRPr lang="en-US"/>
          </a:p>
        </c:txPr>
        <c:crossAx val="333382656"/>
        <c:crosses val="autoZero"/>
        <c:crossBetween val="between"/>
        <c:majorUnit val="3000"/>
      </c:valAx>
      <c:valAx>
        <c:axId val="333383440"/>
        <c:scaling>
          <c:orientation val="minMax"/>
          <c:max val="10000"/>
          <c:min val="5000"/>
        </c:scaling>
        <c:delete val="0"/>
        <c:axPos val="r"/>
        <c:numFmt formatCode="#,##0" sourceLinked="1"/>
        <c:majorTickMark val="none"/>
        <c:minorTickMark val="none"/>
        <c:tickLblPos val="nextTo"/>
        <c:txPr>
          <a:bodyPr/>
          <a:lstStyle/>
          <a:p>
            <a:pPr>
              <a:defRPr lang="en-IN"/>
            </a:pPr>
            <a:endParaRPr lang="en-US"/>
          </a:p>
        </c:txPr>
        <c:crossAx val="495947136"/>
        <c:crosses val="max"/>
        <c:crossBetween val="between"/>
      </c:valAx>
      <c:dateAx>
        <c:axId val="495947136"/>
        <c:scaling>
          <c:orientation val="minMax"/>
        </c:scaling>
        <c:delete val="1"/>
        <c:axPos val="b"/>
        <c:numFmt formatCode="[$-409]mmm\-yy;@" sourceLinked="1"/>
        <c:majorTickMark val="out"/>
        <c:minorTickMark val="none"/>
        <c:tickLblPos val="none"/>
        <c:crossAx val="333383440"/>
        <c:crosses val="autoZero"/>
        <c:auto val="1"/>
        <c:lblOffset val="100"/>
        <c:baseTimeUnit val="months"/>
      </c:dateAx>
      <c:spPr>
        <a:ln>
          <a:solidFill>
            <a:schemeClr val="accent2">
              <a:lumMod val="75000"/>
            </a:schemeClr>
          </a:solidFill>
        </a:ln>
      </c:spPr>
    </c:plotArea>
    <c:legend>
      <c:legendPos val="b"/>
      <c:layout>
        <c:manualLayout>
          <c:xMode val="edge"/>
          <c:yMode val="edge"/>
          <c:x val="8.450303672156205E-3"/>
          <c:y val="0.89301346029051154"/>
          <c:w val="0.98134732382914802"/>
          <c:h val="7.2640792155546904E-2"/>
        </c:manualLayout>
      </c:layout>
      <c:overlay val="0"/>
      <c:spPr>
        <a:noFill/>
        <a:ln w="3175">
          <a:no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92067574509361"/>
          <c:y val="5.1208571531298319E-2"/>
          <c:w val="0.72601901967243621"/>
          <c:h val="0.73452310433672852"/>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'F4'!$A$21:$A$32</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'F4'!$B$21:$B$32</c:f>
              <c:numCache>
                <c:formatCode>[&gt;=10000000]#\,##\,##\,##0;[&gt;=100000]#\,##\,##0;##,##0</c:formatCode>
                <c:ptCount val="12"/>
                <c:pt idx="0">
                  <c:v>334886.38560643501</c:v>
                </c:pt>
                <c:pt idx="1">
                  <c:v>360171.95301874547</c:v>
                </c:pt>
                <c:pt idx="2">
                  <c:v>433539.02107236895</c:v>
                </c:pt>
                <c:pt idx="3">
                  <c:v>409294.19569283159</c:v>
                </c:pt>
                <c:pt idx="4">
                  <c:v>441165.73666412727</c:v>
                </c:pt>
                <c:pt idx="5">
                  <c:v>360208.57408016257</c:v>
                </c:pt>
                <c:pt idx="6">
                  <c:v>395458.04202526738</c:v>
                </c:pt>
                <c:pt idx="7">
                  <c:v>492017.86140387144</c:v>
                </c:pt>
                <c:pt idx="8">
                  <c:v>453234.22272257454</c:v>
                </c:pt>
                <c:pt idx="9">
                  <c:v>525537.86411272385</c:v>
                </c:pt>
                <c:pt idx="10">
                  <c:v>540063.74466298777</c:v>
                </c:pt>
                <c:pt idx="11">
                  <c:v>544393.68076666666</c:v>
                </c:pt>
              </c:numCache>
            </c:numRef>
          </c:val>
        </c:ser>
        <c:dLbls>
          <c:showLegendKey val="0"/>
          <c:showVal val="0"/>
          <c:showCatName val="0"/>
          <c:showSerName val="0"/>
          <c:showPercent val="0"/>
          <c:showBubbleSize val="0"/>
        </c:dLbls>
        <c:gapWidth val="351"/>
        <c:overlap val="78"/>
        <c:axId val="495947920"/>
        <c:axId val="495948312"/>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'F4'!$A$21:$A$32</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'F4'!$C$21:$C$32</c:f>
              <c:numCache>
                <c:formatCode>[&gt;=10000000]#\,##\,##\,##0;[&gt;=100000]#\,##\,##0;##,##0</c:formatCode>
                <c:ptCount val="12"/>
                <c:pt idx="0">
                  <c:v>6697727.7121286998</c:v>
                </c:pt>
                <c:pt idx="1">
                  <c:v>7923782.9664123999</c:v>
                </c:pt>
                <c:pt idx="2">
                  <c:v>8670780.4214473795</c:v>
                </c:pt>
                <c:pt idx="3">
                  <c:v>7776589.7181638004</c:v>
                </c:pt>
                <c:pt idx="4">
                  <c:v>9264480.4699466731</c:v>
                </c:pt>
                <c:pt idx="5">
                  <c:v>7924588.6297635762</c:v>
                </c:pt>
                <c:pt idx="6">
                  <c:v>8304618.8825306147</c:v>
                </c:pt>
                <c:pt idx="7">
                  <c:v>9348339.3666735571</c:v>
                </c:pt>
                <c:pt idx="8">
                  <c:v>9971152.8998966403</c:v>
                </c:pt>
                <c:pt idx="9">
                  <c:v>9459681.5540290289</c:v>
                </c:pt>
                <c:pt idx="10">
                  <c:v>11881402.38258573</c:v>
                </c:pt>
                <c:pt idx="11">
                  <c:v>11432267.2961</c:v>
                </c:pt>
              </c:numCache>
            </c:numRef>
          </c:val>
          <c:smooth val="0"/>
        </c:ser>
        <c:dLbls>
          <c:showLegendKey val="0"/>
          <c:showVal val="0"/>
          <c:showCatName val="0"/>
          <c:showSerName val="0"/>
          <c:showPercent val="0"/>
          <c:showBubbleSize val="0"/>
        </c:dLbls>
        <c:marker val="1"/>
        <c:smooth val="0"/>
        <c:axId val="489579624"/>
        <c:axId val="495948704"/>
      </c:lineChart>
      <c:dateAx>
        <c:axId val="49594792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95948312"/>
        <c:crosses val="autoZero"/>
        <c:auto val="1"/>
        <c:lblOffset val="100"/>
        <c:baseTimeUnit val="months"/>
      </c:dateAx>
      <c:valAx>
        <c:axId val="495948312"/>
        <c:scaling>
          <c:orientation val="minMax"/>
          <c:min val="50000"/>
        </c:scaling>
        <c:delete val="0"/>
        <c:axPos val="l"/>
        <c:numFmt formatCode="[&gt;=10000000]#\,##\,##\,##0;[&gt;=100000]#\,##\,##0;##,##0" sourceLinked="1"/>
        <c:majorTickMark val="none"/>
        <c:minorTickMark val="none"/>
        <c:tickLblPos val="nextTo"/>
        <c:txPr>
          <a:bodyPr/>
          <a:lstStyle/>
          <a:p>
            <a:pPr>
              <a:defRPr lang="en-IN"/>
            </a:pPr>
            <a:endParaRPr lang="en-US"/>
          </a:p>
        </c:txPr>
        <c:crossAx val="495947920"/>
        <c:crosses val="autoZero"/>
        <c:crossBetween val="between"/>
      </c:valAx>
      <c:valAx>
        <c:axId val="495948704"/>
        <c:scaling>
          <c:orientation val="minMax"/>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89579624"/>
        <c:crosses val="max"/>
        <c:crossBetween val="between"/>
      </c:valAx>
      <c:dateAx>
        <c:axId val="489579624"/>
        <c:scaling>
          <c:orientation val="minMax"/>
        </c:scaling>
        <c:delete val="1"/>
        <c:axPos val="b"/>
        <c:numFmt formatCode="[$-409]mmm\-yy;@" sourceLinked="1"/>
        <c:majorTickMark val="out"/>
        <c:minorTickMark val="none"/>
        <c:tickLblPos val="none"/>
        <c:crossAx val="495948704"/>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2794292156307"/>
          <c:y val="4.7792401862175982E-2"/>
          <c:w val="0.79660378134600374"/>
          <c:h val="0.694477460390444"/>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'F5'!$C$23:$C$34</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'F5'!$D$23:$D$34</c:f>
              <c:numCache>
                <c:formatCode>[&gt;=10000000]#.000\,##\,##\,##0;[&gt;=100000]#.000\,##\,##0;##,##0.000</c:formatCode>
                <c:ptCount val="12"/>
                <c:pt idx="0">
                  <c:v>14.9175</c:v>
                </c:pt>
                <c:pt idx="1">
                  <c:v>13.243</c:v>
                </c:pt>
                <c:pt idx="2">
                  <c:v>17.18</c:v>
                </c:pt>
                <c:pt idx="3">
                  <c:v>15.49</c:v>
                </c:pt>
                <c:pt idx="4" formatCode="0.000">
                  <c:v>16.850000000000001</c:v>
                </c:pt>
                <c:pt idx="5" formatCode="0.000">
                  <c:v>15.465</c:v>
                </c:pt>
                <c:pt idx="6">
                  <c:v>16.824999999999999</c:v>
                </c:pt>
                <c:pt idx="7">
                  <c:v>13.7925</c:v>
                </c:pt>
                <c:pt idx="8">
                  <c:v>12.42</c:v>
                </c:pt>
                <c:pt idx="9">
                  <c:v>10.86</c:v>
                </c:pt>
                <c:pt idx="10">
                  <c:v>11.762499999999999</c:v>
                </c:pt>
                <c:pt idx="11">
                  <c:v>11.7325</c:v>
                </c:pt>
              </c:numCache>
            </c:numRef>
          </c:val>
          <c:smooth val="0"/>
        </c:ser>
        <c:dLbls>
          <c:showLegendKey val="0"/>
          <c:showVal val="0"/>
          <c:showCatName val="0"/>
          <c:showSerName val="0"/>
          <c:showPercent val="0"/>
          <c:showBubbleSize val="0"/>
        </c:dLbls>
        <c:smooth val="0"/>
        <c:axId val="489580408"/>
        <c:axId val="489580800"/>
      </c:lineChart>
      <c:dateAx>
        <c:axId val="489580408"/>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489580800"/>
        <c:crosses val="autoZero"/>
        <c:auto val="1"/>
        <c:lblOffset val="100"/>
        <c:baseTimeUnit val="months"/>
      </c:dateAx>
      <c:valAx>
        <c:axId val="489580800"/>
        <c:scaling>
          <c:orientation val="minMax"/>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489580408"/>
        <c:crosses val="autoZero"/>
        <c:crossBetween val="midCat"/>
      </c:valAx>
    </c:plotArea>
    <c:legend>
      <c:legendPos val="b"/>
      <c:layout>
        <c:manualLayout>
          <c:xMode val="edge"/>
          <c:yMode val="edge"/>
          <c:x val="0.38097761698386756"/>
          <c:y val="0.9071391076115487"/>
          <c:w val="0.21795211397470257"/>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9782316814359"/>
          <c:y val="3.6613735296436113E-2"/>
          <c:w val="0.86025237787861719"/>
          <c:h val="0.73720552728461775"/>
        </c:manualLayout>
      </c:layout>
      <c:lineChart>
        <c:grouping val="standard"/>
        <c:varyColors val="0"/>
        <c:ser>
          <c:idx val="0"/>
          <c:order val="0"/>
          <c:tx>
            <c:strRef>
              <c:f>'F6'!$B$2</c:f>
              <c:strCache>
                <c:ptCount val="1"/>
                <c:pt idx="0">
                  <c:v>NSE</c:v>
                </c:pt>
              </c:strCache>
            </c:strRef>
          </c:tx>
          <c:spPr>
            <a:ln w="22225">
              <a:solidFill>
                <a:srgbClr val="C45CB8"/>
              </a:solidFill>
            </a:ln>
          </c:spPr>
          <c:marker>
            <c:symbol val="none"/>
          </c:marker>
          <c:cat>
            <c:numRef>
              <c:f>'F6'!$A$22:$A$33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'F6'!$B$22:$B$33</c:f>
              <c:numCache>
                <c:formatCode>[&gt;=10000000]#\,##\,##\,##0;[&gt;=100000]#\,##\,##0;##,##0</c:formatCode>
                <c:ptCount val="12"/>
                <c:pt idx="0">
                  <c:v>315238.64499624999</c:v>
                </c:pt>
                <c:pt idx="1">
                  <c:v>336005.45772725</c:v>
                </c:pt>
                <c:pt idx="2">
                  <c:v>423295.61060525</c:v>
                </c:pt>
                <c:pt idx="3">
                  <c:v>303828.62016699999</c:v>
                </c:pt>
                <c:pt idx="4">
                  <c:v>554009.07272824994</c:v>
                </c:pt>
                <c:pt idx="5">
                  <c:v>438728.92493550002</c:v>
                </c:pt>
                <c:pt idx="6">
                  <c:v>391194.21927524998</c:v>
                </c:pt>
                <c:pt idx="7">
                  <c:v>353643.32387949998</c:v>
                </c:pt>
                <c:pt idx="8">
                  <c:v>418536.8850675</c:v>
                </c:pt>
                <c:pt idx="9">
                  <c:v>398004.32778175006</c:v>
                </c:pt>
                <c:pt idx="10">
                  <c:v>393122.51131224993</c:v>
                </c:pt>
                <c:pt idx="11">
                  <c:v>324731.53253324999</c:v>
                </c:pt>
              </c:numCache>
            </c:numRef>
          </c:val>
          <c:smooth val="1"/>
        </c:ser>
        <c:ser>
          <c:idx val="1"/>
          <c:order val="1"/>
          <c:tx>
            <c:strRef>
              <c:f>'F6'!$C$2</c:f>
              <c:strCache>
                <c:ptCount val="1"/>
                <c:pt idx="0">
                  <c:v>MSEI</c:v>
                </c:pt>
              </c:strCache>
            </c:strRef>
          </c:tx>
          <c:spPr>
            <a:ln w="22225">
              <a:solidFill>
                <a:srgbClr val="00B0F0"/>
              </a:solidFill>
            </a:ln>
          </c:spPr>
          <c:marker>
            <c:symbol val="none"/>
          </c:marker>
          <c:cat>
            <c:numRef>
              <c:f>'F6'!$A$22:$A$33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'F6'!$C$22:$C$33</c:f>
              <c:numCache>
                <c:formatCode>[&gt;=10000000]#\,##\,##\,##0;[&gt;=100000]#\,##\,##0;##,##0</c:formatCode>
                <c:ptCount val="12"/>
                <c:pt idx="0">
                  <c:v>29763.439637500007</c:v>
                </c:pt>
                <c:pt idx="1">
                  <c:v>27177.278438499998</c:v>
                </c:pt>
                <c:pt idx="2">
                  <c:v>33923.860942250001</c:v>
                </c:pt>
                <c:pt idx="3">
                  <c:v>24370.146168499999</c:v>
                </c:pt>
                <c:pt idx="4">
                  <c:v>33465.662692750004</c:v>
                </c:pt>
                <c:pt idx="5">
                  <c:v>19998.969719250032</c:v>
                </c:pt>
                <c:pt idx="6">
                  <c:v>15820.993791249995</c:v>
                </c:pt>
                <c:pt idx="7">
                  <c:v>12659.33537275</c:v>
                </c:pt>
                <c:pt idx="8">
                  <c:v>13922.045795999999</c:v>
                </c:pt>
                <c:pt idx="9">
                  <c:v>10169.798433749998</c:v>
                </c:pt>
                <c:pt idx="10">
                  <c:v>13582.348675749998</c:v>
                </c:pt>
                <c:pt idx="11">
                  <c:v>14202.542310999999</c:v>
                </c:pt>
              </c:numCache>
            </c:numRef>
          </c:val>
          <c:smooth val="1"/>
        </c:ser>
        <c:ser>
          <c:idx val="3"/>
          <c:order val="2"/>
          <c:tx>
            <c:strRef>
              <c:f>'F6'!$D$2</c:f>
              <c:strCache>
                <c:ptCount val="1"/>
                <c:pt idx="0">
                  <c:v>BSE</c:v>
                </c:pt>
              </c:strCache>
            </c:strRef>
          </c:tx>
          <c:spPr>
            <a:ln>
              <a:solidFill>
                <a:schemeClr val="accent2">
                  <a:lumMod val="75000"/>
                </a:schemeClr>
              </a:solidFill>
            </a:ln>
          </c:spPr>
          <c:marker>
            <c:symbol val="none"/>
          </c:marker>
          <c:cat>
            <c:numRef>
              <c:f>'F6'!$A$22:$A$33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'F6'!$D$22:$D$33</c:f>
              <c:numCache>
                <c:formatCode>[&gt;=10000000]#\,##\,##\,##0;[&gt;=100000]#\,##\,##0;##,##0</c:formatCode>
                <c:ptCount val="12"/>
                <c:pt idx="0">
                  <c:v>227277.0913</c:v>
                </c:pt>
                <c:pt idx="1">
                  <c:v>236833.13939999999</c:v>
                </c:pt>
                <c:pt idx="2">
                  <c:v>261357.34160000001</c:v>
                </c:pt>
                <c:pt idx="3">
                  <c:v>208960.83400000003</c:v>
                </c:pt>
                <c:pt idx="4">
                  <c:v>302326.86139999994</c:v>
                </c:pt>
                <c:pt idx="5">
                  <c:v>256606.20929999999</c:v>
                </c:pt>
                <c:pt idx="6">
                  <c:v>235904.7732</c:v>
                </c:pt>
                <c:pt idx="7">
                  <c:v>219015.48420000001</c:v>
                </c:pt>
                <c:pt idx="8">
                  <c:v>277956.75809999998</c:v>
                </c:pt>
                <c:pt idx="9">
                  <c:v>338721.10500000004</c:v>
                </c:pt>
                <c:pt idx="10">
                  <c:v>386287.93370000005</c:v>
                </c:pt>
                <c:pt idx="11">
                  <c:v>363858.19699999999</c:v>
                </c:pt>
              </c:numCache>
            </c:numRef>
          </c:val>
          <c:smooth val="0"/>
        </c:ser>
        <c:dLbls>
          <c:showLegendKey val="0"/>
          <c:showVal val="0"/>
          <c:showCatName val="0"/>
          <c:showSerName val="0"/>
          <c:showPercent val="0"/>
          <c:showBubbleSize val="0"/>
        </c:dLbls>
        <c:smooth val="0"/>
        <c:axId val="333383920"/>
        <c:axId val="333384312"/>
      </c:lineChart>
      <c:dateAx>
        <c:axId val="33338392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33384312"/>
        <c:crosses val="autoZero"/>
        <c:auto val="1"/>
        <c:lblOffset val="100"/>
        <c:baseTimeUnit val="months"/>
      </c:dateAx>
      <c:valAx>
        <c:axId val="333384312"/>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333383920"/>
        <c:crosses val="autoZero"/>
        <c:crossBetween val="between"/>
        <c:majorUnit val="50000"/>
        <c:minorUnit val="20000"/>
      </c:val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5705142580163"/>
          <c:y val="5.6243945116616505E-2"/>
          <c:w val="0.859806155607587"/>
          <c:h val="0.73529420891354103"/>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'F7'!$B$22:$B$33</c:f>
              <c:numCache>
                <c:formatCode>[&gt;=10000000]#.##\,##\,##0;[&gt;=100000]#.##\,##0;##,##0</c:formatCode>
                <c:ptCount val="12"/>
                <c:pt idx="0">
                  <c:v>8080.2785999999996</c:v>
                </c:pt>
                <c:pt idx="1">
                  <c:v>8339.6966000000011</c:v>
                </c:pt>
                <c:pt idx="2">
                  <c:v>9300.4696999999978</c:v>
                </c:pt>
                <c:pt idx="3" formatCode="[&gt;9999999]##\,##\,##\,##0;[&gt;99999]##\,##\,##0;##,##0">
                  <c:v>8481.2810999999983</c:v>
                </c:pt>
                <c:pt idx="4" formatCode="[&gt;9999999]##\,##\,##\,##0;[&gt;99999]##\,##\,##0;##,##0">
                  <c:v>11781.123799999999</c:v>
                </c:pt>
                <c:pt idx="5" formatCode="[&gt;9999999]##\,##\,##\,##0;[&gt;99999]##\,##\,##0;##,##0">
                  <c:v>11792.561000000002</c:v>
                </c:pt>
                <c:pt idx="6" formatCode="[&gt;9999999]##\,##\,##\,##0;[&gt;99999]##\,##\,##0;##,##0">
                  <c:v>7011.0781999999999</c:v>
                </c:pt>
                <c:pt idx="7" formatCode="[&gt;9999999]##\,##\,##\,##0;[&gt;99999]##\,##\,##0;##,##0">
                  <c:v>8149.3863000000001</c:v>
                </c:pt>
                <c:pt idx="8" formatCode="[&gt;9999999]##\,##\,##\,##0;[&gt;99999]##\,##\,##0;##,##0">
                  <c:v>19504.446200000002</c:v>
                </c:pt>
                <c:pt idx="9" formatCode="[&gt;9999999]##\,##\,##\,##0;[&gt;99999]##\,##\,##0;##,##0">
                  <c:v>11046.7248</c:v>
                </c:pt>
                <c:pt idx="10" formatCode="[&gt;9999999]##\,##\,##\,##0;[&gt;99999]##\,##\,##0;##,##0">
                  <c:v>12230.2824</c:v>
                </c:pt>
                <c:pt idx="11" formatCode="[&gt;9999999]##\,##\,##\,##0;[&gt;99999]##\,##\,##0;##,##0">
                  <c:v>18656.991600000001</c:v>
                </c:pt>
              </c:numCache>
            </c:numRef>
          </c:val>
          <c:smooth val="1"/>
        </c:ser>
        <c:ser>
          <c:idx val="1"/>
          <c:order val="1"/>
          <c:tx>
            <c:strRef>
              <c:f>'F7'!$C$2</c:f>
              <c:strCache>
                <c:ptCount val="1"/>
                <c:pt idx="0">
                  <c:v>NSE</c:v>
                </c:pt>
              </c:strCache>
            </c:strRef>
          </c:tx>
          <c:spPr>
            <a:ln w="22225">
              <a:solidFill>
                <a:srgbClr val="0070C0"/>
              </a:solidFill>
            </a:ln>
          </c:spPr>
          <c:marker>
            <c:symbol val="none"/>
          </c:marker>
          <c:cat>
            <c:numRef>
              <c:f>'F7'!$A$22:$A$33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'F7'!$C$22:$C$33</c:f>
              <c:numCache>
                <c:formatCode>[&gt;=10000000]#.##\,##\,##0;[&gt;=100000]#.##\,##0;##,##0</c:formatCode>
                <c:ptCount val="12"/>
                <c:pt idx="0">
                  <c:v>19301.758964500001</c:v>
                </c:pt>
                <c:pt idx="1">
                  <c:v>22532.137615</c:v>
                </c:pt>
                <c:pt idx="2">
                  <c:v>17057.482233999999</c:v>
                </c:pt>
                <c:pt idx="3" formatCode="_(* #,##0_);_(* \(#,##0\);_(* &quot;-&quot;??_);_(@_)">
                  <c:v>16758.162927500001</c:v>
                </c:pt>
                <c:pt idx="4" formatCode="_(* #,##0_);_(* \(#,##0\);_(* &quot;-&quot;??_);_(@_)">
                  <c:v>32610.1794955</c:v>
                </c:pt>
                <c:pt idx="5" formatCode="_(* #,##0_);_(* \(#,##0\);_(* &quot;-&quot;??_);_(@_)">
                  <c:v>35694.938252499996</c:v>
                </c:pt>
                <c:pt idx="6" formatCode="[&gt;9999999]##\,##\,##\,##0;[&gt;99999]##\,##\,##0;##,##0">
                  <c:v>25514.1369505</c:v>
                </c:pt>
                <c:pt idx="7" formatCode="[&gt;9999999]##\,##\,##\,##0;[&gt;99999]##\,##\,##0;##,##0">
                  <c:v>26179.584513999998</c:v>
                </c:pt>
                <c:pt idx="8" formatCode="[&gt;9999999]##\,##\,##\,##0;[&gt;99999]##\,##\,##0;##,##0">
                  <c:v>38527.6105905</c:v>
                </c:pt>
                <c:pt idx="9" formatCode="[&gt;9999999]##\,##\,##\,##0;[&gt;99999]##\,##\,##0;##,##0">
                  <c:v>32824.362904999994</c:v>
                </c:pt>
                <c:pt idx="10" formatCode="[&gt;9999999]##\,##\,##\,##0;[&gt;99999]##\,##\,##0;##,##0">
                  <c:v>22208.391542499998</c:v>
                </c:pt>
                <c:pt idx="11" formatCode="[&gt;9999999]##\,##\,##\,##0;[&gt;99999]##\,##\,##0;##,##0">
                  <c:v>26851.832140500006</c:v>
                </c:pt>
              </c:numCache>
            </c:numRef>
          </c:val>
          <c:smooth val="1"/>
        </c:ser>
        <c:ser>
          <c:idx val="2"/>
          <c:order val="2"/>
          <c:tx>
            <c:strRef>
              <c:f>'F7'!$D$2</c:f>
              <c:strCache>
                <c:ptCount val="1"/>
                <c:pt idx="0">
                  <c:v>MSEI</c:v>
                </c:pt>
              </c:strCache>
            </c:strRef>
          </c:tx>
          <c:spPr>
            <a:ln>
              <a:solidFill>
                <a:srgbClr val="FFC000"/>
              </a:solidFill>
            </a:ln>
          </c:spPr>
          <c:marker>
            <c:symbol val="none"/>
          </c:marker>
          <c:cat>
            <c:numRef>
              <c:f>'F7'!$A$22:$A$33</c:f>
              <c:numCache>
                <c:formatCode>[$-409]mmm\-yy;@</c:formatCode>
                <c:ptCount val="12"/>
                <c:pt idx="0">
                  <c:v>42554</c:v>
                </c:pt>
                <c:pt idx="1">
                  <c:v>42586</c:v>
                </c:pt>
                <c:pt idx="2">
                  <c:v>42618</c:v>
                </c:pt>
                <c:pt idx="3">
                  <c:v>42650</c:v>
                </c:pt>
                <c:pt idx="4">
                  <c:v>42682</c:v>
                </c:pt>
                <c:pt idx="5">
                  <c:v>42714</c:v>
                </c:pt>
                <c:pt idx="6">
                  <c:v>42746</c:v>
                </c:pt>
                <c:pt idx="7">
                  <c:v>42778</c:v>
                </c:pt>
                <c:pt idx="8">
                  <c:v>42810</c:v>
                </c:pt>
                <c:pt idx="9">
                  <c:v>42842</c:v>
                </c:pt>
                <c:pt idx="10">
                  <c:v>42874</c:v>
                </c:pt>
                <c:pt idx="11">
                  <c:v>42906</c:v>
                </c:pt>
              </c:numCache>
            </c:numRef>
          </c:cat>
          <c:val>
            <c:numRef>
              <c:f>'F7'!$D$22:$D$33</c:f>
              <c:numCache>
                <c:formatCode>[&gt;=10000000]#.##\,##\,##0;[&gt;=100000]#.##\,##0;##,##0</c:formatCode>
                <c:ptCount val="12"/>
                <c:pt idx="0">
                  <c:v>948.05677100000003</c:v>
                </c:pt>
                <c:pt idx="1">
                  <c:v>670.11926949999997</c:v>
                </c:pt>
                <c:pt idx="2">
                  <c:v>37</c:v>
                </c:pt>
                <c:pt idx="3" formatCode="0.00">
                  <c:v>0</c:v>
                </c:pt>
                <c:pt idx="4" formatCode="0.00">
                  <c:v>0</c:v>
                </c:pt>
                <c:pt idx="5" formatCode="0.00">
                  <c:v>0</c:v>
                </c:pt>
                <c:pt idx="6" formatCode="0.00">
                  <c:v>0</c:v>
                </c:pt>
                <c:pt idx="7" formatCode="0.00">
                  <c:v>0</c:v>
                </c:pt>
                <c:pt idx="8" formatCode="0.00">
                  <c:v>0.49952949999999996</c:v>
                </c:pt>
                <c:pt idx="9" formatCode="0.00">
                  <c:v>0</c:v>
                </c:pt>
                <c:pt idx="10" formatCode="0.00">
                  <c:v>0</c:v>
                </c:pt>
                <c:pt idx="11" formatCode="0.00">
                  <c:v>0</c:v>
                </c:pt>
              </c:numCache>
            </c:numRef>
          </c:val>
          <c:smooth val="0"/>
        </c:ser>
        <c:dLbls>
          <c:showLegendKey val="0"/>
          <c:showVal val="0"/>
          <c:showCatName val="0"/>
          <c:showSerName val="0"/>
          <c:showPercent val="0"/>
          <c:showBubbleSize val="0"/>
        </c:dLbls>
        <c:smooth val="0"/>
        <c:axId val="333385096"/>
        <c:axId val="333385488"/>
      </c:lineChart>
      <c:dateAx>
        <c:axId val="333385096"/>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33385488"/>
        <c:crosses val="autoZero"/>
        <c:auto val="1"/>
        <c:lblOffset val="100"/>
        <c:baseTimeUnit val="months"/>
        <c:majorUnit val="1"/>
        <c:majorTimeUnit val="months"/>
        <c:minorUnit val="1"/>
        <c:minorTimeUnit val="months"/>
      </c:dateAx>
      <c:valAx>
        <c:axId val="333385488"/>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333385096"/>
        <c:crosses val="autoZero"/>
        <c:crossBetween val="between"/>
      </c:valAx>
    </c:plotArea>
    <c:legend>
      <c:legendPos val="b"/>
      <c:layout>
        <c:manualLayout>
          <c:xMode val="edge"/>
          <c:yMode val="edge"/>
          <c:x val="0.34366394733873118"/>
          <c:y val="0.92249744643988474"/>
          <c:w val="0.31810565403852936"/>
          <c:h val="6.160247210477999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4474183998632"/>
          <c:y val="2.8205705875941855E-2"/>
          <c:w val="0.85977563747002905"/>
          <c:h val="0.62817067935020821"/>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dLbls>
            <c:dLbl>
              <c:idx val="322"/>
              <c:layout>
                <c:manualLayout>
                  <c:x val="0"/>
                  <c:y val="-5.83333524715723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Comdex_dhanya!$A$387:$A$709</c:f>
              <c:numCache>
                <c:formatCode>d\-mmm\-yy</c:formatCode>
                <c:ptCount val="323"/>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numCache>
            </c:numRef>
          </c:cat>
          <c:val>
            <c:numRef>
              <c:f>Comdex_dhanya!$B$387:$B$709</c:f>
              <c:numCache>
                <c:formatCode>0.0</c:formatCode>
                <c:ptCount val="323"/>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dLbls>
            <c:dLbl>
              <c:idx val="322"/>
              <c:layout>
                <c:manualLayout>
                  <c:x val="-3.9581761036183386E-3"/>
                  <c:y val="-4.58333483705211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Comdex_dhanya!$A$387:$A$709</c:f>
              <c:numCache>
                <c:formatCode>d\-mmm\-yy</c:formatCode>
                <c:ptCount val="323"/>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numCache>
            </c:numRef>
          </c:cat>
          <c:val>
            <c:numRef>
              <c:f>Comdex_dhanya!$C$387:$C$709</c:f>
              <c:numCache>
                <c:formatCode>0.0</c:formatCode>
                <c:ptCount val="323"/>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numCache>
            </c:numRef>
          </c:val>
          <c:smooth val="0"/>
        </c:ser>
        <c:dLbls>
          <c:showLegendKey val="0"/>
          <c:showVal val="0"/>
          <c:showCatName val="0"/>
          <c:showSerName val="0"/>
          <c:showPercent val="0"/>
          <c:showBubbleSize val="0"/>
        </c:dLbls>
        <c:smooth val="0"/>
        <c:axId val="497871576"/>
        <c:axId val="497871968"/>
      </c:lineChart>
      <c:dateAx>
        <c:axId val="497871576"/>
        <c:scaling>
          <c:orientation val="minMax"/>
          <c:max val="42916"/>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97871968"/>
        <c:crosses val="autoZero"/>
        <c:auto val="1"/>
        <c:lblOffset val="100"/>
        <c:baseTimeUnit val="days"/>
      </c:dateAx>
      <c:valAx>
        <c:axId val="497871968"/>
        <c:scaling>
          <c:orientation val="minMax"/>
          <c:min val="2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97871576"/>
        <c:crossesAt val="42124"/>
        <c:crossBetween val="between"/>
        <c:majorUnit val="100"/>
      </c:valAx>
      <c:spPr>
        <a:noFill/>
        <a:ln cap="rnd">
          <a:solidFill>
            <a:schemeClr val="bg1"/>
          </a:solidFill>
        </a:ln>
        <a:effectLst/>
      </c:spPr>
    </c:plotArea>
    <c:legend>
      <c:legendPos val="b"/>
      <c:layout>
        <c:manualLayout>
          <c:xMode val="edge"/>
          <c:yMode val="edge"/>
          <c:x val="0.30465177634061008"/>
          <c:y val="0.89635364053597133"/>
          <c:w val="0.41444550394048896"/>
          <c:h val="7.03130151945587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0709116512958"/>
          <c:y val="5.8280943228553116E-2"/>
          <c:w val="0.77010998251639351"/>
          <c:h val="0.665017498241528"/>
        </c:manualLayout>
      </c:layout>
      <c:barChart>
        <c:barDir val="col"/>
        <c:grouping val="clustered"/>
        <c:varyColors val="0"/>
        <c:ser>
          <c:idx val="1"/>
          <c:order val="1"/>
          <c:tx>
            <c:strRef>
              <c:f>Comm!$C$80</c:f>
              <c:strCache>
                <c:ptCount val="1"/>
                <c:pt idx="0">
                  <c:v>NCDEX</c:v>
                </c:pt>
              </c:strCache>
            </c:strRef>
          </c:tx>
          <c:invertIfNegative val="0"/>
          <c:cat>
            <c:numRef>
              <c:f>Comm!$A$93:$A$107</c:f>
              <c:numCache>
                <c:formatCode>mmm\-yy</c:formatCode>
                <c:ptCount val="15"/>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numCache>
            </c:numRef>
          </c:cat>
          <c:val>
            <c:numRef>
              <c:f>Comm!$C$93:$C$107</c:f>
              <c:numCache>
                <c:formatCode>_(* #,##0_);_(* \(#,##0\);_(* "-"??_);_(@_)</c:formatCode>
                <c:ptCount val="15"/>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numCache>
            </c:numRef>
          </c:val>
        </c:ser>
        <c:dLbls>
          <c:showLegendKey val="0"/>
          <c:showVal val="0"/>
          <c:showCatName val="0"/>
          <c:showSerName val="0"/>
          <c:showPercent val="0"/>
          <c:showBubbleSize val="0"/>
        </c:dLbls>
        <c:gapWidth val="150"/>
        <c:axId val="497872752"/>
        <c:axId val="537939888"/>
      </c:barChart>
      <c:barChart>
        <c:barDir val="col"/>
        <c:grouping val="clustered"/>
        <c:varyColors val="0"/>
        <c:ser>
          <c:idx val="0"/>
          <c:order val="0"/>
          <c:tx>
            <c:strRef>
              <c:f>Comm!$B$80</c:f>
              <c:strCache>
                <c:ptCount val="1"/>
                <c:pt idx="0">
                  <c:v>MCX</c:v>
                </c:pt>
              </c:strCache>
            </c:strRef>
          </c:tx>
          <c:invertIfNegative val="0"/>
          <c:cat>
            <c:numRef>
              <c:f>Comm!$A$93:$A$107</c:f>
              <c:numCache>
                <c:formatCode>mmm\-yy</c:formatCode>
                <c:ptCount val="15"/>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numCache>
            </c:numRef>
          </c:cat>
          <c:val>
            <c:numRef>
              <c:f>Comm!$B$93:$B$107</c:f>
              <c:numCache>
                <c:formatCode>_(* #,##0_);_(* \(#,##0\);_(* "-"??_);_(@_)</c:formatCode>
                <c:ptCount val="15"/>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numCache>
            </c:numRef>
          </c:val>
        </c:ser>
        <c:ser>
          <c:idx val="2"/>
          <c:order val="2"/>
          <c:tx>
            <c:strRef>
              <c:f>Comm!$D$80</c:f>
              <c:strCache>
                <c:ptCount val="1"/>
                <c:pt idx="0">
                  <c:v>NMCE</c:v>
                </c:pt>
              </c:strCache>
            </c:strRef>
          </c:tx>
          <c:spPr>
            <a:solidFill>
              <a:schemeClr val="tx1">
                <a:lumMod val="95000"/>
                <a:lumOff val="5000"/>
              </a:schemeClr>
            </a:solidFill>
          </c:spPr>
          <c:invertIfNegative val="0"/>
          <c:cat>
            <c:numRef>
              <c:f>Comm!$A$93:$A$107</c:f>
              <c:numCache>
                <c:formatCode>mmm\-yy</c:formatCode>
                <c:ptCount val="15"/>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numCache>
            </c:numRef>
          </c:cat>
          <c:val>
            <c:numRef>
              <c:f>Comm!$D$93:$D$107</c:f>
              <c:numCache>
                <c:formatCode>_(* #,##0_);_(* \(#,##0\);_(* "-"??_);_(@_)</c:formatCode>
                <c:ptCount val="15"/>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numCache>
            </c:numRef>
          </c:val>
        </c:ser>
        <c:dLbls>
          <c:showLegendKey val="0"/>
          <c:showVal val="0"/>
          <c:showCatName val="0"/>
          <c:showSerName val="0"/>
          <c:showPercent val="0"/>
          <c:showBubbleSize val="0"/>
        </c:dLbls>
        <c:gapWidth val="150"/>
        <c:axId val="537940672"/>
        <c:axId val="537940280"/>
      </c:barChart>
      <c:dateAx>
        <c:axId val="497872752"/>
        <c:scaling>
          <c:orientation val="minMax"/>
        </c:scaling>
        <c:delete val="0"/>
        <c:axPos val="b"/>
        <c:numFmt formatCode="mmm\-yy" sourceLinked="1"/>
        <c:majorTickMark val="out"/>
        <c:minorTickMark val="none"/>
        <c:tickLblPos val="nextTo"/>
        <c:crossAx val="537939888"/>
        <c:crosses val="autoZero"/>
        <c:auto val="1"/>
        <c:lblOffset val="100"/>
        <c:baseTimeUnit val="months"/>
      </c:dateAx>
      <c:valAx>
        <c:axId val="537939888"/>
        <c:scaling>
          <c:orientation val="minMax"/>
        </c:scaling>
        <c:delete val="0"/>
        <c:axPos val="l"/>
        <c:title>
          <c:tx>
            <c:rich>
              <a:bodyPr/>
              <a:lstStyle/>
              <a:p>
                <a:pPr>
                  <a:defRPr/>
                </a:pPr>
                <a:r>
                  <a:rPr lang="en-US" baseline="0"/>
                  <a:t>NCDEX</a:t>
                </a:r>
                <a:endParaRPr lang="en-US"/>
              </a:p>
            </c:rich>
          </c:tx>
          <c:layout>
            <c:manualLayout>
              <c:xMode val="edge"/>
              <c:yMode val="edge"/>
              <c:x val="0"/>
              <c:y val="0.29556769463304827"/>
            </c:manualLayout>
          </c:layout>
          <c:overlay val="0"/>
        </c:title>
        <c:numFmt formatCode="_(* #,##0_);_(* \(#,##0\);_(* &quot;-&quot;??_);_(@_)" sourceLinked="1"/>
        <c:majorTickMark val="out"/>
        <c:minorTickMark val="none"/>
        <c:tickLblPos val="nextTo"/>
        <c:crossAx val="497872752"/>
        <c:crosses val="autoZero"/>
        <c:crossBetween val="between"/>
      </c:valAx>
      <c:valAx>
        <c:axId val="537940280"/>
        <c:scaling>
          <c:orientation val="minMax"/>
          <c:max val="60000"/>
          <c:min val="0"/>
        </c:scaling>
        <c:delete val="0"/>
        <c:axPos val="r"/>
        <c:title>
          <c:tx>
            <c:rich>
              <a:bodyPr/>
              <a:lstStyle/>
              <a:p>
                <a:pPr>
                  <a:defRPr/>
                </a:pPr>
                <a:r>
                  <a:rPr lang="en-US"/>
                  <a:t>MCX and NMCE</a:t>
                </a:r>
              </a:p>
            </c:rich>
          </c:tx>
          <c:layout>
            <c:manualLayout>
              <c:xMode val="edge"/>
              <c:yMode val="edge"/>
              <c:x val="0.96568743274472846"/>
              <c:y val="0.1600491827808222"/>
            </c:manualLayout>
          </c:layout>
          <c:overlay val="0"/>
        </c:title>
        <c:numFmt formatCode="_(* #,##0_);_(* \(#,##0\);_(* &quot;-&quot;??_);_(@_)" sourceLinked="1"/>
        <c:majorTickMark val="out"/>
        <c:minorTickMark val="none"/>
        <c:tickLblPos val="nextTo"/>
        <c:crossAx val="537940672"/>
        <c:crosses val="max"/>
        <c:crossBetween val="between"/>
        <c:majorUnit val="10000"/>
      </c:valAx>
      <c:dateAx>
        <c:axId val="537940672"/>
        <c:scaling>
          <c:orientation val="minMax"/>
        </c:scaling>
        <c:delete val="1"/>
        <c:axPos val="b"/>
        <c:numFmt formatCode="mmm\-yy" sourceLinked="1"/>
        <c:majorTickMark val="out"/>
        <c:minorTickMark val="none"/>
        <c:tickLblPos val="nextTo"/>
        <c:crossAx val="537940280"/>
        <c:crosses val="autoZero"/>
        <c:auto val="1"/>
        <c:lblOffset val="100"/>
        <c:baseTimeUnit val="months"/>
        <c:majorUnit val="1"/>
        <c:minorUnit val="1"/>
      </c:dateAx>
    </c:plotArea>
    <c:legend>
      <c:legendPos val="r"/>
      <c:layout>
        <c:manualLayout>
          <c:xMode val="edge"/>
          <c:yMode val="edge"/>
          <c:x val="0.24609700726250769"/>
          <c:y val="0.921248132333775"/>
          <c:w val="0.48337131194810334"/>
          <c:h val="7.8751867666225009E-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0.93033</cdr:x>
      <cdr:y>0.24</cdr:y>
    </cdr:from>
    <cdr:to>
      <cdr:x>0.98054</cdr:x>
      <cdr:y>0.55442</cdr:y>
    </cdr:to>
    <cdr:sp macro="" textlink="">
      <cdr:nvSpPr>
        <cdr:cNvPr id="2" name="Rectangle 1"/>
        <cdr:cNvSpPr/>
      </cdr:nvSpPr>
      <cdr:spPr>
        <a:xfrm xmlns:a="http://schemas.openxmlformats.org/drawingml/2006/main">
          <a:off x="4554750" y="624086"/>
          <a:ext cx="245850" cy="8175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r>
            <a:rPr lang="en-US" sz="1200" b="1">
              <a:solidFill>
                <a:sysClr val="windowText" lastClr="000000"/>
              </a:solidFill>
            </a:rPr>
            <a:t>NCDEX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96B7-0687-4139-8EF2-62F12AB7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4171</TotalTime>
  <Pages>1</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80169</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Sumit Verma</cp:lastModifiedBy>
  <cp:revision>551</cp:revision>
  <cp:lastPrinted>2016-02-17T09:57:00Z</cp:lastPrinted>
  <dcterms:created xsi:type="dcterms:W3CDTF">2017-04-26T07:07:00Z</dcterms:created>
  <dcterms:modified xsi:type="dcterms:W3CDTF">2017-08-23T11:17:00Z</dcterms:modified>
</cp:coreProperties>
</file>