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1.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EB3" w:rsidRDefault="009A0EB3" w:rsidP="00816E4C">
      <w:pPr>
        <w:pStyle w:val="Heading4"/>
      </w:pPr>
      <w:bookmarkStart w:id="0" w:name="_GoBack"/>
      <w:bookmarkEnd w:id="0"/>
    </w:p>
    <w:p w:rsidR="003E1929" w:rsidRDefault="003E1929" w:rsidP="003E1929">
      <w:pPr>
        <w:rPr>
          <w:lang w:val="en-IN" w:eastAsia="en-IN"/>
        </w:rPr>
      </w:pPr>
    </w:p>
    <w:p w:rsidR="003E1929" w:rsidRDefault="003E1929" w:rsidP="003E1929">
      <w:pPr>
        <w:rPr>
          <w:lang w:val="en-IN" w:eastAsia="en-IN"/>
        </w:rPr>
      </w:pPr>
    </w:p>
    <w:p w:rsidR="003E1929" w:rsidRDefault="003E1929" w:rsidP="003E1929">
      <w:pPr>
        <w:rPr>
          <w:lang w:val="en-IN" w:eastAsia="en-IN"/>
        </w:rPr>
      </w:pPr>
    </w:p>
    <w:p w:rsidR="003E1929" w:rsidRPr="003E1929" w:rsidRDefault="003E1929" w:rsidP="003E1929">
      <w:pPr>
        <w:rPr>
          <w:lang w:val="en-IN" w:eastAsia="en-IN"/>
        </w:rPr>
      </w:pPr>
    </w:p>
    <w:p w:rsidR="009A0EB3" w:rsidRPr="00C4512E" w:rsidRDefault="009A0EB3" w:rsidP="009A0EB3">
      <w:pPr>
        <w:spacing w:line="20" w:lineRule="atLeast"/>
        <w:jc w:val="center"/>
        <w:outlineLvl w:val="0"/>
        <w:rPr>
          <w:rFonts w:ascii="Garamond" w:hAnsi="Garamond"/>
          <w:b/>
          <w:color w:val="1F4E79" w:themeColor="accent1" w:themeShade="80"/>
          <w:sz w:val="144"/>
          <w:szCs w:val="144"/>
        </w:rPr>
      </w:pPr>
      <w:r w:rsidRPr="00C4512E">
        <w:rPr>
          <w:rFonts w:ascii="Garamond" w:hAnsi="Garamond"/>
          <w:b/>
          <w:color w:val="1F4E79" w:themeColor="accent1" w:themeShade="80"/>
          <w:sz w:val="144"/>
          <w:szCs w:val="144"/>
        </w:rPr>
        <w:t>SEBI</w:t>
      </w:r>
    </w:p>
    <w:p w:rsidR="009A0EB3" w:rsidRPr="00C4512E" w:rsidRDefault="009A0EB3" w:rsidP="009A0EB3">
      <w:pPr>
        <w:spacing w:line="20" w:lineRule="atLeast"/>
        <w:jc w:val="center"/>
        <w:outlineLvl w:val="0"/>
        <w:rPr>
          <w:rFonts w:ascii="Garamond" w:hAnsi="Garamond"/>
          <w:b/>
          <w:color w:val="1F4E79" w:themeColor="accent1" w:themeShade="80"/>
          <w:sz w:val="56"/>
          <w:szCs w:val="56"/>
        </w:rPr>
      </w:pPr>
      <w:r w:rsidRPr="00C4512E">
        <w:rPr>
          <w:rFonts w:ascii="Garamond" w:hAnsi="Garamond"/>
          <w:b/>
          <w:color w:val="1F4E79" w:themeColor="accent1" w:themeShade="80"/>
          <w:sz w:val="56"/>
          <w:szCs w:val="56"/>
        </w:rPr>
        <w:t>BULLETIN</w:t>
      </w: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C4512E" w:rsidRDefault="0095776A" w:rsidP="002C3645">
      <w:pPr>
        <w:spacing w:line="20" w:lineRule="atLeast"/>
        <w:jc w:val="center"/>
        <w:rPr>
          <w:rFonts w:ascii="Garamond" w:hAnsi="Garamond"/>
          <w:b/>
          <w:color w:val="1F4E79" w:themeColor="accent1" w:themeShade="80"/>
        </w:rPr>
      </w:pPr>
      <w:r>
        <w:rPr>
          <w:rFonts w:ascii="Garamond" w:hAnsi="Garamond"/>
          <w:b/>
          <w:color w:val="1F4E79" w:themeColor="accent1" w:themeShade="80"/>
        </w:rPr>
        <w:t xml:space="preserve">June </w:t>
      </w:r>
      <w:r w:rsidR="003C782B">
        <w:rPr>
          <w:rFonts w:ascii="Garamond" w:hAnsi="Garamond"/>
          <w:b/>
          <w:color w:val="1F4E79" w:themeColor="accent1" w:themeShade="80"/>
        </w:rPr>
        <w:t>2022        VOL. 2</w:t>
      </w:r>
      <w:r>
        <w:rPr>
          <w:rFonts w:ascii="Garamond" w:hAnsi="Garamond"/>
          <w:b/>
          <w:color w:val="1F4E79" w:themeColor="accent1" w:themeShade="80"/>
        </w:rPr>
        <w:t>1</w:t>
      </w:r>
      <w:r w:rsidR="003C782B">
        <w:rPr>
          <w:rFonts w:ascii="Garamond" w:hAnsi="Garamond"/>
          <w:b/>
          <w:color w:val="1F4E79" w:themeColor="accent1" w:themeShade="80"/>
        </w:rPr>
        <w:t xml:space="preserve">       </w:t>
      </w:r>
      <w:r w:rsidR="00B20597" w:rsidRPr="00C4512E">
        <w:rPr>
          <w:rFonts w:ascii="Garamond" w:hAnsi="Garamond"/>
          <w:b/>
          <w:color w:val="1F4E79" w:themeColor="accent1" w:themeShade="80"/>
        </w:rPr>
        <w:t xml:space="preserve">NUMBER </w:t>
      </w:r>
      <w:r w:rsidR="008B0B65">
        <w:rPr>
          <w:rFonts w:ascii="Garamond" w:hAnsi="Garamond"/>
          <w:b/>
          <w:color w:val="1F4E79" w:themeColor="accent1" w:themeShade="80"/>
        </w:rPr>
        <w:t>0</w:t>
      </w:r>
      <w:r>
        <w:rPr>
          <w:rFonts w:ascii="Garamond" w:hAnsi="Garamond"/>
          <w:b/>
          <w:color w:val="1F4E79" w:themeColor="accent1" w:themeShade="80"/>
        </w:rPr>
        <w:t>6</w:t>
      </w: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18049A" w:rsidRPr="009A0EB3" w:rsidRDefault="0018049A"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Default="002C3645" w:rsidP="00C4512E">
      <w:pPr>
        <w:outlineLvl w:val="0"/>
        <w:rPr>
          <w:rFonts w:ascii="Palatino Linotype" w:hAnsi="Palatino Linotype" w:cs="Helvetica"/>
          <w:b/>
          <w:color w:val="000099"/>
          <w:sz w:val="22"/>
          <w:szCs w:val="22"/>
        </w:rPr>
      </w:pPr>
    </w:p>
    <w:p w:rsidR="00C4512E" w:rsidRDefault="00C4512E" w:rsidP="00C4512E">
      <w:pPr>
        <w:outlineLvl w:val="0"/>
        <w:rPr>
          <w:rFonts w:ascii="Palatino Linotype" w:hAnsi="Palatino Linotype" w:cs="Helvetica"/>
          <w:b/>
          <w:color w:val="000099"/>
          <w:sz w:val="22"/>
          <w:szCs w:val="22"/>
        </w:rPr>
      </w:pPr>
    </w:p>
    <w:p w:rsidR="008E4467" w:rsidRPr="009A0EB3" w:rsidRDefault="008E4467"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A76333" w:rsidRDefault="00A76333" w:rsidP="00B25DA6">
      <w:pPr>
        <w:jc w:val="center"/>
        <w:outlineLvl w:val="0"/>
        <w:rPr>
          <w:rFonts w:ascii="Palatino Linotype" w:hAnsi="Palatino Linotype" w:cs="Helvetica"/>
          <w:b/>
          <w:color w:val="000099"/>
          <w:sz w:val="22"/>
          <w:szCs w:val="22"/>
        </w:rPr>
      </w:pPr>
    </w:p>
    <w:p w:rsidR="00A76333" w:rsidRDefault="00A76333" w:rsidP="00B25DA6">
      <w:pPr>
        <w:jc w:val="center"/>
        <w:outlineLvl w:val="0"/>
        <w:rPr>
          <w:rFonts w:ascii="Palatino Linotype" w:hAnsi="Palatino Linotype" w:cs="Helvetica"/>
          <w:b/>
          <w:color w:val="000099"/>
          <w:sz w:val="22"/>
          <w:szCs w:val="22"/>
        </w:rPr>
      </w:pPr>
    </w:p>
    <w:p w:rsidR="00A76333" w:rsidRPr="009A0EB3" w:rsidRDefault="00A76333" w:rsidP="00B25DA6">
      <w:pPr>
        <w:jc w:val="center"/>
        <w:outlineLvl w:val="0"/>
        <w:rPr>
          <w:rFonts w:ascii="Palatino Linotype" w:hAnsi="Palatino Linotype" w:cs="Helvetica"/>
          <w:b/>
          <w:color w:val="000099"/>
          <w:sz w:val="22"/>
          <w:szCs w:val="22"/>
        </w:rPr>
      </w:pPr>
    </w:p>
    <w:p w:rsidR="002C3645" w:rsidRPr="00C4512E" w:rsidRDefault="002C3645" w:rsidP="002C3645">
      <w:pPr>
        <w:spacing w:line="20" w:lineRule="atLeast"/>
        <w:jc w:val="center"/>
        <w:rPr>
          <w:rFonts w:ascii="Garamond" w:hAnsi="Garamond"/>
          <w:b/>
          <w:color w:val="1F4E79" w:themeColor="accent1" w:themeShade="80"/>
          <w:sz w:val="28"/>
          <w:szCs w:val="28"/>
        </w:rPr>
      </w:pPr>
      <w:r w:rsidRPr="00C4512E">
        <w:rPr>
          <w:rFonts w:ascii="Garamond" w:hAnsi="Garamond"/>
          <w:b/>
          <w:color w:val="1F4E79" w:themeColor="accent1" w:themeShade="80"/>
          <w:sz w:val="28"/>
          <w:szCs w:val="28"/>
        </w:rPr>
        <w:lastRenderedPageBreak/>
        <w:t>SECURITIES AND EXCHANGE BOARD OF INDIA</w:t>
      </w:r>
    </w:p>
    <w:p w:rsidR="002C3645" w:rsidRPr="00C4512E" w:rsidRDefault="002C3645" w:rsidP="002C3645">
      <w:pPr>
        <w:spacing w:line="20" w:lineRule="atLeast"/>
        <w:jc w:val="both"/>
        <w:rPr>
          <w:rFonts w:ascii="Garamond" w:hAnsi="Garamond"/>
          <w:color w:val="FF0000"/>
        </w:rPr>
      </w:pPr>
    </w:p>
    <w:p w:rsidR="009A0EB3" w:rsidRPr="00C4512E" w:rsidRDefault="009A0EB3" w:rsidP="002C3645">
      <w:pPr>
        <w:spacing w:line="20" w:lineRule="atLeast"/>
        <w:rPr>
          <w:rFonts w:ascii="Garamond" w:hAnsi="Garamond"/>
          <w:b/>
        </w:rPr>
      </w:pPr>
    </w:p>
    <w:p w:rsidR="002C3645" w:rsidRPr="00C4512E" w:rsidRDefault="002C3645" w:rsidP="002C3645">
      <w:pPr>
        <w:spacing w:line="20" w:lineRule="atLeast"/>
        <w:rPr>
          <w:rFonts w:ascii="Garamond" w:hAnsi="Garamond"/>
          <w:b/>
        </w:rPr>
      </w:pPr>
      <w:r w:rsidRPr="00C4512E">
        <w:rPr>
          <w:rFonts w:ascii="Garamond" w:hAnsi="Garamond"/>
          <w:b/>
        </w:rPr>
        <w:t xml:space="preserve">EDITORIAL COMMITTEE </w:t>
      </w:r>
      <w:r w:rsidR="009A0EB3" w:rsidRPr="00C4512E">
        <w:rPr>
          <w:rFonts w:ascii="Garamond" w:hAnsi="Garamond"/>
          <w:b/>
        </w:rPr>
        <w:br/>
      </w:r>
    </w:p>
    <w:p w:rsidR="00E71481" w:rsidRPr="00C4512E" w:rsidRDefault="00E71481" w:rsidP="002C3645">
      <w:pPr>
        <w:spacing w:line="20" w:lineRule="atLeast"/>
        <w:jc w:val="both"/>
        <w:outlineLvl w:val="0"/>
        <w:rPr>
          <w:rFonts w:ascii="Garamond" w:hAnsi="Garamond"/>
          <w:b/>
        </w:rPr>
      </w:pPr>
      <w:r w:rsidRPr="00C4512E">
        <w:rPr>
          <w:rFonts w:ascii="Garamond" w:hAnsi="Garamond"/>
          <w:b/>
        </w:rPr>
        <w:t>Shri Prabhas Rath</w:t>
      </w:r>
    </w:p>
    <w:p w:rsidR="00012FAA" w:rsidRPr="00C4512E" w:rsidRDefault="00012FAA" w:rsidP="002C3645">
      <w:pPr>
        <w:spacing w:line="20" w:lineRule="atLeast"/>
        <w:jc w:val="both"/>
        <w:outlineLvl w:val="0"/>
        <w:rPr>
          <w:rFonts w:ascii="Garamond" w:hAnsi="Garamond"/>
          <w:b/>
        </w:rPr>
      </w:pPr>
      <w:r w:rsidRPr="00C4512E">
        <w:rPr>
          <w:rFonts w:ascii="Garamond" w:hAnsi="Garamond"/>
          <w:b/>
        </w:rPr>
        <w:t>Ms. Sangeeta Rathod</w:t>
      </w:r>
    </w:p>
    <w:p w:rsidR="002C3645" w:rsidRPr="00C4512E" w:rsidRDefault="002C1128" w:rsidP="002C3645">
      <w:pPr>
        <w:spacing w:line="20" w:lineRule="atLeast"/>
        <w:jc w:val="both"/>
        <w:outlineLvl w:val="0"/>
        <w:rPr>
          <w:rFonts w:ascii="Garamond" w:hAnsi="Garamond"/>
          <w:b/>
        </w:rPr>
      </w:pPr>
      <w:r w:rsidRPr="00C4512E">
        <w:rPr>
          <w:rFonts w:ascii="Garamond" w:hAnsi="Garamond"/>
          <w:b/>
        </w:rPr>
        <w:t>Ms. Deepthi L S</w:t>
      </w:r>
    </w:p>
    <w:p w:rsidR="002C3645" w:rsidRPr="00C4512E" w:rsidRDefault="00FD1851" w:rsidP="002C3645">
      <w:pPr>
        <w:spacing w:line="20" w:lineRule="atLeast"/>
        <w:jc w:val="both"/>
        <w:outlineLvl w:val="0"/>
        <w:rPr>
          <w:rFonts w:ascii="Garamond" w:hAnsi="Garamond"/>
          <w:b/>
        </w:rPr>
      </w:pPr>
      <w:r w:rsidRPr="00C4512E">
        <w:rPr>
          <w:rFonts w:ascii="Garamond" w:hAnsi="Garamond"/>
          <w:b/>
        </w:rPr>
        <w:t>Dr.</w:t>
      </w:r>
      <w:r w:rsidR="002C3645" w:rsidRPr="00C4512E">
        <w:rPr>
          <w:rFonts w:ascii="Garamond" w:hAnsi="Garamond"/>
          <w:b/>
        </w:rPr>
        <w:t xml:space="preserve"> </w:t>
      </w:r>
      <w:r w:rsidRPr="00C4512E">
        <w:rPr>
          <w:rFonts w:ascii="Garamond" w:hAnsi="Garamond"/>
          <w:b/>
        </w:rPr>
        <w:t xml:space="preserve"> Deepali Dixit</w:t>
      </w:r>
    </w:p>
    <w:p w:rsidR="002C3645" w:rsidRPr="00C4512E" w:rsidRDefault="00E71481" w:rsidP="002C3645">
      <w:pPr>
        <w:spacing w:line="20" w:lineRule="atLeast"/>
        <w:jc w:val="both"/>
        <w:outlineLvl w:val="0"/>
        <w:rPr>
          <w:rFonts w:ascii="Garamond" w:hAnsi="Garamond"/>
          <w:b/>
        </w:rPr>
      </w:pPr>
      <w:r w:rsidRPr="00C4512E">
        <w:rPr>
          <w:rFonts w:ascii="Garamond" w:hAnsi="Garamond"/>
          <w:b/>
        </w:rPr>
        <w:t>Shri</w:t>
      </w:r>
      <w:r w:rsidR="002C3645" w:rsidRPr="00C4512E">
        <w:rPr>
          <w:rFonts w:ascii="Garamond" w:hAnsi="Garamond"/>
          <w:b/>
        </w:rPr>
        <w:t xml:space="preserve"> </w:t>
      </w:r>
      <w:r w:rsidR="00FD1851" w:rsidRPr="00C4512E">
        <w:rPr>
          <w:rFonts w:ascii="Garamond" w:hAnsi="Garamond"/>
          <w:b/>
        </w:rPr>
        <w:t>Jitendra Kumar</w:t>
      </w:r>
    </w:p>
    <w:p w:rsidR="002C3645" w:rsidRPr="00C4512E" w:rsidRDefault="002C3645" w:rsidP="002C3645">
      <w:pPr>
        <w:spacing w:line="20" w:lineRule="atLeast"/>
        <w:jc w:val="both"/>
        <w:outlineLvl w:val="0"/>
        <w:rPr>
          <w:rFonts w:ascii="Garamond" w:hAnsi="Garamond"/>
          <w:b/>
        </w:rPr>
      </w:pPr>
    </w:p>
    <w:p w:rsidR="002C3645" w:rsidRPr="00C4512E" w:rsidRDefault="002C3645" w:rsidP="002C3645">
      <w:pPr>
        <w:spacing w:line="20" w:lineRule="atLeast"/>
        <w:jc w:val="both"/>
        <w:rPr>
          <w:rFonts w:ascii="Garamond" w:hAnsi="Garamond"/>
        </w:rPr>
      </w:pPr>
    </w:p>
    <w:p w:rsidR="00563987" w:rsidRPr="00C4512E" w:rsidRDefault="002C3645" w:rsidP="002C3645">
      <w:pPr>
        <w:spacing w:line="20" w:lineRule="atLeast"/>
        <w:jc w:val="both"/>
        <w:rPr>
          <w:rFonts w:ascii="Garamond" w:hAnsi="Garamond"/>
          <w:bCs/>
        </w:rPr>
      </w:pPr>
      <w:r w:rsidRPr="00C4512E">
        <w:rPr>
          <w:rFonts w:ascii="Garamond" w:hAnsi="Garamond"/>
        </w:rPr>
        <w:t xml:space="preserve">The </w:t>
      </w:r>
      <w:r w:rsidR="00E77B3E" w:rsidRPr="00C4512E">
        <w:rPr>
          <w:rFonts w:ascii="Garamond" w:hAnsi="Garamond"/>
        </w:rPr>
        <w:t xml:space="preserve">SEBI Monthly </w:t>
      </w:r>
      <w:r w:rsidRPr="00C4512E">
        <w:rPr>
          <w:rFonts w:ascii="Garamond" w:hAnsi="Garamond"/>
        </w:rPr>
        <w:t xml:space="preserve">Bulletin is issued by the Department of Economic and Policy Analysis, Securities and Exchange Board of India under the direction of </w:t>
      </w:r>
      <w:r w:rsidR="00563987" w:rsidRPr="00C4512E">
        <w:rPr>
          <w:rFonts w:ascii="Garamond" w:hAnsi="Garamond"/>
        </w:rPr>
        <w:t>the</w:t>
      </w:r>
      <w:r w:rsidRPr="00C4512E">
        <w:rPr>
          <w:rFonts w:ascii="Garamond" w:hAnsi="Garamond"/>
        </w:rPr>
        <w:t xml:space="preserve"> Editorial Committee. SEBI is not responsible for accuracy of data/information/interpretations and opinions expressed in the case of signed articles/speeches as authors are responsible for their personal views. SEBI has no objection to the material published herein being reproduced, provided an acknowledgement of the same is made.</w:t>
      </w:r>
      <w:r w:rsidRPr="00C4512E">
        <w:rPr>
          <w:rFonts w:ascii="Garamond" w:hAnsi="Garamond"/>
          <w:bCs/>
        </w:rPr>
        <w:t xml:space="preserve"> </w:t>
      </w:r>
      <w:r w:rsidR="00E71481" w:rsidRPr="00C4512E">
        <w:rPr>
          <w:rFonts w:ascii="Garamond" w:hAnsi="Garamond"/>
          <w:bCs/>
        </w:rPr>
        <w:t xml:space="preserve"> </w:t>
      </w:r>
    </w:p>
    <w:p w:rsidR="00563987" w:rsidRPr="00C4512E" w:rsidRDefault="00563987" w:rsidP="002C3645">
      <w:pPr>
        <w:spacing w:line="20" w:lineRule="atLeast"/>
        <w:jc w:val="both"/>
        <w:rPr>
          <w:rFonts w:ascii="Garamond" w:hAnsi="Garamond"/>
          <w:bCs/>
        </w:rPr>
      </w:pPr>
    </w:p>
    <w:p w:rsidR="00563987" w:rsidRPr="00C4512E" w:rsidRDefault="00563987" w:rsidP="002C3645">
      <w:pPr>
        <w:spacing w:line="20" w:lineRule="atLeast"/>
        <w:jc w:val="both"/>
        <w:rPr>
          <w:rFonts w:ascii="Garamond" w:hAnsi="Garamond"/>
          <w:bCs/>
        </w:rPr>
      </w:pPr>
      <w:r w:rsidRPr="00C4512E">
        <w:rPr>
          <w:rFonts w:ascii="Garamond" w:hAnsi="Garamond"/>
          <w:bCs/>
        </w:rPr>
        <w:t>The soft</w:t>
      </w:r>
      <w:r w:rsidR="00E71481" w:rsidRPr="00C4512E">
        <w:rPr>
          <w:rFonts w:ascii="Garamond" w:hAnsi="Garamond"/>
          <w:bCs/>
        </w:rPr>
        <w:t xml:space="preserve"> copy of SEBI Bulletin </w:t>
      </w:r>
      <w:r w:rsidRPr="00C4512E">
        <w:rPr>
          <w:rFonts w:ascii="Garamond" w:hAnsi="Garamond"/>
          <w:bCs/>
        </w:rPr>
        <w:t xml:space="preserve">in PDF, Word and Excel formats </w:t>
      </w:r>
      <w:r w:rsidR="00E77B3E" w:rsidRPr="00C4512E">
        <w:rPr>
          <w:rFonts w:ascii="Garamond" w:hAnsi="Garamond"/>
          <w:bCs/>
        </w:rPr>
        <w:t xml:space="preserve">can be freely downloaded from the publications link under Reports and Statistics </w:t>
      </w:r>
      <w:r w:rsidRPr="00C4512E">
        <w:rPr>
          <w:rFonts w:ascii="Garamond" w:hAnsi="Garamond"/>
          <w:bCs/>
        </w:rPr>
        <w:t>s</w:t>
      </w:r>
      <w:r w:rsidR="00E77B3E" w:rsidRPr="00C4512E">
        <w:rPr>
          <w:rFonts w:ascii="Garamond" w:hAnsi="Garamond"/>
          <w:bCs/>
        </w:rPr>
        <w:t>ection in SEBI website</w:t>
      </w:r>
      <w:r w:rsidR="00E77B3E" w:rsidRPr="00C4512E">
        <w:rPr>
          <w:rFonts w:ascii="Garamond" w:hAnsi="Garamond"/>
        </w:rPr>
        <w:t xml:space="preserve"> (</w:t>
      </w:r>
      <w:hyperlink r:id="rId15" w:history="1">
        <w:r w:rsidR="00B522A6" w:rsidRPr="00C4512E">
          <w:rPr>
            <w:rStyle w:val="Hyperlink"/>
            <w:rFonts w:ascii="Garamond" w:hAnsi="Garamond"/>
            <w:bCs/>
          </w:rPr>
          <w:t>https://www.sebi.gov.in/reports-and-statistics.html</w:t>
        </w:r>
      </w:hyperlink>
      <w:r w:rsidR="00E77B3E" w:rsidRPr="00C4512E">
        <w:rPr>
          <w:rFonts w:ascii="Garamond" w:hAnsi="Garamond"/>
          <w:bCs/>
        </w:rPr>
        <w:t>)</w:t>
      </w:r>
      <w:r w:rsidRPr="00C4512E">
        <w:rPr>
          <w:rFonts w:ascii="Garamond" w:hAnsi="Garamond"/>
          <w:bCs/>
        </w:rPr>
        <w:t>.</w:t>
      </w:r>
      <w:r w:rsidR="00E77B3E" w:rsidRPr="00C4512E">
        <w:rPr>
          <w:rFonts w:ascii="Garamond" w:hAnsi="Garamond"/>
          <w:bCs/>
        </w:rPr>
        <w:t xml:space="preserve"> </w:t>
      </w:r>
    </w:p>
    <w:p w:rsidR="00563987" w:rsidRPr="00C4512E" w:rsidRDefault="00563987" w:rsidP="002C3645">
      <w:pPr>
        <w:spacing w:line="20" w:lineRule="atLeast"/>
        <w:jc w:val="both"/>
        <w:rPr>
          <w:rFonts w:ascii="Garamond" w:hAnsi="Garamond"/>
          <w:bCs/>
        </w:rPr>
      </w:pPr>
    </w:p>
    <w:p w:rsidR="00563987" w:rsidRPr="00C4512E" w:rsidRDefault="002C3645" w:rsidP="002C3645">
      <w:pPr>
        <w:spacing w:line="20" w:lineRule="atLeast"/>
        <w:jc w:val="both"/>
        <w:rPr>
          <w:rFonts w:ascii="Garamond" w:hAnsi="Garamond"/>
        </w:rPr>
      </w:pPr>
      <w:r w:rsidRPr="00C4512E">
        <w:rPr>
          <w:rFonts w:ascii="Garamond" w:hAnsi="Garamond"/>
          <w:bCs/>
        </w:rPr>
        <w:t xml:space="preserve">Any comments and suggestions on any of the features/sections may be sent to </w:t>
      </w:r>
      <w:r w:rsidR="00563987" w:rsidRPr="00C4512E">
        <w:rPr>
          <w:rFonts w:ascii="Garamond" w:hAnsi="Garamond"/>
          <w:bCs/>
        </w:rPr>
        <w:t xml:space="preserve">the email id: </w:t>
      </w:r>
    </w:p>
    <w:p w:rsidR="00563987" w:rsidRPr="00C4512E" w:rsidRDefault="004E451A" w:rsidP="002C3645">
      <w:pPr>
        <w:spacing w:line="20" w:lineRule="atLeast"/>
        <w:jc w:val="both"/>
        <w:rPr>
          <w:rFonts w:ascii="Garamond" w:hAnsi="Garamond"/>
        </w:rPr>
      </w:pPr>
      <w:hyperlink r:id="rId16" w:history="1">
        <w:r w:rsidR="00563987" w:rsidRPr="00C4512E">
          <w:rPr>
            <w:rStyle w:val="Hyperlink"/>
            <w:rFonts w:ascii="Garamond" w:hAnsi="Garamond"/>
          </w:rPr>
          <w:t>bulletin@sebi.gov.in</w:t>
        </w:r>
      </w:hyperlink>
    </w:p>
    <w:p w:rsidR="00563987" w:rsidRPr="00C4512E" w:rsidRDefault="00563987" w:rsidP="002C3645">
      <w:pPr>
        <w:spacing w:line="20" w:lineRule="atLeast"/>
        <w:jc w:val="both"/>
        <w:rPr>
          <w:rFonts w:ascii="Garamond" w:hAnsi="Garamond"/>
        </w:rPr>
      </w:pPr>
    </w:p>
    <w:p w:rsidR="00563987" w:rsidRPr="009A0EB3" w:rsidRDefault="00563987" w:rsidP="002C3645">
      <w:pPr>
        <w:spacing w:line="20" w:lineRule="atLeast"/>
        <w:jc w:val="both"/>
        <w:rPr>
          <w:rFonts w:ascii="Palatino Linotype" w:hAnsi="Palatino Linotype"/>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EB52C5" w:rsidRDefault="00EB52C5" w:rsidP="00B84DDC">
      <w:pPr>
        <w:outlineLvl w:val="0"/>
        <w:rPr>
          <w:rFonts w:ascii="Palatino Linotype" w:hAnsi="Palatino Linotype" w:cs="Helvetica"/>
          <w:b/>
          <w:color w:val="000099"/>
          <w:sz w:val="22"/>
          <w:szCs w:val="22"/>
        </w:rPr>
      </w:pPr>
    </w:p>
    <w:p w:rsidR="00B84DDC" w:rsidRPr="009A0EB3" w:rsidRDefault="00B84DDC" w:rsidP="00B84DDC">
      <w:pP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Pr="009A0EB3" w:rsidRDefault="00C4512E" w:rsidP="00B25DA6">
      <w:pPr>
        <w:jc w:val="center"/>
        <w:outlineLvl w:val="0"/>
        <w:rPr>
          <w:rFonts w:ascii="Palatino Linotype" w:hAnsi="Palatino Linotype" w:cs="Helvetica"/>
          <w:b/>
          <w:color w:val="000099"/>
          <w:sz w:val="22"/>
          <w:szCs w:val="22"/>
        </w:rPr>
      </w:pPr>
    </w:p>
    <w:p w:rsidR="00C4512E" w:rsidRDefault="00C4512E"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A76333" w:rsidRDefault="00A76333" w:rsidP="002C3645">
      <w:pPr>
        <w:spacing w:line="20" w:lineRule="atLeast"/>
        <w:jc w:val="center"/>
        <w:rPr>
          <w:rFonts w:ascii="Palatino Linotype" w:hAnsi="Palatino Linotype"/>
          <w:b/>
          <w:color w:val="632423"/>
          <w:sz w:val="22"/>
          <w:szCs w:val="22"/>
        </w:rPr>
      </w:pPr>
    </w:p>
    <w:p w:rsidR="002C3645" w:rsidRPr="00C4512E" w:rsidRDefault="002C3645" w:rsidP="002C3645">
      <w:pPr>
        <w:spacing w:line="20" w:lineRule="atLeast"/>
        <w:jc w:val="center"/>
        <w:rPr>
          <w:rFonts w:ascii="Garamond" w:hAnsi="Garamond"/>
          <w:b/>
          <w:color w:val="1F4E79" w:themeColor="accent1" w:themeShade="80"/>
          <w:sz w:val="28"/>
          <w:szCs w:val="28"/>
        </w:rPr>
      </w:pPr>
      <w:r w:rsidRPr="00C4512E">
        <w:rPr>
          <w:rFonts w:ascii="Garamond" w:hAnsi="Garamond"/>
          <w:b/>
          <w:color w:val="1F4E79" w:themeColor="accent1" w:themeShade="80"/>
          <w:sz w:val="28"/>
          <w:szCs w:val="28"/>
        </w:rPr>
        <w:t>CONTENTS</w:t>
      </w:r>
    </w:p>
    <w:p w:rsidR="002C3645" w:rsidRPr="00C4512E" w:rsidRDefault="002C3645" w:rsidP="002C3645">
      <w:pPr>
        <w:spacing w:line="20" w:lineRule="atLeast"/>
        <w:jc w:val="both"/>
        <w:rPr>
          <w:rFonts w:ascii="Garamond" w:hAnsi="Garamond"/>
          <w:b/>
          <w:color w:val="0000FF"/>
        </w:rPr>
      </w:pPr>
    </w:p>
    <w:p w:rsidR="00D73337" w:rsidRPr="00C4512E" w:rsidRDefault="00D73337" w:rsidP="00F81232">
      <w:pPr>
        <w:spacing w:line="20" w:lineRule="atLeast"/>
        <w:jc w:val="both"/>
        <w:rPr>
          <w:rFonts w:ascii="Garamond" w:hAnsi="Garamond"/>
          <w:b/>
          <w:color w:val="1F4E79" w:themeColor="accent1" w:themeShade="80"/>
        </w:rPr>
      </w:pPr>
    </w:p>
    <w:p w:rsidR="002C3645" w:rsidRPr="001B2E66" w:rsidRDefault="002C3645" w:rsidP="00F81232">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CAPITAL MARKET REVIEW</w:t>
      </w:r>
    </w:p>
    <w:p w:rsidR="002C3645" w:rsidRPr="001B2E66" w:rsidRDefault="002C3645" w:rsidP="002C3645">
      <w:pPr>
        <w:spacing w:line="20" w:lineRule="atLeast"/>
        <w:jc w:val="both"/>
        <w:rPr>
          <w:rFonts w:ascii="Garamond" w:hAnsi="Garamond"/>
          <w:b/>
          <w:color w:val="1F4E79" w:themeColor="accent1" w:themeShade="80"/>
        </w:rPr>
      </w:pPr>
    </w:p>
    <w:p w:rsidR="002C3645" w:rsidRPr="001B2E66"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REVIEW OF GLOBAL FINANCIAL MARKETS</w:t>
      </w:r>
    </w:p>
    <w:p w:rsidR="002C3645" w:rsidRPr="001B2E66" w:rsidRDefault="002C3645" w:rsidP="002C3645">
      <w:pPr>
        <w:spacing w:line="20" w:lineRule="atLeast"/>
        <w:jc w:val="both"/>
        <w:rPr>
          <w:rFonts w:ascii="Garamond" w:hAnsi="Garamond"/>
          <w:b/>
          <w:i/>
          <w:iCs/>
          <w:color w:val="1F4E79" w:themeColor="accent1" w:themeShade="80"/>
        </w:rPr>
      </w:pPr>
    </w:p>
    <w:p w:rsidR="002C3645" w:rsidRPr="001B2E66"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HIGHLIGHTS OF DEVELOPMENTS IN INTERNATIONAL SECURITIES MARKET</w:t>
      </w:r>
    </w:p>
    <w:p w:rsidR="002C3645" w:rsidRPr="001B2E66" w:rsidRDefault="002C3645" w:rsidP="002C3645">
      <w:pPr>
        <w:spacing w:line="20" w:lineRule="atLeast"/>
        <w:jc w:val="both"/>
        <w:rPr>
          <w:rFonts w:ascii="Garamond" w:hAnsi="Garamond"/>
          <w:b/>
          <w:color w:val="1F4E79" w:themeColor="accent1" w:themeShade="80"/>
        </w:rPr>
      </w:pPr>
    </w:p>
    <w:p w:rsidR="002C3645" w:rsidRPr="001B2E66"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 xml:space="preserve">POLICY DEVELOPMENTS </w:t>
      </w:r>
      <w:r w:rsidR="00B522A6" w:rsidRPr="001B2E66">
        <w:rPr>
          <w:rFonts w:ascii="Garamond" w:hAnsi="Garamond"/>
          <w:b/>
          <w:color w:val="1F4E79" w:themeColor="accent1" w:themeShade="80"/>
        </w:rPr>
        <w:t>IN INDIAN SECURITIES MARKET</w:t>
      </w:r>
    </w:p>
    <w:p w:rsidR="002C3645" w:rsidRPr="001B2E66" w:rsidRDefault="002C3645" w:rsidP="002C3645">
      <w:pPr>
        <w:spacing w:line="20" w:lineRule="atLeast"/>
        <w:jc w:val="both"/>
        <w:rPr>
          <w:rFonts w:ascii="Garamond" w:hAnsi="Garamond"/>
          <w:b/>
          <w:color w:val="1F4E79" w:themeColor="accent1" w:themeShade="80"/>
        </w:rPr>
      </w:pPr>
    </w:p>
    <w:p w:rsidR="002C3645" w:rsidRPr="00C4512E" w:rsidRDefault="002C3645" w:rsidP="002C3645">
      <w:pPr>
        <w:spacing w:line="20" w:lineRule="atLeast"/>
        <w:jc w:val="both"/>
        <w:rPr>
          <w:rFonts w:ascii="Garamond" w:hAnsi="Garamond"/>
          <w:b/>
          <w:color w:val="1F4E79" w:themeColor="accent1" w:themeShade="80"/>
        </w:rPr>
      </w:pPr>
      <w:r w:rsidRPr="001B2E66">
        <w:rPr>
          <w:rFonts w:ascii="Garamond" w:hAnsi="Garamond"/>
          <w:b/>
          <w:color w:val="1F4E79" w:themeColor="accent1" w:themeShade="80"/>
        </w:rPr>
        <w:t>REGULATORY ACTIONS TAKEN BY SEBI</w:t>
      </w:r>
      <w:r w:rsidRPr="00C4512E">
        <w:rPr>
          <w:rFonts w:ascii="Garamond" w:hAnsi="Garamond"/>
          <w:b/>
          <w:color w:val="1F4E79" w:themeColor="accent1" w:themeShade="80"/>
        </w:rPr>
        <w:t xml:space="preserve"> </w:t>
      </w:r>
    </w:p>
    <w:p w:rsidR="002C3645" w:rsidRPr="00C4512E" w:rsidRDefault="002C3645" w:rsidP="002C3645">
      <w:pPr>
        <w:spacing w:line="20" w:lineRule="atLeast"/>
        <w:jc w:val="both"/>
        <w:rPr>
          <w:rFonts w:ascii="Garamond" w:hAnsi="Garamond"/>
          <w:b/>
          <w:color w:val="1F4E79" w:themeColor="accent1" w:themeShade="80"/>
        </w:rPr>
      </w:pPr>
    </w:p>
    <w:p w:rsidR="002C3645" w:rsidRPr="00C4512E" w:rsidRDefault="00B522A6" w:rsidP="002C3645">
      <w:pPr>
        <w:spacing w:line="20" w:lineRule="atLeast"/>
        <w:jc w:val="both"/>
        <w:rPr>
          <w:rFonts w:ascii="Garamond" w:hAnsi="Garamond"/>
          <w:b/>
          <w:color w:val="1F4E79" w:themeColor="accent1" w:themeShade="80"/>
        </w:rPr>
      </w:pPr>
      <w:r w:rsidRPr="00C4512E">
        <w:rPr>
          <w:rFonts w:ascii="Garamond" w:hAnsi="Garamond"/>
          <w:b/>
          <w:color w:val="1F4E79" w:themeColor="accent1" w:themeShade="80"/>
        </w:rPr>
        <w:t>CURRENT STATISTICS</w:t>
      </w:r>
    </w:p>
    <w:p w:rsidR="00C4512E" w:rsidRPr="00C4512E" w:rsidRDefault="00C4512E" w:rsidP="002C3645">
      <w:pPr>
        <w:spacing w:line="20" w:lineRule="atLeast"/>
        <w:jc w:val="both"/>
        <w:rPr>
          <w:rFonts w:ascii="Garamond" w:hAnsi="Garamond"/>
          <w:b/>
          <w:color w:val="1F4E79" w:themeColor="accent1" w:themeShade="80"/>
        </w:rPr>
      </w:pPr>
    </w:p>
    <w:p w:rsidR="00C4512E" w:rsidRPr="00C4512E" w:rsidRDefault="00C4512E" w:rsidP="002C3645">
      <w:pPr>
        <w:spacing w:line="20" w:lineRule="atLeast"/>
        <w:jc w:val="both"/>
        <w:rPr>
          <w:rFonts w:ascii="Garamond" w:hAnsi="Garamond"/>
          <w:b/>
          <w:color w:val="1F4E79" w:themeColor="accent1" w:themeShade="80"/>
        </w:rPr>
      </w:pPr>
      <w:r w:rsidRPr="00C4512E">
        <w:rPr>
          <w:rFonts w:ascii="Garamond" w:hAnsi="Garamond"/>
          <w:b/>
          <w:color w:val="1F4E79" w:themeColor="accent1" w:themeShade="80"/>
        </w:rPr>
        <w:t>LATEST PUBLICATIONS</w:t>
      </w:r>
    </w:p>
    <w:p w:rsidR="002C3645" w:rsidRPr="00C4512E" w:rsidRDefault="002C3645" w:rsidP="002C3645">
      <w:pPr>
        <w:spacing w:line="20" w:lineRule="atLeast"/>
        <w:jc w:val="both"/>
        <w:rPr>
          <w:rFonts w:ascii="Palatino Linotype" w:hAnsi="Palatino Linotype"/>
          <w:b/>
          <w:color w:val="1F4E79" w:themeColor="accent1" w:themeShade="80"/>
          <w:sz w:val="22"/>
          <w:szCs w:val="22"/>
        </w:rPr>
      </w:pPr>
    </w:p>
    <w:p w:rsidR="002C3645" w:rsidRPr="009A0EB3" w:rsidRDefault="002C3645" w:rsidP="002C3645">
      <w:pPr>
        <w:spacing w:line="20" w:lineRule="atLeast"/>
        <w:jc w:val="both"/>
        <w:rPr>
          <w:rFonts w:ascii="Palatino Linotype" w:hAnsi="Palatino Linotype"/>
          <w:b/>
          <w:color w:val="0000FF"/>
          <w:sz w:val="22"/>
          <w:szCs w:val="22"/>
        </w:rPr>
      </w:pPr>
    </w:p>
    <w:p w:rsidR="002C3645" w:rsidRDefault="002C3645"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C4512E" w:rsidRDefault="00C4512E" w:rsidP="00B25DA6">
      <w:pPr>
        <w:jc w:val="center"/>
        <w:outlineLvl w:val="0"/>
        <w:rPr>
          <w:rFonts w:ascii="Palatino Linotype" w:hAnsi="Palatino Linotype" w:cs="Helvetica"/>
          <w:b/>
          <w:color w:val="000099"/>
          <w:sz w:val="22"/>
          <w:szCs w:val="22"/>
        </w:rPr>
      </w:pPr>
    </w:p>
    <w:p w:rsidR="00E24D5D" w:rsidRDefault="00E24D5D" w:rsidP="00C30349">
      <w:pPr>
        <w:shd w:val="clear" w:color="auto" w:fill="FFFFFF"/>
        <w:jc w:val="center"/>
        <w:rPr>
          <w:rFonts w:ascii="Palatino Linotype" w:hAnsi="Palatino Linotype" w:cs="Helvetica"/>
          <w:b/>
          <w:color w:val="000099"/>
          <w:sz w:val="22"/>
          <w:szCs w:val="22"/>
        </w:rPr>
      </w:pPr>
    </w:p>
    <w:p w:rsidR="00994AFC" w:rsidRDefault="00994AFC" w:rsidP="008C7606">
      <w:pPr>
        <w:outlineLvl w:val="0"/>
        <w:rPr>
          <w:rFonts w:ascii="Garamond" w:hAnsi="Garamond" w:cs="Helvetica"/>
          <w:b/>
          <w:color w:val="1F4E79" w:themeColor="accent1" w:themeShade="80"/>
          <w:sz w:val="28"/>
          <w:szCs w:val="28"/>
        </w:rPr>
      </w:pPr>
    </w:p>
    <w:p w:rsidR="00994AFC" w:rsidRDefault="00994AFC" w:rsidP="008F041A">
      <w:pPr>
        <w:jc w:val="center"/>
        <w:outlineLvl w:val="0"/>
        <w:rPr>
          <w:rFonts w:ascii="Garamond" w:hAnsi="Garamond" w:cs="Helvetica"/>
          <w:b/>
          <w:color w:val="1F4E79" w:themeColor="accent1" w:themeShade="80"/>
          <w:sz w:val="28"/>
          <w:szCs w:val="28"/>
        </w:rPr>
      </w:pPr>
    </w:p>
    <w:p w:rsidR="00994AFC" w:rsidRDefault="00994AFC" w:rsidP="006C68FF">
      <w:pPr>
        <w:outlineLvl w:val="0"/>
        <w:rPr>
          <w:rFonts w:ascii="Garamond" w:hAnsi="Garamond" w:cs="Helvetica"/>
          <w:b/>
          <w:color w:val="1F4E79" w:themeColor="accent1" w:themeShade="80"/>
          <w:sz w:val="28"/>
          <w:szCs w:val="28"/>
        </w:rPr>
      </w:pPr>
    </w:p>
    <w:p w:rsidR="00994AFC" w:rsidRDefault="00994AFC" w:rsidP="008F041A">
      <w:pPr>
        <w:jc w:val="center"/>
        <w:outlineLvl w:val="0"/>
        <w:rPr>
          <w:rFonts w:ascii="Garamond" w:hAnsi="Garamond" w:cs="Helvetica"/>
          <w:b/>
          <w:color w:val="1F4E79" w:themeColor="accent1" w:themeShade="80"/>
          <w:sz w:val="28"/>
          <w:szCs w:val="28"/>
        </w:rPr>
      </w:pPr>
    </w:p>
    <w:p w:rsidR="006A6CB3" w:rsidRPr="00C4512E" w:rsidRDefault="006A6CB3" w:rsidP="008F041A">
      <w:pPr>
        <w:jc w:val="center"/>
        <w:outlineLvl w:val="0"/>
        <w:rPr>
          <w:rFonts w:ascii="Garamond" w:hAnsi="Garamond" w:cs="Helvetica"/>
          <w:b/>
          <w:color w:val="1F4E79" w:themeColor="accent1" w:themeShade="80"/>
          <w:sz w:val="28"/>
          <w:szCs w:val="28"/>
        </w:rPr>
      </w:pPr>
      <w:r w:rsidRPr="00C4512E">
        <w:rPr>
          <w:rFonts w:ascii="Garamond" w:hAnsi="Garamond" w:cs="Helvetica"/>
          <w:b/>
          <w:color w:val="1F4E79" w:themeColor="accent1" w:themeShade="80"/>
          <w:sz w:val="28"/>
          <w:szCs w:val="28"/>
        </w:rPr>
        <w:lastRenderedPageBreak/>
        <w:t>CAPITAL MARKET REVIEW</w:t>
      </w:r>
    </w:p>
    <w:p w:rsidR="006A6CB3" w:rsidRPr="006A6CB3" w:rsidRDefault="006A6CB3" w:rsidP="003335DD">
      <w:pPr>
        <w:widowControl w:val="0"/>
        <w:jc w:val="both"/>
        <w:rPr>
          <w:rFonts w:ascii="Garamond" w:hAnsi="Garamond"/>
          <w:b/>
          <w:color w:val="0F0684"/>
        </w:rPr>
      </w:pPr>
    </w:p>
    <w:p w:rsidR="00F64B9A" w:rsidRPr="006A6CB3" w:rsidRDefault="00F64B9A" w:rsidP="00F64B9A">
      <w:pPr>
        <w:widowControl w:val="0"/>
        <w:numPr>
          <w:ilvl w:val="0"/>
          <w:numId w:val="2"/>
        </w:numPr>
        <w:spacing w:line="276" w:lineRule="auto"/>
        <w:ind w:left="454" w:hanging="454"/>
        <w:jc w:val="both"/>
        <w:rPr>
          <w:rFonts w:ascii="Garamond" w:eastAsia="Palatino Linotype" w:hAnsi="Garamond" w:cs="Palatino Linotype"/>
          <w:b/>
        </w:rPr>
      </w:pPr>
      <w:r w:rsidRPr="006A6CB3">
        <w:rPr>
          <w:rFonts w:ascii="Garamond" w:eastAsia="Palatino Linotype" w:hAnsi="Garamond" w:cs="Palatino Linotype"/>
          <w:b/>
        </w:rPr>
        <w:t xml:space="preserve">Trends in Resource Mobilisation by Corporates  </w:t>
      </w:r>
    </w:p>
    <w:p w:rsidR="00F64B9A" w:rsidRPr="006A6CB3" w:rsidRDefault="00F64B9A" w:rsidP="00F64B9A">
      <w:pPr>
        <w:widowControl w:val="0"/>
        <w:spacing w:line="276" w:lineRule="auto"/>
        <w:ind w:left="454"/>
        <w:jc w:val="both"/>
        <w:rPr>
          <w:rFonts w:ascii="Garamond" w:eastAsia="Palatino Linotype" w:hAnsi="Garamond" w:cs="Palatino Linotype"/>
          <w:b/>
        </w:rPr>
      </w:pPr>
    </w:p>
    <w:p w:rsidR="00F64B9A" w:rsidRPr="00C304F5" w:rsidRDefault="00F64B9A" w:rsidP="00F64B9A">
      <w:pPr>
        <w:widowControl w:val="0"/>
        <w:numPr>
          <w:ilvl w:val="0"/>
          <w:numId w:val="18"/>
        </w:numPr>
        <w:spacing w:line="276" w:lineRule="auto"/>
        <w:jc w:val="both"/>
        <w:rPr>
          <w:rFonts w:ascii="Garamond" w:eastAsia="Palatino Linotype" w:hAnsi="Garamond" w:cs="Palatino Linotype"/>
          <w:lang w:val="en-US"/>
        </w:rPr>
      </w:pPr>
      <w:r w:rsidRPr="00C304F5">
        <w:rPr>
          <w:rFonts w:ascii="Garamond" w:eastAsia="Palatino Linotype" w:hAnsi="Garamond" w:cs="Palatino Linotype"/>
          <w:lang w:val="en-US"/>
        </w:rPr>
        <w:t xml:space="preserve">Resource mobilised through equity issuances stood at </w:t>
      </w:r>
      <w:r w:rsidRPr="00C304F5">
        <w:rPr>
          <w:rFonts w:ascii="Times New Roman" w:eastAsia="Palatino Linotype" w:hAnsi="Times New Roman"/>
          <w:lang w:val="en-US"/>
        </w:rPr>
        <w:t>₹</w:t>
      </w:r>
      <w:r>
        <w:rPr>
          <w:rFonts w:ascii="Garamond" w:eastAsia="Palatino Linotype" w:hAnsi="Garamond" w:cs="Palatino Linotype"/>
          <w:lang w:val="en-US"/>
        </w:rPr>
        <w:t xml:space="preserve"> </w:t>
      </w:r>
      <w:r w:rsidR="004C7492">
        <w:rPr>
          <w:rFonts w:ascii="Garamond" w:eastAsia="Palatino Linotype" w:hAnsi="Garamond" w:cs="Palatino Linotype"/>
          <w:lang w:val="en-US"/>
        </w:rPr>
        <w:t>49,</w:t>
      </w:r>
      <w:r w:rsidR="006A4E85">
        <w:rPr>
          <w:rFonts w:ascii="Garamond" w:eastAsia="Palatino Linotype" w:hAnsi="Garamond" w:cs="Palatino Linotype"/>
          <w:lang w:val="en-US"/>
        </w:rPr>
        <w:t>581 crore</w:t>
      </w:r>
      <w:r w:rsidRPr="00C304F5">
        <w:rPr>
          <w:rFonts w:ascii="Garamond" w:eastAsia="Palatino Linotype" w:hAnsi="Garamond" w:cs="Palatino Linotype"/>
          <w:lang w:val="en-US"/>
        </w:rPr>
        <w:t xml:space="preserve"> during </w:t>
      </w:r>
      <w:r w:rsidR="004C7492">
        <w:rPr>
          <w:rFonts w:ascii="Garamond" w:eastAsia="Palatino Linotype" w:hAnsi="Garamond" w:cs="Palatino Linotype"/>
          <w:lang w:val="en-US"/>
        </w:rPr>
        <w:t xml:space="preserve">May </w:t>
      </w:r>
      <w:r w:rsidRPr="00C304F5">
        <w:rPr>
          <w:rFonts w:ascii="Garamond" w:eastAsia="Palatino Linotype" w:hAnsi="Garamond" w:cs="Palatino Linotype"/>
          <w:lang w:val="en-US"/>
        </w:rPr>
        <w:t xml:space="preserve">2022 compared to </w:t>
      </w:r>
      <w:r w:rsidRPr="00C304F5">
        <w:rPr>
          <w:rFonts w:ascii="Times New Roman" w:eastAsia="Palatino Linotype" w:hAnsi="Times New Roman"/>
          <w:lang w:val="en-US"/>
        </w:rPr>
        <w:t>₹</w:t>
      </w:r>
      <w:r w:rsidR="004C7492">
        <w:rPr>
          <w:rFonts w:ascii="Times New Roman" w:eastAsia="Palatino Linotype" w:hAnsi="Times New Roman"/>
          <w:lang w:val="en-US"/>
        </w:rPr>
        <w:t>19,588</w:t>
      </w:r>
      <w:r w:rsidRPr="00C304F5">
        <w:rPr>
          <w:rFonts w:ascii="Garamond" w:eastAsia="Palatino Linotype" w:hAnsi="Garamond" w:cs="Palatino Linotype"/>
          <w:lang w:val="en-US"/>
        </w:rPr>
        <w:t xml:space="preserve"> </w:t>
      </w:r>
      <w:r w:rsidR="006A4E85">
        <w:rPr>
          <w:rFonts w:ascii="Garamond" w:eastAsia="Palatino Linotype" w:hAnsi="Garamond" w:cs="Palatino Linotype"/>
          <w:lang w:val="en-US"/>
        </w:rPr>
        <w:t>crore</w:t>
      </w:r>
      <w:r w:rsidRPr="00C304F5">
        <w:rPr>
          <w:rFonts w:ascii="Garamond" w:eastAsia="Palatino Linotype" w:hAnsi="Garamond" w:cs="Palatino Linotype"/>
          <w:lang w:val="en-US"/>
        </w:rPr>
        <w:t xml:space="preserve"> in </w:t>
      </w:r>
      <w:r w:rsidR="004C7492">
        <w:rPr>
          <w:rFonts w:ascii="Garamond" w:eastAsia="Palatino Linotype" w:hAnsi="Garamond" w:cs="Palatino Linotype"/>
          <w:lang w:val="en-US"/>
        </w:rPr>
        <w:t xml:space="preserve">April </w:t>
      </w:r>
      <w:r w:rsidRPr="00C304F5">
        <w:rPr>
          <w:rFonts w:ascii="Garamond" w:eastAsia="Palatino Linotype" w:hAnsi="Garamond" w:cs="Palatino Linotype"/>
          <w:lang w:val="en-US"/>
        </w:rPr>
        <w:t xml:space="preserve">2022. </w:t>
      </w:r>
    </w:p>
    <w:p w:rsidR="00F64B9A" w:rsidRPr="003676F0" w:rsidRDefault="00F64B9A" w:rsidP="00F64B9A">
      <w:pPr>
        <w:widowControl w:val="0"/>
        <w:numPr>
          <w:ilvl w:val="0"/>
          <w:numId w:val="18"/>
        </w:numPr>
        <w:spacing w:line="276" w:lineRule="auto"/>
        <w:jc w:val="both"/>
        <w:rPr>
          <w:rFonts w:ascii="Garamond" w:eastAsia="Palatino Linotype" w:hAnsi="Garamond" w:cs="Palatino Linotype"/>
          <w:lang w:val="en-US"/>
        </w:rPr>
      </w:pPr>
      <w:r w:rsidRPr="003676F0">
        <w:rPr>
          <w:rFonts w:ascii="Garamond" w:eastAsia="Palatino Linotype" w:hAnsi="Garamond" w:cs="Palatino Linotype"/>
          <w:lang w:val="en-US"/>
        </w:rPr>
        <w:t xml:space="preserve">Overall, </w:t>
      </w:r>
      <w:r w:rsidR="006A4E85" w:rsidRPr="003676F0">
        <w:rPr>
          <w:rFonts w:ascii="Garamond" w:eastAsia="Palatino Linotype" w:hAnsi="Garamond" w:cs="Palatino Linotype"/>
          <w:lang w:val="en-US"/>
        </w:rPr>
        <w:t>1</w:t>
      </w:r>
      <w:r w:rsidR="006A4E85">
        <w:rPr>
          <w:rFonts w:ascii="Garamond" w:eastAsia="Palatino Linotype" w:hAnsi="Garamond" w:cs="Palatino Linotype"/>
        </w:rPr>
        <w:t>4</w:t>
      </w:r>
      <w:r w:rsidR="006A4E85" w:rsidRPr="003676F0">
        <w:rPr>
          <w:rFonts w:ascii="Garamond" w:eastAsia="Palatino Linotype" w:hAnsi="Garamond" w:cs="Palatino Linotype"/>
        </w:rPr>
        <w:t xml:space="preserve"> </w:t>
      </w:r>
      <w:r w:rsidRPr="003676F0">
        <w:rPr>
          <w:rFonts w:ascii="Garamond" w:eastAsia="Palatino Linotype" w:hAnsi="Garamond" w:cs="Palatino Linotype"/>
        </w:rPr>
        <w:t xml:space="preserve">IPOs listed during the month garnering  </w:t>
      </w:r>
      <w:r w:rsidRPr="003676F0">
        <w:rPr>
          <w:rFonts w:ascii="Times New Roman" w:eastAsia="Palatino Linotype" w:hAnsi="Times New Roman"/>
        </w:rPr>
        <w:t>₹</w:t>
      </w:r>
      <w:r w:rsidRPr="003676F0">
        <w:rPr>
          <w:rFonts w:ascii="Garamond" w:eastAsia="Palatino Linotype" w:hAnsi="Garamond" w:cs="Palatino Linotype"/>
        </w:rPr>
        <w:t xml:space="preserve"> </w:t>
      </w:r>
      <w:r w:rsidR="0037234C" w:rsidRPr="003676F0">
        <w:rPr>
          <w:rFonts w:ascii="Garamond" w:eastAsia="Palatino Linotype" w:hAnsi="Garamond" w:cs="Palatino Linotype"/>
        </w:rPr>
        <w:t>31,497</w:t>
      </w:r>
      <w:r w:rsidRPr="003676F0">
        <w:rPr>
          <w:rFonts w:ascii="Garamond" w:eastAsia="Palatino Linotype" w:hAnsi="Garamond" w:cs="Palatino Linotype"/>
        </w:rPr>
        <w:t xml:space="preserve"> </w:t>
      </w:r>
      <w:r w:rsidR="006A4E85">
        <w:rPr>
          <w:rFonts w:ascii="Garamond" w:eastAsia="Palatino Linotype" w:hAnsi="Garamond" w:cs="Palatino Linotype"/>
        </w:rPr>
        <w:t>crore</w:t>
      </w:r>
      <w:r w:rsidRPr="003676F0">
        <w:rPr>
          <w:rFonts w:ascii="Garamond" w:eastAsia="Palatino Linotype" w:hAnsi="Garamond" w:cs="Palatino Linotype"/>
        </w:rPr>
        <w:t xml:space="preserve">, comprising of </w:t>
      </w:r>
      <w:r w:rsidR="0037234C" w:rsidRPr="003676F0">
        <w:rPr>
          <w:rFonts w:ascii="Garamond" w:eastAsia="Palatino Linotype" w:hAnsi="Garamond" w:cs="Palatino Linotype"/>
        </w:rPr>
        <w:t>8</w:t>
      </w:r>
      <w:r w:rsidRPr="003676F0">
        <w:rPr>
          <w:rFonts w:ascii="Garamond" w:eastAsia="Palatino Linotype" w:hAnsi="Garamond" w:cs="Palatino Linotype"/>
        </w:rPr>
        <w:t xml:space="preserve"> main board issues amounting to </w:t>
      </w:r>
      <w:r w:rsidRPr="003676F0">
        <w:rPr>
          <w:rFonts w:ascii="Times New Roman" w:eastAsia="Palatino Linotype" w:hAnsi="Times New Roman"/>
        </w:rPr>
        <w:t>₹</w:t>
      </w:r>
      <w:r w:rsidRPr="003676F0">
        <w:rPr>
          <w:rFonts w:ascii="Garamond" w:eastAsia="Palatino Linotype" w:hAnsi="Garamond" w:cs="Palatino Linotype"/>
        </w:rPr>
        <w:t xml:space="preserve"> </w:t>
      </w:r>
      <w:r w:rsidR="0037234C" w:rsidRPr="003676F0">
        <w:rPr>
          <w:rFonts w:ascii="Garamond" w:eastAsia="Palatino Linotype" w:hAnsi="Garamond" w:cs="Palatino Linotype"/>
        </w:rPr>
        <w:t>31,380</w:t>
      </w:r>
      <w:r w:rsidRPr="003676F0">
        <w:rPr>
          <w:rFonts w:ascii="Garamond" w:eastAsia="Palatino Linotype" w:hAnsi="Garamond" w:cs="Palatino Linotype"/>
        </w:rPr>
        <w:t xml:space="preserve"> </w:t>
      </w:r>
      <w:r w:rsidR="006A4E85">
        <w:rPr>
          <w:rFonts w:ascii="Garamond" w:eastAsia="Palatino Linotype" w:hAnsi="Garamond" w:cs="Palatino Linotype"/>
        </w:rPr>
        <w:t>crore</w:t>
      </w:r>
      <w:r w:rsidR="0037234C" w:rsidRPr="003676F0">
        <w:rPr>
          <w:rFonts w:ascii="Garamond" w:eastAsia="Palatino Linotype" w:hAnsi="Garamond" w:cs="Palatino Linotype"/>
        </w:rPr>
        <w:t>,</w:t>
      </w:r>
      <w:r w:rsidRPr="003676F0">
        <w:rPr>
          <w:rFonts w:ascii="Garamond" w:eastAsia="Palatino Linotype" w:hAnsi="Garamond" w:cs="Palatino Linotype"/>
        </w:rPr>
        <w:t xml:space="preserve"> and 6 SME/startup listing amounting to </w:t>
      </w:r>
      <w:r w:rsidRPr="003676F0">
        <w:rPr>
          <w:rFonts w:ascii="Times New Roman" w:eastAsia="Palatino Linotype" w:hAnsi="Times New Roman"/>
        </w:rPr>
        <w:t>₹</w:t>
      </w:r>
      <w:r w:rsidRPr="003676F0">
        <w:rPr>
          <w:rFonts w:ascii="Garamond" w:eastAsia="Palatino Linotype" w:hAnsi="Garamond" w:cs="Palatino Linotype"/>
        </w:rPr>
        <w:t xml:space="preserve"> 1</w:t>
      </w:r>
      <w:r w:rsidR="0037234C" w:rsidRPr="003676F0">
        <w:rPr>
          <w:rFonts w:ascii="Garamond" w:eastAsia="Palatino Linotype" w:hAnsi="Garamond" w:cs="Palatino Linotype"/>
        </w:rPr>
        <w:t>17</w:t>
      </w:r>
      <w:r w:rsidRPr="003676F0">
        <w:rPr>
          <w:rFonts w:ascii="Garamond" w:eastAsia="Palatino Linotype" w:hAnsi="Garamond" w:cs="Palatino Linotype"/>
        </w:rPr>
        <w:t xml:space="preserve"> </w:t>
      </w:r>
      <w:r w:rsidR="006A4E85">
        <w:rPr>
          <w:rFonts w:ascii="Garamond" w:eastAsia="Palatino Linotype" w:hAnsi="Garamond" w:cs="Palatino Linotype"/>
        </w:rPr>
        <w:t>crore</w:t>
      </w:r>
      <w:r w:rsidRPr="003676F0">
        <w:rPr>
          <w:rFonts w:ascii="Garamond" w:eastAsia="Palatino Linotype" w:hAnsi="Garamond" w:cs="Palatino Linotype"/>
        </w:rPr>
        <w:t xml:space="preserve">.(Table 1) </w:t>
      </w:r>
    </w:p>
    <w:p w:rsidR="00F64B9A" w:rsidRPr="003676F0" w:rsidRDefault="00F64B9A" w:rsidP="00F64B9A">
      <w:pPr>
        <w:widowControl w:val="0"/>
        <w:numPr>
          <w:ilvl w:val="0"/>
          <w:numId w:val="18"/>
        </w:numPr>
        <w:spacing w:line="276" w:lineRule="auto"/>
        <w:jc w:val="both"/>
        <w:rPr>
          <w:rFonts w:ascii="Garamond" w:eastAsia="Palatino Linotype" w:hAnsi="Garamond" w:cs="Palatino Linotype"/>
        </w:rPr>
      </w:pPr>
      <w:r w:rsidRPr="003676F0">
        <w:rPr>
          <w:rFonts w:ascii="Garamond" w:eastAsia="Palatino Linotype" w:hAnsi="Garamond" w:cs="Palatino Linotype"/>
        </w:rPr>
        <w:t xml:space="preserve">In </w:t>
      </w:r>
      <w:r w:rsidR="0037234C" w:rsidRPr="003676F0">
        <w:rPr>
          <w:rFonts w:ascii="Garamond" w:eastAsia="Palatino Linotype" w:hAnsi="Garamond" w:cs="Palatino Linotype"/>
        </w:rPr>
        <w:t xml:space="preserve">May </w:t>
      </w:r>
      <w:r w:rsidRPr="003676F0">
        <w:rPr>
          <w:rFonts w:ascii="Garamond" w:eastAsia="Palatino Linotype" w:hAnsi="Garamond" w:cs="Palatino Linotype"/>
        </w:rPr>
        <w:t xml:space="preserve">2022, there </w:t>
      </w:r>
      <w:r w:rsidR="0037234C" w:rsidRPr="003676F0">
        <w:rPr>
          <w:rFonts w:ascii="Garamond" w:eastAsia="Palatino Linotype" w:hAnsi="Garamond" w:cs="Palatino Linotype"/>
        </w:rPr>
        <w:t xml:space="preserve">were </w:t>
      </w:r>
      <w:r w:rsidRPr="003676F0">
        <w:rPr>
          <w:rFonts w:ascii="Garamond" w:eastAsia="Palatino Linotype" w:hAnsi="Garamond" w:cs="Palatino Linotype"/>
        </w:rPr>
        <w:t xml:space="preserve">5 rights issues </w:t>
      </w:r>
      <w:r w:rsidR="003676F0" w:rsidRPr="003676F0">
        <w:rPr>
          <w:rFonts w:ascii="Garamond" w:eastAsia="Palatino Linotype" w:hAnsi="Garamond" w:cs="Palatino Linotype"/>
        </w:rPr>
        <w:t xml:space="preserve">and funds </w:t>
      </w:r>
      <w:r w:rsidRPr="003676F0">
        <w:rPr>
          <w:rFonts w:ascii="Garamond" w:eastAsia="Palatino Linotype" w:hAnsi="Garamond" w:cs="Palatino Linotype"/>
        </w:rPr>
        <w:t xml:space="preserve">raised </w:t>
      </w:r>
      <w:r w:rsidR="003676F0" w:rsidRPr="003676F0">
        <w:rPr>
          <w:rFonts w:ascii="Garamond" w:eastAsia="Palatino Linotype" w:hAnsi="Garamond" w:cs="Palatino Linotype"/>
        </w:rPr>
        <w:t xml:space="preserve">was </w:t>
      </w:r>
      <w:r w:rsidRPr="003676F0">
        <w:rPr>
          <w:rFonts w:ascii="Times New Roman" w:eastAsia="Palatino Linotype" w:hAnsi="Times New Roman"/>
        </w:rPr>
        <w:t>₹</w:t>
      </w:r>
      <w:r w:rsidRPr="003676F0">
        <w:rPr>
          <w:rFonts w:ascii="Garamond" w:eastAsia="Palatino Linotype" w:hAnsi="Garamond" w:cs="Palatino Linotype"/>
        </w:rPr>
        <w:t xml:space="preserve"> </w:t>
      </w:r>
      <w:r w:rsidR="0037234C" w:rsidRPr="003676F0">
        <w:rPr>
          <w:rFonts w:ascii="Garamond" w:eastAsia="Palatino Linotype" w:hAnsi="Garamond" w:cs="Palatino Linotype"/>
        </w:rPr>
        <w:t>932</w:t>
      </w:r>
      <w:r w:rsidRPr="003676F0">
        <w:rPr>
          <w:rFonts w:ascii="Garamond" w:eastAsia="Palatino Linotype" w:hAnsi="Garamond" w:cs="Palatino Linotype"/>
        </w:rPr>
        <w:t xml:space="preserve"> crore. </w:t>
      </w:r>
    </w:p>
    <w:p w:rsidR="00F64B9A" w:rsidRPr="00BA6CAA" w:rsidRDefault="00F64B9A" w:rsidP="00F64B9A">
      <w:pPr>
        <w:widowControl w:val="0"/>
        <w:numPr>
          <w:ilvl w:val="0"/>
          <w:numId w:val="18"/>
        </w:numPr>
        <w:spacing w:line="276" w:lineRule="auto"/>
        <w:jc w:val="both"/>
        <w:rPr>
          <w:rFonts w:ascii="Garamond" w:eastAsia="Palatino Linotype" w:hAnsi="Garamond" w:cs="Palatino Linotype"/>
          <w:lang w:val="en-US"/>
        </w:rPr>
      </w:pPr>
      <w:r w:rsidRPr="00BA6CAA">
        <w:rPr>
          <w:rFonts w:ascii="Garamond" w:eastAsia="Palatino Linotype" w:hAnsi="Garamond" w:cs="Palatino Linotype"/>
        </w:rPr>
        <w:t xml:space="preserve">Debt-fund raising through public issuances increased to </w:t>
      </w:r>
      <w:r w:rsidRPr="00BA6CAA">
        <w:rPr>
          <w:rFonts w:ascii="Times New Roman" w:eastAsia="Palatino Linotype" w:hAnsi="Times New Roman"/>
        </w:rPr>
        <w:t xml:space="preserve">₹ </w:t>
      </w:r>
      <w:r w:rsidR="006A4E85">
        <w:rPr>
          <w:rFonts w:ascii="Times New Roman" w:eastAsia="Palatino Linotype" w:hAnsi="Times New Roman"/>
        </w:rPr>
        <w:t>339</w:t>
      </w:r>
      <w:r w:rsidR="006A4E85" w:rsidRPr="00BA6CAA">
        <w:rPr>
          <w:rFonts w:ascii="Times New Roman" w:eastAsia="Palatino Linotype" w:hAnsi="Times New Roman"/>
        </w:rPr>
        <w:t xml:space="preserve"> </w:t>
      </w:r>
      <w:r w:rsidR="006A4E85">
        <w:rPr>
          <w:rFonts w:ascii="Times New Roman" w:eastAsia="Palatino Linotype" w:hAnsi="Times New Roman"/>
        </w:rPr>
        <w:t>crore</w:t>
      </w:r>
      <w:r w:rsidRPr="00BA6CAA">
        <w:rPr>
          <w:rFonts w:ascii="Times New Roman" w:eastAsia="Palatino Linotype" w:hAnsi="Times New Roman"/>
        </w:rPr>
        <w:t xml:space="preserve"> </w:t>
      </w:r>
      <w:r w:rsidRPr="00BA6CAA">
        <w:rPr>
          <w:rFonts w:ascii="Garamond" w:eastAsia="Palatino Linotype" w:hAnsi="Garamond" w:cs="Palatino Linotype"/>
        </w:rPr>
        <w:t xml:space="preserve">with </w:t>
      </w:r>
      <w:r w:rsidR="00DB37A8">
        <w:rPr>
          <w:rFonts w:ascii="Garamond" w:eastAsia="Palatino Linotype" w:hAnsi="Garamond" w:cs="Palatino Linotype"/>
        </w:rPr>
        <w:t xml:space="preserve">two </w:t>
      </w:r>
      <w:r w:rsidRPr="00BA6CAA">
        <w:rPr>
          <w:rFonts w:ascii="Garamond" w:eastAsia="Palatino Linotype" w:hAnsi="Garamond" w:cs="Palatino Linotype"/>
        </w:rPr>
        <w:t xml:space="preserve">public </w:t>
      </w:r>
      <w:r w:rsidR="0037234C">
        <w:rPr>
          <w:rFonts w:ascii="Garamond" w:eastAsia="Palatino Linotype" w:hAnsi="Garamond" w:cs="Palatino Linotype"/>
        </w:rPr>
        <w:t>i</w:t>
      </w:r>
      <w:r w:rsidRPr="00BA6CAA">
        <w:rPr>
          <w:rFonts w:ascii="Garamond" w:eastAsia="Palatino Linotype" w:hAnsi="Garamond" w:cs="Palatino Linotype"/>
        </w:rPr>
        <w:t xml:space="preserve">ssues of corporate bonds </w:t>
      </w:r>
      <w:r w:rsidR="00DB37A8">
        <w:rPr>
          <w:rFonts w:ascii="Garamond" w:eastAsia="Palatino Linotype" w:hAnsi="Garamond" w:cs="Palatino Linotype"/>
        </w:rPr>
        <w:t xml:space="preserve">which closed </w:t>
      </w:r>
      <w:r w:rsidRPr="00BA6CAA">
        <w:rPr>
          <w:rFonts w:ascii="Garamond" w:eastAsia="Palatino Linotype" w:hAnsi="Garamond" w:cs="Palatino Linotype"/>
        </w:rPr>
        <w:t xml:space="preserve">during </w:t>
      </w:r>
      <w:r w:rsidR="003A1203" w:rsidRPr="00BA6CAA">
        <w:rPr>
          <w:rFonts w:ascii="Garamond" w:eastAsia="Palatino Linotype" w:hAnsi="Garamond" w:cs="Palatino Linotype"/>
        </w:rPr>
        <w:t xml:space="preserve">May </w:t>
      </w:r>
      <w:r w:rsidRPr="00BA6CAA">
        <w:rPr>
          <w:rFonts w:ascii="Garamond" w:eastAsia="Palatino Linotype" w:hAnsi="Garamond" w:cs="Palatino Linotype"/>
        </w:rPr>
        <w:t xml:space="preserve">2022 as compared to </w:t>
      </w:r>
      <w:r w:rsidRPr="00BA6CAA">
        <w:rPr>
          <w:rFonts w:ascii="Times New Roman" w:eastAsia="Palatino Linotype" w:hAnsi="Times New Roman"/>
        </w:rPr>
        <w:t>₹</w:t>
      </w:r>
      <w:r w:rsidRPr="00BA6CAA">
        <w:rPr>
          <w:rFonts w:ascii="Garamond" w:eastAsia="Palatino Linotype" w:hAnsi="Garamond" w:cs="Palatino Linotype"/>
        </w:rPr>
        <w:t xml:space="preserve"> </w:t>
      </w:r>
      <w:r w:rsidR="00DB37A8">
        <w:rPr>
          <w:rFonts w:ascii="Garamond" w:eastAsia="Palatino Linotype" w:hAnsi="Garamond" w:cs="Palatino Linotype"/>
        </w:rPr>
        <w:t xml:space="preserve">1,343 </w:t>
      </w:r>
      <w:r w:rsidRPr="00BA6CAA">
        <w:rPr>
          <w:rFonts w:ascii="Garamond" w:eastAsia="Palatino Linotype" w:hAnsi="Garamond" w:cs="Palatino Linotype"/>
        </w:rPr>
        <w:t xml:space="preserve">crore in </w:t>
      </w:r>
      <w:r w:rsidR="003A1203" w:rsidRPr="00BA6CAA">
        <w:rPr>
          <w:rFonts w:ascii="Garamond" w:eastAsia="Palatino Linotype" w:hAnsi="Garamond" w:cs="Palatino Linotype"/>
        </w:rPr>
        <w:t xml:space="preserve">April </w:t>
      </w:r>
      <w:r w:rsidRPr="00BA6CAA">
        <w:rPr>
          <w:rFonts w:ascii="Garamond" w:eastAsia="Palatino Linotype" w:hAnsi="Garamond" w:cs="Palatino Linotype"/>
        </w:rPr>
        <w:t>2022.</w:t>
      </w:r>
    </w:p>
    <w:p w:rsidR="00F64B9A" w:rsidRPr="00E9591C" w:rsidRDefault="00F64B9A" w:rsidP="00F64B9A">
      <w:pPr>
        <w:widowControl w:val="0"/>
        <w:numPr>
          <w:ilvl w:val="0"/>
          <w:numId w:val="18"/>
        </w:numPr>
        <w:spacing w:line="276" w:lineRule="auto"/>
        <w:jc w:val="both"/>
        <w:rPr>
          <w:rFonts w:ascii="Garamond" w:eastAsia="Palatino Linotype" w:hAnsi="Garamond" w:cs="Palatino Linotype"/>
          <w:lang w:val="en-US"/>
        </w:rPr>
      </w:pPr>
      <w:r w:rsidRPr="00E9591C">
        <w:rPr>
          <w:rFonts w:ascii="Garamond" w:eastAsia="Palatino Linotype" w:hAnsi="Garamond" w:cs="Palatino Linotype"/>
        </w:rPr>
        <w:t xml:space="preserve">Amount raised through preferential allotment and QIPs during </w:t>
      </w:r>
      <w:r w:rsidR="00BA6CAA">
        <w:rPr>
          <w:rFonts w:ascii="Garamond" w:eastAsia="Palatino Linotype" w:hAnsi="Garamond" w:cs="Palatino Linotype"/>
        </w:rPr>
        <w:t xml:space="preserve">May </w:t>
      </w:r>
      <w:r w:rsidRPr="00E9591C">
        <w:rPr>
          <w:rFonts w:ascii="Garamond" w:eastAsia="Palatino Linotype" w:hAnsi="Garamond" w:cs="Palatino Linotype"/>
        </w:rPr>
        <w:t xml:space="preserve">2022 stood at </w:t>
      </w:r>
      <w:r w:rsidRPr="00E9591C">
        <w:rPr>
          <w:rFonts w:ascii="Times New Roman" w:eastAsia="Palatino Linotype" w:hAnsi="Times New Roman"/>
        </w:rPr>
        <w:t xml:space="preserve">₹ </w:t>
      </w:r>
      <w:r w:rsidRPr="00D65B54">
        <w:rPr>
          <w:rFonts w:ascii="Garamond" w:eastAsia="Palatino Linotype" w:hAnsi="Garamond" w:cs="Palatino Linotype"/>
        </w:rPr>
        <w:t>1</w:t>
      </w:r>
      <w:r w:rsidR="001079FD" w:rsidRPr="00D65B54">
        <w:rPr>
          <w:rFonts w:ascii="Garamond" w:eastAsia="Palatino Linotype" w:hAnsi="Garamond" w:cs="Palatino Linotype"/>
        </w:rPr>
        <w:t>7</w:t>
      </w:r>
      <w:r w:rsidRPr="00D65B54">
        <w:rPr>
          <w:rFonts w:ascii="Garamond" w:eastAsia="Palatino Linotype" w:hAnsi="Garamond" w:cs="Palatino Linotype"/>
        </w:rPr>
        <w:t>,</w:t>
      </w:r>
      <w:r w:rsidR="001079FD" w:rsidRPr="00D65B54">
        <w:rPr>
          <w:rFonts w:ascii="Garamond" w:eastAsia="Palatino Linotype" w:hAnsi="Garamond" w:cs="Palatino Linotype"/>
        </w:rPr>
        <w:t>152</w:t>
      </w:r>
      <w:r w:rsidRPr="00D65B54">
        <w:rPr>
          <w:rFonts w:ascii="Garamond" w:eastAsia="Palatino Linotype" w:hAnsi="Garamond" w:cs="Palatino Linotype"/>
        </w:rPr>
        <w:t xml:space="preserve"> crore</w:t>
      </w:r>
      <w:r w:rsidRPr="00E9591C">
        <w:rPr>
          <w:rFonts w:ascii="Garamond" w:eastAsia="Palatino Linotype" w:hAnsi="Garamond" w:cs="Palatino Linotype"/>
        </w:rPr>
        <w:t xml:space="preserve"> as compared to </w:t>
      </w:r>
      <w:r w:rsidRPr="00E9591C">
        <w:rPr>
          <w:rFonts w:ascii="Times New Roman" w:eastAsia="Palatino Linotype" w:hAnsi="Times New Roman"/>
        </w:rPr>
        <w:t>₹</w:t>
      </w:r>
      <w:r w:rsidRPr="00E9591C">
        <w:rPr>
          <w:rFonts w:ascii="Garamond" w:eastAsia="Palatino Linotype" w:hAnsi="Garamond" w:cs="Palatino Linotype"/>
        </w:rPr>
        <w:t xml:space="preserve"> </w:t>
      </w:r>
      <w:r w:rsidR="00D65B54">
        <w:rPr>
          <w:rFonts w:ascii="Garamond" w:eastAsia="Palatino Linotype" w:hAnsi="Garamond" w:cs="Palatino Linotype"/>
        </w:rPr>
        <w:t>13,675</w:t>
      </w:r>
      <w:r>
        <w:rPr>
          <w:rFonts w:ascii="Garamond" w:eastAsia="Palatino Linotype" w:hAnsi="Garamond" w:cs="Palatino Linotype"/>
        </w:rPr>
        <w:t xml:space="preserve"> </w:t>
      </w:r>
      <w:r w:rsidRPr="00E9591C">
        <w:rPr>
          <w:rFonts w:ascii="Garamond" w:eastAsia="Palatino Linotype" w:hAnsi="Garamond" w:cs="Palatino Linotype"/>
        </w:rPr>
        <w:t xml:space="preserve">crore in </w:t>
      </w:r>
      <w:r w:rsidR="001079FD">
        <w:rPr>
          <w:rFonts w:ascii="Garamond" w:eastAsia="Palatino Linotype" w:hAnsi="Garamond" w:cs="Palatino Linotype"/>
        </w:rPr>
        <w:t>April</w:t>
      </w:r>
      <w:r>
        <w:rPr>
          <w:rFonts w:ascii="Garamond" w:eastAsia="Palatino Linotype" w:hAnsi="Garamond" w:cs="Palatino Linotype"/>
        </w:rPr>
        <w:t xml:space="preserve"> </w:t>
      </w:r>
      <w:r w:rsidRPr="00E9591C">
        <w:rPr>
          <w:rFonts w:ascii="Garamond" w:eastAsia="Palatino Linotype" w:hAnsi="Garamond" w:cs="Palatino Linotype"/>
        </w:rPr>
        <w:t xml:space="preserve">2022. </w:t>
      </w:r>
    </w:p>
    <w:p w:rsidR="00F64B9A" w:rsidRPr="003676F0" w:rsidRDefault="00F64B9A" w:rsidP="00F64B9A">
      <w:pPr>
        <w:widowControl w:val="0"/>
        <w:numPr>
          <w:ilvl w:val="0"/>
          <w:numId w:val="18"/>
        </w:numPr>
        <w:spacing w:line="276" w:lineRule="auto"/>
        <w:jc w:val="both"/>
        <w:rPr>
          <w:rFonts w:ascii="Garamond" w:eastAsia="Palatino Linotype" w:hAnsi="Garamond" w:cs="Palatino Linotype"/>
          <w:lang w:val="en-US"/>
        </w:rPr>
      </w:pPr>
      <w:r w:rsidRPr="00C304F5">
        <w:rPr>
          <w:rFonts w:ascii="Garamond" w:eastAsia="Palatino Linotype" w:hAnsi="Garamond" w:cs="Palatino Linotype"/>
        </w:rPr>
        <w:t xml:space="preserve">Private placement of corporate debt reported on exchanges </w:t>
      </w:r>
      <w:r w:rsidR="00DB37A8">
        <w:rPr>
          <w:rFonts w:ascii="Garamond" w:eastAsia="Palatino Linotype" w:hAnsi="Garamond" w:cs="Palatino Linotype"/>
        </w:rPr>
        <w:t>increas</w:t>
      </w:r>
      <w:r w:rsidR="00DB37A8" w:rsidRPr="00C304F5">
        <w:rPr>
          <w:rFonts w:ascii="Garamond" w:eastAsia="Palatino Linotype" w:hAnsi="Garamond" w:cs="Palatino Linotype"/>
        </w:rPr>
        <w:t xml:space="preserve">ed </w:t>
      </w:r>
      <w:r w:rsidRPr="00C304F5">
        <w:rPr>
          <w:rFonts w:ascii="Garamond" w:eastAsia="Palatino Linotype" w:hAnsi="Garamond" w:cs="Palatino Linotype"/>
        </w:rPr>
        <w:t xml:space="preserve">to </w:t>
      </w:r>
      <w:r w:rsidRPr="00236171">
        <w:rPr>
          <w:rFonts w:ascii="Times New Roman" w:eastAsia="Palatino Linotype" w:hAnsi="Times New Roman"/>
        </w:rPr>
        <w:t>₹</w:t>
      </w:r>
      <w:r w:rsidRPr="00236171">
        <w:rPr>
          <w:rFonts w:ascii="Garamond" w:eastAsia="Palatino Linotype" w:hAnsi="Garamond" w:cs="Palatino Linotype"/>
        </w:rPr>
        <w:t xml:space="preserve"> 1</w:t>
      </w:r>
      <w:r w:rsidR="001079FD">
        <w:rPr>
          <w:rFonts w:ascii="Garamond" w:eastAsia="Palatino Linotype" w:hAnsi="Garamond" w:cs="Palatino Linotype"/>
        </w:rPr>
        <w:t>8,040</w:t>
      </w:r>
      <w:r w:rsidRPr="00236171">
        <w:rPr>
          <w:rFonts w:ascii="Garamond" w:eastAsia="Palatino Linotype" w:hAnsi="Garamond" w:cs="Palatino Linotype"/>
        </w:rPr>
        <w:t xml:space="preserve"> </w:t>
      </w:r>
      <w:r w:rsidR="006A4E85">
        <w:rPr>
          <w:rFonts w:ascii="Garamond" w:eastAsia="Palatino Linotype" w:hAnsi="Garamond" w:cs="Palatino Linotype"/>
        </w:rPr>
        <w:t>crore</w:t>
      </w:r>
      <w:r w:rsidRPr="00C304F5">
        <w:rPr>
          <w:rFonts w:ascii="Garamond" w:eastAsia="Palatino Linotype" w:hAnsi="Garamond" w:cs="Palatino Linotype"/>
        </w:rPr>
        <w:t xml:space="preserve"> during </w:t>
      </w:r>
      <w:r w:rsidR="001079FD">
        <w:rPr>
          <w:rFonts w:ascii="Garamond" w:eastAsia="Palatino Linotype" w:hAnsi="Garamond" w:cs="Palatino Linotype"/>
        </w:rPr>
        <w:t>May</w:t>
      </w:r>
      <w:r w:rsidRPr="00C304F5">
        <w:rPr>
          <w:rFonts w:ascii="Garamond" w:eastAsia="Palatino Linotype" w:hAnsi="Garamond" w:cs="Palatino Linotype"/>
        </w:rPr>
        <w:t xml:space="preserve"> 2022, </w:t>
      </w:r>
      <w:r w:rsidR="00DB37A8">
        <w:rPr>
          <w:rFonts w:ascii="Garamond" w:eastAsia="Palatino Linotype" w:hAnsi="Garamond" w:cs="Palatino Linotype"/>
        </w:rPr>
        <w:t>from</w:t>
      </w:r>
      <w:r w:rsidRPr="00C304F5">
        <w:rPr>
          <w:rFonts w:ascii="Garamond" w:eastAsia="Palatino Linotype" w:hAnsi="Garamond" w:cs="Palatino Linotype"/>
        </w:rPr>
        <w:t xml:space="preserve"> </w:t>
      </w:r>
      <w:r w:rsidRPr="00236171">
        <w:rPr>
          <w:rFonts w:ascii="Times New Roman" w:eastAsia="Palatino Linotype" w:hAnsi="Times New Roman"/>
        </w:rPr>
        <w:t>₹</w:t>
      </w:r>
      <w:r w:rsidRPr="00C304F5">
        <w:rPr>
          <w:rFonts w:ascii="Garamond" w:eastAsia="Palatino Linotype" w:hAnsi="Garamond" w:cs="Palatino Linotype"/>
        </w:rPr>
        <w:t xml:space="preserve"> </w:t>
      </w:r>
      <w:r w:rsidR="001079FD">
        <w:rPr>
          <w:rFonts w:ascii="Garamond" w:eastAsia="Palatino Linotype" w:hAnsi="Garamond" w:cs="Palatino Linotype"/>
        </w:rPr>
        <w:t>14,366</w:t>
      </w:r>
      <w:r w:rsidRPr="00C304F5">
        <w:rPr>
          <w:rFonts w:ascii="Garamond" w:eastAsia="Palatino Linotype" w:hAnsi="Garamond" w:cs="Palatino Linotype"/>
        </w:rPr>
        <w:t xml:space="preserve"> crore in </w:t>
      </w:r>
      <w:r w:rsidR="001079FD">
        <w:rPr>
          <w:rFonts w:ascii="Garamond" w:eastAsia="Palatino Linotype" w:hAnsi="Garamond" w:cs="Palatino Linotype"/>
        </w:rPr>
        <w:t xml:space="preserve">April </w:t>
      </w:r>
      <w:r w:rsidRPr="00C304F5">
        <w:rPr>
          <w:rFonts w:ascii="Garamond" w:eastAsia="Palatino Linotype" w:hAnsi="Garamond" w:cs="Palatino Linotype"/>
        </w:rPr>
        <w:t>2022.</w:t>
      </w:r>
    </w:p>
    <w:p w:rsidR="003676F0" w:rsidRPr="00C304F5" w:rsidRDefault="003676F0" w:rsidP="003676F0">
      <w:pPr>
        <w:widowControl w:val="0"/>
        <w:spacing w:line="276" w:lineRule="auto"/>
        <w:ind w:left="720"/>
        <w:jc w:val="both"/>
        <w:rPr>
          <w:rFonts w:ascii="Garamond" w:eastAsia="Palatino Linotype" w:hAnsi="Garamond" w:cs="Palatino Linotype"/>
          <w:lang w:val="en-US"/>
        </w:rPr>
      </w:pPr>
    </w:p>
    <w:p w:rsidR="00F64B9A" w:rsidRDefault="00F64B9A" w:rsidP="00F64B9A">
      <w:pPr>
        <w:widowControl w:val="0"/>
        <w:spacing w:line="276" w:lineRule="auto"/>
        <w:ind w:firstLine="454"/>
        <w:jc w:val="both"/>
      </w:pPr>
      <w:r w:rsidRPr="00891713">
        <w:rPr>
          <w:rFonts w:ascii="Garamond" w:eastAsia="Palatino Linotype" w:hAnsi="Garamond" w:cs="Palatino Linotype"/>
          <w:b/>
        </w:rPr>
        <w:t xml:space="preserve">                        Table 1: Fund Mobilisation by Corporates (</w:t>
      </w:r>
      <w:r w:rsidRPr="00891713">
        <w:rPr>
          <w:rFonts w:ascii="Times New Roman" w:eastAsia="Tahoma" w:hAnsi="Times New Roman"/>
          <w:b/>
        </w:rPr>
        <w:t>₹</w:t>
      </w:r>
      <w:r w:rsidRPr="00891713">
        <w:rPr>
          <w:rFonts w:ascii="Garamond" w:eastAsia="Tahoma" w:hAnsi="Garamond"/>
          <w:b/>
        </w:rPr>
        <w:t xml:space="preserve"> </w:t>
      </w:r>
      <w:r w:rsidRPr="00891713">
        <w:rPr>
          <w:rFonts w:ascii="Garamond" w:eastAsia="Palatino Linotype" w:hAnsi="Garamond" w:cs="Palatino Linotype"/>
          <w:b/>
        </w:rPr>
        <w:t xml:space="preserve">crore) </w:t>
      </w:r>
      <w:r>
        <w:rPr>
          <w:rFonts w:asciiTheme="minorHAnsi" w:hAnsiTheme="minorHAnsi" w:cstheme="minorBidi"/>
          <w:sz w:val="22"/>
          <w:szCs w:val="20"/>
        </w:rPr>
        <w:fldChar w:fldCharType="begin"/>
      </w:r>
      <w:r>
        <w:instrText xml:space="preserve"> LINK Excel.Sheet.12 "E:\\C DRIVE DATA BACKUP 19-12-2019\\Desktop\\Bulletin\\Workings-Jan 2022.xlsx" "Table 1!R2C2:R14C4" \a \f 4 \h  \* MERGEFORMAT </w:instrText>
      </w:r>
      <w:r>
        <w:rPr>
          <w:rFonts w:asciiTheme="minorHAnsi" w:hAnsiTheme="minorHAnsi" w:cstheme="minorBidi"/>
          <w:sz w:val="22"/>
          <w:szCs w:val="20"/>
        </w:rPr>
        <w:fldChar w:fldCharType="separate"/>
      </w:r>
    </w:p>
    <w:tbl>
      <w:tblPr>
        <w:tblW w:w="5629" w:type="dxa"/>
        <w:jc w:val="center"/>
        <w:tblLook w:val="04A0" w:firstRow="1" w:lastRow="0" w:firstColumn="1" w:lastColumn="0" w:noHBand="0" w:noVBand="1"/>
      </w:tblPr>
      <w:tblGrid>
        <w:gridCol w:w="3415"/>
        <w:gridCol w:w="1107"/>
        <w:gridCol w:w="1107"/>
      </w:tblGrid>
      <w:tr w:rsidR="006779EF" w:rsidRPr="004A2E57" w:rsidTr="00D42F8D">
        <w:trPr>
          <w:trHeight w:val="257"/>
          <w:jc w:val="center"/>
        </w:trPr>
        <w:tc>
          <w:tcPr>
            <w:tcW w:w="3415"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rsidR="006779EF" w:rsidRPr="004A2E57" w:rsidRDefault="006779EF" w:rsidP="006779EF">
            <w:pPr>
              <w:contextualSpacing/>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Particulars</w:t>
            </w:r>
          </w:p>
        </w:tc>
        <w:tc>
          <w:tcPr>
            <w:tcW w:w="1107" w:type="dxa"/>
            <w:tcBorders>
              <w:top w:val="single" w:sz="8" w:space="0" w:color="auto"/>
              <w:left w:val="nil"/>
              <w:bottom w:val="single" w:sz="8" w:space="0" w:color="auto"/>
              <w:right w:val="single" w:sz="4" w:space="0" w:color="auto"/>
            </w:tcBorders>
            <w:shd w:val="clear" w:color="000000" w:fill="A9D08E"/>
          </w:tcPr>
          <w:p w:rsidR="006779EF" w:rsidRPr="004A2E57" w:rsidRDefault="006779EF" w:rsidP="006779EF">
            <w:pPr>
              <w:jc w:val="both"/>
              <w:rPr>
                <w:rFonts w:ascii="Garamond" w:eastAsia="Times New Roman" w:hAnsi="Garamond" w:cs="Calibri"/>
                <w:b/>
                <w:bCs/>
                <w:color w:val="000000"/>
                <w:szCs w:val="22"/>
                <w:lang w:eastAsia="en-IN"/>
              </w:rPr>
            </w:pPr>
            <w:r>
              <w:rPr>
                <w:rFonts w:ascii="Garamond" w:eastAsia="Times New Roman" w:hAnsi="Garamond" w:cs="Calibri"/>
                <w:b/>
                <w:bCs/>
                <w:color w:val="000000"/>
                <w:szCs w:val="22"/>
                <w:lang w:eastAsia="en-IN"/>
              </w:rPr>
              <w:t>Apr-22</w:t>
            </w:r>
          </w:p>
        </w:tc>
        <w:tc>
          <w:tcPr>
            <w:tcW w:w="1107" w:type="dxa"/>
            <w:tcBorders>
              <w:top w:val="single" w:sz="4" w:space="0" w:color="auto"/>
              <w:left w:val="single" w:sz="4" w:space="0" w:color="auto"/>
              <w:bottom w:val="single" w:sz="8" w:space="0" w:color="auto"/>
              <w:right w:val="single" w:sz="4" w:space="0" w:color="auto"/>
            </w:tcBorders>
            <w:shd w:val="clear" w:color="000000" w:fill="A9D08E"/>
          </w:tcPr>
          <w:p w:rsidR="006779EF" w:rsidRPr="0037234C" w:rsidRDefault="006779EF" w:rsidP="006779EF">
            <w:pPr>
              <w:jc w:val="both"/>
              <w:rPr>
                <w:rFonts w:ascii="Garamond" w:eastAsia="Times New Roman" w:hAnsi="Garamond" w:cs="Calibri"/>
                <w:b/>
                <w:bCs/>
                <w:szCs w:val="22"/>
                <w:lang w:eastAsia="en-IN"/>
              </w:rPr>
            </w:pPr>
            <w:r w:rsidRPr="0037234C">
              <w:rPr>
                <w:rFonts w:ascii="Garamond" w:eastAsia="Times New Roman" w:hAnsi="Garamond" w:cs="Calibri"/>
                <w:b/>
                <w:bCs/>
                <w:szCs w:val="22"/>
                <w:lang w:eastAsia="en-IN"/>
              </w:rPr>
              <w:t>May-22</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vAlign w:val="center"/>
            <w:hideMark/>
          </w:tcPr>
          <w:p w:rsidR="0037234C" w:rsidRPr="004A2E57" w:rsidRDefault="0037234C" w:rsidP="0037234C">
            <w:pPr>
              <w:jc w:val="both"/>
              <w:rPr>
                <w:rFonts w:ascii="Garamond" w:eastAsia="Times New Roman" w:hAnsi="Garamond" w:cs="Calibri"/>
                <w:b/>
                <w:bCs/>
                <w:i/>
                <w:iCs/>
                <w:color w:val="000000"/>
                <w:szCs w:val="22"/>
                <w:lang w:eastAsia="en-IN"/>
              </w:rPr>
            </w:pPr>
            <w:r w:rsidRPr="004A2E57">
              <w:rPr>
                <w:rFonts w:ascii="Garamond" w:eastAsia="Times New Roman" w:hAnsi="Garamond" w:cs="Calibri"/>
                <w:b/>
                <w:bCs/>
                <w:i/>
                <w:iCs/>
                <w:color w:val="000000"/>
                <w:szCs w:val="22"/>
                <w:lang w:eastAsia="en-IN"/>
              </w:rPr>
              <w:t>I. Equity Issues</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b/>
                <w:bCs/>
                <w:color w:val="000000"/>
                <w:szCs w:val="22"/>
              </w:rPr>
            </w:pPr>
            <w:r>
              <w:rPr>
                <w:rFonts w:ascii="Garamond" w:hAnsi="Garamond" w:cs="Calibri"/>
                <w:b/>
                <w:bCs/>
                <w:color w:val="000000"/>
                <w:szCs w:val="22"/>
              </w:rPr>
              <w:t>19,588</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Default="0037234C" w:rsidP="0037234C">
            <w:pPr>
              <w:jc w:val="right"/>
              <w:rPr>
                <w:rFonts w:ascii="Garamond" w:hAnsi="Garamond" w:cs="Calibri"/>
                <w:b/>
                <w:bCs/>
                <w:color w:val="000000"/>
                <w:sz w:val="22"/>
                <w:szCs w:val="22"/>
              </w:rPr>
            </w:pPr>
            <w:r>
              <w:rPr>
                <w:rFonts w:ascii="Garamond" w:hAnsi="Garamond" w:cs="Calibri"/>
                <w:b/>
                <w:bCs/>
                <w:color w:val="000000"/>
                <w:sz w:val="22"/>
                <w:szCs w:val="22"/>
              </w:rPr>
              <w:t>49,581</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a. IPOs (i+ii)</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Pr>
                <w:rFonts w:ascii="Garamond" w:hAnsi="Garamond" w:cs="Calibri"/>
                <w:color w:val="000000"/>
                <w:szCs w:val="22"/>
              </w:rPr>
              <w:t>519</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Pr="0037234C" w:rsidRDefault="0037234C" w:rsidP="0037234C">
            <w:pPr>
              <w:jc w:val="right"/>
              <w:rPr>
                <w:rFonts w:ascii="Garamond" w:hAnsi="Garamond" w:cs="Calibri"/>
                <w:color w:val="000000"/>
                <w:szCs w:val="22"/>
              </w:rPr>
            </w:pPr>
            <w:r w:rsidRPr="0037234C">
              <w:rPr>
                <w:rFonts w:ascii="Garamond" w:hAnsi="Garamond" w:cs="Calibri"/>
                <w:color w:val="000000"/>
                <w:szCs w:val="22"/>
              </w:rPr>
              <w:t>31</w:t>
            </w:r>
            <w:r>
              <w:rPr>
                <w:rFonts w:ascii="Garamond" w:hAnsi="Garamond" w:cs="Calibri"/>
                <w:color w:val="000000"/>
                <w:szCs w:val="22"/>
              </w:rPr>
              <w:t>,</w:t>
            </w:r>
            <w:r w:rsidRPr="0037234C">
              <w:rPr>
                <w:rFonts w:ascii="Garamond" w:hAnsi="Garamond" w:cs="Calibri"/>
                <w:color w:val="000000"/>
                <w:szCs w:val="22"/>
              </w:rPr>
              <w:t>497</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i/>
                <w:iCs/>
                <w:color w:val="000000"/>
                <w:szCs w:val="22"/>
                <w:lang w:eastAsia="en-IN"/>
              </w:rPr>
            </w:pPr>
            <w:r w:rsidRPr="004A2E57">
              <w:rPr>
                <w:rFonts w:ascii="Garamond" w:eastAsia="Times New Roman" w:hAnsi="Garamond" w:cs="Calibri"/>
                <w:i/>
                <w:iCs/>
                <w:color w:val="000000"/>
                <w:szCs w:val="22"/>
                <w:lang w:eastAsia="en-IN"/>
              </w:rPr>
              <w:t xml:space="preserve">    i. Main Board</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Pr>
                <w:rFonts w:ascii="Garamond" w:hAnsi="Garamond" w:cs="Calibri"/>
                <w:color w:val="000000"/>
                <w:szCs w:val="22"/>
              </w:rPr>
              <w:t>390</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Pr="0037234C" w:rsidRDefault="0037234C" w:rsidP="0037234C">
            <w:pPr>
              <w:jc w:val="right"/>
              <w:rPr>
                <w:rFonts w:ascii="Garamond" w:hAnsi="Garamond" w:cs="Calibri"/>
                <w:color w:val="000000"/>
                <w:szCs w:val="22"/>
              </w:rPr>
            </w:pPr>
            <w:r w:rsidRPr="0037234C">
              <w:rPr>
                <w:rFonts w:ascii="Garamond" w:hAnsi="Garamond" w:cs="Calibri"/>
                <w:color w:val="000000"/>
                <w:szCs w:val="22"/>
              </w:rPr>
              <w:t>31,380</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i/>
                <w:iCs/>
                <w:color w:val="000000"/>
                <w:szCs w:val="22"/>
                <w:lang w:eastAsia="en-IN"/>
              </w:rPr>
            </w:pPr>
            <w:r w:rsidRPr="004A2E57">
              <w:rPr>
                <w:rFonts w:ascii="Garamond" w:eastAsia="Times New Roman" w:hAnsi="Garamond" w:cs="Calibri"/>
                <w:i/>
                <w:iCs/>
                <w:color w:val="000000"/>
                <w:szCs w:val="22"/>
                <w:lang w:eastAsia="en-IN"/>
              </w:rPr>
              <w:t xml:space="preserve">    ii. SME Platform</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Pr>
                <w:rFonts w:ascii="Garamond" w:hAnsi="Garamond" w:cs="Calibri"/>
                <w:color w:val="000000"/>
                <w:szCs w:val="22"/>
              </w:rPr>
              <w:t>129</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Pr="0037234C" w:rsidRDefault="0037234C" w:rsidP="0037234C">
            <w:pPr>
              <w:jc w:val="right"/>
              <w:rPr>
                <w:rFonts w:ascii="Garamond" w:hAnsi="Garamond" w:cs="Calibri"/>
                <w:color w:val="000000"/>
                <w:szCs w:val="22"/>
              </w:rPr>
            </w:pPr>
            <w:r w:rsidRPr="0037234C">
              <w:rPr>
                <w:rFonts w:ascii="Garamond" w:hAnsi="Garamond" w:cs="Calibri"/>
                <w:color w:val="000000"/>
                <w:szCs w:val="22"/>
              </w:rPr>
              <w:t>117</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b. FPOs</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Pr>
                <w:rFonts w:ascii="Garamond" w:hAnsi="Garamond" w:cs="Calibri"/>
                <w:color w:val="000000"/>
                <w:szCs w:val="22"/>
              </w:rPr>
              <w:t>4,300</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Pr="0037234C" w:rsidRDefault="0037234C" w:rsidP="0037234C">
            <w:pPr>
              <w:jc w:val="right"/>
              <w:rPr>
                <w:rFonts w:ascii="Garamond" w:hAnsi="Garamond" w:cs="Calibri"/>
                <w:color w:val="000000"/>
                <w:szCs w:val="22"/>
              </w:rPr>
            </w:pPr>
            <w:r w:rsidRPr="0037234C">
              <w:rPr>
                <w:rFonts w:ascii="Garamond" w:hAnsi="Garamond" w:cs="Calibri"/>
                <w:color w:val="000000"/>
                <w:szCs w:val="22"/>
              </w:rPr>
              <w:t>0</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c. Equity Rights Issues</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Pr>
                <w:rFonts w:ascii="Garamond" w:hAnsi="Garamond" w:cs="Calibri"/>
                <w:color w:val="000000"/>
                <w:szCs w:val="22"/>
              </w:rPr>
              <w:t>138</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Pr="0037234C" w:rsidRDefault="0037234C" w:rsidP="0037234C">
            <w:pPr>
              <w:jc w:val="right"/>
              <w:rPr>
                <w:rFonts w:ascii="Garamond" w:hAnsi="Garamond" w:cs="Calibri"/>
                <w:color w:val="000000"/>
                <w:szCs w:val="22"/>
              </w:rPr>
            </w:pPr>
            <w:r w:rsidRPr="0037234C">
              <w:rPr>
                <w:rFonts w:ascii="Garamond" w:hAnsi="Garamond" w:cs="Calibri"/>
                <w:color w:val="000000"/>
                <w:szCs w:val="22"/>
              </w:rPr>
              <w:t>932</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d. QIPs/IPPs</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Pr>
                <w:rFonts w:ascii="Garamond" w:hAnsi="Garamond" w:cs="Calibri"/>
                <w:color w:val="000000"/>
                <w:szCs w:val="22"/>
              </w:rPr>
              <w:t>959</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Pr="0037234C" w:rsidRDefault="0037234C" w:rsidP="0037234C">
            <w:pPr>
              <w:jc w:val="right"/>
              <w:rPr>
                <w:rFonts w:ascii="Garamond" w:hAnsi="Garamond" w:cs="Calibri"/>
                <w:color w:val="000000"/>
                <w:szCs w:val="22"/>
              </w:rPr>
            </w:pPr>
            <w:r w:rsidRPr="0037234C">
              <w:rPr>
                <w:rFonts w:ascii="Garamond" w:hAnsi="Garamond" w:cs="Calibri"/>
                <w:color w:val="000000"/>
                <w:szCs w:val="22"/>
              </w:rPr>
              <w:t>0</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e. Preferential Allotments</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sidRPr="005F3047">
              <w:rPr>
                <w:rFonts w:ascii="Garamond" w:hAnsi="Garamond" w:cs="Calibri"/>
                <w:color w:val="000000"/>
                <w:szCs w:val="22"/>
              </w:rPr>
              <w:t>13,675</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Pr="0037234C" w:rsidRDefault="0037234C" w:rsidP="0037234C">
            <w:pPr>
              <w:jc w:val="right"/>
              <w:rPr>
                <w:rFonts w:ascii="Garamond" w:hAnsi="Garamond" w:cs="Calibri"/>
                <w:color w:val="000000"/>
                <w:szCs w:val="22"/>
              </w:rPr>
            </w:pPr>
            <w:r w:rsidRPr="0037234C">
              <w:rPr>
                <w:rFonts w:ascii="Garamond" w:hAnsi="Garamond" w:cs="Calibri"/>
                <w:color w:val="000000"/>
                <w:szCs w:val="22"/>
              </w:rPr>
              <w:t>17</w:t>
            </w:r>
            <w:r w:rsidR="006A4E85">
              <w:rPr>
                <w:rFonts w:ascii="Garamond" w:hAnsi="Garamond" w:cs="Calibri"/>
                <w:color w:val="000000"/>
                <w:szCs w:val="22"/>
              </w:rPr>
              <w:t>,</w:t>
            </w:r>
            <w:r w:rsidRPr="0037234C">
              <w:rPr>
                <w:rFonts w:ascii="Garamond" w:hAnsi="Garamond" w:cs="Calibri"/>
                <w:color w:val="000000"/>
                <w:szCs w:val="22"/>
              </w:rPr>
              <w:t>152</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vAlign w:val="center"/>
            <w:hideMark/>
          </w:tcPr>
          <w:p w:rsidR="0037234C" w:rsidRPr="004A2E57" w:rsidRDefault="0037234C" w:rsidP="0037234C">
            <w:pPr>
              <w:jc w:val="both"/>
              <w:rPr>
                <w:rFonts w:ascii="Garamond" w:eastAsia="Times New Roman" w:hAnsi="Garamond" w:cs="Calibri"/>
                <w:b/>
                <w:bCs/>
                <w:i/>
                <w:iCs/>
                <w:color w:val="000000"/>
                <w:szCs w:val="22"/>
                <w:lang w:eastAsia="en-IN"/>
              </w:rPr>
            </w:pPr>
            <w:r w:rsidRPr="004A2E57">
              <w:rPr>
                <w:rFonts w:ascii="Garamond" w:eastAsia="Times New Roman" w:hAnsi="Garamond" w:cs="Calibri"/>
                <w:b/>
                <w:bCs/>
                <w:i/>
                <w:iCs/>
                <w:color w:val="000000"/>
                <w:szCs w:val="22"/>
                <w:lang w:eastAsia="en-IN"/>
              </w:rPr>
              <w:t>II. Debt Issues</w:t>
            </w:r>
          </w:p>
        </w:tc>
        <w:tc>
          <w:tcPr>
            <w:tcW w:w="1107" w:type="dxa"/>
            <w:tcBorders>
              <w:top w:val="nil"/>
              <w:left w:val="nil"/>
              <w:bottom w:val="single" w:sz="8" w:space="0" w:color="auto"/>
              <w:right w:val="single" w:sz="4" w:space="0" w:color="auto"/>
            </w:tcBorders>
            <w:vAlign w:val="bottom"/>
          </w:tcPr>
          <w:p w:rsidR="0037234C" w:rsidRPr="00BF08CE" w:rsidRDefault="0037234C" w:rsidP="00DB37A8">
            <w:pPr>
              <w:jc w:val="both"/>
              <w:rPr>
                <w:rFonts w:ascii="Garamond" w:hAnsi="Garamond" w:cs="Calibri"/>
                <w:b/>
                <w:bCs/>
                <w:color w:val="000000"/>
                <w:szCs w:val="22"/>
              </w:rPr>
            </w:pPr>
            <w:r w:rsidRPr="00BF08CE">
              <w:rPr>
                <w:rFonts w:ascii="Garamond" w:hAnsi="Garamond" w:cs="Calibri"/>
                <w:b/>
                <w:bCs/>
                <w:color w:val="000000"/>
                <w:szCs w:val="22"/>
              </w:rPr>
              <w:t>1</w:t>
            </w:r>
            <w:r w:rsidR="00DB37A8" w:rsidRPr="00BF08CE">
              <w:rPr>
                <w:rFonts w:ascii="Garamond" w:hAnsi="Garamond" w:cs="Calibri"/>
                <w:b/>
                <w:bCs/>
                <w:color w:val="000000"/>
                <w:szCs w:val="22"/>
              </w:rPr>
              <w:t>5,709</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Default="00DB37A8" w:rsidP="00DB37A8">
            <w:pPr>
              <w:jc w:val="right"/>
              <w:rPr>
                <w:rFonts w:ascii="Garamond" w:hAnsi="Garamond" w:cs="Calibri"/>
                <w:b/>
                <w:bCs/>
                <w:color w:val="000000"/>
                <w:sz w:val="22"/>
                <w:szCs w:val="22"/>
              </w:rPr>
            </w:pPr>
            <w:r>
              <w:rPr>
                <w:rFonts w:ascii="Garamond" w:hAnsi="Garamond" w:cs="Calibri"/>
                <w:b/>
                <w:bCs/>
                <w:color w:val="000000"/>
                <w:sz w:val="22"/>
                <w:szCs w:val="22"/>
              </w:rPr>
              <w:t>18</w:t>
            </w:r>
            <w:r w:rsidR="0037234C">
              <w:rPr>
                <w:rFonts w:ascii="Garamond" w:hAnsi="Garamond" w:cs="Calibri"/>
                <w:b/>
                <w:bCs/>
                <w:color w:val="000000"/>
                <w:sz w:val="22"/>
                <w:szCs w:val="22"/>
              </w:rPr>
              <w:t>,</w:t>
            </w:r>
            <w:r>
              <w:rPr>
                <w:rFonts w:ascii="Garamond" w:hAnsi="Garamond" w:cs="Calibri"/>
                <w:b/>
                <w:bCs/>
                <w:color w:val="000000"/>
                <w:sz w:val="22"/>
                <w:szCs w:val="22"/>
              </w:rPr>
              <w:t>379</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a. Debt Public Issues</w:t>
            </w:r>
          </w:p>
        </w:tc>
        <w:tc>
          <w:tcPr>
            <w:tcW w:w="1107" w:type="dxa"/>
            <w:tcBorders>
              <w:top w:val="nil"/>
              <w:left w:val="nil"/>
              <w:bottom w:val="single" w:sz="8" w:space="0" w:color="auto"/>
              <w:right w:val="single" w:sz="4" w:space="0" w:color="auto"/>
            </w:tcBorders>
            <w:vAlign w:val="bottom"/>
          </w:tcPr>
          <w:p w:rsidR="0037234C" w:rsidRDefault="00DB37A8" w:rsidP="0037234C">
            <w:pPr>
              <w:jc w:val="both"/>
              <w:rPr>
                <w:rFonts w:ascii="Garamond" w:hAnsi="Garamond" w:cs="Calibri"/>
                <w:color w:val="000000"/>
                <w:szCs w:val="22"/>
              </w:rPr>
            </w:pPr>
            <w:r>
              <w:rPr>
                <w:rFonts w:ascii="Garamond" w:hAnsi="Garamond" w:cs="Calibri"/>
                <w:color w:val="000000"/>
                <w:szCs w:val="22"/>
              </w:rPr>
              <w:t>1,343</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Default="00DB37A8" w:rsidP="0037234C">
            <w:pPr>
              <w:jc w:val="right"/>
              <w:rPr>
                <w:rFonts w:ascii="Garamond" w:hAnsi="Garamond" w:cs="Calibri"/>
                <w:color w:val="000000"/>
                <w:sz w:val="22"/>
                <w:szCs w:val="22"/>
              </w:rPr>
            </w:pPr>
            <w:r>
              <w:rPr>
                <w:rFonts w:ascii="Garamond" w:hAnsi="Garamond" w:cs="Calibri"/>
                <w:color w:val="000000"/>
                <w:sz w:val="22"/>
                <w:szCs w:val="22"/>
              </w:rPr>
              <w:t>339</w:t>
            </w:r>
          </w:p>
        </w:tc>
      </w:tr>
      <w:tr w:rsidR="0037234C" w:rsidRPr="004A2E57" w:rsidTr="00D42F8D">
        <w:trPr>
          <w:trHeight w:val="257"/>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color w:val="000000"/>
                <w:szCs w:val="22"/>
                <w:lang w:eastAsia="en-IN"/>
              </w:rPr>
            </w:pPr>
            <w:r w:rsidRPr="004A2E57">
              <w:rPr>
                <w:rFonts w:ascii="Garamond" w:eastAsia="Times New Roman" w:hAnsi="Garamond" w:cs="Calibri"/>
                <w:color w:val="000000"/>
                <w:szCs w:val="22"/>
                <w:lang w:eastAsia="en-IN"/>
              </w:rPr>
              <w:t>b. Private Placement of Debt</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color w:val="000000"/>
                <w:szCs w:val="22"/>
              </w:rPr>
            </w:pPr>
            <w:r>
              <w:rPr>
                <w:rFonts w:ascii="Garamond" w:hAnsi="Garamond" w:cs="Calibri"/>
                <w:color w:val="000000"/>
                <w:szCs w:val="22"/>
              </w:rPr>
              <w:t>14,366</w:t>
            </w:r>
          </w:p>
        </w:tc>
        <w:tc>
          <w:tcPr>
            <w:tcW w:w="1107" w:type="dxa"/>
            <w:tcBorders>
              <w:top w:val="single" w:sz="8" w:space="0" w:color="auto"/>
              <w:left w:val="single" w:sz="4" w:space="0" w:color="auto"/>
              <w:bottom w:val="single" w:sz="8" w:space="0" w:color="auto"/>
              <w:right w:val="single" w:sz="4" w:space="0" w:color="auto"/>
            </w:tcBorders>
            <w:vAlign w:val="center"/>
          </w:tcPr>
          <w:p w:rsidR="0037234C" w:rsidRDefault="0037234C" w:rsidP="0037234C">
            <w:pPr>
              <w:jc w:val="right"/>
              <w:rPr>
                <w:rFonts w:ascii="Garamond" w:hAnsi="Garamond" w:cs="Calibri"/>
                <w:color w:val="000000"/>
                <w:sz w:val="22"/>
                <w:szCs w:val="22"/>
              </w:rPr>
            </w:pPr>
            <w:r>
              <w:rPr>
                <w:rFonts w:ascii="Garamond" w:hAnsi="Garamond" w:cs="Calibri"/>
                <w:color w:val="000000"/>
                <w:sz w:val="22"/>
                <w:szCs w:val="22"/>
              </w:rPr>
              <w:t>18</w:t>
            </w:r>
            <w:r w:rsidR="00DB37A8">
              <w:rPr>
                <w:rFonts w:ascii="Garamond" w:hAnsi="Garamond" w:cs="Calibri"/>
                <w:color w:val="000000"/>
                <w:sz w:val="22"/>
                <w:szCs w:val="22"/>
              </w:rPr>
              <w:t>,</w:t>
            </w:r>
            <w:r>
              <w:rPr>
                <w:rFonts w:ascii="Garamond" w:hAnsi="Garamond" w:cs="Calibri"/>
                <w:color w:val="000000"/>
                <w:sz w:val="22"/>
                <w:szCs w:val="22"/>
              </w:rPr>
              <w:t>040</w:t>
            </w:r>
          </w:p>
        </w:tc>
      </w:tr>
      <w:tr w:rsidR="0037234C" w:rsidRPr="004A2E57" w:rsidTr="00D42F8D">
        <w:trPr>
          <w:trHeight w:val="258"/>
          <w:jc w:val="center"/>
        </w:trPr>
        <w:tc>
          <w:tcPr>
            <w:tcW w:w="3415" w:type="dxa"/>
            <w:tcBorders>
              <w:top w:val="nil"/>
              <w:left w:val="single" w:sz="8" w:space="0" w:color="auto"/>
              <w:bottom w:val="single" w:sz="8" w:space="0" w:color="auto"/>
              <w:right w:val="single" w:sz="8" w:space="0" w:color="auto"/>
            </w:tcBorders>
            <w:shd w:val="clear" w:color="auto" w:fill="auto"/>
            <w:noWrap/>
            <w:vAlign w:val="center"/>
            <w:hideMark/>
          </w:tcPr>
          <w:p w:rsidR="0037234C" w:rsidRPr="004A2E57" w:rsidRDefault="0037234C" w:rsidP="0037234C">
            <w:pPr>
              <w:jc w:val="both"/>
              <w:rPr>
                <w:rFonts w:ascii="Garamond" w:eastAsia="Times New Roman" w:hAnsi="Garamond" w:cs="Calibri"/>
                <w:b/>
                <w:bCs/>
                <w:color w:val="000000"/>
                <w:szCs w:val="22"/>
                <w:lang w:eastAsia="en-IN"/>
              </w:rPr>
            </w:pPr>
            <w:r w:rsidRPr="004A2E57">
              <w:rPr>
                <w:rFonts w:ascii="Garamond" w:eastAsia="Times New Roman" w:hAnsi="Garamond" w:cs="Calibri"/>
                <w:b/>
                <w:bCs/>
                <w:color w:val="000000"/>
                <w:szCs w:val="22"/>
                <w:lang w:eastAsia="en-IN"/>
              </w:rPr>
              <w:t>Total Funds Mobilised (I+II)</w:t>
            </w:r>
          </w:p>
        </w:tc>
        <w:tc>
          <w:tcPr>
            <w:tcW w:w="1107" w:type="dxa"/>
            <w:tcBorders>
              <w:top w:val="nil"/>
              <w:left w:val="nil"/>
              <w:bottom w:val="single" w:sz="8" w:space="0" w:color="auto"/>
              <w:right w:val="single" w:sz="4" w:space="0" w:color="auto"/>
            </w:tcBorders>
            <w:vAlign w:val="bottom"/>
          </w:tcPr>
          <w:p w:rsidR="0037234C" w:rsidRDefault="0037234C" w:rsidP="0037234C">
            <w:pPr>
              <w:jc w:val="both"/>
              <w:rPr>
                <w:rFonts w:ascii="Garamond" w:hAnsi="Garamond" w:cs="Calibri"/>
                <w:b/>
                <w:bCs/>
                <w:color w:val="000000"/>
                <w:szCs w:val="22"/>
              </w:rPr>
            </w:pPr>
            <w:r>
              <w:rPr>
                <w:rFonts w:ascii="Garamond" w:hAnsi="Garamond" w:cs="Calibri"/>
                <w:b/>
                <w:bCs/>
                <w:color w:val="000000"/>
                <w:szCs w:val="22"/>
              </w:rPr>
              <w:t>34,338</w:t>
            </w:r>
          </w:p>
        </w:tc>
        <w:tc>
          <w:tcPr>
            <w:tcW w:w="1107" w:type="dxa"/>
            <w:tcBorders>
              <w:top w:val="single" w:sz="8" w:space="0" w:color="auto"/>
              <w:left w:val="single" w:sz="4" w:space="0" w:color="auto"/>
              <w:bottom w:val="single" w:sz="4" w:space="0" w:color="auto"/>
              <w:right w:val="single" w:sz="4" w:space="0" w:color="auto"/>
            </w:tcBorders>
            <w:vAlign w:val="center"/>
          </w:tcPr>
          <w:p w:rsidR="0037234C" w:rsidRDefault="00DB37A8" w:rsidP="00DB37A8">
            <w:pPr>
              <w:jc w:val="right"/>
              <w:rPr>
                <w:rFonts w:ascii="Garamond" w:hAnsi="Garamond" w:cs="Calibri"/>
                <w:b/>
                <w:bCs/>
                <w:color w:val="000000"/>
                <w:sz w:val="22"/>
                <w:szCs w:val="22"/>
              </w:rPr>
            </w:pPr>
            <w:r>
              <w:rPr>
                <w:rFonts w:ascii="Garamond" w:hAnsi="Garamond" w:cs="Calibri"/>
                <w:b/>
                <w:bCs/>
                <w:color w:val="000000"/>
                <w:sz w:val="22"/>
                <w:szCs w:val="22"/>
              </w:rPr>
              <w:t>67</w:t>
            </w:r>
            <w:r w:rsidR="0037234C">
              <w:rPr>
                <w:rFonts w:ascii="Garamond" w:hAnsi="Garamond" w:cs="Calibri"/>
                <w:b/>
                <w:bCs/>
                <w:color w:val="000000"/>
                <w:sz w:val="22"/>
                <w:szCs w:val="22"/>
              </w:rPr>
              <w:t>,</w:t>
            </w:r>
            <w:r>
              <w:rPr>
                <w:rFonts w:ascii="Garamond" w:hAnsi="Garamond" w:cs="Calibri"/>
                <w:b/>
                <w:bCs/>
                <w:color w:val="000000"/>
                <w:sz w:val="22"/>
                <w:szCs w:val="22"/>
              </w:rPr>
              <w:t>960</w:t>
            </w:r>
          </w:p>
        </w:tc>
      </w:tr>
    </w:tbl>
    <w:p w:rsidR="00F64B9A" w:rsidRDefault="00F64B9A" w:rsidP="00F64B9A">
      <w:pPr>
        <w:widowControl w:val="0"/>
        <w:tabs>
          <w:tab w:val="right" w:pos="9888"/>
        </w:tabs>
        <w:spacing w:line="276" w:lineRule="auto"/>
        <w:ind w:left="142" w:firstLine="1843"/>
        <w:jc w:val="both"/>
        <w:rPr>
          <w:rFonts w:ascii="Garamond" w:eastAsia="Palatino Linotype" w:hAnsi="Garamond" w:cs="Palatino Linotype"/>
          <w:bCs/>
          <w:szCs w:val="22"/>
        </w:rPr>
      </w:pPr>
      <w:r>
        <w:rPr>
          <w:rFonts w:ascii="Garamond" w:eastAsia="Palatino Linotype" w:hAnsi="Garamond" w:cs="Palatino Linotype"/>
          <w:b/>
        </w:rPr>
        <w:fldChar w:fldCharType="end"/>
      </w:r>
      <w:r w:rsidRPr="00891713">
        <w:rPr>
          <w:rFonts w:ascii="Garamond" w:eastAsia="Palatino Linotype" w:hAnsi="Garamond" w:cs="Palatino Linotype"/>
          <w:b/>
          <w:szCs w:val="22"/>
        </w:rPr>
        <w:t xml:space="preserve">Source: </w:t>
      </w:r>
      <w:r w:rsidRPr="00891713">
        <w:rPr>
          <w:rFonts w:ascii="Garamond" w:eastAsia="Palatino Linotype" w:hAnsi="Garamond" w:cs="Palatino Linotype"/>
          <w:bCs/>
          <w:szCs w:val="22"/>
        </w:rPr>
        <w:t>SEBI, BSE, NSE and MSEI</w:t>
      </w:r>
    </w:p>
    <w:p w:rsidR="00F64B9A" w:rsidRPr="006A6CB3" w:rsidRDefault="00F64B9A" w:rsidP="00F64B9A">
      <w:pPr>
        <w:widowControl w:val="0"/>
        <w:tabs>
          <w:tab w:val="right" w:pos="9888"/>
        </w:tabs>
        <w:spacing w:line="276" w:lineRule="auto"/>
        <w:ind w:left="142" w:firstLine="1843"/>
        <w:jc w:val="both"/>
        <w:rPr>
          <w:rFonts w:ascii="Garamond" w:eastAsia="Palatino Linotype" w:hAnsi="Garamond" w:cs="Palatino Linotype"/>
          <w:b/>
        </w:rPr>
      </w:pPr>
    </w:p>
    <w:p w:rsidR="00F64B9A" w:rsidRPr="006A6CB3" w:rsidRDefault="00F64B9A" w:rsidP="00F64B9A">
      <w:pPr>
        <w:widowControl w:val="0"/>
        <w:numPr>
          <w:ilvl w:val="0"/>
          <w:numId w:val="2"/>
        </w:numPr>
        <w:spacing w:line="276" w:lineRule="auto"/>
        <w:ind w:left="454" w:hanging="454"/>
        <w:jc w:val="both"/>
        <w:rPr>
          <w:rFonts w:ascii="Garamond" w:eastAsia="Palatino Linotype" w:hAnsi="Garamond" w:cs="Palatino Linotype"/>
          <w:b/>
        </w:rPr>
      </w:pPr>
      <w:r w:rsidRPr="006A6CB3">
        <w:rPr>
          <w:rFonts w:ascii="Garamond" w:eastAsia="Palatino Linotype" w:hAnsi="Garamond" w:cs="Palatino Linotype"/>
          <w:b/>
        </w:rPr>
        <w:t>Trends in the Secondary Market</w:t>
      </w:r>
    </w:p>
    <w:p w:rsidR="00F64B9A" w:rsidRPr="006A6CB3" w:rsidRDefault="00F64B9A" w:rsidP="00F64B9A">
      <w:pPr>
        <w:pBdr>
          <w:top w:val="nil"/>
          <w:left w:val="nil"/>
          <w:bottom w:val="nil"/>
          <w:right w:val="nil"/>
          <w:between w:val="nil"/>
        </w:pBdr>
        <w:spacing w:line="276" w:lineRule="auto"/>
        <w:ind w:left="360"/>
        <w:jc w:val="both"/>
        <w:rPr>
          <w:rFonts w:ascii="Garamond" w:eastAsia="Palatino Linotype" w:hAnsi="Garamond" w:cs="Palatino Linotype"/>
        </w:rPr>
      </w:pPr>
    </w:p>
    <w:p w:rsidR="0095776A" w:rsidRPr="002E2B95" w:rsidRDefault="0095776A" w:rsidP="0095776A">
      <w:pPr>
        <w:numPr>
          <w:ilvl w:val="0"/>
          <w:numId w:val="18"/>
        </w:numPr>
        <w:pBdr>
          <w:between w:val="nil"/>
        </w:pBdr>
        <w:spacing w:line="276" w:lineRule="auto"/>
        <w:jc w:val="both"/>
        <w:rPr>
          <w:rFonts w:ascii="Garamond" w:eastAsia="Palatino Linotype" w:hAnsi="Garamond" w:cs="Palatino Linotype"/>
        </w:rPr>
      </w:pPr>
      <w:r w:rsidRPr="002E2B95">
        <w:rPr>
          <w:rFonts w:ascii="Garamond" w:eastAsia="Palatino Linotype" w:hAnsi="Garamond" w:cs="Palatino Linotype"/>
        </w:rPr>
        <w:t>During the month of May 2022, Nifty 50 touched a high of 17,</w:t>
      </w:r>
      <w:r w:rsidR="00DB37A8">
        <w:rPr>
          <w:rFonts w:ascii="Garamond" w:eastAsia="Palatino Linotype" w:hAnsi="Garamond" w:cs="Palatino Linotype"/>
        </w:rPr>
        <w:t>133</w:t>
      </w:r>
      <w:r w:rsidR="00DB37A8" w:rsidRPr="002E2B95">
        <w:rPr>
          <w:rFonts w:ascii="Garamond" w:eastAsia="Palatino Linotype" w:hAnsi="Garamond" w:cs="Palatino Linotype"/>
        </w:rPr>
        <w:t xml:space="preserve"> </w:t>
      </w:r>
      <w:r w:rsidRPr="002E2B95">
        <w:rPr>
          <w:rFonts w:ascii="Garamond" w:eastAsia="Palatino Linotype" w:hAnsi="Garamond" w:cs="Palatino Linotype"/>
        </w:rPr>
        <w:t>on May 04, 2022, and closed at 16,585 registering a fall of</w:t>
      </w:r>
      <w:r>
        <w:rPr>
          <w:rFonts w:ascii="Garamond" w:eastAsia="Palatino Linotype" w:hAnsi="Garamond" w:cs="Palatino Linotype"/>
        </w:rPr>
        <w:t xml:space="preserve"> 3.0</w:t>
      </w:r>
      <w:r w:rsidRPr="002E2B95">
        <w:rPr>
          <w:rFonts w:ascii="Garamond" w:eastAsia="Palatino Linotype" w:hAnsi="Garamond" w:cs="Palatino Linotype"/>
        </w:rPr>
        <w:t xml:space="preserve"> per cent over April-end 2022. Similarly, BSE Sensex touched a high of 57,184 on May 04, 2022 and closed at 55,</w:t>
      </w:r>
      <w:r w:rsidR="002C4F79">
        <w:rPr>
          <w:rFonts w:ascii="Garamond" w:eastAsia="Palatino Linotype" w:hAnsi="Garamond" w:cs="Palatino Linotype"/>
        </w:rPr>
        <w:t>566</w:t>
      </w:r>
      <w:r w:rsidR="002C4F79" w:rsidRPr="002E2B95">
        <w:rPr>
          <w:rFonts w:ascii="Garamond" w:eastAsia="Palatino Linotype" w:hAnsi="Garamond" w:cs="Palatino Linotype"/>
        </w:rPr>
        <w:t xml:space="preserve"> </w:t>
      </w:r>
      <w:r w:rsidRPr="002E2B95">
        <w:rPr>
          <w:rFonts w:ascii="Garamond" w:eastAsia="Palatino Linotype" w:hAnsi="Garamond" w:cs="Palatino Linotype"/>
        </w:rPr>
        <w:t>falling by 2.6 per cent over the end of April 2022. The P/E ratios of S&amp;P BSE Sensex and Nifty 50 were 22.5 and 20.4 respectively, at the end of May 2022.</w:t>
      </w:r>
    </w:p>
    <w:p w:rsidR="0095776A" w:rsidRPr="002E2B95" w:rsidRDefault="0095776A" w:rsidP="0095776A">
      <w:pPr>
        <w:numPr>
          <w:ilvl w:val="0"/>
          <w:numId w:val="1"/>
        </w:numPr>
        <w:pBdr>
          <w:between w:val="nil"/>
        </w:pBdr>
        <w:spacing w:line="276" w:lineRule="auto"/>
        <w:jc w:val="both"/>
        <w:rPr>
          <w:rFonts w:ascii="Garamond" w:eastAsia="Palatino Linotype" w:hAnsi="Garamond" w:cs="Palatino Linotype"/>
        </w:rPr>
      </w:pPr>
      <w:r w:rsidRPr="002E2B95">
        <w:rPr>
          <w:rFonts w:ascii="Garamond" w:eastAsia="Palatino Linotype" w:hAnsi="Garamond" w:cs="Palatino Linotype"/>
        </w:rPr>
        <w:t xml:space="preserve">The market capitalization of both BSE and NSE fallen by 3.4 per cent, at the end of May 2022, over the previous month-end. </w:t>
      </w:r>
    </w:p>
    <w:p w:rsidR="0095776A" w:rsidRDefault="0095776A" w:rsidP="0095776A">
      <w:pPr>
        <w:pBdr>
          <w:between w:val="nil"/>
        </w:pBdr>
        <w:spacing w:line="276" w:lineRule="auto"/>
        <w:ind w:left="720"/>
        <w:jc w:val="both"/>
        <w:rPr>
          <w:rFonts w:ascii="Garamond" w:eastAsia="Palatino Linotype" w:hAnsi="Garamond" w:cs="Palatino Linotype"/>
          <w:strike/>
        </w:rPr>
      </w:pPr>
    </w:p>
    <w:p w:rsidR="0095776A" w:rsidRDefault="0095776A" w:rsidP="0095776A">
      <w:pPr>
        <w:pBdr>
          <w:between w:val="nil"/>
        </w:pBdr>
        <w:spacing w:line="276" w:lineRule="auto"/>
        <w:ind w:left="720"/>
        <w:jc w:val="both"/>
        <w:rPr>
          <w:rFonts w:ascii="Garamond" w:eastAsia="Palatino Linotype" w:hAnsi="Garamond" w:cs="Palatino Linotype"/>
          <w:strike/>
        </w:rPr>
      </w:pPr>
    </w:p>
    <w:p w:rsidR="00560064" w:rsidRDefault="00560064" w:rsidP="0095776A">
      <w:pPr>
        <w:pBdr>
          <w:between w:val="nil"/>
        </w:pBdr>
        <w:spacing w:line="276" w:lineRule="auto"/>
        <w:ind w:left="720"/>
        <w:jc w:val="both"/>
        <w:rPr>
          <w:rFonts w:ascii="Garamond" w:eastAsia="Palatino Linotype" w:hAnsi="Garamond" w:cs="Palatino Linotype"/>
          <w:strike/>
        </w:rPr>
      </w:pPr>
    </w:p>
    <w:p w:rsidR="0095776A" w:rsidRPr="00CA08BF" w:rsidRDefault="0095776A" w:rsidP="0095776A">
      <w:pPr>
        <w:pBdr>
          <w:between w:val="nil"/>
        </w:pBdr>
        <w:spacing w:line="276" w:lineRule="auto"/>
        <w:ind w:left="720"/>
        <w:jc w:val="both"/>
        <w:rPr>
          <w:rFonts w:ascii="Garamond" w:eastAsia="Palatino Linotype" w:hAnsi="Garamond" w:cs="Palatino Linotype"/>
          <w:strike/>
        </w:rPr>
      </w:pPr>
    </w:p>
    <w:p w:rsidR="0095776A" w:rsidRDefault="0095776A" w:rsidP="0095776A">
      <w:pPr>
        <w:pBdr>
          <w:between w:val="nil"/>
        </w:pBdr>
        <w:ind w:left="720"/>
        <w:jc w:val="both"/>
        <w:rPr>
          <w:rFonts w:ascii="Garamond" w:eastAsia="Palatino Linotype" w:hAnsi="Garamond" w:cs="Palatino Linotype"/>
          <w:b/>
        </w:rPr>
      </w:pPr>
      <w:r w:rsidRPr="00CA08BF">
        <w:rPr>
          <w:rFonts w:ascii="Garamond" w:eastAsia="Palatino Linotype" w:hAnsi="Garamond" w:cs="Palatino Linotype"/>
          <w:b/>
        </w:rPr>
        <w:lastRenderedPageBreak/>
        <w:t xml:space="preserve">Table 2: Snapshot of </w:t>
      </w:r>
      <w:r>
        <w:rPr>
          <w:rFonts w:ascii="Garamond" w:eastAsia="Palatino Linotype" w:hAnsi="Garamond" w:cs="Palatino Linotype"/>
          <w:b/>
        </w:rPr>
        <w:t xml:space="preserve">the </w:t>
      </w:r>
      <w:r w:rsidRPr="00CA08BF">
        <w:rPr>
          <w:rFonts w:ascii="Garamond" w:eastAsia="Palatino Linotype" w:hAnsi="Garamond" w:cs="Palatino Linotype"/>
          <w:b/>
        </w:rPr>
        <w:t>Indian Capital Market</w:t>
      </w:r>
    </w:p>
    <w:tbl>
      <w:tblPr>
        <w:tblW w:w="8217" w:type="dxa"/>
        <w:jc w:val="center"/>
        <w:tblLook w:val="04A0" w:firstRow="1" w:lastRow="0" w:firstColumn="1" w:lastColumn="0" w:noHBand="0" w:noVBand="1"/>
      </w:tblPr>
      <w:tblGrid>
        <w:gridCol w:w="2354"/>
        <w:gridCol w:w="1752"/>
        <w:gridCol w:w="1843"/>
        <w:gridCol w:w="2268"/>
      </w:tblGrid>
      <w:tr w:rsidR="0095776A" w:rsidRPr="00CA08BF" w:rsidTr="00A71EC8">
        <w:trPr>
          <w:trHeight w:val="396"/>
          <w:jc w:val="center"/>
        </w:trPr>
        <w:tc>
          <w:tcPr>
            <w:tcW w:w="2354" w:type="dxa"/>
            <w:tcBorders>
              <w:top w:val="single" w:sz="4" w:space="0" w:color="auto"/>
              <w:left w:val="single" w:sz="4" w:space="0" w:color="auto"/>
              <w:bottom w:val="nil"/>
              <w:right w:val="single" w:sz="4" w:space="0" w:color="auto"/>
            </w:tcBorders>
            <w:shd w:val="clear" w:color="000000" w:fill="92CDDC"/>
            <w:noWrap/>
            <w:vAlign w:val="center"/>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Description</w:t>
            </w:r>
          </w:p>
        </w:tc>
        <w:tc>
          <w:tcPr>
            <w:tcW w:w="1752" w:type="dxa"/>
            <w:tcBorders>
              <w:top w:val="single" w:sz="4" w:space="0" w:color="auto"/>
              <w:left w:val="single" w:sz="4" w:space="0" w:color="auto"/>
              <w:bottom w:val="nil"/>
              <w:right w:val="single" w:sz="4" w:space="0" w:color="auto"/>
            </w:tcBorders>
            <w:shd w:val="clear" w:color="000000" w:fill="92CDDC"/>
            <w:noWrap/>
            <w:vAlign w:val="center"/>
            <w:hideMark/>
          </w:tcPr>
          <w:p w:rsidR="0095776A" w:rsidRPr="00CA08BF" w:rsidRDefault="0095776A" w:rsidP="00A71EC8">
            <w:pPr>
              <w:jc w:val="center"/>
              <w:rPr>
                <w:rFonts w:ascii="Garamond" w:eastAsia="Times New Roman" w:hAnsi="Garamond" w:cs="Calibri"/>
                <w:b/>
                <w:bCs/>
                <w:sz w:val="20"/>
                <w:lang w:val="en-US"/>
              </w:rPr>
            </w:pPr>
            <w:r>
              <w:rPr>
                <w:rFonts w:ascii="Garamond" w:eastAsia="Times New Roman" w:hAnsi="Garamond" w:cs="Calibri"/>
                <w:b/>
                <w:bCs/>
                <w:sz w:val="20"/>
              </w:rPr>
              <w:t>Apr</w:t>
            </w:r>
            <w:r w:rsidRPr="00CA08BF">
              <w:rPr>
                <w:rFonts w:ascii="Garamond" w:eastAsia="Times New Roman" w:hAnsi="Garamond" w:cs="Calibri"/>
                <w:b/>
                <w:bCs/>
                <w:sz w:val="20"/>
              </w:rPr>
              <w:t>-22</w:t>
            </w:r>
          </w:p>
        </w:tc>
        <w:tc>
          <w:tcPr>
            <w:tcW w:w="1843"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95776A" w:rsidRPr="00CA08BF" w:rsidRDefault="0095776A" w:rsidP="00A71EC8">
            <w:pPr>
              <w:jc w:val="center"/>
              <w:rPr>
                <w:rFonts w:ascii="Garamond" w:eastAsia="Times New Roman" w:hAnsi="Garamond" w:cs="Calibri"/>
                <w:b/>
                <w:bCs/>
                <w:sz w:val="20"/>
                <w:lang w:val="en-US"/>
              </w:rPr>
            </w:pPr>
            <w:r>
              <w:rPr>
                <w:rFonts w:ascii="Garamond" w:eastAsia="Times New Roman" w:hAnsi="Garamond" w:cs="Calibri"/>
                <w:b/>
                <w:bCs/>
                <w:sz w:val="20"/>
              </w:rPr>
              <w:t>May</w:t>
            </w:r>
            <w:r w:rsidRPr="00CA08BF">
              <w:rPr>
                <w:rFonts w:ascii="Garamond" w:eastAsia="Times New Roman" w:hAnsi="Garamond" w:cs="Calibri"/>
                <w:b/>
                <w:bCs/>
                <w:sz w:val="20"/>
              </w:rPr>
              <w:t>-22</w:t>
            </w:r>
          </w:p>
        </w:tc>
        <w:tc>
          <w:tcPr>
            <w:tcW w:w="2268"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95776A" w:rsidRPr="00CA08BF" w:rsidRDefault="0095776A" w:rsidP="00A71EC8">
            <w:pPr>
              <w:jc w:val="center"/>
              <w:rPr>
                <w:rFonts w:ascii="Garamond" w:eastAsia="Times New Roman" w:hAnsi="Garamond" w:cs="Calibri"/>
                <w:b/>
                <w:bCs/>
                <w:sz w:val="20"/>
                <w:lang w:val="en-US"/>
              </w:rPr>
            </w:pPr>
            <w:r w:rsidRPr="00CA08BF">
              <w:rPr>
                <w:rFonts w:ascii="Garamond" w:eastAsia="Times New Roman" w:hAnsi="Garamond" w:cs="Calibri"/>
                <w:b/>
                <w:bCs/>
                <w:sz w:val="20"/>
              </w:rPr>
              <w:t>M-o-M variation (%)</w:t>
            </w:r>
          </w:p>
        </w:tc>
      </w:tr>
      <w:tr w:rsidR="0095776A" w:rsidRPr="00CA08BF" w:rsidTr="00A71EC8">
        <w:trPr>
          <w:trHeight w:val="322"/>
          <w:jc w:val="center"/>
        </w:trPr>
        <w:tc>
          <w:tcPr>
            <w:tcW w:w="8217" w:type="dxa"/>
            <w:gridSpan w:val="4"/>
            <w:tcBorders>
              <w:top w:val="single" w:sz="8" w:space="0" w:color="auto"/>
              <w:left w:val="single" w:sz="4" w:space="0" w:color="auto"/>
              <w:bottom w:val="single" w:sz="8" w:space="0" w:color="000000"/>
              <w:right w:val="single" w:sz="4" w:space="0" w:color="auto"/>
            </w:tcBorders>
            <w:shd w:val="clear" w:color="000000" w:fill="C6E0B4"/>
            <w:noWrap/>
            <w:vAlign w:val="center"/>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Equity Market indices</w:t>
            </w:r>
          </w:p>
        </w:tc>
      </w:tr>
      <w:tr w:rsidR="0095776A" w:rsidRPr="00CA08BF" w:rsidTr="00A71EC8">
        <w:trPr>
          <w:trHeight w:val="237"/>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Nifty 50</w:t>
            </w:r>
          </w:p>
        </w:tc>
        <w:tc>
          <w:tcPr>
            <w:tcW w:w="1752"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17,103</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16,585</w:t>
            </w:r>
          </w:p>
        </w:tc>
        <w:tc>
          <w:tcPr>
            <w:tcW w:w="2268"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-3.0</w:t>
            </w:r>
          </w:p>
        </w:tc>
      </w:tr>
      <w:tr w:rsidR="0095776A" w:rsidRPr="00CA08BF" w:rsidTr="00A71EC8">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Sensex</w:t>
            </w:r>
          </w:p>
        </w:tc>
        <w:tc>
          <w:tcPr>
            <w:tcW w:w="1752"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57,061</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55,566</w:t>
            </w:r>
          </w:p>
        </w:tc>
        <w:tc>
          <w:tcPr>
            <w:tcW w:w="2268"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-2.6</w:t>
            </w:r>
          </w:p>
        </w:tc>
      </w:tr>
      <w:tr w:rsidR="0095776A" w:rsidRPr="00CA08BF" w:rsidTr="00A71EC8">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Nifty Midcap 50</w:t>
            </w:r>
          </w:p>
        </w:tc>
        <w:tc>
          <w:tcPr>
            <w:tcW w:w="1752"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8,169</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7,783</w:t>
            </w:r>
          </w:p>
        </w:tc>
        <w:tc>
          <w:tcPr>
            <w:tcW w:w="2268"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-4.7</w:t>
            </w:r>
          </w:p>
        </w:tc>
      </w:tr>
      <w:tr w:rsidR="0095776A" w:rsidRPr="00CA08BF" w:rsidTr="00A71EC8">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Nifty Smallcap 100</w:t>
            </w:r>
          </w:p>
        </w:tc>
        <w:tc>
          <w:tcPr>
            <w:tcW w:w="1752"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10,257</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9,209</w:t>
            </w:r>
          </w:p>
        </w:tc>
        <w:tc>
          <w:tcPr>
            <w:tcW w:w="2268"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-10.2</w:t>
            </w:r>
          </w:p>
        </w:tc>
      </w:tr>
      <w:tr w:rsidR="0095776A" w:rsidRPr="00CA08BF" w:rsidTr="00A71EC8">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BSE Midcap</w:t>
            </w:r>
          </w:p>
        </w:tc>
        <w:tc>
          <w:tcPr>
            <w:tcW w:w="1752"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24,418</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23,144</w:t>
            </w:r>
          </w:p>
        </w:tc>
        <w:tc>
          <w:tcPr>
            <w:tcW w:w="2268"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-5.2</w:t>
            </w:r>
          </w:p>
        </w:tc>
      </w:tr>
      <w:tr w:rsidR="0095776A" w:rsidRPr="00CA08BF" w:rsidTr="00A71EC8">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BSE Smallcap</w:t>
            </w:r>
          </w:p>
        </w:tc>
        <w:tc>
          <w:tcPr>
            <w:tcW w:w="1752" w:type="dxa"/>
            <w:tcBorders>
              <w:top w:val="nil"/>
              <w:left w:val="nil"/>
              <w:bottom w:val="single" w:sz="8" w:space="0" w:color="auto"/>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28,612</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26,371</w:t>
            </w:r>
          </w:p>
        </w:tc>
        <w:tc>
          <w:tcPr>
            <w:tcW w:w="2268"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-7.8</w:t>
            </w:r>
          </w:p>
        </w:tc>
      </w:tr>
      <w:tr w:rsidR="0095776A" w:rsidRPr="00CA08BF" w:rsidTr="00A71EC8">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Market Capitalisation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95776A" w:rsidRPr="00CA08BF" w:rsidTr="00A71EC8">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E97406" w:rsidP="00A71EC8">
            <w:pPr>
              <w:jc w:val="right"/>
              <w:rPr>
                <w:rFonts w:ascii="Garamond" w:eastAsia="Calibri" w:hAnsi="Garamond" w:cs="Calibri"/>
                <w:sz w:val="20"/>
              </w:rPr>
            </w:pPr>
            <w:r>
              <w:rPr>
                <w:rFonts w:ascii="Garamond" w:hAnsi="Garamond" w:cs="Calibri"/>
                <w:sz w:val="20"/>
                <w:szCs w:val="20"/>
              </w:rPr>
              <w:t>2,6</w:t>
            </w:r>
            <w:r w:rsidR="0095776A">
              <w:rPr>
                <w:rFonts w:ascii="Garamond" w:hAnsi="Garamond" w:cs="Calibri"/>
                <w:sz w:val="20"/>
                <w:szCs w:val="20"/>
              </w:rPr>
              <w:t>6</w:t>
            </w:r>
            <w:r>
              <w:rPr>
                <w:rFonts w:ascii="Garamond" w:hAnsi="Garamond" w:cs="Calibri"/>
                <w:sz w:val="20"/>
                <w:szCs w:val="20"/>
              </w:rPr>
              <w:t>,</w:t>
            </w:r>
            <w:r w:rsidR="0095776A">
              <w:rPr>
                <w:rFonts w:ascii="Garamond" w:hAnsi="Garamond" w:cs="Calibri"/>
                <w:sz w:val="20"/>
                <w:szCs w:val="20"/>
              </w:rPr>
              <w:t>97,882</w:t>
            </w:r>
          </w:p>
        </w:tc>
        <w:tc>
          <w:tcPr>
            <w:tcW w:w="1843" w:type="dxa"/>
            <w:tcBorders>
              <w:top w:val="nil"/>
              <w:left w:val="nil"/>
              <w:bottom w:val="nil"/>
              <w:right w:val="single" w:sz="8" w:space="0" w:color="auto"/>
            </w:tcBorders>
            <w:shd w:val="clear" w:color="auto" w:fill="auto"/>
            <w:noWrap/>
            <w:vAlign w:val="center"/>
          </w:tcPr>
          <w:p w:rsidR="0095776A" w:rsidRPr="00CA08BF" w:rsidRDefault="00E97406" w:rsidP="00A71EC8">
            <w:pPr>
              <w:jc w:val="right"/>
              <w:rPr>
                <w:rFonts w:ascii="Garamond" w:eastAsia="Calibri" w:hAnsi="Garamond" w:cs="Calibri"/>
                <w:sz w:val="20"/>
              </w:rPr>
            </w:pPr>
            <w:r>
              <w:rPr>
                <w:rFonts w:ascii="Garamond" w:hAnsi="Garamond" w:cs="Calibri"/>
                <w:sz w:val="20"/>
                <w:szCs w:val="20"/>
              </w:rPr>
              <w:t>2,5</w:t>
            </w:r>
            <w:r w:rsidR="0095776A">
              <w:rPr>
                <w:rFonts w:ascii="Garamond" w:hAnsi="Garamond" w:cs="Calibri"/>
                <w:sz w:val="20"/>
                <w:szCs w:val="20"/>
              </w:rPr>
              <w:t>7</w:t>
            </w:r>
            <w:r>
              <w:rPr>
                <w:rFonts w:ascii="Garamond" w:hAnsi="Garamond" w:cs="Calibri"/>
                <w:sz w:val="20"/>
                <w:szCs w:val="20"/>
              </w:rPr>
              <w:t>,</w:t>
            </w:r>
            <w:r w:rsidR="0095776A">
              <w:rPr>
                <w:rFonts w:ascii="Garamond" w:hAnsi="Garamond" w:cs="Calibri"/>
                <w:sz w:val="20"/>
                <w:szCs w:val="20"/>
              </w:rPr>
              <w:t>78,368</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-3.4</w:t>
            </w:r>
          </w:p>
        </w:tc>
      </w:tr>
      <w:tr w:rsidR="0095776A" w:rsidRPr="00CA08BF" w:rsidTr="00A71EC8">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single" w:sz="8" w:space="0" w:color="auto"/>
              <w:right w:val="single" w:sz="8" w:space="0" w:color="auto"/>
            </w:tcBorders>
            <w:shd w:val="clear" w:color="auto" w:fill="auto"/>
            <w:noWrap/>
            <w:vAlign w:val="center"/>
            <w:hideMark/>
          </w:tcPr>
          <w:p w:rsidR="0095776A" w:rsidRPr="00CA08BF" w:rsidRDefault="00E97406" w:rsidP="00A71EC8">
            <w:pPr>
              <w:jc w:val="right"/>
              <w:rPr>
                <w:rFonts w:ascii="Garamond" w:eastAsia="Calibri" w:hAnsi="Garamond" w:cs="Calibri"/>
                <w:sz w:val="20"/>
              </w:rPr>
            </w:pPr>
            <w:r>
              <w:rPr>
                <w:rFonts w:ascii="Garamond" w:hAnsi="Garamond" w:cs="Calibri"/>
                <w:sz w:val="20"/>
                <w:szCs w:val="20"/>
              </w:rPr>
              <w:t>2,6</w:t>
            </w:r>
            <w:r w:rsidR="0095776A">
              <w:rPr>
                <w:rFonts w:ascii="Garamond" w:hAnsi="Garamond" w:cs="Calibri"/>
                <w:sz w:val="20"/>
                <w:szCs w:val="20"/>
              </w:rPr>
              <w:t>4</w:t>
            </w:r>
            <w:r>
              <w:rPr>
                <w:rFonts w:ascii="Garamond" w:hAnsi="Garamond" w:cs="Calibri"/>
                <w:sz w:val="20"/>
                <w:szCs w:val="20"/>
              </w:rPr>
              <w:t>,</w:t>
            </w:r>
            <w:r w:rsidR="0095776A">
              <w:rPr>
                <w:rFonts w:ascii="Garamond" w:hAnsi="Garamond" w:cs="Calibri"/>
                <w:sz w:val="20"/>
                <w:szCs w:val="20"/>
              </w:rPr>
              <w:t>59,285</w:t>
            </w:r>
          </w:p>
        </w:tc>
        <w:tc>
          <w:tcPr>
            <w:tcW w:w="1843" w:type="dxa"/>
            <w:tcBorders>
              <w:top w:val="nil"/>
              <w:left w:val="nil"/>
              <w:bottom w:val="nil"/>
              <w:right w:val="single" w:sz="8" w:space="0" w:color="auto"/>
            </w:tcBorders>
            <w:shd w:val="clear" w:color="auto" w:fill="auto"/>
            <w:noWrap/>
            <w:vAlign w:val="center"/>
          </w:tcPr>
          <w:p w:rsidR="0095776A" w:rsidRPr="00CA08BF" w:rsidRDefault="00E97406" w:rsidP="00A71EC8">
            <w:pPr>
              <w:jc w:val="right"/>
              <w:rPr>
                <w:rFonts w:ascii="Garamond" w:eastAsia="Calibri" w:hAnsi="Garamond" w:cs="Calibri"/>
                <w:sz w:val="20"/>
              </w:rPr>
            </w:pPr>
            <w:r>
              <w:rPr>
                <w:rFonts w:ascii="Garamond" w:hAnsi="Garamond" w:cs="Calibri"/>
                <w:sz w:val="20"/>
                <w:szCs w:val="20"/>
              </w:rPr>
              <w:t>2,5</w:t>
            </w:r>
            <w:r w:rsidR="0095776A">
              <w:rPr>
                <w:rFonts w:ascii="Garamond" w:hAnsi="Garamond" w:cs="Calibri"/>
                <w:sz w:val="20"/>
                <w:szCs w:val="20"/>
              </w:rPr>
              <w:t>5</w:t>
            </w:r>
            <w:r>
              <w:rPr>
                <w:rFonts w:ascii="Garamond" w:hAnsi="Garamond" w:cs="Calibri"/>
                <w:sz w:val="20"/>
                <w:szCs w:val="20"/>
              </w:rPr>
              <w:t>,</w:t>
            </w:r>
            <w:r w:rsidR="0095776A">
              <w:rPr>
                <w:rFonts w:ascii="Garamond" w:hAnsi="Garamond" w:cs="Calibri"/>
                <w:sz w:val="20"/>
                <w:szCs w:val="20"/>
              </w:rPr>
              <w:t>68,863</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-3.4</w:t>
            </w:r>
          </w:p>
        </w:tc>
      </w:tr>
      <w:tr w:rsidR="0095776A" w:rsidRPr="00CA08BF" w:rsidTr="00A71EC8">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P/E Ratio</w:t>
            </w:r>
          </w:p>
        </w:tc>
      </w:tr>
      <w:tr w:rsidR="0095776A" w:rsidRPr="00CA08BF" w:rsidTr="00A71EC8">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Sensex</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25.4</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22.5</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-11.3</w:t>
            </w:r>
          </w:p>
        </w:tc>
      </w:tr>
      <w:tr w:rsidR="0095776A" w:rsidRPr="00CA08BF" w:rsidTr="00A71EC8">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Nifty 50</w:t>
            </w:r>
          </w:p>
        </w:tc>
        <w:tc>
          <w:tcPr>
            <w:tcW w:w="1752" w:type="dxa"/>
            <w:tcBorders>
              <w:top w:val="nil"/>
              <w:left w:val="nil"/>
              <w:bottom w:val="single" w:sz="8" w:space="0" w:color="auto"/>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22.7</w:t>
            </w:r>
          </w:p>
        </w:tc>
        <w:tc>
          <w:tcPr>
            <w:tcW w:w="1843" w:type="dxa"/>
            <w:tcBorders>
              <w:top w:val="nil"/>
              <w:left w:val="nil"/>
              <w:bottom w:val="single" w:sz="8" w:space="0" w:color="auto"/>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20.4</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-10.1</w:t>
            </w:r>
          </w:p>
        </w:tc>
      </w:tr>
      <w:tr w:rsidR="0095776A" w:rsidRPr="00CA08BF" w:rsidTr="00A71EC8">
        <w:trPr>
          <w:trHeight w:val="297"/>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No of Listed Companies</w:t>
            </w:r>
          </w:p>
        </w:tc>
      </w:tr>
      <w:tr w:rsidR="0095776A" w:rsidRPr="00CA08BF" w:rsidTr="00A71EC8">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4"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5,358</w:t>
            </w:r>
          </w:p>
        </w:tc>
        <w:tc>
          <w:tcPr>
            <w:tcW w:w="1843" w:type="dxa"/>
            <w:tcBorders>
              <w:left w:val="single" w:sz="4" w:space="0" w:color="auto"/>
              <w:right w:val="single" w:sz="4" w:space="0" w:color="auto"/>
            </w:tcBorders>
            <w:shd w:val="clear" w:color="000000" w:fill="FFFFFF"/>
            <w:noWrap/>
            <w:vAlign w:val="bottom"/>
          </w:tcPr>
          <w:p w:rsidR="0095776A" w:rsidRPr="00CA08BF" w:rsidRDefault="0095776A" w:rsidP="00A71EC8">
            <w:pPr>
              <w:jc w:val="right"/>
              <w:rPr>
                <w:rFonts w:ascii="Garamond" w:eastAsia="Calibri" w:hAnsi="Garamond" w:cs="Calibri"/>
                <w:sz w:val="20"/>
              </w:rPr>
            </w:pPr>
            <w:r>
              <w:rPr>
                <w:rFonts w:ascii="Garamond" w:hAnsi="Garamond" w:cs="Calibri"/>
                <w:sz w:val="20"/>
                <w:szCs w:val="20"/>
              </w:rPr>
              <w:t>5,373</w:t>
            </w:r>
          </w:p>
        </w:tc>
        <w:tc>
          <w:tcPr>
            <w:tcW w:w="2268" w:type="dxa"/>
            <w:tcBorders>
              <w:top w:val="nil"/>
              <w:left w:val="single" w:sz="4" w:space="0" w:color="auto"/>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0.3</w:t>
            </w:r>
          </w:p>
        </w:tc>
      </w:tr>
      <w:tr w:rsidR="0095776A" w:rsidRPr="00CA08BF" w:rsidTr="00A71EC8">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2,079</w:t>
            </w:r>
          </w:p>
        </w:tc>
        <w:tc>
          <w:tcPr>
            <w:tcW w:w="1843" w:type="dxa"/>
            <w:tcBorders>
              <w:top w:val="nil"/>
              <w:left w:val="nil"/>
              <w:bottom w:val="nil"/>
              <w:right w:val="single" w:sz="8" w:space="0" w:color="auto"/>
            </w:tcBorders>
            <w:shd w:val="clear" w:color="000000" w:fill="FFFFFF"/>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2,092</w:t>
            </w:r>
          </w:p>
        </w:tc>
        <w:tc>
          <w:tcPr>
            <w:tcW w:w="2268"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0.6</w:t>
            </w:r>
          </w:p>
        </w:tc>
      </w:tr>
      <w:tr w:rsidR="0095776A" w:rsidRPr="00CA08BF" w:rsidTr="00A71EC8">
        <w:trPr>
          <w:trHeight w:val="372"/>
          <w:jc w:val="center"/>
        </w:trPr>
        <w:tc>
          <w:tcPr>
            <w:tcW w:w="8217" w:type="dxa"/>
            <w:gridSpan w:val="4"/>
            <w:tcBorders>
              <w:top w:val="single" w:sz="8" w:space="0" w:color="auto"/>
              <w:left w:val="single" w:sz="4" w:space="0" w:color="auto"/>
              <w:bottom w:val="single" w:sz="8" w:space="0" w:color="auto"/>
              <w:right w:val="single" w:sz="4" w:space="0" w:color="auto"/>
            </w:tcBorders>
            <w:shd w:val="clear" w:color="auto" w:fill="C5E0B3"/>
            <w:noWrap/>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Gross Turnover in Equity Cash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95776A" w:rsidRPr="00CA08BF" w:rsidTr="00A71EC8">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w:t>
            </w:r>
            <w:r w:rsidR="00E97406">
              <w:rPr>
                <w:rFonts w:ascii="Garamond" w:hAnsi="Garamond" w:cs="Calibri"/>
                <w:sz w:val="20"/>
                <w:szCs w:val="20"/>
              </w:rPr>
              <w:t>,</w:t>
            </w:r>
            <w:r>
              <w:rPr>
                <w:rFonts w:ascii="Garamond" w:hAnsi="Garamond" w:cs="Calibri"/>
                <w:sz w:val="20"/>
                <w:szCs w:val="20"/>
              </w:rPr>
              <w:t>00,830</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88,035</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-12.7</w:t>
            </w:r>
          </w:p>
        </w:tc>
      </w:tr>
      <w:tr w:rsidR="0095776A" w:rsidRPr="00CA08BF" w:rsidTr="00A71EC8">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single" w:sz="8" w:space="0" w:color="auto"/>
              <w:right w:val="single" w:sz="8" w:space="0" w:color="auto"/>
            </w:tcBorders>
            <w:shd w:val="clear" w:color="auto" w:fill="auto"/>
            <w:noWrap/>
            <w:vAlign w:val="center"/>
            <w:hideMark/>
          </w:tcPr>
          <w:p w:rsidR="0095776A" w:rsidRPr="00CA08BF" w:rsidRDefault="00E97406" w:rsidP="00A71EC8">
            <w:pPr>
              <w:jc w:val="right"/>
              <w:rPr>
                <w:rFonts w:ascii="Garamond" w:eastAsia="Calibri" w:hAnsi="Garamond" w:cs="Calibri"/>
                <w:sz w:val="20"/>
              </w:rPr>
            </w:pPr>
            <w:r>
              <w:rPr>
                <w:rFonts w:ascii="Garamond" w:hAnsi="Garamond" w:cs="Calibri"/>
                <w:sz w:val="20"/>
                <w:szCs w:val="20"/>
              </w:rPr>
              <w:t>1</w:t>
            </w:r>
            <w:r w:rsidR="0095776A">
              <w:rPr>
                <w:rFonts w:ascii="Garamond" w:hAnsi="Garamond" w:cs="Calibri"/>
                <w:sz w:val="20"/>
                <w:szCs w:val="20"/>
              </w:rPr>
              <w:t>2</w:t>
            </w:r>
            <w:r>
              <w:rPr>
                <w:rFonts w:ascii="Garamond" w:hAnsi="Garamond" w:cs="Calibri"/>
                <w:sz w:val="20"/>
                <w:szCs w:val="20"/>
              </w:rPr>
              <w:t>,</w:t>
            </w:r>
            <w:r w:rsidR="0095776A">
              <w:rPr>
                <w:rFonts w:ascii="Garamond" w:hAnsi="Garamond" w:cs="Calibri"/>
                <w:sz w:val="20"/>
                <w:szCs w:val="20"/>
              </w:rPr>
              <w:t>92,243</w:t>
            </w:r>
          </w:p>
        </w:tc>
        <w:tc>
          <w:tcPr>
            <w:tcW w:w="1843" w:type="dxa"/>
            <w:tcBorders>
              <w:top w:val="nil"/>
              <w:left w:val="nil"/>
              <w:bottom w:val="nil"/>
              <w:right w:val="single" w:sz="8" w:space="0" w:color="auto"/>
            </w:tcBorders>
            <w:shd w:val="clear" w:color="auto" w:fill="auto"/>
            <w:noWrap/>
            <w:vAlign w:val="center"/>
          </w:tcPr>
          <w:p w:rsidR="0095776A" w:rsidRPr="00CA08BF" w:rsidRDefault="00E97406" w:rsidP="00A71EC8">
            <w:pPr>
              <w:jc w:val="right"/>
              <w:rPr>
                <w:rFonts w:ascii="Garamond" w:eastAsia="Calibri" w:hAnsi="Garamond" w:cs="Calibri"/>
                <w:sz w:val="20"/>
              </w:rPr>
            </w:pPr>
            <w:r>
              <w:rPr>
                <w:rFonts w:ascii="Garamond" w:hAnsi="Garamond" w:cs="Calibri"/>
                <w:sz w:val="20"/>
                <w:szCs w:val="20"/>
              </w:rPr>
              <w:t>1</w:t>
            </w:r>
            <w:r w:rsidR="0095776A">
              <w:rPr>
                <w:rFonts w:ascii="Garamond" w:hAnsi="Garamond" w:cs="Calibri"/>
                <w:sz w:val="20"/>
                <w:szCs w:val="20"/>
              </w:rPr>
              <w:t>2</w:t>
            </w:r>
            <w:r>
              <w:rPr>
                <w:rFonts w:ascii="Garamond" w:hAnsi="Garamond" w:cs="Calibri"/>
                <w:sz w:val="20"/>
                <w:szCs w:val="20"/>
              </w:rPr>
              <w:t>,</w:t>
            </w:r>
            <w:r w:rsidR="0095776A">
              <w:rPr>
                <w:rFonts w:ascii="Garamond" w:hAnsi="Garamond" w:cs="Calibri"/>
                <w:sz w:val="20"/>
                <w:szCs w:val="20"/>
              </w:rPr>
              <w:t>11,220</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-6.3</w:t>
            </w:r>
          </w:p>
        </w:tc>
      </w:tr>
      <w:tr w:rsidR="0095776A" w:rsidRPr="00CA08BF" w:rsidTr="00A71EC8">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Gross Turnover in Equity Derivatives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95776A" w:rsidRPr="00CA08BF" w:rsidTr="00A71EC8">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28</w:t>
            </w:r>
            <w:r w:rsidR="002C4F79">
              <w:rPr>
                <w:rFonts w:ascii="Garamond" w:hAnsi="Garamond" w:cs="Calibri"/>
                <w:sz w:val="20"/>
                <w:szCs w:val="20"/>
              </w:rPr>
              <w:t>,</w:t>
            </w:r>
            <w:r>
              <w:rPr>
                <w:rFonts w:ascii="Garamond" w:hAnsi="Garamond" w:cs="Calibri"/>
                <w:sz w:val="20"/>
                <w:szCs w:val="20"/>
              </w:rPr>
              <w:t>85,525</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w:t>
            </w:r>
            <w:r w:rsidR="002C4F79">
              <w:rPr>
                <w:rFonts w:ascii="Garamond" w:hAnsi="Garamond" w:cs="Calibri"/>
                <w:sz w:val="20"/>
                <w:szCs w:val="20"/>
              </w:rPr>
              <w:t>,</w:t>
            </w:r>
            <w:r>
              <w:rPr>
                <w:rFonts w:ascii="Garamond" w:hAnsi="Garamond" w:cs="Calibri"/>
                <w:sz w:val="20"/>
                <w:szCs w:val="20"/>
              </w:rPr>
              <w:t>90,697</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-89.9</w:t>
            </w:r>
          </w:p>
        </w:tc>
      </w:tr>
      <w:tr w:rsidR="0095776A" w:rsidRPr="00CA08BF" w:rsidTr="00A71EC8">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single" w:sz="8" w:space="0" w:color="auto"/>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19</w:t>
            </w:r>
            <w:r w:rsidR="002C4F79">
              <w:rPr>
                <w:rFonts w:ascii="Garamond" w:hAnsi="Garamond" w:cs="Calibri"/>
                <w:sz w:val="20"/>
                <w:szCs w:val="20"/>
              </w:rPr>
              <w:t>,</w:t>
            </w:r>
            <w:r>
              <w:rPr>
                <w:rFonts w:ascii="Garamond" w:hAnsi="Garamond" w:cs="Calibri"/>
                <w:sz w:val="20"/>
                <w:szCs w:val="20"/>
              </w:rPr>
              <w:t>84</w:t>
            </w:r>
            <w:r w:rsidR="002C4F79">
              <w:rPr>
                <w:rFonts w:ascii="Garamond" w:hAnsi="Garamond" w:cs="Calibri"/>
                <w:sz w:val="20"/>
                <w:szCs w:val="20"/>
              </w:rPr>
              <w:t>,</w:t>
            </w:r>
            <w:r>
              <w:rPr>
                <w:rFonts w:ascii="Garamond" w:hAnsi="Garamond" w:cs="Calibri"/>
                <w:sz w:val="20"/>
                <w:szCs w:val="20"/>
              </w:rPr>
              <w:t>61,455</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21</w:t>
            </w:r>
            <w:r w:rsidR="002C4F79">
              <w:rPr>
                <w:rFonts w:ascii="Garamond" w:hAnsi="Garamond" w:cs="Calibri"/>
                <w:sz w:val="20"/>
                <w:szCs w:val="20"/>
              </w:rPr>
              <w:t>,</w:t>
            </w:r>
            <w:r>
              <w:rPr>
                <w:rFonts w:ascii="Garamond" w:hAnsi="Garamond" w:cs="Calibri"/>
                <w:sz w:val="20"/>
                <w:szCs w:val="20"/>
              </w:rPr>
              <w:t>86</w:t>
            </w:r>
            <w:r w:rsidR="002C4F79">
              <w:rPr>
                <w:rFonts w:ascii="Garamond" w:hAnsi="Garamond" w:cs="Calibri"/>
                <w:sz w:val="20"/>
                <w:szCs w:val="20"/>
              </w:rPr>
              <w:t>,</w:t>
            </w:r>
            <w:r>
              <w:rPr>
                <w:rFonts w:ascii="Garamond" w:hAnsi="Garamond" w:cs="Calibri"/>
                <w:sz w:val="20"/>
                <w:szCs w:val="20"/>
              </w:rPr>
              <w:t>28,061</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10.2</w:t>
            </w:r>
          </w:p>
        </w:tc>
      </w:tr>
      <w:tr w:rsidR="0095776A" w:rsidRPr="00CA08BF" w:rsidTr="00A71EC8">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Gross Turnover in Currency Derivatives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95776A" w:rsidRPr="00CA08BF" w:rsidTr="00A71EC8">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5</w:t>
            </w:r>
            <w:r w:rsidR="002C4F79">
              <w:rPr>
                <w:rFonts w:ascii="Garamond" w:hAnsi="Garamond" w:cs="Calibri"/>
                <w:sz w:val="20"/>
                <w:szCs w:val="20"/>
              </w:rPr>
              <w:t>,</w:t>
            </w:r>
            <w:r>
              <w:rPr>
                <w:rFonts w:ascii="Garamond" w:hAnsi="Garamond" w:cs="Calibri"/>
                <w:sz w:val="20"/>
                <w:szCs w:val="20"/>
              </w:rPr>
              <w:t>29,398</w:t>
            </w:r>
          </w:p>
        </w:tc>
        <w:tc>
          <w:tcPr>
            <w:tcW w:w="1843" w:type="dxa"/>
            <w:tcBorders>
              <w:top w:val="nil"/>
              <w:left w:val="nil"/>
              <w:bottom w:val="nil"/>
              <w:right w:val="single" w:sz="8" w:space="0" w:color="auto"/>
            </w:tcBorders>
            <w:shd w:val="clear" w:color="auto" w:fill="auto"/>
            <w:noWrap/>
            <w:vAlign w:val="bottom"/>
          </w:tcPr>
          <w:p w:rsidR="0095776A" w:rsidRPr="00CA08BF" w:rsidRDefault="0095776A" w:rsidP="00A71EC8">
            <w:pPr>
              <w:jc w:val="right"/>
              <w:rPr>
                <w:rFonts w:ascii="Garamond" w:eastAsia="Calibri" w:hAnsi="Garamond" w:cs="Calibri"/>
                <w:sz w:val="20"/>
              </w:rPr>
            </w:pPr>
            <w:r>
              <w:rPr>
                <w:rFonts w:ascii="Garamond" w:hAnsi="Garamond" w:cs="Calibri"/>
                <w:sz w:val="20"/>
                <w:szCs w:val="20"/>
              </w:rPr>
              <w:t>4</w:t>
            </w:r>
            <w:r w:rsidR="002C4F79">
              <w:rPr>
                <w:rFonts w:ascii="Garamond" w:hAnsi="Garamond" w:cs="Calibri"/>
                <w:sz w:val="20"/>
                <w:szCs w:val="20"/>
              </w:rPr>
              <w:t>,</w:t>
            </w:r>
            <w:r>
              <w:rPr>
                <w:rFonts w:ascii="Garamond" w:hAnsi="Garamond" w:cs="Calibri"/>
                <w:sz w:val="20"/>
                <w:szCs w:val="20"/>
              </w:rPr>
              <w:t>34,633</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-17.9</w:t>
            </w:r>
          </w:p>
        </w:tc>
      </w:tr>
      <w:tr w:rsidR="0095776A" w:rsidRPr="00CA08BF" w:rsidTr="00A71EC8">
        <w:trPr>
          <w:trHeight w:val="249"/>
          <w:jc w:val="center"/>
        </w:trPr>
        <w:tc>
          <w:tcPr>
            <w:tcW w:w="2354" w:type="dxa"/>
            <w:tcBorders>
              <w:top w:val="nil"/>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23</w:t>
            </w:r>
            <w:r w:rsidR="002C4F79">
              <w:rPr>
                <w:rFonts w:ascii="Garamond" w:hAnsi="Garamond" w:cs="Calibri"/>
                <w:sz w:val="20"/>
                <w:szCs w:val="20"/>
              </w:rPr>
              <w:t>,</w:t>
            </w:r>
            <w:r>
              <w:rPr>
                <w:rFonts w:ascii="Garamond" w:hAnsi="Garamond" w:cs="Calibri"/>
                <w:sz w:val="20"/>
                <w:szCs w:val="20"/>
              </w:rPr>
              <w:t>34,570</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22</w:t>
            </w:r>
            <w:r w:rsidR="002C4F79">
              <w:rPr>
                <w:rFonts w:ascii="Garamond" w:hAnsi="Garamond" w:cs="Calibri"/>
                <w:sz w:val="20"/>
                <w:szCs w:val="20"/>
              </w:rPr>
              <w:t>,</w:t>
            </w:r>
            <w:r>
              <w:rPr>
                <w:rFonts w:ascii="Garamond" w:hAnsi="Garamond" w:cs="Calibri"/>
                <w:sz w:val="20"/>
                <w:szCs w:val="20"/>
              </w:rPr>
              <w:t>10,792</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-5.3</w:t>
            </w:r>
          </w:p>
        </w:tc>
      </w:tr>
      <w:tr w:rsidR="0095776A" w:rsidRPr="00CA08BF" w:rsidTr="00A71EC8">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MSEI</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6,106</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4,865</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-20.3</w:t>
            </w:r>
          </w:p>
        </w:tc>
      </w:tr>
      <w:tr w:rsidR="0095776A" w:rsidRPr="00CA08BF" w:rsidTr="00A71EC8">
        <w:trPr>
          <w:trHeight w:val="249"/>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C5E0B3"/>
            <w:noWrap/>
            <w:hideMark/>
          </w:tcPr>
          <w:p w:rsidR="0095776A" w:rsidRPr="00CA08BF" w:rsidRDefault="0095776A" w:rsidP="00A71EC8">
            <w:pPr>
              <w:rPr>
                <w:rFonts w:ascii="Garamond" w:eastAsia="Times New Roman" w:hAnsi="Garamond" w:cs="Calibri"/>
                <w:b/>
                <w:bCs/>
                <w:sz w:val="20"/>
                <w:lang w:val="en-US"/>
              </w:rPr>
            </w:pPr>
            <w:r w:rsidRPr="00CA08BF">
              <w:rPr>
                <w:rFonts w:ascii="Garamond" w:eastAsia="Times New Roman" w:hAnsi="Garamond" w:cs="Calibri"/>
                <w:b/>
                <w:bCs/>
                <w:sz w:val="20"/>
              </w:rPr>
              <w:t>Gross Turnover in Interest Rate Derivatives Segment (</w:t>
            </w:r>
            <w:r w:rsidRPr="00CA08BF">
              <w:rPr>
                <w:rFonts w:ascii="Times New Roman" w:eastAsia="Times New Roman" w:hAnsi="Times New Roman"/>
                <w:b/>
                <w:bCs/>
                <w:sz w:val="20"/>
              </w:rPr>
              <w:t>₹</w:t>
            </w:r>
            <w:r w:rsidRPr="00CA08BF">
              <w:rPr>
                <w:rFonts w:ascii="Garamond" w:eastAsia="Times New Roman" w:hAnsi="Garamond" w:cs="Calibri"/>
                <w:b/>
                <w:bCs/>
                <w:sz w:val="20"/>
              </w:rPr>
              <w:t xml:space="preserve"> crore)</w:t>
            </w:r>
          </w:p>
        </w:tc>
      </w:tr>
      <w:tr w:rsidR="0095776A" w:rsidRPr="00CA08BF" w:rsidTr="00A71EC8">
        <w:trPr>
          <w:trHeight w:val="249"/>
          <w:jc w:val="center"/>
        </w:trPr>
        <w:tc>
          <w:tcPr>
            <w:tcW w:w="2354" w:type="dxa"/>
            <w:tcBorders>
              <w:top w:val="single" w:sz="4" w:space="0" w:color="auto"/>
              <w:left w:val="single" w:sz="4" w:space="0" w:color="auto"/>
              <w:bottom w:val="nil"/>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 xml:space="preserve">BSE </w:t>
            </w:r>
          </w:p>
        </w:tc>
        <w:tc>
          <w:tcPr>
            <w:tcW w:w="1752"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1,200</w:t>
            </w:r>
          </w:p>
        </w:tc>
        <w:tc>
          <w:tcPr>
            <w:tcW w:w="1843" w:type="dxa"/>
            <w:tcBorders>
              <w:top w:val="nil"/>
              <w:left w:val="nil"/>
              <w:bottom w:val="nil"/>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938</w:t>
            </w:r>
          </w:p>
        </w:tc>
        <w:tc>
          <w:tcPr>
            <w:tcW w:w="2268" w:type="dxa"/>
            <w:tcBorders>
              <w:top w:val="nil"/>
              <w:left w:val="nil"/>
              <w:bottom w:val="nil"/>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-21.9</w:t>
            </w:r>
          </w:p>
        </w:tc>
      </w:tr>
      <w:tr w:rsidR="0095776A" w:rsidRPr="00CA08BF" w:rsidTr="00A71EC8">
        <w:trPr>
          <w:trHeight w:val="249"/>
          <w:jc w:val="center"/>
        </w:trPr>
        <w:tc>
          <w:tcPr>
            <w:tcW w:w="2354" w:type="dxa"/>
            <w:tcBorders>
              <w:top w:val="nil"/>
              <w:left w:val="single" w:sz="4" w:space="0" w:color="auto"/>
              <w:bottom w:val="single" w:sz="4" w:space="0" w:color="auto"/>
              <w:right w:val="single" w:sz="4" w:space="0" w:color="auto"/>
            </w:tcBorders>
            <w:shd w:val="clear" w:color="auto" w:fill="auto"/>
            <w:noWrap/>
            <w:hideMark/>
          </w:tcPr>
          <w:p w:rsidR="0095776A" w:rsidRPr="00CA08BF" w:rsidRDefault="0095776A" w:rsidP="00A71EC8">
            <w:pPr>
              <w:rPr>
                <w:rFonts w:ascii="Garamond" w:eastAsia="Times New Roman" w:hAnsi="Garamond" w:cs="Calibri"/>
                <w:sz w:val="20"/>
                <w:lang w:val="en-US"/>
              </w:rPr>
            </w:pPr>
            <w:r w:rsidRPr="00CA08BF">
              <w:rPr>
                <w:rFonts w:ascii="Garamond" w:eastAsia="Times New Roman" w:hAnsi="Garamond" w:cs="Calibri"/>
                <w:sz w:val="20"/>
              </w:rPr>
              <w:t>NSE</w:t>
            </w:r>
          </w:p>
        </w:tc>
        <w:tc>
          <w:tcPr>
            <w:tcW w:w="1752" w:type="dxa"/>
            <w:tcBorders>
              <w:top w:val="nil"/>
              <w:left w:val="single" w:sz="8" w:space="0" w:color="auto"/>
              <w:bottom w:val="single" w:sz="8" w:space="0" w:color="auto"/>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3,564</w:t>
            </w:r>
          </w:p>
        </w:tc>
        <w:tc>
          <w:tcPr>
            <w:tcW w:w="1843" w:type="dxa"/>
            <w:tcBorders>
              <w:top w:val="nil"/>
              <w:left w:val="single" w:sz="8" w:space="0" w:color="auto"/>
              <w:bottom w:val="single" w:sz="8" w:space="0" w:color="auto"/>
              <w:right w:val="single" w:sz="8" w:space="0" w:color="auto"/>
            </w:tcBorders>
            <w:shd w:val="clear" w:color="auto" w:fill="auto"/>
            <w:noWrap/>
            <w:vAlign w:val="center"/>
          </w:tcPr>
          <w:p w:rsidR="0095776A" w:rsidRPr="00CA08BF" w:rsidRDefault="0095776A" w:rsidP="00A71EC8">
            <w:pPr>
              <w:jc w:val="right"/>
              <w:rPr>
                <w:rFonts w:ascii="Garamond" w:eastAsia="Calibri" w:hAnsi="Garamond" w:cs="Calibri"/>
                <w:sz w:val="20"/>
              </w:rPr>
            </w:pPr>
            <w:r>
              <w:rPr>
                <w:rFonts w:ascii="Garamond" w:hAnsi="Garamond" w:cs="Calibri"/>
                <w:sz w:val="20"/>
                <w:szCs w:val="20"/>
              </w:rPr>
              <w:t>1,642</w:t>
            </w:r>
          </w:p>
        </w:tc>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95776A" w:rsidRPr="00CA08BF" w:rsidRDefault="0095776A" w:rsidP="00A71EC8">
            <w:pPr>
              <w:jc w:val="right"/>
              <w:rPr>
                <w:rFonts w:ascii="Garamond" w:eastAsia="Calibri" w:hAnsi="Garamond" w:cs="Calibri"/>
                <w:sz w:val="20"/>
              </w:rPr>
            </w:pPr>
            <w:r>
              <w:rPr>
                <w:rFonts w:ascii="Garamond" w:hAnsi="Garamond" w:cs="Calibri"/>
                <w:sz w:val="20"/>
                <w:szCs w:val="20"/>
              </w:rPr>
              <w:t>-53.9</w:t>
            </w:r>
          </w:p>
        </w:tc>
      </w:tr>
    </w:tbl>
    <w:p w:rsidR="0095776A" w:rsidRPr="008850C7" w:rsidRDefault="0095776A" w:rsidP="0095776A">
      <w:pPr>
        <w:pBdr>
          <w:between w:val="nil"/>
        </w:pBdr>
        <w:spacing w:line="276" w:lineRule="auto"/>
        <w:rPr>
          <w:rFonts w:ascii="Garamond" w:eastAsia="Palatino Linotype" w:hAnsi="Garamond" w:cs="Palatino Linotype"/>
          <w:bCs/>
          <w:i/>
          <w:iCs/>
          <w:szCs w:val="22"/>
        </w:rPr>
      </w:pPr>
      <w:r w:rsidRPr="00CA08BF">
        <w:rPr>
          <w:rFonts w:ascii="Garamond" w:eastAsia="Calibri" w:hAnsi="Garamond"/>
          <w:szCs w:val="22"/>
        </w:rPr>
        <w:t xml:space="preserve">               </w:t>
      </w:r>
      <w:r w:rsidRPr="008850C7">
        <w:rPr>
          <w:rFonts w:ascii="Garamond" w:eastAsia="Palatino Linotype" w:hAnsi="Garamond" w:cs="Palatino Linotype"/>
          <w:b/>
          <w:i/>
          <w:iCs/>
          <w:szCs w:val="22"/>
        </w:rPr>
        <w:t xml:space="preserve">Source: </w:t>
      </w:r>
      <w:r w:rsidRPr="008850C7">
        <w:rPr>
          <w:rFonts w:ascii="Garamond" w:eastAsia="Palatino Linotype" w:hAnsi="Garamond" w:cs="Palatino Linotype"/>
          <w:bCs/>
          <w:i/>
          <w:iCs/>
          <w:szCs w:val="22"/>
        </w:rPr>
        <w:t>BSE, NSE and MSEI</w:t>
      </w: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BF08CE" w:rsidRDefault="00BF08CE"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Default="0095776A" w:rsidP="0095776A">
      <w:pPr>
        <w:pBdr>
          <w:between w:val="nil"/>
        </w:pBdr>
        <w:spacing w:line="276" w:lineRule="auto"/>
        <w:rPr>
          <w:rFonts w:ascii="Garamond" w:eastAsia="Palatino Linotype" w:hAnsi="Garamond" w:cs="Palatino Linotype"/>
          <w:bCs/>
          <w:szCs w:val="22"/>
        </w:rPr>
      </w:pPr>
    </w:p>
    <w:p w:rsidR="0095776A" w:rsidRPr="00CA08BF" w:rsidRDefault="0095776A" w:rsidP="00655C89">
      <w:pPr>
        <w:pBdr>
          <w:between w:val="nil"/>
        </w:pBdr>
        <w:spacing w:line="276" w:lineRule="auto"/>
        <w:ind w:left="720" w:hanging="720"/>
        <w:jc w:val="center"/>
        <w:rPr>
          <w:rFonts w:ascii="Garamond" w:eastAsia="Palatino Linotype" w:hAnsi="Garamond" w:cs="Palatino Linotype"/>
          <w:b/>
        </w:rPr>
      </w:pPr>
      <w:r w:rsidRPr="00655C89">
        <w:rPr>
          <w:rFonts w:ascii="Garamond" w:eastAsia="Palatino Linotype" w:hAnsi="Garamond" w:cs="Palatino Linotype"/>
          <w:b/>
        </w:rPr>
        <w:lastRenderedPageBreak/>
        <w:t>Figure 1: Movement of S&amp;P BSE Sensex and Nifty 50</w:t>
      </w:r>
      <w:r w:rsidRPr="00655C89">
        <w:rPr>
          <w:rFonts w:ascii="Garamond" w:eastAsia="Palatino Linotype" w:hAnsi="Garamond" w:cs="Palatino Linotype"/>
          <w:b/>
        </w:rPr>
        <w:tab/>
      </w:r>
    </w:p>
    <w:p w:rsidR="0095776A" w:rsidRPr="00CA08BF" w:rsidRDefault="0095776A" w:rsidP="0095776A">
      <w:pPr>
        <w:spacing w:line="276" w:lineRule="auto"/>
        <w:rPr>
          <w:rFonts w:ascii="Garamond" w:eastAsia="Palatino Linotype" w:hAnsi="Garamond" w:cs="Palatino Linotype"/>
          <w:b/>
        </w:rPr>
      </w:pPr>
      <w:r>
        <w:rPr>
          <w:noProof/>
          <w:lang w:val="en-US" w:bidi="hi-IN"/>
        </w:rPr>
        <w:drawing>
          <wp:inline distT="0" distB="0" distL="0" distR="0" wp14:anchorId="35E0B3F4" wp14:editId="08645F47">
            <wp:extent cx="6278880" cy="2603500"/>
            <wp:effectExtent l="0" t="0" r="7620" b="6350"/>
            <wp:docPr id="4" name="Chart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D507601-3DEE-4635-98BE-2ED256656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776A" w:rsidRPr="00CA08BF" w:rsidRDefault="0095776A" w:rsidP="0095776A">
      <w:pPr>
        <w:spacing w:line="276" w:lineRule="auto"/>
        <w:rPr>
          <w:rFonts w:ascii="Garamond" w:eastAsia="Palatino Linotype" w:hAnsi="Garamond" w:cs="Palatino Linotype"/>
          <w:bCs/>
          <w:i/>
          <w:iCs/>
          <w:szCs w:val="22"/>
        </w:rPr>
      </w:pPr>
      <w:r w:rsidRPr="00CA08BF">
        <w:rPr>
          <w:rFonts w:ascii="Garamond" w:eastAsia="Palatino Linotype" w:hAnsi="Garamond" w:cs="Palatino Linotype"/>
          <w:bCs/>
          <w:i/>
          <w:iCs/>
          <w:szCs w:val="22"/>
        </w:rPr>
        <w:t xml:space="preserve">Note: The closing values of Nifty 50 and Sensex have been rebased with respective closing values of last day of the previous month. </w:t>
      </w:r>
    </w:p>
    <w:p w:rsidR="0095776A" w:rsidRPr="00CA08BF" w:rsidRDefault="0095776A" w:rsidP="0095776A">
      <w:pPr>
        <w:spacing w:line="276" w:lineRule="auto"/>
        <w:rPr>
          <w:rFonts w:ascii="Garamond" w:eastAsia="Palatino Linotype" w:hAnsi="Garamond" w:cs="Palatino Linotype"/>
          <w:b/>
          <w:szCs w:val="22"/>
        </w:rPr>
      </w:pPr>
      <w:r w:rsidRPr="00CA08BF">
        <w:rPr>
          <w:rFonts w:ascii="Garamond" w:eastAsia="Palatino Linotype" w:hAnsi="Garamond" w:cs="Palatino Linotype"/>
          <w:b/>
          <w:szCs w:val="22"/>
        </w:rPr>
        <w:t xml:space="preserve">Source: </w:t>
      </w:r>
      <w:r w:rsidRPr="00CA08BF">
        <w:rPr>
          <w:rFonts w:ascii="Garamond" w:eastAsia="Palatino Linotype" w:hAnsi="Garamond" w:cs="Palatino Linotype"/>
          <w:bCs/>
          <w:szCs w:val="22"/>
        </w:rPr>
        <w:t>BSE and NSE</w:t>
      </w:r>
    </w:p>
    <w:p w:rsidR="0095776A" w:rsidRPr="00CA08BF" w:rsidRDefault="0095776A" w:rsidP="0095776A">
      <w:pPr>
        <w:spacing w:line="276" w:lineRule="auto"/>
        <w:jc w:val="center"/>
        <w:rPr>
          <w:rFonts w:ascii="Garamond" w:eastAsia="Palatino Linotype" w:hAnsi="Garamond" w:cs="Palatino Linotype"/>
          <w:b/>
          <w:strike/>
        </w:rPr>
      </w:pPr>
    </w:p>
    <w:p w:rsidR="0095776A" w:rsidRPr="00CA08BF" w:rsidRDefault="0095776A" w:rsidP="0095776A">
      <w:pPr>
        <w:pBdr>
          <w:between w:val="nil"/>
        </w:pBdr>
        <w:spacing w:line="276" w:lineRule="auto"/>
        <w:ind w:left="720" w:hanging="720"/>
        <w:jc w:val="center"/>
        <w:rPr>
          <w:rFonts w:ascii="Garamond" w:eastAsia="Palatino Linotype" w:hAnsi="Garamond" w:cs="Palatino Linotype"/>
          <w:b/>
        </w:rPr>
      </w:pPr>
      <w:r w:rsidRPr="00CA08BF">
        <w:rPr>
          <w:rFonts w:ascii="Garamond" w:eastAsia="Palatino Linotype" w:hAnsi="Garamond" w:cs="Palatino Linotype"/>
          <w:b/>
        </w:rPr>
        <w:t xml:space="preserve">Figure 2: Trends in Average Daily Turnover of </w:t>
      </w:r>
      <w:r w:rsidR="002C4F79">
        <w:rPr>
          <w:rFonts w:ascii="Garamond" w:eastAsia="Palatino Linotype" w:hAnsi="Garamond" w:cs="Palatino Linotype"/>
          <w:b/>
        </w:rPr>
        <w:t>at</w:t>
      </w:r>
      <w:r w:rsidRPr="00CA08BF">
        <w:rPr>
          <w:rFonts w:ascii="Garamond" w:eastAsia="Palatino Linotype" w:hAnsi="Garamond" w:cs="Palatino Linotype"/>
          <w:b/>
        </w:rPr>
        <w:t xml:space="preserve"> Equity Cash Segment</w:t>
      </w:r>
      <w:r w:rsidR="002C4F79">
        <w:rPr>
          <w:rFonts w:ascii="Garamond" w:eastAsia="Palatino Linotype" w:hAnsi="Garamond" w:cs="Palatino Linotype"/>
          <w:b/>
        </w:rPr>
        <w:t xml:space="preserve"> of Exchanges</w:t>
      </w:r>
    </w:p>
    <w:p w:rsidR="0095776A" w:rsidRDefault="0095776A" w:rsidP="0095776A">
      <w:pPr>
        <w:spacing w:line="276" w:lineRule="auto"/>
        <w:rPr>
          <w:rFonts w:ascii="Garamond" w:eastAsia="Palatino Linotype" w:hAnsi="Garamond" w:cs="Palatino Linotype"/>
          <w:bCs/>
          <w:szCs w:val="22"/>
        </w:rPr>
      </w:pPr>
      <w:r>
        <w:rPr>
          <w:noProof/>
          <w:lang w:val="en-US" w:bidi="hi-IN"/>
        </w:rPr>
        <w:drawing>
          <wp:inline distT="0" distB="0" distL="0" distR="0" wp14:anchorId="0DA7CCC9" wp14:editId="7967F204">
            <wp:extent cx="6140375" cy="3077023"/>
            <wp:effectExtent l="0" t="0" r="13335" b="9525"/>
            <wp:docPr id="7" name="Chart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776A" w:rsidRPr="00CA08BF" w:rsidRDefault="0095776A" w:rsidP="0095776A">
      <w:pPr>
        <w:spacing w:line="276" w:lineRule="auto"/>
        <w:rPr>
          <w:rFonts w:ascii="Garamond" w:eastAsia="Palatino Linotype" w:hAnsi="Garamond" w:cs="Palatino Linotype"/>
          <w:bCs/>
          <w:szCs w:val="22"/>
        </w:rPr>
      </w:pPr>
      <w:r w:rsidRPr="00CA08BF">
        <w:rPr>
          <w:rFonts w:ascii="Garamond" w:eastAsia="Palatino Linotype" w:hAnsi="Garamond" w:cs="Palatino Linotype"/>
          <w:bCs/>
          <w:szCs w:val="22"/>
        </w:rPr>
        <w:t xml:space="preserve"> Note: ADT implies Average Daily Turnover</w:t>
      </w:r>
    </w:p>
    <w:p w:rsidR="0095776A" w:rsidRPr="00CA08BF" w:rsidRDefault="0095776A" w:rsidP="0095776A">
      <w:pPr>
        <w:spacing w:line="276" w:lineRule="auto"/>
        <w:rPr>
          <w:rFonts w:ascii="Garamond" w:eastAsia="Palatino Linotype" w:hAnsi="Garamond" w:cs="Palatino Linotype"/>
          <w:bCs/>
          <w:szCs w:val="22"/>
        </w:rPr>
      </w:pPr>
      <w:r w:rsidRPr="00CA08BF">
        <w:rPr>
          <w:rFonts w:ascii="Garamond" w:eastAsia="Palatino Linotype" w:hAnsi="Garamond" w:cs="Palatino Linotype"/>
          <w:b/>
          <w:szCs w:val="22"/>
        </w:rPr>
        <w:t xml:space="preserve">      Source: </w:t>
      </w:r>
      <w:r w:rsidRPr="00CA08BF">
        <w:rPr>
          <w:rFonts w:ascii="Garamond" w:eastAsia="Palatino Linotype" w:hAnsi="Garamond" w:cs="Palatino Linotype"/>
          <w:bCs/>
          <w:szCs w:val="22"/>
        </w:rPr>
        <w:t>BSE and NSE</w:t>
      </w:r>
    </w:p>
    <w:p w:rsidR="0095776A" w:rsidRPr="00CA08BF" w:rsidRDefault="0095776A" w:rsidP="0095776A">
      <w:pPr>
        <w:spacing w:line="276" w:lineRule="auto"/>
        <w:rPr>
          <w:rFonts w:ascii="Garamond" w:eastAsia="Palatino Linotype" w:hAnsi="Garamond" w:cs="Palatino Linotype"/>
          <w:b/>
          <w:strike/>
        </w:rPr>
      </w:pPr>
    </w:p>
    <w:p w:rsidR="0095776A" w:rsidRDefault="0095776A" w:rsidP="0095776A">
      <w:pPr>
        <w:numPr>
          <w:ilvl w:val="0"/>
          <w:numId w:val="1"/>
        </w:numPr>
        <w:spacing w:line="276" w:lineRule="auto"/>
        <w:ind w:left="714" w:hanging="357"/>
        <w:jc w:val="both"/>
        <w:rPr>
          <w:rFonts w:ascii="Garamond" w:eastAsia="Palatino Linotype" w:hAnsi="Garamond" w:cs="Palatino Linotype"/>
        </w:rPr>
      </w:pPr>
      <w:r w:rsidRPr="00CA08BF">
        <w:rPr>
          <w:rFonts w:ascii="Garamond" w:eastAsia="Palatino Linotype" w:hAnsi="Garamond" w:cs="Palatino Linotype"/>
        </w:rPr>
        <w:t xml:space="preserve">The gross turnover in the equity cash segment fell by </w:t>
      </w:r>
      <w:r>
        <w:rPr>
          <w:rFonts w:ascii="Garamond" w:eastAsia="Palatino Linotype" w:hAnsi="Garamond" w:cs="Palatino Linotype"/>
        </w:rPr>
        <w:t>12.7</w:t>
      </w:r>
      <w:r w:rsidRPr="00CA08BF">
        <w:rPr>
          <w:rFonts w:ascii="Garamond" w:eastAsia="Palatino Linotype" w:hAnsi="Garamond" w:cs="Palatino Linotype"/>
        </w:rPr>
        <w:t xml:space="preserve"> per cent at BSE and 6.</w:t>
      </w:r>
      <w:r>
        <w:rPr>
          <w:rFonts w:ascii="Garamond" w:eastAsia="Palatino Linotype" w:hAnsi="Garamond" w:cs="Palatino Linotype"/>
        </w:rPr>
        <w:t>3</w:t>
      </w:r>
      <w:r w:rsidRPr="00CA08BF">
        <w:rPr>
          <w:rFonts w:ascii="Garamond" w:eastAsia="Palatino Linotype" w:hAnsi="Garamond" w:cs="Palatino Linotype"/>
        </w:rPr>
        <w:t xml:space="preserve"> per cent at NSE in </w:t>
      </w:r>
      <w:r>
        <w:rPr>
          <w:rFonts w:ascii="Garamond" w:eastAsia="Palatino Linotype" w:hAnsi="Garamond" w:cs="Palatino Linotype"/>
        </w:rPr>
        <w:t xml:space="preserve">May </w:t>
      </w:r>
      <w:r w:rsidRPr="00CA08BF">
        <w:rPr>
          <w:rFonts w:ascii="Garamond" w:eastAsia="Palatino Linotype" w:hAnsi="Garamond" w:cs="Palatino Linotype"/>
        </w:rPr>
        <w:t xml:space="preserve">2022 over previous month. </w:t>
      </w:r>
    </w:p>
    <w:p w:rsidR="0095776A" w:rsidRPr="00CA08BF" w:rsidRDefault="0095776A" w:rsidP="0095776A">
      <w:pPr>
        <w:spacing w:line="276" w:lineRule="auto"/>
        <w:ind w:left="714"/>
        <w:jc w:val="both"/>
        <w:rPr>
          <w:rFonts w:ascii="Garamond" w:eastAsia="Palatino Linotype" w:hAnsi="Garamond" w:cs="Palatino Linotype"/>
        </w:rPr>
      </w:pPr>
    </w:p>
    <w:p w:rsidR="0095776A" w:rsidRPr="00CA08BF" w:rsidRDefault="0095776A" w:rsidP="0095776A">
      <w:pPr>
        <w:numPr>
          <w:ilvl w:val="0"/>
          <w:numId w:val="1"/>
        </w:numPr>
        <w:spacing w:line="276" w:lineRule="auto"/>
        <w:ind w:left="714" w:hanging="357"/>
        <w:jc w:val="both"/>
        <w:rPr>
          <w:rFonts w:ascii="Garamond" w:eastAsia="Palatino Linotype" w:hAnsi="Garamond" w:cs="Palatino Linotype"/>
        </w:rPr>
      </w:pPr>
      <w:r w:rsidRPr="00CA08BF">
        <w:rPr>
          <w:rFonts w:ascii="Garamond" w:eastAsia="Palatino Linotype" w:hAnsi="Garamond" w:cs="Palatino Linotype"/>
        </w:rPr>
        <w:t>During</w:t>
      </w:r>
      <w:r>
        <w:rPr>
          <w:rFonts w:ascii="Garamond" w:eastAsia="Palatino Linotype" w:hAnsi="Garamond" w:cs="Palatino Linotype"/>
        </w:rPr>
        <w:t xml:space="preserve"> May 2022, BSE Auto showed positive returns of 4.93 per cent. Among the selected indices the lowest return was shown by Metal (at -16.41) and followed by Power (at -11.50) and Consumer Durables (at -10.94). </w:t>
      </w:r>
      <w:r w:rsidRPr="00CA08BF">
        <w:rPr>
          <w:rFonts w:ascii="Garamond" w:eastAsia="Palatino Linotype" w:hAnsi="Garamond" w:cs="Palatino Linotype"/>
        </w:rPr>
        <w:t xml:space="preserve">The average daily volatility and monthly returns for these select BSE indices for </w:t>
      </w:r>
      <w:r w:rsidR="00046848">
        <w:rPr>
          <w:rFonts w:ascii="Garamond" w:eastAsia="Palatino Linotype" w:hAnsi="Garamond" w:cs="Palatino Linotype"/>
        </w:rPr>
        <w:t>May</w:t>
      </w:r>
      <w:r w:rsidR="00046848" w:rsidRPr="00CA08BF">
        <w:rPr>
          <w:rFonts w:ascii="Garamond" w:eastAsia="Palatino Linotype" w:hAnsi="Garamond" w:cs="Palatino Linotype"/>
        </w:rPr>
        <w:t xml:space="preserve"> </w:t>
      </w:r>
      <w:r w:rsidRPr="00CA08BF">
        <w:rPr>
          <w:rFonts w:ascii="Garamond" w:eastAsia="Palatino Linotype" w:hAnsi="Garamond" w:cs="Palatino Linotype"/>
        </w:rPr>
        <w:t>2022 are illustrated in Figure 3.</w:t>
      </w:r>
    </w:p>
    <w:p w:rsidR="0095776A" w:rsidRPr="00CA08BF" w:rsidRDefault="0095776A" w:rsidP="0095776A">
      <w:pPr>
        <w:spacing w:line="276" w:lineRule="auto"/>
        <w:jc w:val="center"/>
        <w:rPr>
          <w:rFonts w:ascii="Garamond" w:eastAsia="Palatino Linotype" w:hAnsi="Garamond" w:cs="Palatino Linotype"/>
          <w:b/>
          <w:strike/>
        </w:rPr>
      </w:pPr>
    </w:p>
    <w:p w:rsidR="0095776A" w:rsidRDefault="0095776A" w:rsidP="0095776A">
      <w:pPr>
        <w:spacing w:line="276" w:lineRule="auto"/>
        <w:jc w:val="center"/>
        <w:rPr>
          <w:rFonts w:ascii="Garamond" w:eastAsia="Palatino Linotype" w:hAnsi="Garamond" w:cs="Palatino Linotype"/>
          <w:b/>
        </w:rPr>
      </w:pPr>
      <w:r w:rsidRPr="00CA08BF">
        <w:rPr>
          <w:rFonts w:ascii="Garamond" w:eastAsia="Palatino Linotype" w:hAnsi="Garamond" w:cs="Palatino Linotype"/>
          <w:b/>
        </w:rPr>
        <w:t xml:space="preserve">Figure 3: Trends of BSE Sectoral Indices during </w:t>
      </w:r>
      <w:r>
        <w:rPr>
          <w:rFonts w:ascii="Garamond" w:eastAsia="Palatino Linotype" w:hAnsi="Garamond" w:cs="Palatino Linotype"/>
          <w:b/>
        </w:rPr>
        <w:t xml:space="preserve">May </w:t>
      </w:r>
      <w:r w:rsidRPr="00CA08BF">
        <w:rPr>
          <w:rFonts w:ascii="Garamond" w:eastAsia="Palatino Linotype" w:hAnsi="Garamond" w:cs="Palatino Linotype"/>
          <w:b/>
        </w:rPr>
        <w:t>2022 (per cent)</w:t>
      </w:r>
    </w:p>
    <w:p w:rsidR="0095776A" w:rsidRDefault="0095776A" w:rsidP="0095776A">
      <w:pPr>
        <w:spacing w:line="276" w:lineRule="auto"/>
        <w:jc w:val="center"/>
        <w:rPr>
          <w:rFonts w:ascii="Garamond" w:eastAsia="Palatino Linotype" w:hAnsi="Garamond" w:cs="Palatino Linotype"/>
          <w:b/>
        </w:rPr>
      </w:pPr>
      <w:r>
        <w:rPr>
          <w:noProof/>
          <w:lang w:val="en-US" w:bidi="hi-IN"/>
        </w:rPr>
        <w:drawing>
          <wp:inline distT="0" distB="0" distL="0" distR="0" wp14:anchorId="23BC69BB" wp14:editId="0E310287">
            <wp:extent cx="6516806" cy="1917511"/>
            <wp:effectExtent l="0" t="0" r="17780" b="6985"/>
            <wp:docPr id="2" name="Chart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776A" w:rsidRPr="00CA08BF" w:rsidRDefault="0095776A" w:rsidP="0095776A">
      <w:pPr>
        <w:tabs>
          <w:tab w:val="left" w:pos="567"/>
        </w:tabs>
        <w:spacing w:line="276" w:lineRule="auto"/>
        <w:rPr>
          <w:rFonts w:ascii="Garamond" w:eastAsia="Palatino Linotype" w:hAnsi="Garamond" w:cs="Palatino Linotype"/>
          <w:b/>
        </w:rPr>
      </w:pPr>
      <w:r w:rsidRPr="00CA08BF">
        <w:rPr>
          <w:rFonts w:ascii="Garamond" w:eastAsia="Palatino Linotype" w:hAnsi="Garamond" w:cs="Palatino Linotype"/>
          <w:b/>
        </w:rPr>
        <w:t xml:space="preserve">       </w:t>
      </w:r>
      <w:r w:rsidRPr="00CA08BF">
        <w:rPr>
          <w:rFonts w:ascii="Garamond" w:eastAsia="Palatino Linotype" w:hAnsi="Garamond" w:cs="Palatino Linotype"/>
          <w:b/>
        </w:rPr>
        <w:tab/>
      </w:r>
      <w:r w:rsidRPr="00CA08BF">
        <w:rPr>
          <w:rFonts w:ascii="Garamond" w:eastAsia="Palatino Linotype" w:hAnsi="Garamond" w:cs="Palatino Linotype"/>
          <w:b/>
          <w:szCs w:val="22"/>
        </w:rPr>
        <w:t>Source:</w:t>
      </w:r>
      <w:r w:rsidRPr="00CA08BF">
        <w:rPr>
          <w:rFonts w:ascii="Garamond" w:eastAsia="Palatino Linotype" w:hAnsi="Garamond" w:cs="Palatino Linotype"/>
          <w:b/>
        </w:rPr>
        <w:t xml:space="preserve"> </w:t>
      </w:r>
      <w:r>
        <w:rPr>
          <w:rFonts w:ascii="Garamond" w:eastAsia="Palatino Linotype" w:hAnsi="Garamond" w:cs="Palatino Linotype"/>
          <w:bCs/>
        </w:rPr>
        <w:t>Refinitiv</w:t>
      </w:r>
    </w:p>
    <w:p w:rsidR="0095776A" w:rsidRPr="00CA08BF" w:rsidRDefault="0095776A" w:rsidP="0095776A">
      <w:pPr>
        <w:pBdr>
          <w:between w:val="nil"/>
        </w:pBdr>
        <w:spacing w:line="276" w:lineRule="auto"/>
        <w:ind w:left="709" w:hanging="720"/>
        <w:rPr>
          <w:rFonts w:ascii="Garamond" w:eastAsia="Palatino Linotype" w:hAnsi="Garamond" w:cs="Palatino Linotype"/>
          <w:b/>
        </w:rPr>
      </w:pPr>
    </w:p>
    <w:p w:rsidR="0095776A" w:rsidRPr="00CA08BF" w:rsidRDefault="0095776A" w:rsidP="0095776A">
      <w:pPr>
        <w:numPr>
          <w:ilvl w:val="0"/>
          <w:numId w:val="1"/>
        </w:numPr>
        <w:contextualSpacing/>
        <w:jc w:val="both"/>
        <w:rPr>
          <w:rFonts w:ascii="Garamond" w:eastAsia="Palatino Linotype" w:hAnsi="Garamond" w:cs="Palatino Linotype"/>
        </w:rPr>
      </w:pPr>
      <w:r w:rsidRPr="00CA08BF">
        <w:rPr>
          <w:rFonts w:ascii="Garamond" w:eastAsia="Palatino Linotype" w:hAnsi="Garamond" w:cs="Palatino Linotype"/>
        </w:rPr>
        <w:t xml:space="preserve">During </w:t>
      </w:r>
      <w:r>
        <w:rPr>
          <w:rFonts w:ascii="Garamond" w:eastAsia="Palatino Linotype" w:hAnsi="Garamond" w:cs="Palatino Linotype"/>
        </w:rPr>
        <w:t xml:space="preserve">May </w:t>
      </w:r>
      <w:r w:rsidRPr="00CA08BF">
        <w:rPr>
          <w:rFonts w:ascii="Garamond" w:eastAsia="Palatino Linotype" w:hAnsi="Garamond" w:cs="Palatino Linotype"/>
        </w:rPr>
        <w:t>2022</w:t>
      </w:r>
      <w:r>
        <w:rPr>
          <w:rFonts w:ascii="Garamond" w:eastAsia="Palatino Linotype" w:hAnsi="Garamond" w:cs="Palatino Linotype"/>
        </w:rPr>
        <w:t xml:space="preserve">, most of the selected indices showed negative returns. Nifty FMCG (at 1.33) </w:t>
      </w:r>
      <w:r w:rsidR="00046848">
        <w:rPr>
          <w:rFonts w:ascii="Garamond" w:eastAsia="Palatino Linotype" w:hAnsi="Garamond" w:cs="Palatino Linotype"/>
        </w:rPr>
        <w:t xml:space="preserve">exhibited </w:t>
      </w:r>
      <w:r>
        <w:rPr>
          <w:rFonts w:ascii="Garamond" w:eastAsia="Palatino Linotype" w:hAnsi="Garamond" w:cs="Palatino Linotype"/>
        </w:rPr>
        <w:t xml:space="preserve">positive return </w:t>
      </w:r>
      <w:r w:rsidR="00046848">
        <w:rPr>
          <w:rFonts w:ascii="Garamond" w:eastAsia="Palatino Linotype" w:hAnsi="Garamond" w:cs="Palatino Linotype"/>
        </w:rPr>
        <w:t xml:space="preserve">. </w:t>
      </w:r>
      <w:r>
        <w:rPr>
          <w:rFonts w:ascii="Garamond" w:eastAsia="Palatino Linotype" w:hAnsi="Garamond" w:cs="Palatino Linotype"/>
        </w:rPr>
        <w:t xml:space="preserve"> Returns of Nifty Energy were </w:t>
      </w:r>
      <w:r w:rsidR="00046848">
        <w:rPr>
          <w:rFonts w:ascii="Garamond" w:eastAsia="Palatino Linotype" w:hAnsi="Garamond" w:cs="Palatino Linotype"/>
        </w:rPr>
        <w:t>negative</w:t>
      </w:r>
      <w:r>
        <w:rPr>
          <w:rFonts w:ascii="Garamond" w:eastAsia="Palatino Linotype" w:hAnsi="Garamond" w:cs="Palatino Linotype"/>
        </w:rPr>
        <w:t xml:space="preserve"> at -10.33 per cent.</w:t>
      </w:r>
      <w:r w:rsidR="00046848">
        <w:rPr>
          <w:rFonts w:ascii="Garamond" w:eastAsia="Palatino Linotype" w:hAnsi="Garamond" w:cs="Palatino Linotype"/>
        </w:rPr>
        <w:t xml:space="preserve"> </w:t>
      </w:r>
      <w:r>
        <w:rPr>
          <w:rFonts w:ascii="Garamond" w:eastAsia="Palatino Linotype" w:hAnsi="Garamond" w:cs="Palatino Linotype"/>
        </w:rPr>
        <w:t>Realty (at -7.22), PSU (at -6.63), Service Sector (at -3.32), and Bank (at -0.8) all showed negative returns.</w:t>
      </w:r>
      <w:r w:rsidRPr="00CA08BF">
        <w:rPr>
          <w:rFonts w:ascii="Garamond" w:eastAsia="Palatino Linotype" w:hAnsi="Garamond" w:cs="Palatino Linotype"/>
        </w:rPr>
        <w:t xml:space="preserve"> The average daily volatility and monthly returns of these select NSE indices for </w:t>
      </w:r>
      <w:r>
        <w:rPr>
          <w:rFonts w:ascii="Garamond" w:eastAsia="Palatino Linotype" w:hAnsi="Garamond" w:cs="Palatino Linotype"/>
        </w:rPr>
        <w:t xml:space="preserve">May </w:t>
      </w:r>
      <w:r w:rsidRPr="00CA08BF">
        <w:rPr>
          <w:rFonts w:ascii="Garamond" w:eastAsia="Palatino Linotype" w:hAnsi="Garamond" w:cs="Palatino Linotype"/>
        </w:rPr>
        <w:t>2022 are illustrated in Figure 4.</w:t>
      </w:r>
    </w:p>
    <w:p w:rsidR="0095776A" w:rsidRPr="00CA08BF" w:rsidRDefault="0095776A" w:rsidP="0095776A">
      <w:pPr>
        <w:pBdr>
          <w:between w:val="nil"/>
        </w:pBdr>
        <w:spacing w:line="276" w:lineRule="auto"/>
        <w:jc w:val="center"/>
        <w:rPr>
          <w:rFonts w:ascii="Garamond" w:eastAsia="Palatino Linotype" w:hAnsi="Garamond" w:cs="Palatino Linotype"/>
          <w:b/>
        </w:rPr>
      </w:pPr>
    </w:p>
    <w:p w:rsidR="0095776A" w:rsidRDefault="0095776A" w:rsidP="0095776A">
      <w:pPr>
        <w:pBdr>
          <w:between w:val="nil"/>
        </w:pBdr>
        <w:spacing w:line="276" w:lineRule="auto"/>
        <w:jc w:val="center"/>
        <w:rPr>
          <w:rFonts w:ascii="Garamond" w:eastAsia="Palatino Linotype" w:hAnsi="Garamond" w:cs="Palatino Linotype"/>
          <w:b/>
        </w:rPr>
      </w:pPr>
      <w:r w:rsidRPr="00CA08BF">
        <w:rPr>
          <w:rFonts w:ascii="Garamond" w:eastAsia="Palatino Linotype" w:hAnsi="Garamond" w:cs="Palatino Linotype"/>
          <w:b/>
        </w:rPr>
        <w:t xml:space="preserve">Figure 4: Trends of NSE Sectoral Indices during </w:t>
      </w:r>
      <w:r>
        <w:rPr>
          <w:rFonts w:ascii="Garamond" w:eastAsia="Palatino Linotype" w:hAnsi="Garamond" w:cs="Palatino Linotype"/>
          <w:b/>
        </w:rPr>
        <w:t xml:space="preserve">May </w:t>
      </w:r>
      <w:r w:rsidRPr="00CA08BF">
        <w:rPr>
          <w:rFonts w:ascii="Garamond" w:eastAsia="Palatino Linotype" w:hAnsi="Garamond" w:cs="Palatino Linotype"/>
          <w:b/>
        </w:rPr>
        <w:t>2022 (per cent)</w:t>
      </w:r>
    </w:p>
    <w:p w:rsidR="0095776A" w:rsidRPr="00CA08BF" w:rsidRDefault="0095776A" w:rsidP="0095776A">
      <w:pPr>
        <w:pBdr>
          <w:between w:val="nil"/>
        </w:pBdr>
        <w:spacing w:line="276" w:lineRule="auto"/>
        <w:jc w:val="center"/>
        <w:rPr>
          <w:rFonts w:ascii="Garamond" w:eastAsia="Palatino Linotype" w:hAnsi="Garamond" w:cs="Palatino Linotype"/>
          <w:b/>
        </w:rPr>
      </w:pPr>
      <w:r>
        <w:rPr>
          <w:noProof/>
          <w:lang w:val="en-US" w:bidi="hi-IN"/>
        </w:rPr>
        <w:drawing>
          <wp:inline distT="0" distB="0" distL="0" distR="0" wp14:anchorId="093AB57C" wp14:editId="2C51119E">
            <wp:extent cx="6632812" cy="2286000"/>
            <wp:effectExtent l="0" t="0" r="15875" b="0"/>
            <wp:docPr id="5" name="Chart 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776A" w:rsidRPr="00CA08BF" w:rsidRDefault="0095776A" w:rsidP="0095776A">
      <w:pPr>
        <w:tabs>
          <w:tab w:val="left" w:pos="4005"/>
        </w:tabs>
        <w:ind w:left="567"/>
        <w:rPr>
          <w:rFonts w:ascii="Garamond" w:eastAsia="Palatino Linotype" w:hAnsi="Garamond" w:cs="Palatino Linotype"/>
          <w:bCs/>
          <w:szCs w:val="22"/>
        </w:rPr>
      </w:pPr>
      <w:r w:rsidRPr="00CA08BF">
        <w:rPr>
          <w:rFonts w:ascii="Garamond" w:eastAsia="Palatino Linotype" w:hAnsi="Garamond" w:cs="Palatino Linotype"/>
          <w:b/>
          <w:szCs w:val="22"/>
        </w:rPr>
        <w:t xml:space="preserve">Source: </w:t>
      </w:r>
      <w:r>
        <w:rPr>
          <w:rFonts w:ascii="Garamond" w:eastAsia="Palatino Linotype" w:hAnsi="Garamond" w:cs="Palatino Linotype"/>
          <w:bCs/>
          <w:szCs w:val="22"/>
        </w:rPr>
        <w:t>Refinitiv</w:t>
      </w:r>
    </w:p>
    <w:p w:rsidR="0095776A" w:rsidRDefault="0095776A" w:rsidP="0095776A">
      <w:pPr>
        <w:tabs>
          <w:tab w:val="left" w:pos="4005"/>
        </w:tabs>
        <w:rPr>
          <w:rFonts w:ascii="Garamond" w:eastAsia="Palatino Linotype" w:hAnsi="Garamond" w:cs="Palatino Linotype"/>
          <w:b/>
        </w:rPr>
      </w:pPr>
    </w:p>
    <w:p w:rsidR="0095776A" w:rsidRPr="00E97406" w:rsidRDefault="0095776A" w:rsidP="0095776A">
      <w:pPr>
        <w:widowControl w:val="0"/>
        <w:numPr>
          <w:ilvl w:val="0"/>
          <w:numId w:val="2"/>
        </w:numPr>
        <w:spacing w:line="276" w:lineRule="auto"/>
        <w:ind w:left="454" w:hanging="454"/>
        <w:rPr>
          <w:rFonts w:ascii="Garamond" w:eastAsia="Palatino Linotype" w:hAnsi="Garamond" w:cs="Palatino Linotype"/>
          <w:b/>
          <w:szCs w:val="22"/>
        </w:rPr>
      </w:pPr>
      <w:r w:rsidRPr="00E97406">
        <w:rPr>
          <w:rFonts w:ascii="Garamond" w:eastAsia="Palatino Linotype" w:hAnsi="Garamond" w:cs="Palatino Linotype"/>
          <w:b/>
          <w:szCs w:val="22"/>
        </w:rPr>
        <w:t xml:space="preserve">Trends in Depository Accounts </w:t>
      </w:r>
    </w:p>
    <w:p w:rsidR="0095776A" w:rsidRPr="008040D7" w:rsidRDefault="0095776A" w:rsidP="0095776A">
      <w:pPr>
        <w:widowControl w:val="0"/>
        <w:spacing w:line="276" w:lineRule="auto"/>
        <w:ind w:left="454"/>
        <w:rPr>
          <w:rFonts w:ascii="Garamond" w:eastAsia="Palatino Linotype" w:hAnsi="Garamond" w:cs="Palatino Linotype"/>
          <w:bCs/>
          <w:color w:val="FF0000"/>
          <w:szCs w:val="22"/>
        </w:rPr>
      </w:pPr>
    </w:p>
    <w:p w:rsidR="00D65B54" w:rsidRDefault="0095776A" w:rsidP="0095776A">
      <w:pPr>
        <w:tabs>
          <w:tab w:val="left" w:pos="4005"/>
        </w:tabs>
        <w:ind w:left="567"/>
        <w:rPr>
          <w:rFonts w:ascii="Garamond" w:eastAsia="Palatino Linotype" w:hAnsi="Garamond" w:cs="Palatino Linotype"/>
          <w:bCs/>
          <w:szCs w:val="22"/>
        </w:rPr>
      </w:pPr>
      <w:r w:rsidRPr="00D65B54">
        <w:rPr>
          <w:rFonts w:ascii="Garamond" w:eastAsia="Palatino Linotype" w:hAnsi="Garamond" w:cs="Palatino Linotype"/>
          <w:bCs/>
          <w:szCs w:val="22"/>
        </w:rPr>
        <w:t xml:space="preserve">During May 2022, NSDL added </w:t>
      </w:r>
      <w:r w:rsidR="00D65B54" w:rsidRPr="00D42F8D">
        <w:rPr>
          <w:rFonts w:ascii="Garamond" w:eastAsia="Palatino Linotype" w:hAnsi="Garamond" w:cs="Palatino Linotype"/>
          <w:bCs/>
          <w:szCs w:val="22"/>
        </w:rPr>
        <w:t>4</w:t>
      </w:r>
      <w:r w:rsidRPr="00D65B54">
        <w:rPr>
          <w:rFonts w:ascii="Garamond" w:eastAsia="Palatino Linotype" w:hAnsi="Garamond" w:cs="Palatino Linotype"/>
          <w:bCs/>
          <w:szCs w:val="22"/>
        </w:rPr>
        <w:t xml:space="preserve"> lakh demat accounts while CDSL added </w:t>
      </w:r>
      <w:r w:rsidR="00D65B54" w:rsidRPr="00D42F8D">
        <w:rPr>
          <w:rFonts w:ascii="Garamond" w:eastAsia="Palatino Linotype" w:hAnsi="Garamond" w:cs="Palatino Linotype"/>
          <w:bCs/>
          <w:szCs w:val="22"/>
        </w:rPr>
        <w:t>21</w:t>
      </w:r>
      <w:r w:rsidRPr="00D65B54">
        <w:rPr>
          <w:rFonts w:ascii="Garamond" w:eastAsia="Palatino Linotype" w:hAnsi="Garamond" w:cs="Palatino Linotype"/>
          <w:bCs/>
          <w:szCs w:val="22"/>
        </w:rPr>
        <w:t xml:space="preserve"> lakh demat accounts. </w:t>
      </w:r>
      <w:r w:rsidR="00D65B54" w:rsidRPr="00D42F8D">
        <w:rPr>
          <w:rFonts w:ascii="Garamond" w:eastAsia="Palatino Linotype" w:hAnsi="Garamond" w:cs="Palatino Linotype"/>
          <w:bCs/>
          <w:szCs w:val="22"/>
        </w:rPr>
        <w:t>At the end of May 31,</w:t>
      </w:r>
      <w:r w:rsidR="00D65B54">
        <w:rPr>
          <w:rFonts w:ascii="Garamond" w:eastAsia="Palatino Linotype" w:hAnsi="Garamond" w:cs="Palatino Linotype"/>
          <w:bCs/>
          <w:szCs w:val="22"/>
        </w:rPr>
        <w:t xml:space="preserve"> </w:t>
      </w:r>
      <w:r w:rsidR="00D65B54" w:rsidRPr="00D42F8D">
        <w:rPr>
          <w:rFonts w:ascii="Garamond" w:eastAsia="Palatino Linotype" w:hAnsi="Garamond" w:cs="Palatino Linotype"/>
          <w:bCs/>
          <w:szCs w:val="22"/>
        </w:rPr>
        <w:t xml:space="preserve">2022, NSDL had 271 </w:t>
      </w:r>
      <w:r w:rsidR="00D65B54" w:rsidRPr="00D65B54">
        <w:rPr>
          <w:rFonts w:ascii="Garamond" w:eastAsia="Palatino Linotype" w:hAnsi="Garamond" w:cs="Palatino Linotype"/>
          <w:bCs/>
          <w:szCs w:val="22"/>
        </w:rPr>
        <w:t>lakh</w:t>
      </w:r>
      <w:r w:rsidR="00D65B54" w:rsidRPr="00D42F8D">
        <w:rPr>
          <w:rFonts w:ascii="Garamond" w:eastAsia="Palatino Linotype" w:hAnsi="Garamond" w:cs="Palatino Linotype"/>
          <w:bCs/>
          <w:szCs w:val="22"/>
        </w:rPr>
        <w:t xml:space="preserve"> demat accounts while CDSL had 672 lakh demat accounts.</w:t>
      </w:r>
    </w:p>
    <w:p w:rsidR="00560064" w:rsidRDefault="00560064" w:rsidP="0095776A">
      <w:pPr>
        <w:tabs>
          <w:tab w:val="left" w:pos="4005"/>
        </w:tabs>
        <w:ind w:left="567"/>
        <w:rPr>
          <w:rFonts w:ascii="Garamond" w:eastAsia="Palatino Linotype" w:hAnsi="Garamond" w:cs="Palatino Linotype"/>
          <w:bCs/>
          <w:szCs w:val="22"/>
        </w:rPr>
      </w:pPr>
    </w:p>
    <w:p w:rsidR="00560064" w:rsidRDefault="00560064" w:rsidP="0095776A">
      <w:pPr>
        <w:tabs>
          <w:tab w:val="left" w:pos="4005"/>
        </w:tabs>
        <w:ind w:left="567"/>
        <w:rPr>
          <w:rFonts w:ascii="Garamond" w:eastAsia="Palatino Linotype" w:hAnsi="Garamond" w:cs="Palatino Linotype"/>
          <w:bCs/>
          <w:szCs w:val="22"/>
        </w:rPr>
      </w:pPr>
    </w:p>
    <w:p w:rsidR="00560064" w:rsidRDefault="00560064" w:rsidP="0095776A">
      <w:pPr>
        <w:tabs>
          <w:tab w:val="left" w:pos="4005"/>
        </w:tabs>
        <w:ind w:left="567"/>
        <w:rPr>
          <w:rFonts w:ascii="Garamond" w:eastAsia="Palatino Linotype" w:hAnsi="Garamond" w:cs="Palatino Linotype"/>
          <w:bCs/>
          <w:szCs w:val="22"/>
        </w:rPr>
      </w:pPr>
    </w:p>
    <w:p w:rsidR="00560064" w:rsidRDefault="00560064" w:rsidP="0095776A">
      <w:pPr>
        <w:tabs>
          <w:tab w:val="left" w:pos="4005"/>
        </w:tabs>
        <w:ind w:left="567"/>
        <w:rPr>
          <w:rFonts w:ascii="Garamond" w:eastAsia="Palatino Linotype" w:hAnsi="Garamond" w:cs="Palatino Linotype"/>
          <w:bCs/>
          <w:szCs w:val="22"/>
        </w:rPr>
      </w:pPr>
    </w:p>
    <w:p w:rsidR="00560064" w:rsidRDefault="00560064" w:rsidP="0095776A">
      <w:pPr>
        <w:tabs>
          <w:tab w:val="left" w:pos="4005"/>
        </w:tabs>
        <w:ind w:left="567"/>
        <w:rPr>
          <w:rFonts w:ascii="Garamond" w:eastAsia="Palatino Linotype" w:hAnsi="Garamond" w:cs="Palatino Linotype"/>
          <w:bCs/>
          <w:szCs w:val="22"/>
        </w:rPr>
      </w:pPr>
    </w:p>
    <w:p w:rsidR="00560064" w:rsidRDefault="00560064" w:rsidP="0095776A">
      <w:pPr>
        <w:tabs>
          <w:tab w:val="left" w:pos="4005"/>
        </w:tabs>
        <w:ind w:left="567"/>
        <w:rPr>
          <w:rFonts w:ascii="Garamond" w:eastAsia="Palatino Linotype" w:hAnsi="Garamond" w:cs="Palatino Linotype"/>
          <w:bCs/>
          <w:szCs w:val="22"/>
        </w:rPr>
      </w:pPr>
    </w:p>
    <w:p w:rsidR="00560064" w:rsidRPr="00D42F8D" w:rsidRDefault="00560064" w:rsidP="0095776A">
      <w:pPr>
        <w:tabs>
          <w:tab w:val="left" w:pos="4005"/>
        </w:tabs>
        <w:ind w:left="567"/>
        <w:rPr>
          <w:rFonts w:ascii="Garamond" w:eastAsia="Palatino Linotype" w:hAnsi="Garamond" w:cs="Palatino Linotype"/>
          <w:bCs/>
          <w:szCs w:val="22"/>
        </w:rPr>
      </w:pPr>
    </w:p>
    <w:p w:rsidR="0095776A" w:rsidRPr="00D42F8D" w:rsidRDefault="0095776A" w:rsidP="0095776A">
      <w:pPr>
        <w:tabs>
          <w:tab w:val="left" w:pos="4005"/>
        </w:tabs>
        <w:ind w:left="567"/>
        <w:rPr>
          <w:rFonts w:ascii="Garamond" w:eastAsia="Palatino Linotype" w:hAnsi="Garamond" w:cs="Palatino Linotype"/>
          <w:bCs/>
          <w:szCs w:val="22"/>
          <w:highlight w:val="yellow"/>
        </w:rPr>
      </w:pPr>
    </w:p>
    <w:p w:rsidR="0095776A" w:rsidRPr="00560064" w:rsidRDefault="0095776A" w:rsidP="0095776A">
      <w:pPr>
        <w:tabs>
          <w:tab w:val="left" w:pos="4005"/>
        </w:tabs>
        <w:ind w:left="567"/>
        <w:rPr>
          <w:rFonts w:ascii="Garamond" w:eastAsia="Palatino Linotype" w:hAnsi="Garamond" w:cs="Palatino Linotype"/>
          <w:b/>
        </w:rPr>
      </w:pPr>
      <w:r w:rsidRPr="00560064">
        <w:rPr>
          <w:rFonts w:ascii="Garamond" w:eastAsia="Palatino Linotype" w:hAnsi="Garamond" w:cs="Palatino Linotype"/>
          <w:b/>
          <w:szCs w:val="22"/>
        </w:rPr>
        <w:lastRenderedPageBreak/>
        <w:t>Figure 5: Monthly New Demat Accounts Added (in lakh</w:t>
      </w:r>
      <w:r w:rsidRPr="00560064">
        <w:rPr>
          <w:rFonts w:ascii="Garamond" w:eastAsia="Palatino Linotype" w:hAnsi="Garamond" w:cs="Palatino Linotype"/>
          <w:b/>
        </w:rPr>
        <w:t>)</w:t>
      </w:r>
    </w:p>
    <w:p w:rsidR="00465D60" w:rsidRPr="00560064" w:rsidRDefault="00465D60" w:rsidP="0095776A">
      <w:pPr>
        <w:tabs>
          <w:tab w:val="left" w:pos="4005"/>
        </w:tabs>
        <w:ind w:left="567"/>
        <w:rPr>
          <w:rFonts w:ascii="Garamond" w:eastAsia="Palatino Linotype" w:hAnsi="Garamond" w:cs="Palatino Linotype"/>
          <w:b/>
        </w:rPr>
      </w:pPr>
    </w:p>
    <w:p w:rsidR="00465D60" w:rsidRPr="00CA08BF" w:rsidRDefault="00465D60" w:rsidP="0095776A">
      <w:pPr>
        <w:tabs>
          <w:tab w:val="left" w:pos="4005"/>
        </w:tabs>
        <w:ind w:left="567"/>
        <w:rPr>
          <w:rFonts w:ascii="Garamond" w:eastAsia="Palatino Linotype" w:hAnsi="Garamond" w:cs="Palatino Linotype"/>
          <w:b/>
          <w:bCs/>
        </w:rPr>
      </w:pPr>
      <w:r>
        <w:rPr>
          <w:noProof/>
          <w:lang w:val="en-US" w:bidi="hi-IN"/>
        </w:rPr>
        <w:drawing>
          <wp:inline distT="0" distB="0" distL="0" distR="0" wp14:anchorId="551C2A37" wp14:editId="2E6CD243">
            <wp:extent cx="4572000" cy="27622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5776A" w:rsidRPr="00CA08BF" w:rsidRDefault="0095776A" w:rsidP="0095776A">
      <w:pPr>
        <w:pBdr>
          <w:between w:val="nil"/>
        </w:pBdr>
        <w:spacing w:line="276" w:lineRule="auto"/>
        <w:jc w:val="both"/>
        <w:rPr>
          <w:rFonts w:ascii="Garamond" w:eastAsia="Palatino Linotype" w:hAnsi="Garamond" w:cs="Palatino Linotype"/>
          <w:i/>
          <w:iCs/>
        </w:rPr>
      </w:pPr>
    </w:p>
    <w:p w:rsidR="0095776A" w:rsidRPr="00CA08BF" w:rsidRDefault="0095776A" w:rsidP="0095776A">
      <w:pPr>
        <w:widowControl w:val="0"/>
        <w:numPr>
          <w:ilvl w:val="0"/>
          <w:numId w:val="2"/>
        </w:numPr>
        <w:spacing w:line="276" w:lineRule="auto"/>
        <w:ind w:left="454" w:hanging="454"/>
        <w:rPr>
          <w:rFonts w:ascii="Garamond" w:eastAsia="Palatino Linotype" w:hAnsi="Garamond" w:cs="Palatino Linotype"/>
          <w:b/>
        </w:rPr>
      </w:pPr>
      <w:r w:rsidRPr="00CA08BF">
        <w:rPr>
          <w:rFonts w:ascii="Garamond" w:eastAsia="Palatino Linotype" w:hAnsi="Garamond" w:cs="Palatino Linotype"/>
          <w:b/>
        </w:rPr>
        <w:t>Trends in Derivatives Segment</w:t>
      </w:r>
      <w:r w:rsidRPr="00CA08BF">
        <w:rPr>
          <w:rFonts w:ascii="Garamond" w:eastAsia="Palatino Linotype" w:hAnsi="Garamond" w:cs="Palatino Linotype"/>
          <w:b/>
        </w:rPr>
        <w:tab/>
      </w:r>
    </w:p>
    <w:p w:rsidR="0095776A" w:rsidRPr="00CA08BF" w:rsidRDefault="0095776A" w:rsidP="0095776A">
      <w:pPr>
        <w:widowControl w:val="0"/>
        <w:numPr>
          <w:ilvl w:val="0"/>
          <w:numId w:val="3"/>
        </w:numPr>
        <w:spacing w:line="276" w:lineRule="auto"/>
        <w:ind w:left="567" w:hanging="567"/>
        <w:jc w:val="both"/>
        <w:rPr>
          <w:rFonts w:ascii="Garamond" w:eastAsia="Palatino Linotype" w:hAnsi="Garamond" w:cs="Palatino Linotype"/>
          <w:b/>
          <w:u w:val="single"/>
        </w:rPr>
      </w:pPr>
      <w:r w:rsidRPr="00CA08BF">
        <w:rPr>
          <w:rFonts w:ascii="Garamond" w:eastAsia="Palatino Linotype" w:hAnsi="Garamond" w:cs="Palatino Linotype"/>
          <w:b/>
          <w:u w:val="single"/>
        </w:rPr>
        <w:t>Equity Derivatives</w:t>
      </w:r>
    </w:p>
    <w:p w:rsidR="0095776A" w:rsidRPr="00CA08BF" w:rsidRDefault="0095776A" w:rsidP="0095776A">
      <w:pPr>
        <w:tabs>
          <w:tab w:val="left" w:pos="3135"/>
        </w:tabs>
        <w:spacing w:line="276" w:lineRule="auto"/>
        <w:jc w:val="both"/>
        <w:rPr>
          <w:rFonts w:ascii="Garamond" w:eastAsia="Palatino Linotype" w:hAnsi="Garamond" w:cs="Palatino Linotype"/>
          <w:b/>
          <w:u w:val="single"/>
        </w:rPr>
      </w:pPr>
      <w:r w:rsidRPr="00CA08BF">
        <w:rPr>
          <w:rFonts w:ascii="Garamond" w:eastAsia="Palatino Linotype" w:hAnsi="Garamond" w:cs="Palatino Linotype"/>
          <w:b/>
          <w:u w:val="single"/>
        </w:rPr>
        <w:t xml:space="preserve">BSE </w:t>
      </w:r>
    </w:p>
    <w:p w:rsidR="0095776A" w:rsidRPr="00CA08BF" w:rsidRDefault="0095776A" w:rsidP="0095776A">
      <w:pPr>
        <w:numPr>
          <w:ilvl w:val="0"/>
          <w:numId w:val="1"/>
        </w:numPr>
        <w:pBdr>
          <w:between w:val="nil"/>
        </w:pBdr>
        <w:spacing w:line="276" w:lineRule="auto"/>
        <w:ind w:left="714" w:hanging="357"/>
        <w:jc w:val="both"/>
        <w:rPr>
          <w:rFonts w:ascii="Garamond" w:eastAsia="Palatino Linotype" w:hAnsi="Garamond" w:cs="Palatino Linotype"/>
        </w:rPr>
      </w:pPr>
      <w:r w:rsidRPr="00CA08BF">
        <w:rPr>
          <w:rFonts w:ascii="Garamond" w:eastAsia="Palatino Linotype" w:hAnsi="Garamond" w:cs="Palatino Linotype"/>
        </w:rPr>
        <w:t xml:space="preserve">During </w:t>
      </w:r>
      <w:r>
        <w:rPr>
          <w:rFonts w:ascii="Garamond" w:eastAsia="Palatino Linotype" w:hAnsi="Garamond" w:cs="Palatino Linotype"/>
        </w:rPr>
        <w:t xml:space="preserve">May </w:t>
      </w:r>
      <w:r w:rsidRPr="00CA08BF">
        <w:rPr>
          <w:rFonts w:ascii="Garamond" w:eastAsia="Palatino Linotype" w:hAnsi="Garamond" w:cs="Palatino Linotype"/>
        </w:rPr>
        <w:t xml:space="preserve">2022, the notional turnover of the equity derivatives segment at BSE fell by </w:t>
      </w:r>
      <w:r w:rsidR="00046848">
        <w:rPr>
          <w:rFonts w:ascii="Garamond" w:eastAsia="Palatino Linotype" w:hAnsi="Garamond" w:cs="Palatino Linotype"/>
        </w:rPr>
        <w:t>89</w:t>
      </w:r>
      <w:r>
        <w:rPr>
          <w:rFonts w:ascii="Garamond" w:eastAsia="Palatino Linotype" w:hAnsi="Garamond" w:cs="Palatino Linotype"/>
        </w:rPr>
        <w:t>.9</w:t>
      </w:r>
      <w:r w:rsidRPr="00CA08BF">
        <w:rPr>
          <w:rFonts w:ascii="Garamond" w:eastAsia="Palatino Linotype" w:hAnsi="Garamond" w:cs="Palatino Linotype"/>
        </w:rPr>
        <w:t xml:space="preserve"> per cent to </w:t>
      </w:r>
      <w:r w:rsidRPr="00CA08BF">
        <w:rPr>
          <w:rFonts w:ascii="Times New Roman" w:eastAsia="Palatino Linotype" w:hAnsi="Times New Roman"/>
        </w:rPr>
        <w:t>₹</w:t>
      </w:r>
      <w:r w:rsidR="00046848">
        <w:rPr>
          <w:rFonts w:ascii="Garamond" w:eastAsia="Palatino Linotype" w:hAnsi="Garamond" w:cs="Palatino Linotype"/>
        </w:rPr>
        <w:t>2.91</w:t>
      </w:r>
      <w:r w:rsidRPr="00CA08BF">
        <w:rPr>
          <w:rFonts w:ascii="Garamond" w:eastAsia="Palatino Linotype" w:hAnsi="Garamond" w:cs="Palatino Linotype"/>
        </w:rPr>
        <w:t xml:space="preserve"> lakh crore.</w:t>
      </w:r>
    </w:p>
    <w:p w:rsidR="0095776A" w:rsidRPr="00CA08BF" w:rsidRDefault="0095776A" w:rsidP="0095776A">
      <w:pPr>
        <w:tabs>
          <w:tab w:val="left" w:pos="3135"/>
        </w:tabs>
        <w:spacing w:line="276" w:lineRule="auto"/>
        <w:jc w:val="both"/>
        <w:rPr>
          <w:rFonts w:ascii="Garamond" w:eastAsia="Palatino Linotype" w:hAnsi="Garamond" w:cs="Palatino Linotype"/>
          <w:b/>
          <w:u w:val="single"/>
        </w:rPr>
      </w:pPr>
      <w:r w:rsidRPr="00CA08BF">
        <w:rPr>
          <w:rFonts w:ascii="Garamond" w:eastAsia="Palatino Linotype" w:hAnsi="Garamond" w:cs="Palatino Linotype"/>
          <w:b/>
          <w:u w:val="single"/>
        </w:rPr>
        <w:t xml:space="preserve">NSE </w:t>
      </w:r>
    </w:p>
    <w:p w:rsidR="0095776A" w:rsidRPr="00CA08BF" w:rsidRDefault="0095776A" w:rsidP="0095776A">
      <w:pPr>
        <w:widowControl w:val="0"/>
        <w:numPr>
          <w:ilvl w:val="0"/>
          <w:numId w:val="1"/>
        </w:numPr>
        <w:spacing w:line="276" w:lineRule="auto"/>
        <w:ind w:left="714" w:hanging="357"/>
        <w:jc w:val="both"/>
        <w:rPr>
          <w:rFonts w:ascii="Garamond" w:eastAsia="Palatino Linotype" w:hAnsi="Garamond" w:cs="Palatino Linotype"/>
        </w:rPr>
      </w:pPr>
      <w:r w:rsidRPr="00CA08BF">
        <w:rPr>
          <w:rFonts w:ascii="Garamond" w:eastAsia="Palatino Linotype" w:hAnsi="Garamond" w:cs="Palatino Linotype"/>
        </w:rPr>
        <w:t xml:space="preserve">The monthly notional turnover in the equity derivatives segment at NSE </w:t>
      </w:r>
      <w:r>
        <w:rPr>
          <w:rFonts w:ascii="Garamond" w:eastAsia="Palatino Linotype" w:hAnsi="Garamond" w:cs="Palatino Linotype"/>
        </w:rPr>
        <w:t>showed a significant rise of</w:t>
      </w:r>
      <w:r w:rsidRPr="00CA08BF">
        <w:rPr>
          <w:rFonts w:ascii="Garamond" w:eastAsia="Palatino Linotype" w:hAnsi="Garamond" w:cs="Palatino Linotype"/>
        </w:rPr>
        <w:t xml:space="preserve"> </w:t>
      </w:r>
      <w:r>
        <w:rPr>
          <w:rFonts w:ascii="Garamond" w:eastAsia="Palatino Linotype" w:hAnsi="Garamond" w:cs="Palatino Linotype"/>
        </w:rPr>
        <w:t>10.2</w:t>
      </w:r>
      <w:r w:rsidRPr="00CA08BF">
        <w:rPr>
          <w:rFonts w:ascii="Garamond" w:eastAsia="Palatino Linotype" w:hAnsi="Garamond" w:cs="Palatino Linotype"/>
        </w:rPr>
        <w:t xml:space="preserve"> per cent to </w:t>
      </w:r>
      <w:r w:rsidRPr="00CA08BF">
        <w:rPr>
          <w:rFonts w:ascii="Times New Roman" w:eastAsia="Palatino Linotype" w:hAnsi="Times New Roman"/>
        </w:rPr>
        <w:t>₹</w:t>
      </w:r>
      <w:r>
        <w:rPr>
          <w:rFonts w:ascii="Garamond" w:eastAsia="Palatino Linotype" w:hAnsi="Garamond" w:cs="Palatino Linotype"/>
        </w:rPr>
        <w:t>2</w:t>
      </w:r>
      <w:r w:rsidR="000A791A">
        <w:rPr>
          <w:rFonts w:ascii="Garamond" w:eastAsia="Palatino Linotype" w:hAnsi="Garamond" w:cs="Palatino Linotype"/>
        </w:rPr>
        <w:t>,</w:t>
      </w:r>
      <w:r>
        <w:rPr>
          <w:rFonts w:ascii="Garamond" w:eastAsia="Palatino Linotype" w:hAnsi="Garamond" w:cs="Palatino Linotype"/>
        </w:rPr>
        <w:t>186</w:t>
      </w:r>
      <w:r w:rsidRPr="00CA08BF">
        <w:rPr>
          <w:rFonts w:ascii="Garamond" w:eastAsia="Palatino Linotype" w:hAnsi="Garamond" w:cs="Palatino Linotype"/>
        </w:rPr>
        <w:t xml:space="preserve"> lakh crore in </w:t>
      </w:r>
      <w:r w:rsidR="00046848">
        <w:rPr>
          <w:rFonts w:ascii="Garamond" w:eastAsia="Palatino Linotype" w:hAnsi="Garamond" w:cs="Palatino Linotype"/>
        </w:rPr>
        <w:t>May</w:t>
      </w:r>
      <w:r w:rsidR="00046848" w:rsidRPr="00CA08BF">
        <w:rPr>
          <w:rFonts w:ascii="Garamond" w:eastAsia="Palatino Linotype" w:hAnsi="Garamond" w:cs="Palatino Linotype"/>
        </w:rPr>
        <w:t xml:space="preserve"> </w:t>
      </w:r>
      <w:r w:rsidRPr="00CA08BF">
        <w:rPr>
          <w:rFonts w:ascii="Garamond" w:eastAsia="Palatino Linotype" w:hAnsi="Garamond" w:cs="Palatino Linotype"/>
        </w:rPr>
        <w:t>2022</w:t>
      </w:r>
      <w:r>
        <w:rPr>
          <w:rFonts w:ascii="Garamond" w:eastAsia="Palatino Linotype" w:hAnsi="Garamond" w:cs="Palatino Linotype"/>
        </w:rPr>
        <w:t>.</w:t>
      </w:r>
      <w:r w:rsidRPr="00CA08BF">
        <w:rPr>
          <w:rFonts w:ascii="Garamond" w:eastAsia="Palatino Linotype" w:hAnsi="Garamond" w:cs="Palatino Linotype"/>
        </w:rPr>
        <w:t xml:space="preserve"> </w:t>
      </w:r>
    </w:p>
    <w:p w:rsidR="0095776A" w:rsidRPr="00CA08BF" w:rsidRDefault="0095776A" w:rsidP="0095776A">
      <w:pPr>
        <w:pBdr>
          <w:between w:val="nil"/>
        </w:pBdr>
        <w:rPr>
          <w:rFonts w:ascii="Garamond" w:eastAsia="Palatino Linotype" w:hAnsi="Garamond" w:cs="Palatino Linotype"/>
          <w:b/>
        </w:rPr>
      </w:pPr>
    </w:p>
    <w:p w:rsidR="0095776A" w:rsidRDefault="0095776A" w:rsidP="0095776A">
      <w:pPr>
        <w:pBdr>
          <w:between w:val="nil"/>
        </w:pBdr>
        <w:rPr>
          <w:rFonts w:ascii="Garamond" w:eastAsia="Palatino Linotype" w:hAnsi="Garamond" w:cs="Palatino Linotype"/>
          <w:b/>
        </w:rPr>
      </w:pPr>
      <w:r w:rsidRPr="00CA08BF">
        <w:rPr>
          <w:rFonts w:ascii="Garamond" w:eastAsia="Palatino Linotype" w:hAnsi="Garamond" w:cs="Palatino Linotype"/>
          <w:b/>
        </w:rPr>
        <w:t>Figure 6: Trends of Average Daily Notional Turnover at BSE and NSE (</w:t>
      </w:r>
      <w:r w:rsidRPr="00CA08BF">
        <w:rPr>
          <w:rFonts w:ascii="Times New Roman" w:eastAsia="Palatino Linotype" w:hAnsi="Times New Roman"/>
          <w:b/>
        </w:rPr>
        <w:t>₹</w:t>
      </w:r>
      <w:r w:rsidRPr="00CA08BF">
        <w:rPr>
          <w:rFonts w:ascii="Garamond" w:eastAsia="Palatino Linotype" w:hAnsi="Garamond" w:cs="Palatino Linotype"/>
          <w:b/>
        </w:rPr>
        <w:t xml:space="preserve"> crore)</w:t>
      </w:r>
    </w:p>
    <w:p w:rsidR="0095776A" w:rsidRDefault="0095776A" w:rsidP="00040515">
      <w:pPr>
        <w:pBdr>
          <w:between w:val="nil"/>
        </w:pBdr>
        <w:ind w:left="720"/>
        <w:rPr>
          <w:rFonts w:ascii="Garamond" w:eastAsia="Palatino Linotype" w:hAnsi="Garamond" w:cs="Palatino Linotype"/>
          <w:b/>
          <w:szCs w:val="22"/>
        </w:rPr>
      </w:pPr>
      <w:r>
        <w:rPr>
          <w:noProof/>
          <w:lang w:val="en-US" w:bidi="hi-IN"/>
        </w:rPr>
        <w:drawing>
          <wp:inline distT="0" distB="0" distL="0" distR="0" wp14:anchorId="08D6F11F" wp14:editId="38ECDAF3">
            <wp:extent cx="5305425" cy="2436495"/>
            <wp:effectExtent l="0" t="0" r="9525" b="1905"/>
            <wp:docPr id="11" name="Chart 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CA08BF">
        <w:rPr>
          <w:rFonts w:ascii="Garamond" w:eastAsia="Palatino Linotype" w:hAnsi="Garamond" w:cs="Palatino Linotype"/>
          <w:b/>
          <w:szCs w:val="22"/>
        </w:rPr>
        <w:t xml:space="preserve"> </w:t>
      </w:r>
    </w:p>
    <w:p w:rsidR="0095776A" w:rsidRPr="00D96C1D" w:rsidRDefault="0095776A" w:rsidP="0095776A">
      <w:pPr>
        <w:pBdr>
          <w:between w:val="nil"/>
        </w:pBdr>
        <w:rPr>
          <w:rFonts w:ascii="Garamond" w:eastAsia="Palatino Linotype" w:hAnsi="Garamond" w:cs="Palatino Linotype"/>
          <w:b/>
        </w:rPr>
      </w:pPr>
      <w:r w:rsidRPr="00CA08BF">
        <w:rPr>
          <w:rFonts w:ascii="Garamond" w:eastAsia="Palatino Linotype" w:hAnsi="Garamond" w:cs="Palatino Linotype"/>
          <w:b/>
          <w:szCs w:val="22"/>
        </w:rPr>
        <w:t xml:space="preserve">Note: </w:t>
      </w:r>
      <w:r w:rsidRPr="00CA08BF">
        <w:rPr>
          <w:rFonts w:ascii="Garamond" w:eastAsia="Palatino Linotype" w:hAnsi="Garamond" w:cs="Palatino Linotype"/>
          <w:bCs/>
          <w:szCs w:val="22"/>
        </w:rPr>
        <w:t>ADNT implies Average Daily Notional Turnover</w:t>
      </w:r>
    </w:p>
    <w:p w:rsidR="0095776A" w:rsidRPr="00CA08BF" w:rsidRDefault="0095776A" w:rsidP="0095776A">
      <w:pPr>
        <w:spacing w:line="276" w:lineRule="auto"/>
        <w:rPr>
          <w:rFonts w:ascii="Garamond" w:eastAsia="Palatino Linotype" w:hAnsi="Garamond" w:cs="Palatino Linotype"/>
          <w:bCs/>
          <w:szCs w:val="22"/>
        </w:rPr>
      </w:pPr>
      <w:r w:rsidRPr="00CA08BF">
        <w:rPr>
          <w:rFonts w:ascii="Garamond" w:eastAsia="Palatino Linotype" w:hAnsi="Garamond" w:cs="Palatino Linotype"/>
          <w:b/>
          <w:szCs w:val="22"/>
        </w:rPr>
        <w:t xml:space="preserve"> Source: </w:t>
      </w:r>
      <w:r w:rsidRPr="00CA08BF">
        <w:rPr>
          <w:rFonts w:ascii="Garamond" w:eastAsia="Palatino Linotype" w:hAnsi="Garamond" w:cs="Palatino Linotype"/>
          <w:bCs/>
          <w:szCs w:val="22"/>
        </w:rPr>
        <w:t>BSE and NSE</w:t>
      </w:r>
    </w:p>
    <w:p w:rsidR="0095776A" w:rsidRDefault="0095776A" w:rsidP="0095776A">
      <w:pPr>
        <w:spacing w:line="276" w:lineRule="auto"/>
        <w:rPr>
          <w:rFonts w:ascii="Garamond" w:eastAsia="Palatino Linotype" w:hAnsi="Garamond" w:cs="Palatino Linotype"/>
          <w:bCs/>
          <w:szCs w:val="22"/>
        </w:rPr>
      </w:pPr>
    </w:p>
    <w:p w:rsidR="0095776A" w:rsidRDefault="0095776A" w:rsidP="0095776A">
      <w:pPr>
        <w:spacing w:line="276" w:lineRule="auto"/>
        <w:rPr>
          <w:rFonts w:ascii="Garamond" w:eastAsia="Palatino Linotype" w:hAnsi="Garamond" w:cs="Palatino Linotype"/>
          <w:bCs/>
          <w:szCs w:val="22"/>
        </w:rPr>
      </w:pPr>
    </w:p>
    <w:p w:rsidR="00655C89" w:rsidRDefault="00655C89" w:rsidP="0095776A">
      <w:pPr>
        <w:spacing w:line="276" w:lineRule="auto"/>
        <w:rPr>
          <w:rFonts w:ascii="Garamond" w:eastAsia="Palatino Linotype" w:hAnsi="Garamond" w:cs="Palatino Linotype"/>
          <w:bCs/>
          <w:szCs w:val="22"/>
        </w:rPr>
      </w:pPr>
    </w:p>
    <w:p w:rsidR="00655C89" w:rsidRDefault="00655C89" w:rsidP="0095776A">
      <w:pPr>
        <w:spacing w:line="276" w:lineRule="auto"/>
        <w:rPr>
          <w:rFonts w:ascii="Garamond" w:eastAsia="Palatino Linotype" w:hAnsi="Garamond" w:cs="Palatino Linotype"/>
          <w:bCs/>
          <w:szCs w:val="22"/>
        </w:rPr>
      </w:pPr>
    </w:p>
    <w:p w:rsidR="0095776A" w:rsidRPr="00CA08BF" w:rsidRDefault="0095776A" w:rsidP="0095776A">
      <w:pPr>
        <w:spacing w:line="276" w:lineRule="auto"/>
        <w:rPr>
          <w:rFonts w:ascii="Garamond" w:eastAsia="Palatino Linotype" w:hAnsi="Garamond" w:cs="Palatino Linotype"/>
          <w:bCs/>
          <w:szCs w:val="22"/>
        </w:rPr>
      </w:pPr>
    </w:p>
    <w:p w:rsidR="0095776A" w:rsidRPr="00CA08BF" w:rsidRDefault="0095776A" w:rsidP="0095776A">
      <w:pPr>
        <w:spacing w:line="276" w:lineRule="auto"/>
        <w:rPr>
          <w:rFonts w:ascii="Garamond" w:eastAsia="Palatino Linotype" w:hAnsi="Garamond" w:cs="Palatino Linotype"/>
          <w:b/>
          <w:szCs w:val="22"/>
        </w:rPr>
      </w:pPr>
      <w:r w:rsidRPr="00CA08BF">
        <w:rPr>
          <w:rFonts w:ascii="Garamond" w:eastAsia="Palatino Linotype" w:hAnsi="Garamond" w:cs="Palatino Linotype"/>
          <w:b/>
          <w:szCs w:val="22"/>
        </w:rPr>
        <w:lastRenderedPageBreak/>
        <w:t>Table 3: Trends in Equity Derivatives Market</w:t>
      </w:r>
    </w:p>
    <w:tbl>
      <w:tblPr>
        <w:tblW w:w="9986" w:type="dxa"/>
        <w:tblLook w:val="04A0" w:firstRow="1" w:lastRow="0" w:firstColumn="1" w:lastColumn="0" w:noHBand="0" w:noVBand="1"/>
      </w:tblPr>
      <w:tblGrid>
        <w:gridCol w:w="1794"/>
        <w:gridCol w:w="1394"/>
        <w:gridCol w:w="1394"/>
        <w:gridCol w:w="1211"/>
        <w:gridCol w:w="1228"/>
        <w:gridCol w:w="1208"/>
        <w:gridCol w:w="1757"/>
      </w:tblGrid>
      <w:tr w:rsidR="0095776A" w:rsidRPr="0095776A" w:rsidTr="00A71EC8">
        <w:trPr>
          <w:trHeight w:val="297"/>
        </w:trPr>
        <w:tc>
          <w:tcPr>
            <w:tcW w:w="1794" w:type="dxa"/>
            <w:vMerge w:val="restart"/>
            <w:tcBorders>
              <w:top w:val="single" w:sz="8" w:space="0" w:color="auto"/>
              <w:left w:val="single" w:sz="8" w:space="0" w:color="auto"/>
              <w:bottom w:val="single" w:sz="8" w:space="0" w:color="000000"/>
              <w:right w:val="single" w:sz="8" w:space="0" w:color="auto"/>
            </w:tcBorders>
            <w:shd w:val="clear" w:color="000000" w:fill="8DB3E2"/>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Description</w:t>
            </w:r>
          </w:p>
        </w:tc>
        <w:tc>
          <w:tcPr>
            <w:tcW w:w="3999" w:type="dxa"/>
            <w:gridSpan w:val="3"/>
            <w:tcBorders>
              <w:top w:val="single" w:sz="8" w:space="0" w:color="auto"/>
              <w:left w:val="nil"/>
              <w:bottom w:val="single" w:sz="8" w:space="0" w:color="auto"/>
              <w:right w:val="single" w:sz="8" w:space="0" w:color="000000"/>
            </w:tcBorders>
            <w:shd w:val="clear" w:color="000000" w:fill="8DB3E2"/>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NSE</w:t>
            </w:r>
          </w:p>
        </w:tc>
        <w:tc>
          <w:tcPr>
            <w:tcW w:w="4193" w:type="dxa"/>
            <w:gridSpan w:val="3"/>
            <w:tcBorders>
              <w:top w:val="single" w:sz="8" w:space="0" w:color="auto"/>
              <w:left w:val="nil"/>
              <w:bottom w:val="single" w:sz="8" w:space="0" w:color="auto"/>
              <w:right w:val="single" w:sz="8" w:space="0" w:color="000000"/>
            </w:tcBorders>
            <w:shd w:val="clear" w:color="000000" w:fill="8DB3E2"/>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BSE</w:t>
            </w:r>
          </w:p>
        </w:tc>
      </w:tr>
      <w:tr w:rsidR="0095776A" w:rsidRPr="0095776A" w:rsidTr="00A71EC8">
        <w:trPr>
          <w:trHeight w:val="800"/>
        </w:trPr>
        <w:tc>
          <w:tcPr>
            <w:tcW w:w="1794" w:type="dxa"/>
            <w:vMerge/>
            <w:tcBorders>
              <w:top w:val="single" w:sz="8" w:space="0" w:color="auto"/>
              <w:left w:val="single" w:sz="8" w:space="0" w:color="auto"/>
              <w:bottom w:val="single" w:sz="8" w:space="0" w:color="000000"/>
              <w:right w:val="single" w:sz="8" w:space="0" w:color="auto"/>
            </w:tcBorders>
            <w:vAlign w:val="center"/>
            <w:hideMark/>
          </w:tcPr>
          <w:p w:rsidR="0095776A" w:rsidRPr="0095776A" w:rsidRDefault="0095776A" w:rsidP="00A71EC8">
            <w:pPr>
              <w:rPr>
                <w:rFonts w:ascii="Garamond" w:eastAsia="Times New Roman" w:hAnsi="Garamond" w:cs="Calibri"/>
                <w:b/>
                <w:bCs/>
                <w:sz w:val="20"/>
                <w:szCs w:val="20"/>
                <w:lang w:val="en-IN" w:eastAsia="en-IN"/>
              </w:rPr>
            </w:pPr>
          </w:p>
        </w:tc>
        <w:tc>
          <w:tcPr>
            <w:tcW w:w="1394" w:type="dxa"/>
            <w:tcBorders>
              <w:top w:val="nil"/>
              <w:left w:val="nil"/>
              <w:bottom w:val="single" w:sz="8" w:space="0" w:color="auto"/>
              <w:right w:val="single" w:sz="8" w:space="0" w:color="auto"/>
            </w:tcBorders>
            <w:shd w:val="clear" w:color="000000" w:fill="8DB3E2"/>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Apr-22</w:t>
            </w:r>
          </w:p>
        </w:tc>
        <w:tc>
          <w:tcPr>
            <w:tcW w:w="1394" w:type="dxa"/>
            <w:tcBorders>
              <w:top w:val="nil"/>
              <w:left w:val="nil"/>
              <w:bottom w:val="single" w:sz="8" w:space="0" w:color="auto"/>
              <w:right w:val="single" w:sz="8" w:space="0" w:color="auto"/>
            </w:tcBorders>
            <w:shd w:val="clear" w:color="000000" w:fill="8DB3E2"/>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May-22</w:t>
            </w:r>
          </w:p>
        </w:tc>
        <w:tc>
          <w:tcPr>
            <w:tcW w:w="1211" w:type="dxa"/>
            <w:tcBorders>
              <w:top w:val="nil"/>
              <w:left w:val="nil"/>
              <w:bottom w:val="single" w:sz="8" w:space="0" w:color="auto"/>
              <w:right w:val="single" w:sz="8" w:space="0" w:color="auto"/>
            </w:tcBorders>
            <w:shd w:val="clear" w:color="000000" w:fill="8DB3E2"/>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Percentage Change Over Month</w:t>
            </w:r>
          </w:p>
        </w:tc>
        <w:tc>
          <w:tcPr>
            <w:tcW w:w="1228" w:type="dxa"/>
            <w:tcBorders>
              <w:top w:val="nil"/>
              <w:left w:val="nil"/>
              <w:bottom w:val="single" w:sz="8" w:space="0" w:color="auto"/>
              <w:right w:val="single" w:sz="8" w:space="0" w:color="auto"/>
            </w:tcBorders>
            <w:shd w:val="clear" w:color="000000" w:fill="8DB3E2"/>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Apr-22</w:t>
            </w:r>
          </w:p>
        </w:tc>
        <w:tc>
          <w:tcPr>
            <w:tcW w:w="1208" w:type="dxa"/>
            <w:tcBorders>
              <w:top w:val="nil"/>
              <w:left w:val="nil"/>
              <w:bottom w:val="single" w:sz="8" w:space="0" w:color="auto"/>
              <w:right w:val="single" w:sz="8" w:space="0" w:color="auto"/>
            </w:tcBorders>
            <w:shd w:val="clear" w:color="000000" w:fill="8DB3E2"/>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May-22</w:t>
            </w:r>
          </w:p>
        </w:tc>
        <w:tc>
          <w:tcPr>
            <w:tcW w:w="1757" w:type="dxa"/>
            <w:tcBorders>
              <w:top w:val="nil"/>
              <w:left w:val="nil"/>
              <w:bottom w:val="single" w:sz="8" w:space="0" w:color="auto"/>
              <w:right w:val="single" w:sz="8" w:space="0" w:color="auto"/>
            </w:tcBorders>
            <w:shd w:val="clear" w:color="000000" w:fill="8DB3E2"/>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Percentage Change Over Month</w:t>
            </w:r>
          </w:p>
        </w:tc>
      </w:tr>
      <w:tr w:rsidR="0095776A" w:rsidRPr="0095776A" w:rsidTr="00A71EC8">
        <w:trPr>
          <w:trHeight w:val="297"/>
        </w:trPr>
        <w:tc>
          <w:tcPr>
            <w:tcW w:w="9986" w:type="dxa"/>
            <w:gridSpan w:val="7"/>
            <w:tcBorders>
              <w:top w:val="single" w:sz="8" w:space="0" w:color="auto"/>
              <w:left w:val="single" w:sz="8" w:space="0" w:color="auto"/>
              <w:bottom w:val="single" w:sz="8" w:space="0" w:color="auto"/>
              <w:right w:val="single" w:sz="8" w:space="0" w:color="000000"/>
            </w:tcBorders>
            <w:shd w:val="clear" w:color="000000" w:fill="FFFFCC"/>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A. Turnover (</w:t>
            </w:r>
            <w:r w:rsidRPr="0095776A">
              <w:rPr>
                <w:rFonts w:ascii="Times New Roman" w:eastAsia="Times New Roman" w:hAnsi="Times New Roman"/>
                <w:b/>
                <w:bCs/>
                <w:sz w:val="20"/>
                <w:szCs w:val="20"/>
                <w:lang w:val="en-IN" w:eastAsia="en-IN"/>
              </w:rPr>
              <w:t>₹</w:t>
            </w:r>
            <w:r w:rsidRPr="0095776A">
              <w:rPr>
                <w:rFonts w:ascii="Garamond" w:eastAsia="Times New Roman" w:hAnsi="Garamond" w:cs="Calibri"/>
                <w:b/>
                <w:bCs/>
                <w:sz w:val="20"/>
                <w:szCs w:val="20"/>
                <w:lang w:val="en-IN" w:eastAsia="en-IN"/>
              </w:rPr>
              <w:t>crore)</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 Index  Futures</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10,19,093</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9,02,431</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-11.4</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3</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7</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152.6</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(ii) Options on Index</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8,91,21,341</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9,83,41,379</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10.3</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9,92,817</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62,655</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-93.7</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10,18,76,737</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11,33,02,958</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11.2</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18,92,705</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2,28,034</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-88.0</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(iii) Stock Futures</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16,93,264</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16,48,830</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-2.6</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(iv) Options on Stock</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13,62,290</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13,62,741</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0.0</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35,85,293</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30,69,720</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-14.4</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Total</w:t>
            </w:r>
          </w:p>
        </w:tc>
        <w:tc>
          <w:tcPr>
            <w:tcW w:w="1394" w:type="dxa"/>
            <w:tcBorders>
              <w:top w:val="nil"/>
              <w:left w:val="nil"/>
              <w:bottom w:val="single" w:sz="8" w:space="0" w:color="auto"/>
              <w:right w:val="single" w:sz="8" w:space="0" w:color="auto"/>
            </w:tcBorders>
            <w:shd w:val="clear" w:color="000000" w:fill="C6D9F0"/>
            <w:noWrap/>
            <w:vAlign w:val="center"/>
            <w:hideMark/>
          </w:tcPr>
          <w:p w:rsidR="0095776A" w:rsidRPr="00232057" w:rsidRDefault="0095776A" w:rsidP="00A71EC8">
            <w:pPr>
              <w:jc w:val="center"/>
              <w:rPr>
                <w:rFonts w:ascii="Garamond" w:eastAsia="Times New Roman" w:hAnsi="Garamond" w:cs="Calibri"/>
                <w:b/>
                <w:bCs/>
                <w:sz w:val="20"/>
                <w:szCs w:val="20"/>
                <w:lang w:val="en-IN" w:eastAsia="en-IN"/>
              </w:rPr>
            </w:pPr>
            <w:r w:rsidRPr="00D42F8D">
              <w:rPr>
                <w:rFonts w:ascii="Garamond" w:hAnsi="Garamond" w:cs="Calibri"/>
                <w:b/>
                <w:bCs/>
                <w:sz w:val="20"/>
                <w:szCs w:val="20"/>
              </w:rPr>
              <w:t>19,86,58,018</w:t>
            </w:r>
          </w:p>
        </w:tc>
        <w:tc>
          <w:tcPr>
            <w:tcW w:w="1394" w:type="dxa"/>
            <w:tcBorders>
              <w:top w:val="nil"/>
              <w:left w:val="nil"/>
              <w:bottom w:val="single" w:sz="8" w:space="0" w:color="auto"/>
              <w:right w:val="single" w:sz="8" w:space="0" w:color="auto"/>
            </w:tcBorders>
            <w:shd w:val="clear" w:color="000000" w:fill="C6D9F0"/>
            <w:noWrap/>
            <w:vAlign w:val="center"/>
            <w:hideMark/>
          </w:tcPr>
          <w:p w:rsidR="0095776A" w:rsidRPr="00232057" w:rsidRDefault="0095776A" w:rsidP="00A71EC8">
            <w:pPr>
              <w:jc w:val="center"/>
              <w:rPr>
                <w:rFonts w:ascii="Garamond" w:eastAsia="Times New Roman" w:hAnsi="Garamond" w:cs="Calibri"/>
                <w:b/>
                <w:bCs/>
                <w:sz w:val="20"/>
                <w:szCs w:val="20"/>
                <w:lang w:val="en-IN" w:eastAsia="en-IN"/>
              </w:rPr>
            </w:pPr>
            <w:r w:rsidRPr="00D42F8D">
              <w:rPr>
                <w:rFonts w:ascii="Garamond" w:hAnsi="Garamond" w:cs="Calibri"/>
                <w:b/>
                <w:bCs/>
                <w:sz w:val="20"/>
                <w:szCs w:val="20"/>
              </w:rPr>
              <w:t>21,86,28,061</w:t>
            </w:r>
          </w:p>
        </w:tc>
        <w:tc>
          <w:tcPr>
            <w:tcW w:w="1211"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10.1</w:t>
            </w:r>
          </w:p>
        </w:tc>
        <w:tc>
          <w:tcPr>
            <w:tcW w:w="1228"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28,85,525</w:t>
            </w:r>
          </w:p>
        </w:tc>
        <w:tc>
          <w:tcPr>
            <w:tcW w:w="1208"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2,90,697</w:t>
            </w:r>
          </w:p>
        </w:tc>
        <w:tc>
          <w:tcPr>
            <w:tcW w:w="1757"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-89.9</w:t>
            </w:r>
          </w:p>
        </w:tc>
      </w:tr>
      <w:tr w:rsidR="0095776A" w:rsidRPr="0095776A" w:rsidTr="00A71EC8">
        <w:trPr>
          <w:trHeight w:val="297"/>
        </w:trPr>
        <w:tc>
          <w:tcPr>
            <w:tcW w:w="9986" w:type="dxa"/>
            <w:gridSpan w:val="7"/>
            <w:tcBorders>
              <w:top w:val="single" w:sz="8" w:space="0" w:color="auto"/>
              <w:left w:val="single" w:sz="8" w:space="0" w:color="auto"/>
              <w:bottom w:val="single" w:sz="8" w:space="0" w:color="auto"/>
              <w:right w:val="single" w:sz="8" w:space="0" w:color="000000"/>
            </w:tcBorders>
            <w:shd w:val="clear" w:color="000000" w:fill="FFFFCC"/>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B. No. of Contracts</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 Index  Futures</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91,69,641</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1,08,21,703</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18.0</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32</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87</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171.9</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(ii) Options on Index</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99,78,69,583</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1,18,41,69,628</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18.7</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1,21,45,304</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7,43,696</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-93.9</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1,11,02,16,543</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1,32,19,41,949</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19.1</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1,95,10,526</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25,30,382</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-87.0</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(iii) Stock Futures</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2,33,28,033</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2,68,41,230</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15.1</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(iv) Options on Stock</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 </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Put</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1,85,20,358</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2,19,12,688</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18.3</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i/>
                <w:iCs/>
                <w:sz w:val="20"/>
                <w:szCs w:val="20"/>
                <w:lang w:val="en-IN" w:eastAsia="en-IN"/>
              </w:rPr>
            </w:pPr>
            <w:r w:rsidRPr="0095776A">
              <w:rPr>
                <w:rFonts w:ascii="Garamond" w:eastAsia="Times New Roman" w:hAnsi="Garamond" w:cs="Calibri"/>
                <w:b/>
                <w:bCs/>
                <w:i/>
                <w:iCs/>
                <w:sz w:val="20"/>
                <w:szCs w:val="20"/>
                <w:lang w:val="en-IN" w:eastAsia="en-IN"/>
              </w:rPr>
              <w:t>Call</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4,51,32,556</w:t>
            </w:r>
          </w:p>
        </w:tc>
        <w:tc>
          <w:tcPr>
            <w:tcW w:w="1394"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4,51,18,696</w:t>
            </w:r>
          </w:p>
        </w:tc>
        <w:tc>
          <w:tcPr>
            <w:tcW w:w="1211"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0.0</w:t>
            </w:r>
          </w:p>
        </w:tc>
        <w:tc>
          <w:tcPr>
            <w:tcW w:w="122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208"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0</w:t>
            </w:r>
          </w:p>
        </w:tc>
        <w:tc>
          <w:tcPr>
            <w:tcW w:w="1757" w:type="dxa"/>
            <w:tcBorders>
              <w:top w:val="nil"/>
              <w:left w:val="nil"/>
              <w:bottom w:val="single" w:sz="8" w:space="0" w:color="auto"/>
              <w:right w:val="single" w:sz="8" w:space="0" w:color="auto"/>
            </w:tcBorders>
            <w:shd w:val="clear" w:color="auto" w:fill="auto"/>
            <w:noWrap/>
            <w:vAlign w:val="center"/>
            <w:hideMark/>
          </w:tcPr>
          <w:p w:rsidR="0095776A" w:rsidRPr="0095776A" w:rsidRDefault="0095776A" w:rsidP="00A71EC8">
            <w:pPr>
              <w:jc w:val="center"/>
              <w:rPr>
                <w:rFonts w:ascii="Garamond" w:eastAsia="Times New Roman" w:hAnsi="Garamond" w:cs="Calibri"/>
                <w:sz w:val="20"/>
                <w:szCs w:val="20"/>
                <w:lang w:val="en-IN" w:eastAsia="en-IN"/>
              </w:rPr>
            </w:pPr>
            <w:r w:rsidRPr="0095776A">
              <w:rPr>
                <w:rFonts w:ascii="Garamond" w:hAnsi="Garamond" w:cs="Calibri"/>
                <w:sz w:val="20"/>
                <w:szCs w:val="20"/>
              </w:rPr>
              <w:t>-</w:t>
            </w:r>
          </w:p>
        </w:tc>
      </w:tr>
      <w:tr w:rsidR="0095776A" w:rsidRPr="0095776A" w:rsidTr="00A71EC8">
        <w:trPr>
          <w:trHeight w:val="297"/>
        </w:trPr>
        <w:tc>
          <w:tcPr>
            <w:tcW w:w="1794" w:type="dxa"/>
            <w:tcBorders>
              <w:top w:val="nil"/>
              <w:left w:val="single" w:sz="8" w:space="0" w:color="auto"/>
              <w:bottom w:val="single" w:sz="8" w:space="0" w:color="auto"/>
              <w:right w:val="single" w:sz="8" w:space="0" w:color="auto"/>
            </w:tcBorders>
            <w:shd w:val="clear" w:color="000000" w:fill="C6D9F0"/>
            <w:noWrap/>
            <w:vAlign w:val="center"/>
            <w:hideMark/>
          </w:tcPr>
          <w:p w:rsidR="0095776A" w:rsidRPr="0095776A" w:rsidRDefault="0095776A" w:rsidP="00A71EC8">
            <w:pPr>
              <w:rPr>
                <w:rFonts w:ascii="Garamond" w:eastAsia="Times New Roman" w:hAnsi="Garamond" w:cs="Calibri"/>
                <w:b/>
                <w:bCs/>
                <w:sz w:val="20"/>
                <w:szCs w:val="20"/>
                <w:lang w:val="en-IN" w:eastAsia="en-IN"/>
              </w:rPr>
            </w:pPr>
            <w:r w:rsidRPr="0095776A">
              <w:rPr>
                <w:rFonts w:ascii="Garamond" w:eastAsia="Times New Roman" w:hAnsi="Garamond" w:cs="Calibri"/>
                <w:b/>
                <w:bCs/>
                <w:sz w:val="20"/>
                <w:szCs w:val="20"/>
                <w:lang w:val="en-IN" w:eastAsia="en-IN"/>
              </w:rPr>
              <w:t>Total</w:t>
            </w:r>
          </w:p>
        </w:tc>
        <w:tc>
          <w:tcPr>
            <w:tcW w:w="1394"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2,20,42,36,714</w:t>
            </w:r>
          </w:p>
        </w:tc>
        <w:tc>
          <w:tcPr>
            <w:tcW w:w="1394"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2,61,08,05,894</w:t>
            </w:r>
          </w:p>
        </w:tc>
        <w:tc>
          <w:tcPr>
            <w:tcW w:w="1211"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18.4</w:t>
            </w:r>
          </w:p>
        </w:tc>
        <w:tc>
          <w:tcPr>
            <w:tcW w:w="1228"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3,16,55,862</w:t>
            </w:r>
          </w:p>
        </w:tc>
        <w:tc>
          <w:tcPr>
            <w:tcW w:w="1208"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32,74,165</w:t>
            </w:r>
          </w:p>
        </w:tc>
        <w:tc>
          <w:tcPr>
            <w:tcW w:w="1757" w:type="dxa"/>
            <w:tcBorders>
              <w:top w:val="nil"/>
              <w:left w:val="nil"/>
              <w:bottom w:val="single" w:sz="8" w:space="0" w:color="auto"/>
              <w:right w:val="single" w:sz="8" w:space="0" w:color="auto"/>
            </w:tcBorders>
            <w:shd w:val="clear" w:color="000000" w:fill="C6D9F0"/>
            <w:noWrap/>
            <w:vAlign w:val="center"/>
            <w:hideMark/>
          </w:tcPr>
          <w:p w:rsidR="0095776A" w:rsidRPr="0095776A" w:rsidRDefault="0095776A" w:rsidP="00A71EC8">
            <w:pPr>
              <w:jc w:val="center"/>
              <w:rPr>
                <w:rFonts w:ascii="Garamond" w:eastAsia="Times New Roman" w:hAnsi="Garamond" w:cs="Calibri"/>
                <w:b/>
                <w:bCs/>
                <w:sz w:val="20"/>
                <w:szCs w:val="20"/>
                <w:lang w:val="en-IN" w:eastAsia="en-IN"/>
              </w:rPr>
            </w:pPr>
            <w:r w:rsidRPr="0095776A">
              <w:rPr>
                <w:rFonts w:ascii="Garamond" w:hAnsi="Garamond" w:cs="Calibri"/>
                <w:b/>
                <w:bCs/>
                <w:sz w:val="20"/>
                <w:szCs w:val="20"/>
              </w:rPr>
              <w:t>-90</w:t>
            </w:r>
          </w:p>
        </w:tc>
      </w:tr>
      <w:tr w:rsidR="0095776A" w:rsidRPr="0095776A" w:rsidTr="00D42F8D">
        <w:trPr>
          <w:trHeight w:val="297"/>
        </w:trPr>
        <w:tc>
          <w:tcPr>
            <w:tcW w:w="9986" w:type="dxa"/>
            <w:gridSpan w:val="7"/>
            <w:tcBorders>
              <w:top w:val="single" w:sz="8" w:space="0" w:color="auto"/>
              <w:left w:val="single" w:sz="8" w:space="0" w:color="auto"/>
              <w:bottom w:val="single" w:sz="8" w:space="0" w:color="auto"/>
              <w:right w:val="single" w:sz="8" w:space="0" w:color="000000"/>
            </w:tcBorders>
            <w:shd w:val="clear" w:color="000000" w:fill="FFFFCC"/>
            <w:vAlign w:val="center"/>
          </w:tcPr>
          <w:p w:rsidR="0095776A" w:rsidRPr="0095776A" w:rsidRDefault="0095776A" w:rsidP="00A71EC8">
            <w:pPr>
              <w:jc w:val="center"/>
              <w:rPr>
                <w:rFonts w:ascii="Garamond" w:eastAsia="Times New Roman" w:hAnsi="Garamond" w:cs="Calibri"/>
                <w:b/>
                <w:bCs/>
                <w:sz w:val="20"/>
                <w:szCs w:val="20"/>
                <w:lang w:val="en-IN" w:eastAsia="en-IN"/>
              </w:rPr>
            </w:pPr>
          </w:p>
        </w:tc>
      </w:tr>
    </w:tbl>
    <w:p w:rsidR="0095776A" w:rsidRPr="00CA08BF" w:rsidRDefault="0095776A" w:rsidP="0095776A">
      <w:pPr>
        <w:tabs>
          <w:tab w:val="left" w:pos="3135"/>
        </w:tabs>
        <w:spacing w:line="276" w:lineRule="auto"/>
        <w:rPr>
          <w:rFonts w:ascii="Garamond" w:eastAsia="Palatino Linotype" w:hAnsi="Garamond" w:cs="Palatino Linotype"/>
          <w:b/>
          <w:szCs w:val="22"/>
        </w:rPr>
      </w:pPr>
      <w:r w:rsidRPr="00CA08BF">
        <w:rPr>
          <w:rFonts w:ascii="Garamond" w:eastAsia="Palatino Linotype" w:hAnsi="Garamond" w:cs="Palatino Linotype"/>
          <w:b/>
          <w:szCs w:val="22"/>
        </w:rPr>
        <w:t xml:space="preserve">Source: </w:t>
      </w:r>
      <w:r w:rsidRPr="00CA08BF">
        <w:rPr>
          <w:rFonts w:ascii="Garamond" w:eastAsia="Palatino Linotype" w:hAnsi="Garamond" w:cs="Palatino Linotype"/>
          <w:bCs/>
          <w:szCs w:val="22"/>
        </w:rPr>
        <w:t>BSE and NSE</w:t>
      </w:r>
    </w:p>
    <w:p w:rsidR="0095776A" w:rsidRPr="00CA08BF" w:rsidRDefault="0095776A" w:rsidP="0095776A">
      <w:pPr>
        <w:pBdr>
          <w:between w:val="nil"/>
        </w:pBdr>
        <w:jc w:val="center"/>
        <w:rPr>
          <w:rFonts w:ascii="Garamond" w:eastAsia="Palatino Linotype" w:hAnsi="Garamond" w:cs="Palatino Linotype"/>
          <w:b/>
        </w:rPr>
      </w:pPr>
    </w:p>
    <w:p w:rsidR="0095776A" w:rsidRPr="00CA08BF" w:rsidRDefault="0095776A" w:rsidP="0095776A">
      <w:pPr>
        <w:widowControl w:val="0"/>
        <w:numPr>
          <w:ilvl w:val="0"/>
          <w:numId w:val="3"/>
        </w:numPr>
        <w:spacing w:line="276" w:lineRule="auto"/>
        <w:ind w:left="567" w:hanging="567"/>
        <w:jc w:val="both"/>
        <w:rPr>
          <w:rFonts w:ascii="Garamond" w:eastAsia="Palatino Linotype" w:hAnsi="Garamond" w:cs="Palatino Linotype"/>
          <w:b/>
        </w:rPr>
      </w:pPr>
      <w:r w:rsidRPr="00CA08BF">
        <w:rPr>
          <w:rFonts w:ascii="Garamond" w:eastAsia="Palatino Linotype" w:hAnsi="Garamond" w:cs="Palatino Linotype"/>
          <w:b/>
        </w:rPr>
        <w:t xml:space="preserve">Currency Derivatives </w:t>
      </w:r>
    </w:p>
    <w:p w:rsidR="0095776A" w:rsidRPr="00CA08BF" w:rsidRDefault="0095776A" w:rsidP="0095776A">
      <w:pPr>
        <w:spacing w:line="276" w:lineRule="auto"/>
        <w:ind w:left="567"/>
        <w:jc w:val="both"/>
        <w:rPr>
          <w:rFonts w:ascii="Garamond" w:eastAsia="Palatino Linotype" w:hAnsi="Garamond" w:cs="Palatino Linotype"/>
        </w:rPr>
      </w:pPr>
      <w:r w:rsidRPr="00CA08BF">
        <w:rPr>
          <w:rFonts w:ascii="Garamond" w:eastAsia="Palatino Linotype" w:hAnsi="Garamond" w:cs="Palatino Linotype"/>
        </w:rPr>
        <w:t xml:space="preserve">During </w:t>
      </w:r>
      <w:r>
        <w:rPr>
          <w:rFonts w:ascii="Garamond" w:eastAsia="Palatino Linotype" w:hAnsi="Garamond" w:cs="Palatino Linotype"/>
        </w:rPr>
        <w:t xml:space="preserve">May </w:t>
      </w:r>
      <w:r w:rsidRPr="00CA08BF">
        <w:rPr>
          <w:rFonts w:ascii="Garamond" w:eastAsia="Palatino Linotype" w:hAnsi="Garamond" w:cs="Palatino Linotype"/>
          <w:szCs w:val="22"/>
        </w:rPr>
        <w:t>2022</w:t>
      </w:r>
      <w:r w:rsidRPr="00CA08BF">
        <w:rPr>
          <w:rFonts w:ascii="Garamond" w:eastAsia="Palatino Linotype" w:hAnsi="Garamond" w:cs="Palatino Linotype"/>
        </w:rPr>
        <w:t>, the monthly notional turnover of currency derivatives in India (NSE, BSE</w:t>
      </w:r>
      <w:r>
        <w:rPr>
          <w:rFonts w:ascii="Garamond" w:eastAsia="Palatino Linotype" w:hAnsi="Garamond" w:cs="Palatino Linotype"/>
        </w:rPr>
        <w:t>,</w:t>
      </w:r>
      <w:r w:rsidRPr="00CA08BF">
        <w:rPr>
          <w:rFonts w:ascii="Garamond" w:eastAsia="Palatino Linotype" w:hAnsi="Garamond" w:cs="Palatino Linotype"/>
        </w:rPr>
        <w:t xml:space="preserve"> and MSEI together) stood at </w:t>
      </w:r>
      <w:r w:rsidRPr="00CA08BF">
        <w:rPr>
          <w:rFonts w:ascii="Times New Roman" w:eastAsia="Palatino Linotype" w:hAnsi="Times New Roman"/>
        </w:rPr>
        <w:t>₹</w:t>
      </w:r>
      <w:r w:rsidRPr="00CA08BF">
        <w:rPr>
          <w:rFonts w:ascii="Garamond" w:eastAsia="Palatino Linotype" w:hAnsi="Garamond" w:cs="Palatino Linotype"/>
        </w:rPr>
        <w:t xml:space="preserve"> 2</w:t>
      </w:r>
      <w:r>
        <w:rPr>
          <w:rFonts w:ascii="Garamond" w:eastAsia="Palatino Linotype" w:hAnsi="Garamond" w:cs="Palatino Linotype"/>
        </w:rPr>
        <w:t>6,50,289</w:t>
      </w:r>
      <w:r w:rsidRPr="00CA08BF">
        <w:rPr>
          <w:rFonts w:ascii="Garamond" w:eastAsia="Palatino Linotype" w:hAnsi="Garamond" w:cs="Palatino Linotype"/>
        </w:rPr>
        <w:t xml:space="preserve"> </w:t>
      </w:r>
      <w:r w:rsidR="006A4E85">
        <w:rPr>
          <w:rFonts w:ascii="Garamond" w:eastAsia="Palatino Linotype" w:hAnsi="Garamond" w:cs="Palatino Linotype"/>
        </w:rPr>
        <w:t>crore</w:t>
      </w:r>
      <w:r w:rsidRPr="00CA08BF">
        <w:rPr>
          <w:rFonts w:ascii="Garamond" w:eastAsia="Palatino Linotype" w:hAnsi="Garamond" w:cs="Palatino Linotype"/>
        </w:rPr>
        <w:t xml:space="preserve"> as compared to </w:t>
      </w:r>
      <w:r w:rsidRPr="00CA08BF">
        <w:rPr>
          <w:rFonts w:ascii="Times New Roman" w:eastAsia="Palatino Linotype" w:hAnsi="Times New Roman"/>
        </w:rPr>
        <w:t>₹</w:t>
      </w:r>
      <w:r w:rsidRPr="00CA08BF">
        <w:rPr>
          <w:rFonts w:ascii="Garamond" w:eastAsia="Palatino Linotype" w:hAnsi="Garamond" w:cs="Palatino Linotype"/>
        </w:rPr>
        <w:t xml:space="preserve"> </w:t>
      </w:r>
      <w:r>
        <w:rPr>
          <w:rFonts w:ascii="Garamond" w:eastAsia="Palatino Linotype" w:hAnsi="Garamond" w:cs="Palatino Linotype"/>
        </w:rPr>
        <w:t>28,70,075</w:t>
      </w:r>
      <w:r w:rsidRPr="00CA08BF">
        <w:rPr>
          <w:rFonts w:ascii="Garamond" w:eastAsia="Palatino Linotype" w:hAnsi="Garamond" w:cs="Palatino Linotype"/>
        </w:rPr>
        <w:t xml:space="preserve"> </w:t>
      </w:r>
      <w:r w:rsidR="006A4E85">
        <w:rPr>
          <w:rFonts w:ascii="Garamond" w:eastAsia="Palatino Linotype" w:hAnsi="Garamond" w:cs="Palatino Linotype"/>
        </w:rPr>
        <w:t>crore</w:t>
      </w:r>
      <w:r w:rsidRPr="00CA08BF">
        <w:rPr>
          <w:rFonts w:ascii="Garamond" w:eastAsia="Palatino Linotype" w:hAnsi="Garamond" w:cs="Palatino Linotype"/>
        </w:rPr>
        <w:t xml:space="preserve"> in </w:t>
      </w:r>
      <w:r>
        <w:rPr>
          <w:rFonts w:ascii="Garamond" w:eastAsia="Palatino Linotype" w:hAnsi="Garamond" w:cs="Palatino Linotype"/>
        </w:rPr>
        <w:t xml:space="preserve">April </w:t>
      </w:r>
      <w:r w:rsidRPr="00CA08BF">
        <w:rPr>
          <w:rFonts w:ascii="Garamond" w:eastAsia="Palatino Linotype" w:hAnsi="Garamond" w:cs="Palatino Linotype"/>
        </w:rPr>
        <w:t xml:space="preserve">2022, registering </w:t>
      </w:r>
      <w:r>
        <w:rPr>
          <w:rFonts w:ascii="Garamond" w:eastAsia="Palatino Linotype" w:hAnsi="Garamond" w:cs="Palatino Linotype"/>
        </w:rPr>
        <w:t xml:space="preserve">a </w:t>
      </w:r>
      <w:r w:rsidRPr="00CA08BF">
        <w:rPr>
          <w:rFonts w:ascii="Garamond" w:eastAsia="Palatino Linotype" w:hAnsi="Garamond" w:cs="Palatino Linotype"/>
        </w:rPr>
        <w:t xml:space="preserve">fall of </w:t>
      </w:r>
      <w:r>
        <w:rPr>
          <w:rFonts w:ascii="Garamond" w:eastAsia="Palatino Linotype" w:hAnsi="Garamond" w:cs="Palatino Linotype"/>
        </w:rPr>
        <w:t>7.</w:t>
      </w:r>
      <w:r w:rsidR="00232057">
        <w:rPr>
          <w:rFonts w:ascii="Garamond" w:eastAsia="Palatino Linotype" w:hAnsi="Garamond" w:cs="Palatino Linotype"/>
        </w:rPr>
        <w:t>7</w:t>
      </w:r>
      <w:r w:rsidR="00232057" w:rsidRPr="00CA08BF">
        <w:rPr>
          <w:rFonts w:ascii="Garamond" w:eastAsia="Palatino Linotype" w:hAnsi="Garamond" w:cs="Palatino Linotype"/>
        </w:rPr>
        <w:t xml:space="preserve"> </w:t>
      </w:r>
      <w:r w:rsidRPr="00CA08BF">
        <w:rPr>
          <w:rFonts w:ascii="Garamond" w:eastAsia="Palatino Linotype" w:hAnsi="Garamond" w:cs="Palatino Linotype"/>
        </w:rPr>
        <w:t>per cent.</w:t>
      </w:r>
    </w:p>
    <w:p w:rsidR="0095776A" w:rsidRPr="00CA08BF" w:rsidRDefault="0095776A" w:rsidP="0095776A">
      <w:pPr>
        <w:spacing w:line="276" w:lineRule="auto"/>
        <w:ind w:left="567"/>
        <w:jc w:val="both"/>
        <w:rPr>
          <w:rFonts w:ascii="Garamond" w:eastAsia="Palatino Linotype" w:hAnsi="Garamond" w:cs="Palatino Linotype"/>
        </w:rPr>
      </w:pPr>
    </w:p>
    <w:p w:rsidR="0095776A" w:rsidRDefault="0095776A" w:rsidP="0095776A">
      <w:pPr>
        <w:keepNext/>
        <w:pBdr>
          <w:between w:val="nil"/>
        </w:pBdr>
        <w:spacing w:line="276" w:lineRule="auto"/>
        <w:ind w:left="720" w:hanging="720"/>
        <w:jc w:val="center"/>
        <w:rPr>
          <w:rFonts w:ascii="Garamond" w:eastAsia="Palatino Linotype" w:hAnsi="Garamond" w:cs="Palatino Linotype"/>
          <w:b/>
        </w:rPr>
      </w:pPr>
      <w:r w:rsidRPr="00CA08BF">
        <w:rPr>
          <w:rFonts w:ascii="Garamond" w:eastAsia="Palatino Linotype" w:hAnsi="Garamond" w:cs="Palatino Linotype"/>
          <w:b/>
        </w:rPr>
        <w:lastRenderedPageBreak/>
        <w:t>Figure 7: Trends of Currency Derivatives at NSE, MSEI</w:t>
      </w:r>
      <w:r>
        <w:rPr>
          <w:rFonts w:ascii="Garamond" w:eastAsia="Palatino Linotype" w:hAnsi="Garamond" w:cs="Palatino Linotype"/>
          <w:b/>
        </w:rPr>
        <w:t>,</w:t>
      </w:r>
      <w:r w:rsidRPr="00CA08BF">
        <w:rPr>
          <w:rFonts w:ascii="Garamond" w:eastAsia="Palatino Linotype" w:hAnsi="Garamond" w:cs="Palatino Linotype"/>
          <w:b/>
        </w:rPr>
        <w:t xml:space="preserve"> and BSE (</w:t>
      </w:r>
      <w:r w:rsidRPr="00CA08BF">
        <w:rPr>
          <w:rFonts w:ascii="Times New Roman" w:eastAsia="Palatino Linotype" w:hAnsi="Times New Roman"/>
          <w:b/>
        </w:rPr>
        <w:t>₹</w:t>
      </w:r>
      <w:r w:rsidRPr="00CA08BF">
        <w:rPr>
          <w:rFonts w:ascii="Garamond" w:eastAsia="Palatino Linotype" w:hAnsi="Garamond" w:cs="Palatino Linotype"/>
          <w:b/>
        </w:rPr>
        <w:t xml:space="preserve"> crore)</w:t>
      </w:r>
    </w:p>
    <w:p w:rsidR="0095776A" w:rsidRDefault="0095776A" w:rsidP="0095776A">
      <w:pPr>
        <w:keepNext/>
        <w:pBdr>
          <w:between w:val="nil"/>
        </w:pBdr>
        <w:spacing w:line="276" w:lineRule="auto"/>
        <w:ind w:left="720" w:hanging="720"/>
        <w:jc w:val="center"/>
        <w:rPr>
          <w:rFonts w:ascii="Garamond" w:eastAsia="Palatino Linotype" w:hAnsi="Garamond" w:cs="Palatino Linotype"/>
          <w:b/>
        </w:rPr>
      </w:pPr>
    </w:p>
    <w:p w:rsidR="0095776A" w:rsidRPr="00CA08BF" w:rsidRDefault="0095776A" w:rsidP="0095776A">
      <w:pPr>
        <w:keepNext/>
        <w:pBdr>
          <w:between w:val="nil"/>
        </w:pBdr>
        <w:spacing w:line="276" w:lineRule="auto"/>
        <w:ind w:left="720" w:hanging="720"/>
        <w:jc w:val="center"/>
        <w:rPr>
          <w:rFonts w:ascii="Garamond" w:eastAsia="Palatino Linotype" w:hAnsi="Garamond" w:cs="Palatino Linotype"/>
          <w:b/>
        </w:rPr>
      </w:pPr>
      <w:r>
        <w:rPr>
          <w:noProof/>
          <w:lang w:val="en-US" w:bidi="hi-IN"/>
        </w:rPr>
        <w:drawing>
          <wp:inline distT="0" distB="0" distL="0" distR="0" wp14:anchorId="719867F4" wp14:editId="7ED8E702">
            <wp:extent cx="5286375" cy="2476500"/>
            <wp:effectExtent l="0" t="0" r="9525" b="0"/>
            <wp:docPr id="8" name="Chart 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5776A" w:rsidRPr="00CA08BF" w:rsidRDefault="0095776A" w:rsidP="0095776A">
      <w:pPr>
        <w:keepNext/>
        <w:pBdr>
          <w:between w:val="nil"/>
        </w:pBdr>
        <w:spacing w:line="276" w:lineRule="auto"/>
        <w:ind w:left="720" w:hanging="153"/>
        <w:rPr>
          <w:rFonts w:ascii="Garamond" w:eastAsia="Palatino Linotype" w:hAnsi="Garamond" w:cs="Palatino Linotype"/>
          <w:b/>
        </w:rPr>
      </w:pPr>
      <w:r w:rsidRPr="00CA08BF">
        <w:rPr>
          <w:rFonts w:ascii="Garamond" w:eastAsia="Palatino Linotype" w:hAnsi="Garamond" w:cs="Palatino Linotype"/>
          <w:b/>
          <w:szCs w:val="22"/>
        </w:rPr>
        <w:t xml:space="preserve">Source: </w:t>
      </w:r>
      <w:r w:rsidRPr="00CA08BF">
        <w:rPr>
          <w:rFonts w:ascii="Garamond" w:eastAsia="Palatino Linotype" w:hAnsi="Garamond" w:cs="Palatino Linotype"/>
          <w:bCs/>
          <w:szCs w:val="22"/>
        </w:rPr>
        <w:t>BSE, NSE and MSEI</w:t>
      </w:r>
    </w:p>
    <w:p w:rsidR="0095776A" w:rsidRPr="00CA08BF" w:rsidRDefault="0095776A" w:rsidP="0095776A">
      <w:pPr>
        <w:spacing w:line="276" w:lineRule="auto"/>
        <w:ind w:left="720"/>
        <w:rPr>
          <w:rFonts w:ascii="Garamond" w:eastAsia="Palatino Linotype" w:hAnsi="Garamond" w:cs="Palatino Linotype"/>
          <w:bCs/>
          <w:szCs w:val="22"/>
        </w:rPr>
      </w:pPr>
    </w:p>
    <w:p w:rsidR="0095776A" w:rsidRPr="00CA08BF" w:rsidRDefault="0095776A" w:rsidP="0095776A">
      <w:pPr>
        <w:widowControl w:val="0"/>
        <w:numPr>
          <w:ilvl w:val="0"/>
          <w:numId w:val="3"/>
        </w:numPr>
        <w:spacing w:line="276" w:lineRule="auto"/>
        <w:ind w:left="567" w:hanging="567"/>
        <w:jc w:val="both"/>
        <w:rPr>
          <w:rFonts w:ascii="Garamond" w:eastAsia="Palatino Linotype" w:hAnsi="Garamond" w:cs="Palatino Linotype"/>
          <w:b/>
        </w:rPr>
      </w:pPr>
      <w:r w:rsidRPr="00CA08BF">
        <w:rPr>
          <w:rFonts w:ascii="Garamond" w:eastAsia="Palatino Linotype" w:hAnsi="Garamond" w:cs="Palatino Linotype"/>
          <w:b/>
        </w:rPr>
        <w:t xml:space="preserve">Interest Rate Derivatives </w:t>
      </w:r>
    </w:p>
    <w:p w:rsidR="0095776A" w:rsidRPr="00CA08BF" w:rsidRDefault="0095776A" w:rsidP="0095776A">
      <w:pPr>
        <w:spacing w:after="200" w:line="276" w:lineRule="auto"/>
        <w:contextualSpacing/>
        <w:jc w:val="both"/>
        <w:rPr>
          <w:rFonts w:ascii="Garamond" w:eastAsia="Palatino Linotype" w:hAnsi="Garamond" w:cs="Palatino Linotype"/>
        </w:rPr>
      </w:pPr>
      <w:r w:rsidRPr="00CA08BF">
        <w:rPr>
          <w:rFonts w:ascii="Garamond" w:eastAsia="Palatino Linotype" w:hAnsi="Garamond" w:cs="Palatino Linotype"/>
        </w:rPr>
        <w:t xml:space="preserve">During </w:t>
      </w:r>
      <w:r>
        <w:rPr>
          <w:rFonts w:ascii="Garamond" w:eastAsia="Palatino Linotype" w:hAnsi="Garamond" w:cs="Palatino Linotype"/>
        </w:rPr>
        <w:t xml:space="preserve">May </w:t>
      </w:r>
      <w:r w:rsidRPr="00CA08BF">
        <w:rPr>
          <w:rFonts w:ascii="Garamond" w:eastAsia="Palatino Linotype" w:hAnsi="Garamond" w:cs="Palatino Linotype"/>
        </w:rPr>
        <w:t>2022, th</w:t>
      </w:r>
      <w:r>
        <w:rPr>
          <w:rFonts w:ascii="Garamond" w:eastAsia="Palatino Linotype" w:hAnsi="Garamond" w:cs="Palatino Linotype"/>
        </w:rPr>
        <w:t xml:space="preserve">e monthly notional turnover of </w:t>
      </w:r>
      <w:r w:rsidR="00046848">
        <w:rPr>
          <w:rFonts w:ascii="Garamond" w:eastAsia="Palatino Linotype" w:hAnsi="Garamond" w:cs="Palatino Linotype"/>
        </w:rPr>
        <w:t>i</w:t>
      </w:r>
      <w:r w:rsidR="00046848" w:rsidRPr="00CA08BF">
        <w:rPr>
          <w:rFonts w:ascii="Garamond" w:eastAsia="Palatino Linotype" w:hAnsi="Garamond" w:cs="Palatino Linotype"/>
        </w:rPr>
        <w:t xml:space="preserve">nterest </w:t>
      </w:r>
      <w:r w:rsidR="00046848">
        <w:rPr>
          <w:rFonts w:ascii="Garamond" w:eastAsia="Palatino Linotype" w:hAnsi="Garamond" w:cs="Palatino Linotype"/>
        </w:rPr>
        <w:t>r</w:t>
      </w:r>
      <w:r w:rsidR="00046848" w:rsidRPr="00CA08BF">
        <w:rPr>
          <w:rFonts w:ascii="Garamond" w:eastAsia="Palatino Linotype" w:hAnsi="Garamond" w:cs="Palatino Linotype"/>
        </w:rPr>
        <w:t xml:space="preserve">ate </w:t>
      </w:r>
      <w:r w:rsidR="00046848">
        <w:rPr>
          <w:rFonts w:ascii="Garamond" w:eastAsia="Palatino Linotype" w:hAnsi="Garamond" w:cs="Palatino Linotype"/>
        </w:rPr>
        <w:t>d</w:t>
      </w:r>
      <w:r w:rsidR="00046848" w:rsidRPr="00CA08BF">
        <w:rPr>
          <w:rFonts w:ascii="Garamond" w:eastAsia="Palatino Linotype" w:hAnsi="Garamond" w:cs="Palatino Linotype"/>
        </w:rPr>
        <w:t xml:space="preserve">erivatives </w:t>
      </w:r>
      <w:r w:rsidRPr="00CA08BF">
        <w:rPr>
          <w:rFonts w:ascii="Garamond" w:eastAsia="Palatino Linotype" w:hAnsi="Garamond" w:cs="Palatino Linotype"/>
        </w:rPr>
        <w:t xml:space="preserve">at NSE </w:t>
      </w:r>
      <w:r w:rsidR="0071360B">
        <w:rPr>
          <w:rFonts w:ascii="Garamond" w:eastAsia="Palatino Linotype" w:hAnsi="Garamond" w:cs="Palatino Linotype"/>
        </w:rPr>
        <w:t xml:space="preserve">and </w:t>
      </w:r>
      <w:r>
        <w:rPr>
          <w:rFonts w:ascii="Garamond" w:eastAsia="Palatino Linotype" w:hAnsi="Garamond" w:cs="Palatino Linotype"/>
        </w:rPr>
        <w:t xml:space="preserve">decreased </w:t>
      </w:r>
      <w:r w:rsidRPr="00CA08BF">
        <w:rPr>
          <w:rFonts w:ascii="Garamond" w:eastAsia="Palatino Linotype" w:hAnsi="Garamond" w:cs="Palatino Linotype"/>
        </w:rPr>
        <w:t xml:space="preserve">by </w:t>
      </w:r>
      <w:r>
        <w:rPr>
          <w:rFonts w:ascii="Garamond" w:eastAsia="Palatino Linotype" w:hAnsi="Garamond" w:cs="Palatino Linotype"/>
        </w:rPr>
        <w:t>53.9</w:t>
      </w:r>
      <w:r w:rsidRPr="00CA08BF">
        <w:rPr>
          <w:rFonts w:ascii="Garamond" w:eastAsia="Palatino Linotype" w:hAnsi="Garamond" w:cs="Palatino Linotype"/>
        </w:rPr>
        <w:t xml:space="preserve"> </w:t>
      </w:r>
      <w:r w:rsidR="0071360B">
        <w:rPr>
          <w:rFonts w:ascii="Garamond" w:eastAsia="Palatino Linotype" w:hAnsi="Garamond" w:cs="Palatino Linotype"/>
        </w:rPr>
        <w:t xml:space="preserve">and 21.9 </w:t>
      </w:r>
      <w:r w:rsidRPr="00CA08BF">
        <w:rPr>
          <w:rFonts w:ascii="Garamond" w:eastAsia="Palatino Linotype" w:hAnsi="Garamond" w:cs="Palatino Linotype"/>
        </w:rPr>
        <w:t xml:space="preserve">per cent </w:t>
      </w:r>
      <w:r w:rsidR="0071360B">
        <w:rPr>
          <w:rFonts w:ascii="Garamond" w:eastAsia="Palatino Linotype" w:hAnsi="Garamond" w:cs="Palatino Linotype"/>
        </w:rPr>
        <w:t xml:space="preserve"> respectively </w:t>
      </w:r>
      <w:r w:rsidRPr="00CA08BF">
        <w:rPr>
          <w:rFonts w:ascii="Garamond" w:eastAsia="Palatino Linotype" w:hAnsi="Garamond" w:cs="Palatino Linotype"/>
        </w:rPr>
        <w:t xml:space="preserve">to </w:t>
      </w:r>
      <w:r w:rsidRPr="00CA08BF">
        <w:rPr>
          <w:rFonts w:ascii="Times New Roman" w:eastAsia="Palatino Linotype" w:hAnsi="Times New Roman"/>
        </w:rPr>
        <w:t>₹</w:t>
      </w:r>
      <w:r w:rsidRPr="00560064">
        <w:rPr>
          <w:rFonts w:ascii="Garamond" w:eastAsia="Palatino Linotype" w:hAnsi="Garamond" w:cs="Palatino Linotype"/>
        </w:rPr>
        <w:t>1,642</w:t>
      </w:r>
      <w:r w:rsidRPr="00CA08BF">
        <w:rPr>
          <w:rFonts w:ascii="Garamond" w:eastAsia="Palatino Linotype" w:hAnsi="Garamond" w:cs="Palatino Linotype"/>
        </w:rPr>
        <w:t xml:space="preserve"> </w:t>
      </w:r>
      <w:r w:rsidR="006A4E85">
        <w:rPr>
          <w:rFonts w:ascii="Garamond" w:eastAsia="Palatino Linotype" w:hAnsi="Garamond" w:cs="Palatino Linotype"/>
        </w:rPr>
        <w:t>crore</w:t>
      </w:r>
      <w:r w:rsidRPr="00CA08BF">
        <w:rPr>
          <w:rFonts w:ascii="Garamond" w:eastAsia="Palatino Linotype" w:hAnsi="Garamond" w:cs="Palatino Linotype"/>
        </w:rPr>
        <w:t xml:space="preserve">, </w:t>
      </w:r>
      <w:r w:rsidR="0071360B">
        <w:rPr>
          <w:rFonts w:ascii="Garamond" w:eastAsia="Palatino Linotype" w:hAnsi="Garamond" w:cs="Palatino Linotype"/>
        </w:rPr>
        <w:t xml:space="preserve">and </w:t>
      </w:r>
      <w:r w:rsidRPr="00CA08BF">
        <w:rPr>
          <w:rFonts w:ascii="Garamond" w:eastAsia="Palatino Linotype" w:hAnsi="Garamond" w:cs="Palatino Linotype"/>
        </w:rPr>
        <w:t xml:space="preserve"> </w:t>
      </w:r>
      <w:r w:rsidRPr="00CA08BF">
        <w:rPr>
          <w:rFonts w:ascii="Times New Roman" w:eastAsia="Palatino Linotype" w:hAnsi="Times New Roman"/>
        </w:rPr>
        <w:t>₹</w:t>
      </w:r>
      <w:r w:rsidRPr="00CA08BF">
        <w:rPr>
          <w:rFonts w:ascii="Garamond" w:eastAsia="Palatino Linotype" w:hAnsi="Garamond" w:cs="Palatino Linotype"/>
        </w:rPr>
        <w:t xml:space="preserve"> </w:t>
      </w:r>
      <w:r>
        <w:rPr>
          <w:rFonts w:ascii="Garamond" w:eastAsia="Palatino Linotype" w:hAnsi="Garamond" w:cs="Palatino Linotype"/>
        </w:rPr>
        <w:t>938</w:t>
      </w:r>
      <w:r w:rsidRPr="00CA08BF">
        <w:rPr>
          <w:rFonts w:ascii="Garamond" w:eastAsia="Palatino Linotype" w:hAnsi="Garamond" w:cs="Palatino Linotype"/>
        </w:rPr>
        <w:t xml:space="preserve"> </w:t>
      </w:r>
      <w:r w:rsidR="006A4E85">
        <w:rPr>
          <w:rFonts w:ascii="Garamond" w:eastAsia="Palatino Linotype" w:hAnsi="Garamond" w:cs="Palatino Linotype"/>
        </w:rPr>
        <w:t>crore</w:t>
      </w:r>
      <w:r w:rsidRPr="00CA08BF">
        <w:rPr>
          <w:rFonts w:ascii="Garamond" w:eastAsia="Palatino Linotype" w:hAnsi="Garamond" w:cs="Palatino Linotype"/>
        </w:rPr>
        <w:t>.</w:t>
      </w:r>
    </w:p>
    <w:p w:rsidR="0095776A" w:rsidRDefault="0095776A" w:rsidP="0095776A">
      <w:pPr>
        <w:keepNext/>
        <w:pBdr>
          <w:between w:val="nil"/>
        </w:pBdr>
        <w:spacing w:line="276" w:lineRule="auto"/>
        <w:rPr>
          <w:rFonts w:ascii="Garamond" w:eastAsia="Palatino Linotype" w:hAnsi="Garamond" w:cs="Palatino Linotype"/>
          <w:b/>
        </w:rPr>
      </w:pPr>
      <w:r w:rsidRPr="00CA08BF">
        <w:rPr>
          <w:rFonts w:ascii="Garamond" w:eastAsia="Palatino Linotype" w:hAnsi="Garamond" w:cs="Palatino Linotype"/>
          <w:b/>
        </w:rPr>
        <w:t>Figure 8: Trends of Interest Rate Derivatives at NSE and BSE (</w:t>
      </w:r>
      <w:r w:rsidRPr="00CA08BF">
        <w:rPr>
          <w:rFonts w:ascii="Times New Roman" w:eastAsia="Palatino Linotype" w:hAnsi="Times New Roman"/>
          <w:b/>
        </w:rPr>
        <w:t>₹</w:t>
      </w:r>
      <w:r w:rsidRPr="00CA08BF">
        <w:rPr>
          <w:rFonts w:ascii="Garamond" w:eastAsia="Palatino Linotype" w:hAnsi="Garamond" w:cs="Palatino Linotype"/>
          <w:b/>
        </w:rPr>
        <w:t xml:space="preserve"> crore)</w:t>
      </w:r>
    </w:p>
    <w:p w:rsidR="0095776A" w:rsidRPr="00CA08BF" w:rsidRDefault="0095776A" w:rsidP="0095776A">
      <w:pPr>
        <w:keepNext/>
        <w:pBdr>
          <w:between w:val="nil"/>
        </w:pBdr>
        <w:spacing w:line="276" w:lineRule="auto"/>
        <w:rPr>
          <w:rFonts w:ascii="Garamond" w:eastAsia="Palatino Linotype" w:hAnsi="Garamond" w:cs="Palatino Linotype"/>
          <w:b/>
        </w:rPr>
      </w:pPr>
      <w:r>
        <w:rPr>
          <w:noProof/>
          <w:lang w:val="en-US" w:bidi="hi-IN"/>
        </w:rPr>
        <w:drawing>
          <wp:inline distT="0" distB="0" distL="0" distR="0" wp14:anchorId="6223432B" wp14:editId="7DD4A3CE">
            <wp:extent cx="5200650" cy="2167890"/>
            <wp:effectExtent l="0" t="0" r="0" b="3810"/>
            <wp:docPr id="12" name="Chart 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5776A" w:rsidRPr="00CA08BF" w:rsidRDefault="0095776A" w:rsidP="0095776A">
      <w:pPr>
        <w:pBdr>
          <w:top w:val="nil"/>
          <w:left w:val="nil"/>
          <w:bottom w:val="nil"/>
          <w:right w:val="nil"/>
          <w:between w:val="nil"/>
        </w:pBdr>
        <w:spacing w:line="276" w:lineRule="auto"/>
        <w:rPr>
          <w:rFonts w:ascii="Garamond" w:eastAsia="Palatino Linotype" w:hAnsi="Garamond" w:cs="Palatino Linotype"/>
          <w:b/>
        </w:rPr>
      </w:pPr>
      <w:r w:rsidRPr="00CA08BF">
        <w:rPr>
          <w:rFonts w:ascii="Garamond" w:eastAsia="Palatino Linotype" w:hAnsi="Garamond" w:cs="Palatino Linotype"/>
          <w:b/>
          <w:szCs w:val="22"/>
        </w:rPr>
        <w:t xml:space="preserve">  </w:t>
      </w:r>
      <w:r w:rsidRPr="00CA08BF">
        <w:rPr>
          <w:rFonts w:ascii="Garamond" w:eastAsia="Palatino Linotype" w:hAnsi="Garamond" w:cs="Palatino Linotype"/>
          <w:b/>
          <w:szCs w:val="22"/>
        </w:rPr>
        <w:tab/>
        <w:t xml:space="preserve">Source: </w:t>
      </w:r>
      <w:r w:rsidRPr="00CA08BF">
        <w:rPr>
          <w:rFonts w:ascii="Garamond" w:eastAsia="Palatino Linotype" w:hAnsi="Garamond" w:cs="Palatino Linotype"/>
          <w:bCs/>
          <w:szCs w:val="22"/>
        </w:rPr>
        <w:t>BSE and NSE</w:t>
      </w:r>
      <w:r w:rsidRPr="00CA08BF">
        <w:rPr>
          <w:rFonts w:ascii="Garamond" w:eastAsia="Palatino Linotype" w:hAnsi="Garamond" w:cs="Palatino Linotype"/>
          <w:b/>
          <w:szCs w:val="22"/>
        </w:rPr>
        <w:t xml:space="preserve"> </w:t>
      </w:r>
    </w:p>
    <w:p w:rsidR="006A6CB3" w:rsidRDefault="00E31400" w:rsidP="00E97406">
      <w:pPr>
        <w:widowControl w:val="0"/>
        <w:numPr>
          <w:ilvl w:val="0"/>
          <w:numId w:val="3"/>
        </w:numPr>
        <w:spacing w:line="276" w:lineRule="auto"/>
        <w:ind w:left="567" w:hanging="567"/>
        <w:jc w:val="both"/>
        <w:rPr>
          <w:rFonts w:ascii="Garamond" w:eastAsia="Palatino Linotype" w:hAnsi="Garamond" w:cs="Palatino Linotype"/>
          <w:b/>
        </w:rPr>
      </w:pPr>
      <w:r>
        <w:rPr>
          <w:rFonts w:ascii="Garamond" w:eastAsia="Palatino Linotype" w:hAnsi="Garamond" w:cs="Palatino Linotype"/>
          <w:strike/>
        </w:rPr>
        <w:br w:type="page"/>
      </w:r>
      <w:r w:rsidR="006A6CB3" w:rsidRPr="006A6CB3">
        <w:rPr>
          <w:rFonts w:ascii="Garamond" w:eastAsia="Palatino Linotype" w:hAnsi="Garamond" w:cs="Palatino Linotype"/>
          <w:b/>
        </w:rPr>
        <w:lastRenderedPageBreak/>
        <w:t xml:space="preserve">Trading in </w:t>
      </w:r>
      <w:r>
        <w:rPr>
          <w:rFonts w:ascii="Garamond" w:eastAsia="Palatino Linotype" w:hAnsi="Garamond" w:cs="Palatino Linotype"/>
          <w:b/>
        </w:rPr>
        <w:t xml:space="preserve">the </w:t>
      </w:r>
      <w:r w:rsidR="006A6CB3" w:rsidRPr="006A6CB3">
        <w:rPr>
          <w:rFonts w:ascii="Garamond" w:eastAsia="Palatino Linotype" w:hAnsi="Garamond" w:cs="Palatino Linotype"/>
          <w:b/>
        </w:rPr>
        <w:t>Corporate Debt Market</w:t>
      </w:r>
    </w:p>
    <w:p w:rsidR="00153022" w:rsidRPr="006A6CB3" w:rsidRDefault="00153022" w:rsidP="00153022">
      <w:pPr>
        <w:rPr>
          <w:rFonts w:ascii="Garamond" w:eastAsia="Palatino Linotype" w:hAnsi="Garamond" w:cs="Palatino Linotype"/>
          <w:b/>
        </w:rPr>
      </w:pPr>
    </w:p>
    <w:p w:rsidR="00104462" w:rsidRDefault="00F23977" w:rsidP="00104462">
      <w:pPr>
        <w:numPr>
          <w:ilvl w:val="0"/>
          <w:numId w:val="1"/>
        </w:numPr>
        <w:pBdr>
          <w:between w:val="nil"/>
        </w:pBdr>
        <w:spacing w:line="360" w:lineRule="auto"/>
        <w:ind w:left="814"/>
        <w:jc w:val="both"/>
        <w:rPr>
          <w:rFonts w:ascii="Garamond" w:eastAsia="Palatino Linotype" w:hAnsi="Garamond" w:cs="Palatino Linotype"/>
        </w:rPr>
      </w:pPr>
      <w:r w:rsidRPr="00C2045E">
        <w:rPr>
          <w:rFonts w:ascii="Garamond" w:eastAsia="Palatino Linotype" w:hAnsi="Garamond" w:cs="Palatino Linotype"/>
        </w:rPr>
        <w:t>During</w:t>
      </w:r>
      <w:r>
        <w:rPr>
          <w:rFonts w:ascii="Garamond" w:eastAsia="Palatino Linotype" w:hAnsi="Garamond" w:cs="Palatino Linotype"/>
        </w:rPr>
        <w:t xml:space="preserve"> </w:t>
      </w:r>
      <w:r w:rsidR="00153022">
        <w:rPr>
          <w:rFonts w:ascii="Garamond" w:eastAsia="Palatino Linotype" w:hAnsi="Garamond" w:cs="Palatino Linotype"/>
        </w:rPr>
        <w:t xml:space="preserve">May </w:t>
      </w:r>
      <w:r>
        <w:rPr>
          <w:rFonts w:ascii="Garamond" w:eastAsia="Palatino Linotype" w:hAnsi="Garamond" w:cs="Palatino Linotype"/>
        </w:rPr>
        <w:t>2022</w:t>
      </w:r>
      <w:r w:rsidRPr="00C2045E">
        <w:rPr>
          <w:rFonts w:ascii="Garamond" w:eastAsia="Palatino Linotype" w:hAnsi="Garamond" w:cs="Palatino Linotype"/>
        </w:rPr>
        <w:t xml:space="preserve">, BSE registered </w:t>
      </w:r>
      <w:r>
        <w:rPr>
          <w:rFonts w:ascii="Garamond" w:eastAsia="Palatino Linotype" w:hAnsi="Garamond" w:cs="Palatino Linotype"/>
        </w:rPr>
        <w:t>11,</w:t>
      </w:r>
      <w:r w:rsidR="009B08E1">
        <w:rPr>
          <w:rFonts w:ascii="Garamond" w:eastAsia="Palatino Linotype" w:hAnsi="Garamond" w:cs="Palatino Linotype"/>
        </w:rPr>
        <w:t>005</w:t>
      </w:r>
      <w:r>
        <w:rPr>
          <w:rFonts w:ascii="Garamond" w:eastAsia="Palatino Linotype" w:hAnsi="Garamond" w:cs="Palatino Linotype"/>
        </w:rPr>
        <w:t xml:space="preserve"> </w:t>
      </w:r>
      <w:r w:rsidRPr="00C2045E">
        <w:rPr>
          <w:rFonts w:ascii="Garamond" w:eastAsia="Palatino Linotype" w:hAnsi="Garamond" w:cs="Palatino Linotype"/>
        </w:rPr>
        <w:t xml:space="preserve">trades of corporate debt with traded value of </w:t>
      </w:r>
      <w:r w:rsidRPr="00C2045E">
        <w:rPr>
          <w:rFonts w:ascii="Times New Roman" w:eastAsia="Palatino Linotype" w:hAnsi="Times New Roman"/>
        </w:rPr>
        <w:t>₹</w:t>
      </w:r>
      <w:r>
        <w:rPr>
          <w:rFonts w:ascii="Garamond" w:eastAsia="Palatino Linotype" w:hAnsi="Garamond" w:cs="Palatino Linotype"/>
        </w:rPr>
        <w:t>4</w:t>
      </w:r>
      <w:r w:rsidR="009B08E1">
        <w:rPr>
          <w:rFonts w:ascii="Garamond" w:eastAsia="Palatino Linotype" w:hAnsi="Garamond" w:cs="Palatino Linotype"/>
        </w:rPr>
        <w:t>0,</w:t>
      </w:r>
      <w:r w:rsidR="0071360B">
        <w:rPr>
          <w:rFonts w:ascii="Garamond" w:eastAsia="Palatino Linotype" w:hAnsi="Garamond" w:cs="Palatino Linotype"/>
        </w:rPr>
        <w:t>959</w:t>
      </w:r>
      <w:r w:rsidR="0071360B" w:rsidRPr="00C2045E">
        <w:rPr>
          <w:rFonts w:ascii="Garamond" w:eastAsia="Palatino Linotype" w:hAnsi="Garamond" w:cs="Palatino Linotype"/>
        </w:rPr>
        <w:t xml:space="preserve"> </w:t>
      </w:r>
      <w:r w:rsidR="006A4E85">
        <w:rPr>
          <w:rFonts w:ascii="Garamond" w:eastAsia="Palatino Linotype" w:hAnsi="Garamond" w:cs="Palatino Linotype"/>
        </w:rPr>
        <w:t>crore</w:t>
      </w:r>
      <w:r w:rsidRPr="00C2045E">
        <w:rPr>
          <w:rFonts w:ascii="Garamond" w:eastAsia="Palatino Linotype" w:hAnsi="Garamond" w:cs="Palatino Linotype"/>
        </w:rPr>
        <w:t xml:space="preserve">, </w:t>
      </w:r>
      <w:r>
        <w:rPr>
          <w:rFonts w:ascii="Garamond" w:eastAsia="Palatino Linotype" w:hAnsi="Garamond" w:cs="Palatino Linotype"/>
        </w:rPr>
        <w:t xml:space="preserve">which was a decline of </w:t>
      </w:r>
      <w:r w:rsidR="009B08E1">
        <w:rPr>
          <w:rFonts w:ascii="Garamond" w:eastAsia="Palatino Linotype" w:hAnsi="Garamond" w:cs="Palatino Linotype"/>
        </w:rPr>
        <w:t>16</w:t>
      </w:r>
      <w:r>
        <w:rPr>
          <w:rFonts w:ascii="Garamond" w:eastAsia="Palatino Linotype" w:hAnsi="Garamond" w:cs="Palatino Linotype"/>
        </w:rPr>
        <w:t xml:space="preserve"> </w:t>
      </w:r>
      <w:r w:rsidRPr="00C2045E">
        <w:rPr>
          <w:rFonts w:ascii="Garamond" w:eastAsia="Palatino Linotype" w:hAnsi="Garamond" w:cs="Palatino Linotype"/>
        </w:rPr>
        <w:t>per cent in traded value compared to</w:t>
      </w:r>
      <w:r>
        <w:rPr>
          <w:rFonts w:ascii="Garamond" w:eastAsia="Palatino Linotype" w:hAnsi="Garamond" w:cs="Palatino Linotype"/>
        </w:rPr>
        <w:t xml:space="preserve"> </w:t>
      </w:r>
      <w:r w:rsidR="009B08E1">
        <w:rPr>
          <w:rFonts w:ascii="Garamond" w:eastAsia="Palatino Linotype" w:hAnsi="Garamond" w:cs="Palatino Linotype"/>
        </w:rPr>
        <w:t xml:space="preserve">April </w:t>
      </w:r>
      <w:r>
        <w:rPr>
          <w:rFonts w:ascii="Garamond" w:eastAsia="Palatino Linotype" w:hAnsi="Garamond" w:cs="Palatino Linotype"/>
        </w:rPr>
        <w:t>2022</w:t>
      </w:r>
      <w:r w:rsidRPr="00C2045E">
        <w:rPr>
          <w:rFonts w:ascii="Garamond" w:eastAsia="Palatino Linotype" w:hAnsi="Garamond" w:cs="Palatino Linotype"/>
        </w:rPr>
        <w:t xml:space="preserve">. </w:t>
      </w:r>
    </w:p>
    <w:p w:rsidR="00F23977" w:rsidRPr="00104462" w:rsidRDefault="00F23977" w:rsidP="00104462">
      <w:pPr>
        <w:numPr>
          <w:ilvl w:val="0"/>
          <w:numId w:val="1"/>
        </w:numPr>
        <w:pBdr>
          <w:between w:val="nil"/>
        </w:pBdr>
        <w:spacing w:line="360" w:lineRule="auto"/>
        <w:ind w:left="814"/>
        <w:jc w:val="both"/>
        <w:rPr>
          <w:rFonts w:ascii="Garamond" w:eastAsia="Palatino Linotype" w:hAnsi="Garamond" w:cs="Palatino Linotype"/>
        </w:rPr>
      </w:pPr>
      <w:r w:rsidRPr="00104462">
        <w:rPr>
          <w:rFonts w:ascii="Garamond" w:eastAsia="Palatino Linotype" w:hAnsi="Garamond" w:cs="Palatino Linotype"/>
        </w:rPr>
        <w:t>At NSE, 5,</w:t>
      </w:r>
      <w:r w:rsidR="009B08E1">
        <w:rPr>
          <w:rFonts w:ascii="Garamond" w:eastAsia="Palatino Linotype" w:hAnsi="Garamond" w:cs="Palatino Linotype"/>
        </w:rPr>
        <w:t>280</w:t>
      </w:r>
      <w:r w:rsidRPr="00104462">
        <w:rPr>
          <w:rFonts w:ascii="Garamond" w:eastAsia="Palatino Linotype" w:hAnsi="Garamond" w:cs="Palatino Linotype"/>
        </w:rPr>
        <w:t xml:space="preserve"> trades were recorded with a traded value of </w:t>
      </w:r>
      <w:r w:rsidRPr="00104462">
        <w:rPr>
          <w:rFonts w:ascii="Times New Roman" w:eastAsia="Palatino Linotype" w:hAnsi="Times New Roman"/>
        </w:rPr>
        <w:t>₹</w:t>
      </w:r>
      <w:r w:rsidR="009B08E1" w:rsidRPr="00D42F8D">
        <w:rPr>
          <w:rFonts w:ascii="Garamond" w:eastAsia="Palatino Linotype" w:hAnsi="Garamond" w:cs="Palatino Linotype"/>
        </w:rPr>
        <w:t>66,484</w:t>
      </w:r>
      <w:r w:rsidRPr="00104462">
        <w:rPr>
          <w:rFonts w:ascii="Garamond" w:eastAsia="Palatino Linotype" w:hAnsi="Garamond" w:cs="Palatino Linotype"/>
        </w:rPr>
        <w:t xml:space="preserve"> crore in </w:t>
      </w:r>
      <w:r w:rsidR="00153022">
        <w:rPr>
          <w:rFonts w:ascii="Garamond" w:eastAsia="Palatino Linotype" w:hAnsi="Garamond" w:cs="Palatino Linotype"/>
        </w:rPr>
        <w:t xml:space="preserve">May </w:t>
      </w:r>
      <w:r w:rsidRPr="00104462">
        <w:rPr>
          <w:rFonts w:ascii="Garamond" w:eastAsia="Palatino Linotype" w:hAnsi="Garamond" w:cs="Palatino Linotype"/>
        </w:rPr>
        <w:t xml:space="preserve">2022 which </w:t>
      </w:r>
      <w:r w:rsidR="0071360B">
        <w:rPr>
          <w:rFonts w:ascii="Garamond" w:eastAsia="Palatino Linotype" w:hAnsi="Garamond" w:cs="Palatino Linotype"/>
        </w:rPr>
        <w:t>was</w:t>
      </w:r>
      <w:r w:rsidR="0071360B" w:rsidRPr="00104462">
        <w:rPr>
          <w:rFonts w:ascii="Garamond" w:eastAsia="Palatino Linotype" w:hAnsi="Garamond" w:cs="Palatino Linotype"/>
        </w:rPr>
        <w:t xml:space="preserve"> </w:t>
      </w:r>
      <w:r w:rsidR="0071360B">
        <w:rPr>
          <w:rFonts w:ascii="Garamond" w:eastAsia="Palatino Linotype" w:hAnsi="Garamond" w:cs="Palatino Linotype"/>
        </w:rPr>
        <w:t>8.8</w:t>
      </w:r>
      <w:r w:rsidR="0071360B" w:rsidRPr="00104462">
        <w:rPr>
          <w:rFonts w:ascii="Garamond" w:eastAsia="Palatino Linotype" w:hAnsi="Garamond" w:cs="Palatino Linotype"/>
        </w:rPr>
        <w:t xml:space="preserve"> </w:t>
      </w:r>
      <w:r w:rsidRPr="00104462">
        <w:rPr>
          <w:rFonts w:ascii="Garamond" w:eastAsia="Palatino Linotype" w:hAnsi="Garamond" w:cs="Palatino Linotype"/>
        </w:rPr>
        <w:t xml:space="preserve">per cent lower compared to </w:t>
      </w:r>
      <w:r w:rsidR="00153022">
        <w:rPr>
          <w:rFonts w:ascii="Garamond" w:eastAsia="Palatino Linotype" w:hAnsi="Garamond" w:cs="Palatino Linotype"/>
        </w:rPr>
        <w:t xml:space="preserve">April </w:t>
      </w:r>
      <w:r w:rsidRPr="00104462">
        <w:rPr>
          <w:rFonts w:ascii="Garamond" w:eastAsia="Palatino Linotype" w:hAnsi="Garamond" w:cs="Palatino Linotype"/>
        </w:rPr>
        <w:t xml:space="preserve">2022. </w:t>
      </w:r>
    </w:p>
    <w:p w:rsidR="00104462" w:rsidRPr="00C2045E" w:rsidRDefault="00104462" w:rsidP="00C55239">
      <w:pPr>
        <w:pBdr>
          <w:between w:val="nil"/>
        </w:pBdr>
        <w:spacing w:line="360" w:lineRule="auto"/>
        <w:jc w:val="both"/>
        <w:rPr>
          <w:rFonts w:ascii="Garamond" w:eastAsia="Palatino Linotype" w:hAnsi="Garamond" w:cs="Palatino Linotype"/>
          <w:b/>
          <w:color w:val="2E74B5"/>
        </w:rPr>
      </w:pPr>
    </w:p>
    <w:p w:rsidR="00F23977" w:rsidRDefault="00F23977" w:rsidP="00104462">
      <w:pPr>
        <w:pBdr>
          <w:between w:val="nil"/>
        </w:pBdr>
        <w:spacing w:line="276" w:lineRule="auto"/>
        <w:ind w:left="720" w:hanging="720"/>
        <w:jc w:val="center"/>
        <w:rPr>
          <w:rFonts w:ascii="Garamond" w:eastAsia="Palatino Linotype" w:hAnsi="Garamond" w:cs="Palatino Linotype"/>
          <w:b/>
        </w:rPr>
      </w:pPr>
      <w:r w:rsidRPr="00891713">
        <w:rPr>
          <w:rFonts w:ascii="Garamond" w:eastAsia="Palatino Linotype" w:hAnsi="Garamond" w:cs="Palatino Linotype"/>
          <w:b/>
        </w:rPr>
        <w:t>Figure 10: Trends in Reported Turnover of Corporate Bonds (</w:t>
      </w:r>
      <w:r w:rsidRPr="00891713">
        <w:rPr>
          <w:rFonts w:ascii="Times New Roman" w:eastAsia="Palatino Linotype" w:hAnsi="Times New Roman"/>
          <w:b/>
        </w:rPr>
        <w:t>₹</w:t>
      </w:r>
      <w:r w:rsidRPr="00891713">
        <w:rPr>
          <w:rFonts w:ascii="Garamond" w:eastAsia="Palatino Linotype" w:hAnsi="Garamond" w:cs="Palatino Linotype"/>
          <w:b/>
        </w:rPr>
        <w:t xml:space="preserve"> crore)</w:t>
      </w:r>
    </w:p>
    <w:p w:rsidR="009B08E1" w:rsidRDefault="009B08E1" w:rsidP="00104462">
      <w:pPr>
        <w:pBdr>
          <w:between w:val="nil"/>
        </w:pBdr>
        <w:spacing w:line="276" w:lineRule="auto"/>
        <w:ind w:left="720" w:hanging="720"/>
        <w:jc w:val="center"/>
        <w:rPr>
          <w:rFonts w:ascii="Garamond" w:eastAsia="Palatino Linotype" w:hAnsi="Garamond" w:cs="Palatino Linotype"/>
          <w:b/>
        </w:rPr>
      </w:pPr>
      <w:r>
        <w:rPr>
          <w:noProof/>
          <w:lang w:val="en-US" w:bidi="hi-IN"/>
        </w:rPr>
        <w:drawing>
          <wp:inline distT="0" distB="0" distL="0" distR="0" wp14:anchorId="2094879A" wp14:editId="7550A054">
            <wp:extent cx="5846400" cy="3304800"/>
            <wp:effectExtent l="0" t="0" r="2540" b="10160"/>
            <wp:docPr id="17" name="Chart 17">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A6CB3" w:rsidRPr="00D87E25" w:rsidRDefault="00F23977" w:rsidP="009B19A4">
      <w:pPr>
        <w:jc w:val="both"/>
        <w:rPr>
          <w:rFonts w:ascii="Garamond" w:eastAsia="Palatino Linotype" w:hAnsi="Garamond" w:cs="Palatino Linotype"/>
          <w:bCs/>
          <w:sz w:val="22"/>
          <w:szCs w:val="22"/>
        </w:rPr>
      </w:pPr>
      <w:r w:rsidRPr="00891713">
        <w:rPr>
          <w:rFonts w:ascii="Garamond" w:eastAsia="Palatino Linotype" w:hAnsi="Garamond" w:cs="Palatino Linotype"/>
          <w:b/>
          <w:szCs w:val="22"/>
        </w:rPr>
        <w:t xml:space="preserve">Source: </w:t>
      </w:r>
      <w:r w:rsidRPr="00891713">
        <w:rPr>
          <w:rFonts w:ascii="Garamond" w:eastAsia="Palatino Linotype" w:hAnsi="Garamond" w:cs="Palatino Linotype"/>
          <w:bCs/>
          <w:szCs w:val="22"/>
        </w:rPr>
        <w:t>BSE and NSE</w:t>
      </w:r>
    </w:p>
    <w:p w:rsidR="006A6CB3" w:rsidRDefault="006A6CB3" w:rsidP="009B19A4">
      <w:pPr>
        <w:jc w:val="both"/>
        <w:rPr>
          <w:rFonts w:ascii="Garamond" w:eastAsia="Palatino Linotype" w:hAnsi="Garamond" w:cs="Palatino Linotype"/>
          <w:b/>
        </w:rPr>
      </w:pPr>
    </w:p>
    <w:p w:rsidR="00D87E25" w:rsidRPr="006A6CB3" w:rsidRDefault="00D87E25" w:rsidP="009B19A4">
      <w:pPr>
        <w:jc w:val="both"/>
        <w:rPr>
          <w:rFonts w:ascii="Garamond" w:eastAsia="Palatino Linotype" w:hAnsi="Garamond" w:cs="Palatino Linotype"/>
          <w:b/>
        </w:rPr>
      </w:pPr>
    </w:p>
    <w:p w:rsidR="006A6CB3" w:rsidRPr="006A6CB3" w:rsidRDefault="006A6CB3" w:rsidP="009B19A4">
      <w:pPr>
        <w:widowControl w:val="0"/>
        <w:numPr>
          <w:ilvl w:val="0"/>
          <w:numId w:val="2"/>
        </w:numPr>
        <w:spacing w:line="276" w:lineRule="auto"/>
        <w:ind w:left="567" w:hanging="567"/>
        <w:jc w:val="both"/>
        <w:rPr>
          <w:rFonts w:ascii="Garamond" w:eastAsia="Palatino Linotype" w:hAnsi="Garamond" w:cs="Palatino Linotype"/>
          <w:b/>
        </w:rPr>
      </w:pPr>
      <w:r w:rsidRPr="006A6CB3">
        <w:rPr>
          <w:rFonts w:ascii="Garamond" w:eastAsia="Palatino Linotype" w:hAnsi="Garamond" w:cs="Palatino Linotype"/>
          <w:b/>
        </w:rPr>
        <w:t>Trends in Institutional Investments</w:t>
      </w:r>
    </w:p>
    <w:p w:rsidR="006A6CB3" w:rsidRPr="006A6CB3" w:rsidRDefault="006A6CB3" w:rsidP="009B19A4">
      <w:pPr>
        <w:widowControl w:val="0"/>
        <w:spacing w:line="276" w:lineRule="auto"/>
        <w:ind w:left="567"/>
        <w:jc w:val="both"/>
        <w:rPr>
          <w:rFonts w:ascii="Garamond" w:eastAsia="Palatino Linotype" w:hAnsi="Garamond" w:cs="Palatino Linotype"/>
          <w:b/>
        </w:rPr>
      </w:pPr>
    </w:p>
    <w:p w:rsidR="006A6CB3" w:rsidRDefault="006A6CB3" w:rsidP="009B19A4">
      <w:pPr>
        <w:widowControl w:val="0"/>
        <w:numPr>
          <w:ilvl w:val="0"/>
          <w:numId w:val="4"/>
        </w:numPr>
        <w:tabs>
          <w:tab w:val="left" w:pos="0"/>
        </w:tabs>
        <w:spacing w:line="276" w:lineRule="auto"/>
        <w:ind w:left="567" w:hanging="567"/>
        <w:jc w:val="both"/>
        <w:rPr>
          <w:rFonts w:ascii="Garamond" w:eastAsia="Palatino Linotype" w:hAnsi="Garamond" w:cs="Palatino Linotype"/>
          <w:b/>
        </w:rPr>
      </w:pPr>
      <w:r w:rsidRPr="006A6CB3">
        <w:rPr>
          <w:rFonts w:ascii="Garamond" w:eastAsia="Palatino Linotype" w:hAnsi="Garamond" w:cs="Palatino Linotype"/>
          <w:b/>
        </w:rPr>
        <w:t>Trends in Fund Mobilisation/Transactions by Mutual Funds</w:t>
      </w:r>
    </w:p>
    <w:p w:rsidR="002E59F7" w:rsidRPr="006A6CB3" w:rsidRDefault="002E59F7" w:rsidP="002E59F7">
      <w:pPr>
        <w:widowControl w:val="0"/>
        <w:tabs>
          <w:tab w:val="left" w:pos="0"/>
        </w:tabs>
        <w:spacing w:line="276" w:lineRule="auto"/>
        <w:ind w:left="567"/>
        <w:jc w:val="both"/>
        <w:rPr>
          <w:rFonts w:ascii="Garamond" w:eastAsia="Palatino Linotype" w:hAnsi="Garamond" w:cs="Palatino Linotype"/>
          <w:b/>
        </w:rPr>
      </w:pPr>
    </w:p>
    <w:p w:rsidR="00F64B9A" w:rsidRPr="00153022" w:rsidRDefault="00F64B9A" w:rsidP="001545AF">
      <w:pPr>
        <w:numPr>
          <w:ilvl w:val="0"/>
          <w:numId w:val="1"/>
        </w:numPr>
        <w:pBdr>
          <w:between w:val="nil"/>
        </w:pBdr>
        <w:spacing w:after="160" w:line="360" w:lineRule="auto"/>
        <w:jc w:val="both"/>
        <w:rPr>
          <w:rFonts w:ascii="Garamond" w:eastAsia="Times New Roman" w:hAnsi="Garamond" w:cs="Tahoma"/>
          <w:lang w:eastAsia="en-IN"/>
        </w:rPr>
      </w:pPr>
      <w:r w:rsidRPr="00153022">
        <w:rPr>
          <w:rFonts w:ascii="Garamond" w:eastAsia="Times New Roman" w:hAnsi="Garamond" w:cs="Tahoma"/>
          <w:lang w:eastAsia="en-IN"/>
        </w:rPr>
        <w:t xml:space="preserve">The mutual fund industry saw a net </w:t>
      </w:r>
      <w:r w:rsidR="004E76E8">
        <w:rPr>
          <w:rFonts w:ascii="Garamond" w:eastAsia="Times New Roman" w:hAnsi="Garamond" w:cs="Tahoma"/>
          <w:lang w:eastAsia="en-IN"/>
        </w:rPr>
        <w:t>ouy</w:t>
      </w:r>
      <w:r w:rsidR="004E76E8" w:rsidRPr="00153022">
        <w:rPr>
          <w:rFonts w:ascii="Garamond" w:eastAsia="Times New Roman" w:hAnsi="Garamond" w:cs="Tahoma"/>
          <w:lang w:eastAsia="en-IN"/>
        </w:rPr>
        <w:t xml:space="preserve">flow </w:t>
      </w:r>
      <w:r w:rsidRPr="00153022">
        <w:rPr>
          <w:rFonts w:ascii="Garamond" w:eastAsia="Times New Roman" w:hAnsi="Garamond" w:cs="Tahoma"/>
          <w:lang w:eastAsia="en-IN"/>
        </w:rPr>
        <w:t xml:space="preserve">of </w:t>
      </w:r>
      <w:r w:rsidRPr="00153022">
        <w:rPr>
          <w:rFonts w:ascii="Times New Roman" w:eastAsia="Times New Roman" w:hAnsi="Times New Roman"/>
          <w:lang w:eastAsia="en-IN"/>
        </w:rPr>
        <w:t xml:space="preserve">₹ </w:t>
      </w:r>
      <w:r w:rsidR="004E76E8">
        <w:rPr>
          <w:rFonts w:ascii="Garamond" w:eastAsia="Times New Roman" w:hAnsi="Garamond" w:cs="Tahoma"/>
          <w:lang w:eastAsia="en-IN"/>
        </w:rPr>
        <w:t>7,532</w:t>
      </w:r>
      <w:r w:rsidRPr="00153022">
        <w:rPr>
          <w:rFonts w:ascii="Garamond" w:eastAsia="Times New Roman" w:hAnsi="Garamond" w:cs="Tahoma"/>
          <w:lang w:eastAsia="en-IN"/>
        </w:rPr>
        <w:t xml:space="preserve"> crore during </w:t>
      </w:r>
      <w:r w:rsidR="004E76E8">
        <w:rPr>
          <w:rFonts w:ascii="Garamond" w:eastAsia="Times New Roman" w:hAnsi="Garamond" w:cs="Tahoma"/>
          <w:lang w:eastAsia="en-IN"/>
        </w:rPr>
        <w:t>May</w:t>
      </w:r>
      <w:r w:rsidR="004E76E8" w:rsidRPr="00153022">
        <w:rPr>
          <w:rFonts w:ascii="Garamond" w:eastAsia="Times New Roman" w:hAnsi="Garamond" w:cs="Tahoma"/>
          <w:lang w:eastAsia="en-IN"/>
        </w:rPr>
        <w:t xml:space="preserve"> </w:t>
      </w:r>
      <w:r w:rsidRPr="00153022">
        <w:rPr>
          <w:rFonts w:ascii="Garamond" w:eastAsia="Times New Roman" w:hAnsi="Garamond" w:cs="Tahoma"/>
          <w:lang w:eastAsia="en-IN"/>
        </w:rPr>
        <w:t xml:space="preserve">2022 as against a net </w:t>
      </w:r>
      <w:r w:rsidR="004E76E8">
        <w:rPr>
          <w:rFonts w:ascii="Garamond" w:eastAsia="Times New Roman" w:hAnsi="Garamond" w:cs="Tahoma"/>
          <w:lang w:eastAsia="en-IN"/>
        </w:rPr>
        <w:t>in</w:t>
      </w:r>
      <w:r w:rsidR="004E76E8" w:rsidRPr="00153022">
        <w:rPr>
          <w:rFonts w:ascii="Garamond" w:eastAsia="Times New Roman" w:hAnsi="Garamond" w:cs="Tahoma"/>
          <w:lang w:eastAsia="en-IN"/>
        </w:rPr>
        <w:t xml:space="preserve">flow </w:t>
      </w:r>
      <w:r w:rsidRPr="00153022">
        <w:rPr>
          <w:rFonts w:ascii="Garamond" w:eastAsia="Times New Roman" w:hAnsi="Garamond" w:cs="Tahoma"/>
          <w:lang w:eastAsia="en-IN"/>
        </w:rPr>
        <w:t xml:space="preserve">of </w:t>
      </w:r>
      <w:r w:rsidRPr="00153022">
        <w:rPr>
          <w:rFonts w:ascii="Times New Roman" w:eastAsia="Times New Roman" w:hAnsi="Times New Roman"/>
          <w:lang w:eastAsia="en-IN"/>
        </w:rPr>
        <w:t>₹</w:t>
      </w:r>
      <w:r w:rsidRPr="00153022">
        <w:rPr>
          <w:rFonts w:ascii="Garamond" w:eastAsia="Times New Roman" w:hAnsi="Garamond" w:cs="Tahoma"/>
          <w:lang w:eastAsia="en-IN"/>
        </w:rPr>
        <w:t xml:space="preserve"> </w:t>
      </w:r>
      <w:r w:rsidR="004E76E8">
        <w:rPr>
          <w:rFonts w:ascii="Garamond" w:eastAsia="Times New Roman" w:hAnsi="Garamond" w:cs="Tahoma"/>
          <w:lang w:eastAsia="en-IN"/>
        </w:rPr>
        <w:t>72,847</w:t>
      </w:r>
      <w:r w:rsidRPr="00153022">
        <w:rPr>
          <w:rFonts w:ascii="Garamond" w:eastAsia="Times New Roman" w:hAnsi="Garamond" w:cs="Tahoma"/>
          <w:lang w:eastAsia="en-IN"/>
        </w:rPr>
        <w:t xml:space="preserve"> crore during </w:t>
      </w:r>
      <w:r w:rsidR="004E76E8">
        <w:rPr>
          <w:rFonts w:ascii="Garamond" w:eastAsia="Times New Roman" w:hAnsi="Garamond" w:cs="Tahoma"/>
          <w:lang w:eastAsia="en-IN"/>
        </w:rPr>
        <w:t>April</w:t>
      </w:r>
      <w:r w:rsidR="004E76E8" w:rsidRPr="00153022">
        <w:rPr>
          <w:rFonts w:ascii="Garamond" w:eastAsia="Times New Roman" w:hAnsi="Garamond" w:cs="Tahoma"/>
          <w:lang w:eastAsia="en-IN"/>
        </w:rPr>
        <w:t xml:space="preserve"> </w:t>
      </w:r>
      <w:r w:rsidRPr="00153022">
        <w:rPr>
          <w:rFonts w:ascii="Garamond" w:eastAsia="Times New Roman" w:hAnsi="Garamond" w:cs="Tahoma"/>
          <w:lang w:eastAsia="en-IN"/>
        </w:rPr>
        <w:t>2022.</w:t>
      </w:r>
    </w:p>
    <w:p w:rsidR="00F64B9A" w:rsidRPr="000526B7" w:rsidRDefault="00F64B9A" w:rsidP="00F64B9A">
      <w:pPr>
        <w:numPr>
          <w:ilvl w:val="0"/>
          <w:numId w:val="1"/>
        </w:numPr>
        <w:pBdr>
          <w:between w:val="nil"/>
        </w:pBdr>
        <w:spacing w:after="160" w:line="360" w:lineRule="auto"/>
        <w:jc w:val="both"/>
        <w:rPr>
          <w:rFonts w:ascii="Garamond" w:eastAsia="Times New Roman" w:hAnsi="Garamond" w:cs="Tahoma"/>
          <w:lang w:eastAsia="en-IN"/>
        </w:rPr>
      </w:pPr>
      <w:r w:rsidRPr="003B6ECB">
        <w:rPr>
          <w:rFonts w:ascii="Garamond" w:eastAsia="Times New Roman" w:hAnsi="Garamond" w:cs="Tahoma"/>
          <w:color w:val="000000"/>
          <w:lang w:eastAsia="en-IN"/>
        </w:rPr>
        <w:t xml:space="preserve">Gross funds mobilised by open-ended schemes during </w:t>
      </w:r>
      <w:r w:rsidR="000526B7">
        <w:rPr>
          <w:rFonts w:ascii="Garamond" w:eastAsia="Times New Roman" w:hAnsi="Garamond" w:cs="Tahoma"/>
          <w:color w:val="000000"/>
          <w:lang w:eastAsia="en-IN"/>
        </w:rPr>
        <w:t xml:space="preserve">May </w:t>
      </w:r>
      <w:r w:rsidRPr="003B6ECB">
        <w:rPr>
          <w:rFonts w:ascii="Garamond" w:eastAsia="Times New Roman" w:hAnsi="Garamond" w:cs="Tahoma"/>
          <w:color w:val="000000"/>
          <w:lang w:eastAsia="en-IN"/>
        </w:rPr>
        <w:t xml:space="preserve">2022 was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w:t>
      </w:r>
      <w:r w:rsidR="001545AF">
        <w:rPr>
          <w:rFonts w:ascii="Garamond" w:eastAsia="Times New Roman" w:hAnsi="Garamond" w:cs="Tahoma"/>
          <w:color w:val="000000"/>
          <w:lang w:val="en-IN" w:eastAsia="en-IN"/>
        </w:rPr>
        <w:t>8,41,116</w:t>
      </w:r>
      <w:r w:rsidRPr="003B6ECB">
        <w:rPr>
          <w:rFonts w:ascii="Garamond" w:eastAsia="Times New Roman" w:hAnsi="Garamond" w:cs="Tahoma"/>
          <w:color w:val="000000"/>
          <w:lang w:val="en-IN" w:eastAsia="en-IN"/>
        </w:rPr>
        <w:t xml:space="preserve"> </w:t>
      </w:r>
      <w:r w:rsidRPr="003B6ECB">
        <w:rPr>
          <w:rFonts w:ascii="Garamond" w:eastAsia="Times New Roman" w:hAnsi="Garamond" w:cs="Tahoma"/>
          <w:color w:val="000000"/>
          <w:lang w:eastAsia="en-IN"/>
        </w:rPr>
        <w:t xml:space="preserve">crore as against redemption/repurchase of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w:t>
      </w:r>
      <w:r w:rsidR="001545AF">
        <w:rPr>
          <w:rFonts w:ascii="Garamond" w:eastAsia="Times New Roman" w:hAnsi="Garamond" w:cs="Tahoma"/>
          <w:color w:val="000000"/>
          <w:lang w:eastAsia="en-IN"/>
        </w:rPr>
        <w:t>8,37,796</w:t>
      </w:r>
      <w:r w:rsidRPr="003B6ECB">
        <w:rPr>
          <w:rFonts w:ascii="Garamond" w:eastAsia="Times New Roman" w:hAnsi="Garamond" w:cs="Tahoma"/>
          <w:color w:val="000000"/>
          <w:lang w:eastAsia="en-IN"/>
        </w:rPr>
        <w:t xml:space="preserve"> crore, resulting in a net inflow of </w:t>
      </w:r>
      <w:r w:rsidRPr="003B6ECB">
        <w:rPr>
          <w:rFonts w:ascii="Times New Roman" w:eastAsia="Times New Roman" w:hAnsi="Times New Roman"/>
          <w:color w:val="000000"/>
          <w:lang w:eastAsia="en-IN"/>
        </w:rPr>
        <w:t>₹</w:t>
      </w:r>
      <w:r w:rsidRPr="003B6ECB">
        <w:rPr>
          <w:rFonts w:ascii="Garamond" w:eastAsia="Times New Roman" w:hAnsi="Garamond" w:cs="Tahoma"/>
          <w:color w:val="000000"/>
          <w:lang w:eastAsia="en-IN"/>
        </w:rPr>
        <w:t xml:space="preserve"> </w:t>
      </w:r>
      <w:r w:rsidR="001545AF">
        <w:rPr>
          <w:rFonts w:ascii="Garamond" w:eastAsia="Times New Roman" w:hAnsi="Garamond" w:cs="Tahoma"/>
          <w:color w:val="000000"/>
          <w:lang w:eastAsia="en-IN"/>
        </w:rPr>
        <w:t>3,319</w:t>
      </w:r>
      <w:r w:rsidRPr="003B6ECB">
        <w:rPr>
          <w:rFonts w:ascii="Garamond" w:eastAsia="Times New Roman" w:hAnsi="Garamond" w:cs="Tahoma"/>
          <w:color w:val="000000"/>
          <w:lang w:eastAsia="en-IN"/>
        </w:rPr>
        <w:t xml:space="preserve"> crore </w:t>
      </w:r>
      <w:r>
        <w:rPr>
          <w:rFonts w:ascii="Garamond" w:eastAsia="Times New Roman" w:hAnsi="Garamond" w:cs="Tahoma"/>
          <w:color w:val="000000"/>
          <w:lang w:eastAsia="en-IN"/>
        </w:rPr>
        <w:t>to</w:t>
      </w:r>
      <w:r w:rsidRPr="003B6ECB">
        <w:rPr>
          <w:rFonts w:ascii="Garamond" w:eastAsia="Times New Roman" w:hAnsi="Garamond" w:cs="Tahoma"/>
          <w:color w:val="000000"/>
          <w:lang w:eastAsia="en-IN"/>
        </w:rPr>
        <w:t xml:space="preserve"> open-ended schemes. </w:t>
      </w:r>
      <w:r w:rsidRPr="000526B7">
        <w:rPr>
          <w:rFonts w:ascii="Garamond" w:eastAsia="Times New Roman" w:hAnsi="Garamond" w:cs="Tahoma"/>
          <w:lang w:eastAsia="en-IN"/>
        </w:rPr>
        <w:t xml:space="preserve">Of the gross fund mobilisation, </w:t>
      </w:r>
      <w:r w:rsidRPr="000526B7">
        <w:rPr>
          <w:rFonts w:ascii="Times New Roman" w:eastAsia="Times New Roman" w:hAnsi="Times New Roman"/>
          <w:lang w:eastAsia="en-IN"/>
        </w:rPr>
        <w:t>₹</w:t>
      </w:r>
      <w:r w:rsidRPr="000526B7">
        <w:rPr>
          <w:rFonts w:ascii="Garamond" w:eastAsia="Times New Roman" w:hAnsi="Garamond" w:cs="Tahoma"/>
          <w:lang w:eastAsia="en-IN"/>
        </w:rPr>
        <w:t>7,</w:t>
      </w:r>
      <w:r w:rsidR="00550F1F" w:rsidRPr="000526B7">
        <w:rPr>
          <w:rFonts w:ascii="Garamond" w:eastAsia="Times New Roman" w:hAnsi="Garamond" w:cs="Tahoma"/>
          <w:lang w:eastAsia="en-IN"/>
        </w:rPr>
        <w:t>72,350</w:t>
      </w:r>
      <w:r w:rsidRPr="000526B7">
        <w:rPr>
          <w:rFonts w:ascii="Garamond" w:eastAsia="Times New Roman" w:hAnsi="Garamond" w:cs="Tahoma"/>
          <w:lang w:eastAsia="en-IN"/>
        </w:rPr>
        <w:t xml:space="preserve"> crore was mobilised through income/debt oriented schemes, </w:t>
      </w:r>
      <w:r w:rsidRPr="000526B7">
        <w:rPr>
          <w:rFonts w:ascii="Times New Roman" w:eastAsia="Times New Roman" w:hAnsi="Times New Roman"/>
          <w:lang w:eastAsia="en-IN"/>
        </w:rPr>
        <w:t>₹</w:t>
      </w:r>
      <w:r w:rsidRPr="000526B7">
        <w:rPr>
          <w:rFonts w:ascii="Garamond" w:eastAsia="Times New Roman" w:hAnsi="Garamond" w:cs="Tahoma"/>
          <w:lang w:eastAsia="en-IN"/>
        </w:rPr>
        <w:t xml:space="preserve"> 3</w:t>
      </w:r>
      <w:r w:rsidR="00550F1F" w:rsidRPr="000526B7">
        <w:rPr>
          <w:rFonts w:ascii="Garamond" w:eastAsia="Times New Roman" w:hAnsi="Garamond" w:cs="Tahoma"/>
          <w:lang w:eastAsia="en-IN"/>
        </w:rPr>
        <w:t>1,619 c</w:t>
      </w:r>
      <w:r w:rsidRPr="000526B7">
        <w:rPr>
          <w:rFonts w:ascii="Garamond" w:eastAsia="Times New Roman" w:hAnsi="Garamond" w:cs="Tahoma"/>
          <w:lang w:eastAsia="en-IN"/>
        </w:rPr>
        <w:t xml:space="preserve">rore through growth/equity oriented schemes, </w:t>
      </w:r>
      <w:r w:rsidRPr="000526B7">
        <w:rPr>
          <w:rFonts w:ascii="Times New Roman" w:eastAsia="Times New Roman" w:hAnsi="Times New Roman"/>
          <w:lang w:eastAsia="en-IN"/>
        </w:rPr>
        <w:t>₹</w:t>
      </w:r>
      <w:r w:rsidRPr="000526B7">
        <w:rPr>
          <w:rFonts w:ascii="Garamond" w:eastAsia="Times New Roman" w:hAnsi="Garamond" w:cs="Tahoma"/>
          <w:lang w:eastAsia="en-IN"/>
        </w:rPr>
        <w:t xml:space="preserve"> </w:t>
      </w:r>
      <w:r w:rsidR="00550F1F" w:rsidRPr="000526B7">
        <w:rPr>
          <w:rFonts w:ascii="Garamond" w:eastAsia="Times New Roman" w:hAnsi="Garamond" w:cs="Tahoma"/>
          <w:lang w:eastAsia="en-IN"/>
        </w:rPr>
        <w:t>1</w:t>
      </w:r>
      <w:r w:rsidR="000526B7" w:rsidRPr="000526B7">
        <w:rPr>
          <w:rFonts w:ascii="Garamond" w:eastAsia="Times New Roman" w:hAnsi="Garamond" w:cs="Tahoma"/>
          <w:lang w:eastAsia="en-IN"/>
        </w:rPr>
        <w:t>7</w:t>
      </w:r>
      <w:r w:rsidR="00550F1F" w:rsidRPr="000526B7">
        <w:rPr>
          <w:rFonts w:ascii="Garamond" w:eastAsia="Times New Roman" w:hAnsi="Garamond" w:cs="Tahoma"/>
          <w:lang w:eastAsia="en-IN"/>
        </w:rPr>
        <w:t>,</w:t>
      </w:r>
      <w:r w:rsidR="000526B7" w:rsidRPr="000526B7">
        <w:rPr>
          <w:rFonts w:ascii="Garamond" w:eastAsia="Times New Roman" w:hAnsi="Garamond" w:cs="Tahoma"/>
          <w:lang w:eastAsia="en-IN"/>
        </w:rPr>
        <w:t>483</w:t>
      </w:r>
      <w:r w:rsidRPr="000526B7">
        <w:rPr>
          <w:rFonts w:ascii="Garamond" w:eastAsia="Times New Roman" w:hAnsi="Garamond" w:cs="Tahoma"/>
          <w:lang w:eastAsia="en-IN"/>
        </w:rPr>
        <w:t xml:space="preserve"> crore through hybrid schemes, </w:t>
      </w:r>
      <w:r w:rsidRPr="000526B7">
        <w:rPr>
          <w:rFonts w:ascii="Times New Roman" w:eastAsia="Times New Roman" w:hAnsi="Times New Roman"/>
          <w:lang w:eastAsia="en-IN"/>
        </w:rPr>
        <w:t>₹</w:t>
      </w:r>
      <w:r w:rsidR="004E76E8" w:rsidRPr="000526B7">
        <w:rPr>
          <w:rFonts w:ascii="Garamond" w:eastAsia="Times New Roman" w:hAnsi="Garamond" w:cs="Tahoma"/>
          <w:lang w:eastAsia="en-IN"/>
        </w:rPr>
        <w:t>28</w:t>
      </w:r>
      <w:r w:rsidR="004E76E8">
        <w:rPr>
          <w:rFonts w:ascii="Garamond" w:eastAsia="Times New Roman" w:hAnsi="Garamond" w:cs="Tahoma"/>
          <w:lang w:eastAsia="en-IN"/>
        </w:rPr>
        <w:t>9</w:t>
      </w:r>
      <w:r w:rsidR="004E76E8" w:rsidRPr="000526B7">
        <w:rPr>
          <w:rFonts w:ascii="Garamond" w:eastAsia="Times New Roman" w:hAnsi="Garamond" w:cs="Tahoma"/>
          <w:lang w:eastAsia="en-IN"/>
        </w:rPr>
        <w:t xml:space="preserve"> </w:t>
      </w:r>
      <w:r w:rsidRPr="000526B7">
        <w:rPr>
          <w:rFonts w:ascii="Garamond" w:eastAsia="Times New Roman" w:hAnsi="Garamond" w:cs="Tahoma"/>
          <w:lang w:eastAsia="en-IN"/>
        </w:rPr>
        <w:t xml:space="preserve">crore through solution oriented schemes and </w:t>
      </w:r>
      <w:r w:rsidRPr="000526B7">
        <w:rPr>
          <w:rFonts w:ascii="Times New Roman" w:eastAsia="Times New Roman" w:hAnsi="Times New Roman"/>
          <w:lang w:eastAsia="en-IN"/>
        </w:rPr>
        <w:t>₹</w:t>
      </w:r>
      <w:r w:rsidR="00550F1F" w:rsidRPr="00D42F8D">
        <w:rPr>
          <w:rFonts w:ascii="Garamond" w:eastAsia="Times New Roman" w:hAnsi="Garamond" w:cs="Tahoma"/>
          <w:lang w:eastAsia="en-IN"/>
        </w:rPr>
        <w:t>19,375</w:t>
      </w:r>
      <w:r w:rsidRPr="000526B7">
        <w:rPr>
          <w:rFonts w:ascii="Garamond" w:eastAsia="Times New Roman" w:hAnsi="Garamond" w:cs="Tahoma"/>
          <w:lang w:eastAsia="en-IN"/>
        </w:rPr>
        <w:t xml:space="preserve"> crore through other schemes. </w:t>
      </w:r>
    </w:p>
    <w:p w:rsidR="00F64B9A" w:rsidRPr="003B6ECB" w:rsidRDefault="00F64B9A" w:rsidP="00F64B9A">
      <w:pPr>
        <w:numPr>
          <w:ilvl w:val="0"/>
          <w:numId w:val="1"/>
        </w:numPr>
        <w:pBdr>
          <w:between w:val="nil"/>
        </w:pBdr>
        <w:spacing w:after="160" w:line="360" w:lineRule="auto"/>
        <w:jc w:val="both"/>
        <w:rPr>
          <w:rFonts w:ascii="Garamond" w:eastAsia="Times New Roman" w:hAnsi="Garamond" w:cs="Tahoma"/>
          <w:color w:val="000000"/>
          <w:lang w:eastAsia="en-IN"/>
        </w:rPr>
      </w:pPr>
      <w:r w:rsidRPr="003B6ECB">
        <w:rPr>
          <w:rFonts w:ascii="Garamond" w:eastAsia="Times New Roman" w:hAnsi="Garamond" w:cs="Tahoma"/>
          <w:color w:val="000000"/>
          <w:lang w:eastAsia="en-IN"/>
        </w:rPr>
        <w:lastRenderedPageBreak/>
        <w:t xml:space="preserve">During </w:t>
      </w:r>
      <w:r w:rsidR="000526B7">
        <w:rPr>
          <w:rFonts w:ascii="Garamond" w:eastAsia="Times New Roman" w:hAnsi="Garamond" w:cs="Tahoma"/>
          <w:color w:val="000000"/>
          <w:lang w:eastAsia="en-IN"/>
        </w:rPr>
        <w:t xml:space="preserve">May </w:t>
      </w:r>
      <w:r w:rsidRPr="003B6ECB">
        <w:rPr>
          <w:rFonts w:ascii="Garamond" w:eastAsia="Times New Roman" w:hAnsi="Garamond" w:cs="Tahoma"/>
          <w:color w:val="000000"/>
          <w:lang w:eastAsia="en-IN"/>
        </w:rPr>
        <w:t xml:space="preserve">2022, </w:t>
      </w:r>
      <w:r w:rsidRPr="003B6ECB">
        <w:rPr>
          <w:rFonts w:ascii="Times New Roman" w:eastAsia="Times New Roman" w:hAnsi="Times New Roman"/>
          <w:color w:val="000000"/>
          <w:lang w:eastAsia="en-IN"/>
        </w:rPr>
        <w:t xml:space="preserve">₹ </w:t>
      </w:r>
      <w:r w:rsidR="000526B7" w:rsidRPr="00D42F8D">
        <w:rPr>
          <w:rFonts w:ascii="Garamond" w:eastAsia="Times New Roman" w:hAnsi="Garamond" w:cs="Tahoma"/>
          <w:lang w:eastAsia="en-IN"/>
        </w:rPr>
        <w:t>11,434</w:t>
      </w:r>
      <w:r w:rsidRPr="003B6ECB">
        <w:rPr>
          <w:rFonts w:ascii="Garamond" w:eastAsia="Times New Roman" w:hAnsi="Garamond" w:cs="Tahoma"/>
          <w:color w:val="000000"/>
          <w:lang w:eastAsia="en-IN"/>
        </w:rPr>
        <w:t xml:space="preserve"> crore were matured/ repurchased</w:t>
      </w:r>
      <w:r w:rsidRPr="003B6ECB">
        <w:rPr>
          <w:rFonts w:ascii="Garamond" w:eastAsia="Times New Roman" w:hAnsi="Garamond" w:cs="Tahoma"/>
          <w:color w:val="000000"/>
          <w:vertAlign w:val="superscript"/>
          <w:lang w:eastAsia="en-IN"/>
        </w:rPr>
        <w:footnoteReference w:id="1"/>
      </w:r>
      <w:r w:rsidRPr="003B6ECB">
        <w:rPr>
          <w:rFonts w:ascii="Garamond" w:eastAsia="Times New Roman" w:hAnsi="Garamond" w:cs="Tahoma"/>
          <w:color w:val="000000"/>
          <w:lang w:eastAsia="en-IN"/>
        </w:rPr>
        <w:t xml:space="preserve"> by close-ended schemes while in the interval schemes, </w:t>
      </w:r>
      <w:r w:rsidRPr="003B6ECB">
        <w:rPr>
          <w:rFonts w:ascii="Times New Roman" w:eastAsia="Times New Roman" w:hAnsi="Times New Roman"/>
          <w:color w:val="000000"/>
          <w:lang w:eastAsia="en-IN"/>
        </w:rPr>
        <w:t>₹</w:t>
      </w:r>
      <w:r w:rsidR="00ED36AB" w:rsidRPr="00D42F8D">
        <w:rPr>
          <w:rFonts w:ascii="Garamond" w:eastAsia="Times New Roman" w:hAnsi="Garamond" w:cs="Tahoma"/>
          <w:lang w:eastAsia="en-IN"/>
        </w:rPr>
        <w:t>77</w:t>
      </w:r>
      <w:r w:rsidRPr="00D42F8D">
        <w:rPr>
          <w:rFonts w:ascii="Garamond" w:eastAsia="Times New Roman" w:hAnsi="Garamond" w:cs="Tahoma"/>
          <w:lang w:eastAsia="en-IN"/>
        </w:rPr>
        <w:t xml:space="preserve"> </w:t>
      </w:r>
      <w:r w:rsidRPr="003B6ECB">
        <w:rPr>
          <w:rFonts w:ascii="Garamond" w:eastAsia="Times New Roman" w:hAnsi="Garamond" w:cs="Tahoma"/>
          <w:color w:val="000000"/>
          <w:lang w:eastAsia="en-IN"/>
        </w:rPr>
        <w:t>crore were matured/redeemed.  </w:t>
      </w:r>
    </w:p>
    <w:p w:rsidR="00F64B9A" w:rsidRPr="00B77146" w:rsidRDefault="00F64B9A" w:rsidP="00F64B9A">
      <w:pPr>
        <w:numPr>
          <w:ilvl w:val="0"/>
          <w:numId w:val="1"/>
        </w:numPr>
        <w:pBdr>
          <w:between w:val="nil"/>
        </w:pBdr>
        <w:spacing w:after="160" w:line="360" w:lineRule="auto"/>
        <w:jc w:val="both"/>
        <w:rPr>
          <w:rFonts w:ascii="Garamond" w:eastAsia="Times New Roman" w:hAnsi="Garamond" w:cs="Tahoma"/>
          <w:lang w:eastAsia="en-IN"/>
        </w:rPr>
      </w:pPr>
      <w:r w:rsidRPr="00B77146">
        <w:rPr>
          <w:rFonts w:ascii="Garamond" w:eastAsia="Times New Roman" w:hAnsi="Garamond" w:cs="Tahoma"/>
          <w:lang w:eastAsia="en-IN"/>
        </w:rPr>
        <w:t xml:space="preserve">The cumulative net assets under management of mutual funds </w:t>
      </w:r>
      <w:r w:rsidR="008A6ACB" w:rsidRPr="00B77146">
        <w:rPr>
          <w:rFonts w:ascii="Garamond" w:eastAsia="Times New Roman" w:hAnsi="Garamond" w:cs="Tahoma"/>
          <w:lang w:eastAsia="en-IN"/>
        </w:rPr>
        <w:t xml:space="preserve">decreased </w:t>
      </w:r>
      <w:r w:rsidR="008A6ACB" w:rsidRPr="00D65B54">
        <w:rPr>
          <w:rFonts w:ascii="Garamond" w:eastAsia="Times New Roman" w:hAnsi="Garamond" w:cs="Tahoma"/>
          <w:lang w:eastAsia="en-IN"/>
        </w:rPr>
        <w:t>b</w:t>
      </w:r>
      <w:r w:rsidRPr="00D65B54">
        <w:rPr>
          <w:rFonts w:ascii="Garamond" w:eastAsia="Times New Roman" w:hAnsi="Garamond" w:cs="Tahoma"/>
          <w:lang w:eastAsia="en-IN"/>
        </w:rPr>
        <w:t xml:space="preserve">y </w:t>
      </w:r>
      <w:r w:rsidR="008A6ACB" w:rsidRPr="00D65B54">
        <w:rPr>
          <w:rFonts w:ascii="Garamond" w:eastAsia="Times New Roman" w:hAnsi="Garamond" w:cs="Tahoma"/>
          <w:lang w:eastAsia="en-IN"/>
        </w:rPr>
        <w:t>2.14</w:t>
      </w:r>
      <w:r w:rsidRPr="00D65B54">
        <w:rPr>
          <w:rFonts w:ascii="Garamond" w:eastAsia="Times New Roman" w:hAnsi="Garamond" w:cs="Tahoma"/>
          <w:lang w:eastAsia="en-IN"/>
        </w:rPr>
        <w:t xml:space="preserve"> per</w:t>
      </w:r>
      <w:r w:rsidRPr="00B77146">
        <w:rPr>
          <w:rFonts w:ascii="Garamond" w:eastAsia="Times New Roman" w:hAnsi="Garamond" w:cs="Tahoma"/>
          <w:lang w:eastAsia="en-IN"/>
        </w:rPr>
        <w:t xml:space="preserve"> cent to </w:t>
      </w:r>
      <w:r w:rsidRPr="00B77146">
        <w:rPr>
          <w:rFonts w:ascii="Times New Roman" w:eastAsia="Times New Roman" w:hAnsi="Times New Roman"/>
          <w:lang w:eastAsia="en-IN"/>
        </w:rPr>
        <w:t>₹</w:t>
      </w:r>
      <w:r w:rsidR="008A6ACB" w:rsidRPr="00B77146">
        <w:rPr>
          <w:rFonts w:ascii="Garamond" w:eastAsia="Times New Roman" w:hAnsi="Garamond" w:cs="Tahoma"/>
          <w:lang w:eastAsia="en-IN"/>
        </w:rPr>
        <w:t>37</w:t>
      </w:r>
      <w:r w:rsidRPr="00B77146">
        <w:rPr>
          <w:rFonts w:ascii="Garamond" w:eastAsia="Times New Roman" w:hAnsi="Garamond" w:cs="Tahoma"/>
          <w:lang w:eastAsia="en-IN"/>
        </w:rPr>
        <w:t xml:space="preserve"> lakh crore as at the end of </w:t>
      </w:r>
      <w:r w:rsidR="008A6ACB" w:rsidRPr="00B77146">
        <w:rPr>
          <w:rFonts w:ascii="Garamond" w:eastAsia="Times New Roman" w:hAnsi="Garamond" w:cs="Tahoma"/>
          <w:lang w:eastAsia="en-IN"/>
        </w:rPr>
        <w:t xml:space="preserve">May </w:t>
      </w:r>
      <w:r w:rsidRPr="00B77146">
        <w:rPr>
          <w:rFonts w:ascii="Garamond" w:eastAsia="Times New Roman" w:hAnsi="Garamond" w:cs="Tahoma"/>
          <w:lang w:eastAsia="en-IN"/>
        </w:rPr>
        <w:t>2022.</w:t>
      </w:r>
    </w:p>
    <w:p w:rsidR="00F64B9A" w:rsidRPr="00884C63" w:rsidRDefault="00F64B9A" w:rsidP="00F64B9A">
      <w:pPr>
        <w:numPr>
          <w:ilvl w:val="0"/>
          <w:numId w:val="1"/>
        </w:numPr>
        <w:pBdr>
          <w:between w:val="nil"/>
        </w:pBdr>
        <w:spacing w:after="160" w:line="360" w:lineRule="auto"/>
        <w:jc w:val="both"/>
        <w:rPr>
          <w:rFonts w:ascii="Garamond" w:eastAsia="Times New Roman" w:hAnsi="Garamond" w:cs="Tahoma"/>
          <w:lang w:eastAsia="en-IN"/>
        </w:rPr>
      </w:pPr>
      <w:r w:rsidRPr="00884C63">
        <w:rPr>
          <w:rFonts w:ascii="Garamond" w:eastAsia="Times New Roman" w:hAnsi="Garamond" w:cs="Tahoma"/>
          <w:lang w:eastAsia="en-IN"/>
        </w:rPr>
        <w:t xml:space="preserve">In the secondary market, during </w:t>
      </w:r>
      <w:r w:rsidR="00884C63" w:rsidRPr="00884C63">
        <w:rPr>
          <w:rFonts w:ascii="Garamond" w:eastAsia="Times New Roman" w:hAnsi="Garamond" w:cs="Tahoma"/>
          <w:lang w:eastAsia="en-IN"/>
        </w:rPr>
        <w:t xml:space="preserve">May </w:t>
      </w:r>
      <w:r w:rsidRPr="00884C63">
        <w:rPr>
          <w:rFonts w:ascii="Garamond" w:eastAsia="Times New Roman" w:hAnsi="Garamond" w:cs="Tahoma"/>
          <w:lang w:eastAsia="en-IN"/>
        </w:rPr>
        <w:t xml:space="preserve">2022, mutual funds </w:t>
      </w:r>
      <w:r w:rsidR="008A6ACB">
        <w:rPr>
          <w:rFonts w:ascii="Garamond" w:eastAsia="Times New Roman" w:hAnsi="Garamond" w:cs="Tahoma"/>
          <w:lang w:eastAsia="en-IN"/>
        </w:rPr>
        <w:t xml:space="preserve">invested </w:t>
      </w:r>
      <w:r w:rsidRPr="00884C63">
        <w:rPr>
          <w:rFonts w:ascii="Times New Roman" w:eastAsia="Times New Roman" w:hAnsi="Times New Roman"/>
          <w:lang w:eastAsia="en-IN"/>
        </w:rPr>
        <w:t>₹</w:t>
      </w:r>
      <w:r w:rsidR="00884C63" w:rsidRPr="00884C63">
        <w:rPr>
          <w:rFonts w:ascii="Times New Roman" w:eastAsia="Times New Roman" w:hAnsi="Times New Roman"/>
          <w:lang w:eastAsia="en-IN"/>
        </w:rPr>
        <w:t>37,799</w:t>
      </w:r>
      <w:r w:rsidRPr="00884C63">
        <w:rPr>
          <w:rFonts w:ascii="Garamond" w:eastAsia="Times New Roman" w:hAnsi="Garamond" w:cs="Tahoma"/>
          <w:lang w:eastAsia="en-IN"/>
        </w:rPr>
        <w:t xml:space="preserve"> crore in equity schemes and </w:t>
      </w:r>
      <w:r w:rsidRPr="00884C63">
        <w:rPr>
          <w:rFonts w:ascii="Times New Roman" w:eastAsia="Times New Roman" w:hAnsi="Times New Roman"/>
          <w:lang w:eastAsia="en-IN"/>
        </w:rPr>
        <w:t>₹</w:t>
      </w:r>
      <w:r w:rsidRPr="00884C63">
        <w:rPr>
          <w:rFonts w:ascii="Garamond" w:eastAsia="Times New Roman" w:hAnsi="Garamond" w:cs="Tahoma"/>
          <w:lang w:eastAsia="en-IN"/>
        </w:rPr>
        <w:t xml:space="preserve"> </w:t>
      </w:r>
      <w:r w:rsidR="00884C63" w:rsidRPr="00884C63">
        <w:rPr>
          <w:rFonts w:ascii="Garamond" w:eastAsia="Times New Roman" w:hAnsi="Garamond" w:cs="Tahoma"/>
          <w:lang w:eastAsia="en-IN"/>
        </w:rPr>
        <w:t>redeemed 17,269</w:t>
      </w:r>
      <w:r w:rsidRPr="00884C63">
        <w:rPr>
          <w:rFonts w:ascii="Garamond" w:eastAsia="Times New Roman" w:hAnsi="Garamond" w:cs="Tahoma"/>
          <w:lang w:eastAsia="en-IN"/>
        </w:rPr>
        <w:t xml:space="preserve"> crore in debt schemes.</w:t>
      </w:r>
    </w:p>
    <w:p w:rsidR="003B6ECB" w:rsidRDefault="003B6ECB" w:rsidP="00153022">
      <w:pPr>
        <w:pBdr>
          <w:between w:val="nil"/>
        </w:pBdr>
        <w:spacing w:line="276" w:lineRule="auto"/>
        <w:ind w:left="720"/>
        <w:jc w:val="both"/>
        <w:rPr>
          <w:rFonts w:ascii="Garamond" w:eastAsia="Palatino Linotype" w:hAnsi="Garamond" w:cs="Palatino Linotype"/>
          <w:b/>
        </w:rPr>
      </w:pPr>
      <w:r w:rsidRPr="003B6ECB">
        <w:rPr>
          <w:rFonts w:ascii="Garamond" w:eastAsia="Palatino Linotype" w:hAnsi="Garamond" w:cs="Palatino Linotype"/>
          <w:b/>
        </w:rPr>
        <w:t>Figure 11: Trends in Mutual Funds Transactions in Secondary Market (</w:t>
      </w:r>
      <w:r w:rsidRPr="003B6ECB">
        <w:rPr>
          <w:rFonts w:ascii="Times New Roman" w:eastAsia="Palatino Linotype" w:hAnsi="Times New Roman"/>
          <w:b/>
        </w:rPr>
        <w:t>₹</w:t>
      </w:r>
      <w:r w:rsidRPr="003B6ECB">
        <w:rPr>
          <w:rFonts w:ascii="Garamond" w:eastAsia="Palatino Linotype" w:hAnsi="Garamond" w:cs="Palatino Linotype"/>
          <w:b/>
        </w:rPr>
        <w:t xml:space="preserve"> crore)</w:t>
      </w:r>
    </w:p>
    <w:p w:rsidR="00884C63" w:rsidRDefault="00884C63" w:rsidP="00153022">
      <w:pPr>
        <w:pBdr>
          <w:between w:val="nil"/>
        </w:pBdr>
        <w:spacing w:line="276" w:lineRule="auto"/>
        <w:ind w:left="1440" w:hanging="720"/>
        <w:jc w:val="both"/>
        <w:rPr>
          <w:rFonts w:ascii="Garamond" w:eastAsia="Palatino Linotype" w:hAnsi="Garamond" w:cs="Palatino Linotype"/>
          <w:b/>
        </w:rPr>
      </w:pPr>
      <w:r>
        <w:rPr>
          <w:noProof/>
          <w:lang w:val="en-US" w:bidi="hi-IN"/>
        </w:rPr>
        <w:drawing>
          <wp:inline distT="0" distB="0" distL="0" distR="0" wp14:anchorId="0203AA52" wp14:editId="61BD71C4">
            <wp:extent cx="5609344" cy="2174240"/>
            <wp:effectExtent l="0" t="0" r="10795" b="16510"/>
            <wp:docPr id="24" name="Chart 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00A3E" w:rsidRPr="006A6CB3" w:rsidRDefault="00700A3E" w:rsidP="009B19A4">
      <w:pPr>
        <w:pBdr>
          <w:top w:val="nil"/>
          <w:left w:val="nil"/>
          <w:bottom w:val="nil"/>
          <w:right w:val="nil"/>
          <w:between w:val="nil"/>
        </w:pBdr>
        <w:spacing w:line="276" w:lineRule="auto"/>
        <w:jc w:val="both"/>
        <w:rPr>
          <w:rFonts w:ascii="Garamond" w:eastAsia="Palatino Linotype" w:hAnsi="Garamond" w:cs="Palatino Linotype"/>
          <w:b/>
        </w:rPr>
      </w:pPr>
    </w:p>
    <w:p w:rsidR="006A6CB3" w:rsidRPr="00E97406" w:rsidRDefault="006A6CB3" w:rsidP="009B19A4">
      <w:pPr>
        <w:widowControl w:val="0"/>
        <w:numPr>
          <w:ilvl w:val="0"/>
          <w:numId w:val="4"/>
        </w:numPr>
        <w:tabs>
          <w:tab w:val="left" w:pos="0"/>
        </w:tabs>
        <w:spacing w:line="276" w:lineRule="auto"/>
        <w:ind w:left="567" w:hanging="567"/>
        <w:jc w:val="both"/>
        <w:rPr>
          <w:rFonts w:ascii="Garamond" w:eastAsia="Palatino Linotype" w:hAnsi="Garamond" w:cs="Palatino Linotype"/>
          <w:b/>
          <w:color w:val="000000" w:themeColor="text1"/>
        </w:rPr>
      </w:pPr>
      <w:r w:rsidRPr="00E97406">
        <w:rPr>
          <w:rFonts w:ascii="Garamond" w:eastAsia="Palatino Linotype" w:hAnsi="Garamond" w:cs="Palatino Linotype"/>
          <w:b/>
          <w:color w:val="000000" w:themeColor="text1"/>
        </w:rPr>
        <w:t>Trends in Investments by the Foreign Portfolio Investors (FPIs)</w:t>
      </w:r>
    </w:p>
    <w:p w:rsidR="00700A3E" w:rsidRPr="009B7ABC" w:rsidRDefault="00700A3E" w:rsidP="009B19A4">
      <w:pPr>
        <w:widowControl w:val="0"/>
        <w:tabs>
          <w:tab w:val="left" w:pos="0"/>
        </w:tabs>
        <w:spacing w:line="276" w:lineRule="auto"/>
        <w:jc w:val="both"/>
        <w:rPr>
          <w:rFonts w:ascii="Garamond" w:eastAsia="Palatino Linotype" w:hAnsi="Garamond" w:cs="Palatino Linotype"/>
          <w:b/>
          <w:color w:val="FF0000"/>
        </w:rPr>
      </w:pPr>
    </w:p>
    <w:p w:rsidR="00F64B9A" w:rsidRPr="00F53888" w:rsidRDefault="00F64B9A" w:rsidP="00F64B9A">
      <w:pPr>
        <w:numPr>
          <w:ilvl w:val="0"/>
          <w:numId w:val="1"/>
        </w:numPr>
        <w:pBdr>
          <w:between w:val="nil"/>
        </w:pBdr>
        <w:spacing w:after="160" w:line="360" w:lineRule="auto"/>
        <w:jc w:val="both"/>
        <w:rPr>
          <w:rFonts w:ascii="Garamond" w:eastAsia="Palatino Linotype" w:hAnsi="Garamond" w:cs="Palatino Linotype"/>
        </w:rPr>
      </w:pPr>
      <w:r w:rsidRPr="00F53888">
        <w:rPr>
          <w:rFonts w:ascii="Garamond" w:eastAsia="Palatino Linotype" w:hAnsi="Garamond" w:cs="Palatino Linotype"/>
        </w:rPr>
        <w:t xml:space="preserve">The foreign portfolio outflow continued in </w:t>
      </w:r>
      <w:r w:rsidR="00153022" w:rsidRPr="00F53888">
        <w:rPr>
          <w:rFonts w:ascii="Garamond" w:eastAsia="Palatino Linotype" w:hAnsi="Garamond" w:cs="Palatino Linotype"/>
        </w:rPr>
        <w:t>May</w:t>
      </w:r>
      <w:r w:rsidRPr="00F53888">
        <w:rPr>
          <w:rFonts w:ascii="Garamond" w:eastAsia="Palatino Linotype" w:hAnsi="Garamond" w:cs="Palatino Linotype"/>
        </w:rPr>
        <w:t xml:space="preserve"> 2022 as FPIs withdrew a total of </w:t>
      </w:r>
      <w:r w:rsidRPr="00F53888">
        <w:rPr>
          <w:rFonts w:ascii="Times New Roman" w:eastAsia="Palatino Linotype" w:hAnsi="Times New Roman"/>
        </w:rPr>
        <w:t>₹</w:t>
      </w:r>
      <w:r w:rsidRPr="00F53888">
        <w:rPr>
          <w:rFonts w:ascii="Garamond" w:eastAsia="Palatino Linotype" w:hAnsi="Garamond" w:cs="Palatino Linotype"/>
        </w:rPr>
        <w:t xml:space="preserve"> </w:t>
      </w:r>
      <w:r w:rsidR="0099097A" w:rsidRPr="00F53888">
        <w:rPr>
          <w:rFonts w:ascii="Garamond" w:eastAsia="Palatino Linotype" w:hAnsi="Garamond" w:cs="Palatino Linotype"/>
        </w:rPr>
        <w:t>36,518</w:t>
      </w:r>
      <w:r w:rsidRPr="00F53888">
        <w:rPr>
          <w:rFonts w:ascii="Garamond" w:eastAsia="Palatino Linotype" w:hAnsi="Garamond" w:cs="Palatino Linotype"/>
        </w:rPr>
        <w:t xml:space="preserve"> crore from the Indian securities market, due to equity segment continuing to witness net outflow since October 2021. In </w:t>
      </w:r>
      <w:r w:rsidR="00153022" w:rsidRPr="00F53888">
        <w:rPr>
          <w:rFonts w:ascii="Garamond" w:eastAsia="Palatino Linotype" w:hAnsi="Garamond" w:cs="Palatino Linotype"/>
        </w:rPr>
        <w:t xml:space="preserve">May </w:t>
      </w:r>
      <w:r w:rsidRPr="00F53888">
        <w:rPr>
          <w:rFonts w:ascii="Garamond" w:eastAsia="Palatino Linotype" w:hAnsi="Garamond" w:cs="Palatino Linotype"/>
        </w:rPr>
        <w:t xml:space="preserve">2022, the net outflows were to the tune of </w:t>
      </w:r>
      <w:r w:rsidRPr="00F53888">
        <w:rPr>
          <w:rFonts w:ascii="Times New Roman" w:eastAsia="Palatino Linotype" w:hAnsi="Times New Roman"/>
        </w:rPr>
        <w:t>₹</w:t>
      </w:r>
      <w:r w:rsidR="0099097A" w:rsidRPr="00F53888">
        <w:rPr>
          <w:rFonts w:ascii="Times New Roman" w:eastAsia="Palatino Linotype" w:hAnsi="Times New Roman"/>
        </w:rPr>
        <w:t>39,993</w:t>
      </w:r>
      <w:r w:rsidRPr="00F53888">
        <w:rPr>
          <w:rFonts w:ascii="Garamond" w:eastAsia="Palatino Linotype" w:hAnsi="Garamond" w:cs="Palatino Linotype"/>
        </w:rPr>
        <w:t xml:space="preserve"> </w:t>
      </w:r>
      <w:r w:rsidR="006A4E85">
        <w:rPr>
          <w:rFonts w:ascii="Garamond" w:eastAsia="Palatino Linotype" w:hAnsi="Garamond" w:cs="Palatino Linotype"/>
        </w:rPr>
        <w:t>crore</w:t>
      </w:r>
      <w:r w:rsidRPr="00F53888">
        <w:rPr>
          <w:rFonts w:ascii="Garamond" w:eastAsia="Palatino Linotype" w:hAnsi="Garamond" w:cs="Palatino Linotype"/>
        </w:rPr>
        <w:t xml:space="preserve">, while debt segment (including Debt VRR) saw net </w:t>
      </w:r>
      <w:r w:rsidR="00942F1E">
        <w:rPr>
          <w:rFonts w:ascii="Garamond" w:eastAsia="Palatino Linotype" w:hAnsi="Garamond" w:cs="Palatino Linotype"/>
        </w:rPr>
        <w:t>in</w:t>
      </w:r>
      <w:r w:rsidR="00942F1E" w:rsidRPr="00F53888">
        <w:rPr>
          <w:rFonts w:ascii="Garamond" w:eastAsia="Palatino Linotype" w:hAnsi="Garamond" w:cs="Palatino Linotype"/>
        </w:rPr>
        <w:t xml:space="preserve">flow </w:t>
      </w:r>
      <w:r w:rsidRPr="00F53888">
        <w:rPr>
          <w:rFonts w:ascii="Garamond" w:eastAsia="Palatino Linotype" w:hAnsi="Garamond" w:cs="Palatino Linotype"/>
        </w:rPr>
        <w:t xml:space="preserve">of </w:t>
      </w:r>
      <w:r w:rsidRPr="00F53888">
        <w:rPr>
          <w:rFonts w:ascii="Times New Roman" w:eastAsia="Palatino Linotype" w:hAnsi="Times New Roman"/>
        </w:rPr>
        <w:t>₹</w:t>
      </w:r>
      <w:r w:rsidR="00942F1E">
        <w:rPr>
          <w:rFonts w:ascii="Times New Roman" w:eastAsia="Palatino Linotype" w:hAnsi="Times New Roman"/>
        </w:rPr>
        <w:t>3,537</w:t>
      </w:r>
      <w:r w:rsidR="0099097A" w:rsidRPr="00F53888">
        <w:rPr>
          <w:rFonts w:ascii="Times New Roman" w:eastAsia="Palatino Linotype" w:hAnsi="Times New Roman"/>
        </w:rPr>
        <w:t xml:space="preserve"> </w:t>
      </w:r>
      <w:r w:rsidR="006A4E85">
        <w:rPr>
          <w:rFonts w:ascii="Times New Roman" w:eastAsia="Palatino Linotype" w:hAnsi="Times New Roman"/>
        </w:rPr>
        <w:t>crore</w:t>
      </w:r>
      <w:r w:rsidRPr="00F53888">
        <w:rPr>
          <w:rFonts w:ascii="Garamond" w:eastAsia="Palatino Linotype" w:hAnsi="Garamond" w:cs="Palatino Linotype"/>
        </w:rPr>
        <w:t>.</w:t>
      </w:r>
    </w:p>
    <w:p w:rsidR="00F64B9A" w:rsidRPr="00F53888" w:rsidRDefault="00F64B9A" w:rsidP="00F64B9A">
      <w:pPr>
        <w:numPr>
          <w:ilvl w:val="0"/>
          <w:numId w:val="1"/>
        </w:numPr>
        <w:pBdr>
          <w:between w:val="nil"/>
        </w:pBdr>
        <w:spacing w:after="160" w:line="360" w:lineRule="auto"/>
        <w:jc w:val="both"/>
        <w:rPr>
          <w:rFonts w:ascii="Garamond" w:eastAsia="Palatino Linotype" w:hAnsi="Garamond" w:cs="Palatino Linotype"/>
        </w:rPr>
      </w:pPr>
      <w:r w:rsidRPr="00F53888">
        <w:rPr>
          <w:rFonts w:ascii="Garamond" w:eastAsia="Palatino Linotype" w:hAnsi="Garamond" w:cs="Palatino Linotype"/>
        </w:rPr>
        <w:t xml:space="preserve">Within equity segment, FPI investment via primary market route witnessed a net </w:t>
      </w:r>
      <w:r w:rsidR="00942F1E">
        <w:rPr>
          <w:rFonts w:ascii="Garamond" w:eastAsia="Palatino Linotype" w:hAnsi="Garamond" w:cs="Palatino Linotype"/>
        </w:rPr>
        <w:t>in</w:t>
      </w:r>
      <w:r w:rsidR="00942F1E" w:rsidRPr="00F53888">
        <w:rPr>
          <w:rFonts w:ascii="Garamond" w:eastAsia="Palatino Linotype" w:hAnsi="Garamond" w:cs="Palatino Linotype"/>
        </w:rPr>
        <w:t xml:space="preserve">flow </w:t>
      </w:r>
      <w:r w:rsidRPr="00F53888">
        <w:rPr>
          <w:rFonts w:ascii="Garamond" w:eastAsia="Palatino Linotype" w:hAnsi="Garamond" w:cs="Palatino Linotype"/>
        </w:rPr>
        <w:t xml:space="preserve">of </w:t>
      </w:r>
      <w:r w:rsidRPr="00F53888">
        <w:rPr>
          <w:rFonts w:ascii="Times New Roman" w:eastAsia="Palatino Linotype" w:hAnsi="Times New Roman"/>
        </w:rPr>
        <w:t>₹</w:t>
      </w:r>
      <w:r w:rsidR="0099097A" w:rsidRPr="00F53888">
        <w:rPr>
          <w:rFonts w:ascii="Times New Roman" w:eastAsia="Palatino Linotype" w:hAnsi="Times New Roman"/>
        </w:rPr>
        <w:t>5,283</w:t>
      </w:r>
      <w:r w:rsidRPr="00F53888">
        <w:rPr>
          <w:rFonts w:ascii="Times New Roman" w:eastAsia="Palatino Linotype" w:hAnsi="Times New Roman"/>
        </w:rPr>
        <w:t xml:space="preserve"> </w:t>
      </w:r>
      <w:r w:rsidRPr="00F53888">
        <w:rPr>
          <w:rFonts w:ascii="Garamond" w:eastAsia="Palatino Linotype" w:hAnsi="Garamond" w:cs="Palatino Linotype"/>
        </w:rPr>
        <w:t xml:space="preserve">crore. </w:t>
      </w:r>
      <w:r w:rsidR="00942F1E">
        <w:rPr>
          <w:rFonts w:ascii="Garamond" w:eastAsia="Palatino Linotype" w:hAnsi="Garamond" w:cs="Palatino Linotype"/>
        </w:rPr>
        <w:t>In</w:t>
      </w:r>
      <w:r w:rsidRPr="00F53888">
        <w:rPr>
          <w:rFonts w:ascii="Garamond" w:eastAsia="Palatino Linotype" w:hAnsi="Garamond" w:cs="Palatino Linotype"/>
        </w:rPr>
        <w:t xml:space="preserve"> the secondary market, FPIs remained net sellers </w:t>
      </w:r>
      <w:r w:rsidR="00942F1E">
        <w:rPr>
          <w:rFonts w:ascii="Garamond" w:eastAsia="Palatino Linotype" w:hAnsi="Garamond" w:cs="Palatino Linotype"/>
        </w:rPr>
        <w:t xml:space="preserve">in equity </w:t>
      </w:r>
      <w:r w:rsidRPr="00F53888">
        <w:rPr>
          <w:rFonts w:ascii="Garamond" w:eastAsia="Palatino Linotype" w:hAnsi="Garamond" w:cs="Palatino Linotype"/>
        </w:rPr>
        <w:t xml:space="preserve">with net outflow of </w:t>
      </w:r>
      <w:r w:rsidRPr="00F53888">
        <w:rPr>
          <w:rFonts w:ascii="Times New Roman" w:eastAsia="Palatino Linotype" w:hAnsi="Times New Roman"/>
        </w:rPr>
        <w:t>₹</w:t>
      </w:r>
      <w:r w:rsidRPr="00F53888">
        <w:rPr>
          <w:rFonts w:ascii="Garamond" w:eastAsia="Palatino Linotype" w:hAnsi="Garamond" w:cs="Palatino Linotype"/>
        </w:rPr>
        <w:t xml:space="preserve"> </w:t>
      </w:r>
      <w:r w:rsidR="00942F1E">
        <w:rPr>
          <w:rFonts w:ascii="Garamond" w:eastAsia="Palatino Linotype" w:hAnsi="Garamond" w:cs="Palatino Linotype"/>
        </w:rPr>
        <w:t>45,276</w:t>
      </w:r>
      <w:r w:rsidRPr="00F53888">
        <w:rPr>
          <w:rFonts w:ascii="Garamond" w:eastAsia="Palatino Linotype" w:hAnsi="Garamond" w:cs="Palatino Linotype"/>
        </w:rPr>
        <w:t xml:space="preserve"> crore.</w:t>
      </w:r>
    </w:p>
    <w:p w:rsidR="00F64B9A" w:rsidRPr="00D42F8D" w:rsidRDefault="00F64B9A" w:rsidP="00F64B9A">
      <w:pPr>
        <w:numPr>
          <w:ilvl w:val="0"/>
          <w:numId w:val="1"/>
        </w:numPr>
        <w:pBdr>
          <w:top w:val="nil"/>
          <w:left w:val="nil"/>
          <w:bottom w:val="nil"/>
          <w:right w:val="nil"/>
          <w:between w:val="nil"/>
        </w:pBdr>
        <w:spacing w:line="360" w:lineRule="auto"/>
        <w:jc w:val="both"/>
        <w:rPr>
          <w:rFonts w:ascii="Garamond" w:eastAsia="Palatino Linotype" w:hAnsi="Garamond" w:cs="Palatino Linotype"/>
        </w:rPr>
      </w:pPr>
      <w:r w:rsidRPr="00D42F8D">
        <w:rPr>
          <w:rFonts w:ascii="Garamond" w:eastAsia="Palatino Linotype" w:hAnsi="Garamond" w:cs="Palatino Linotype"/>
        </w:rPr>
        <w:t xml:space="preserve">The AUC of FPIs in India, as at the end of </w:t>
      </w:r>
      <w:r w:rsidR="00D65B54" w:rsidRPr="00D42F8D">
        <w:rPr>
          <w:rFonts w:ascii="Garamond" w:eastAsia="Palatino Linotype" w:hAnsi="Garamond" w:cs="Palatino Linotype"/>
        </w:rPr>
        <w:t xml:space="preserve">May </w:t>
      </w:r>
      <w:r w:rsidRPr="00D42F8D">
        <w:rPr>
          <w:rFonts w:ascii="Garamond" w:eastAsia="Palatino Linotype" w:hAnsi="Garamond" w:cs="Palatino Linotype"/>
        </w:rPr>
        <w:t xml:space="preserve">2022 was </w:t>
      </w:r>
      <w:r w:rsidRPr="00D42F8D">
        <w:rPr>
          <w:rFonts w:ascii="Times New Roman" w:eastAsia="Palatino Linotype" w:hAnsi="Times New Roman"/>
        </w:rPr>
        <w:t>₹</w:t>
      </w:r>
      <w:r w:rsidRPr="00D42F8D">
        <w:rPr>
          <w:rFonts w:ascii="Garamond" w:eastAsia="Palatino Linotype" w:hAnsi="Garamond" w:cs="Palatino Linotype"/>
        </w:rPr>
        <w:t xml:space="preserve"> </w:t>
      </w:r>
      <w:r w:rsidR="00D65B54">
        <w:rPr>
          <w:rFonts w:ascii="Garamond" w:eastAsia="Palatino Linotype" w:hAnsi="Garamond" w:cs="Palatino Linotype"/>
        </w:rPr>
        <w:t>48</w:t>
      </w:r>
      <w:r w:rsidRPr="00D42F8D">
        <w:rPr>
          <w:rFonts w:ascii="Garamond" w:eastAsia="Palatino Linotype" w:hAnsi="Garamond" w:cs="Palatino Linotype"/>
        </w:rPr>
        <w:t>,</w:t>
      </w:r>
      <w:r w:rsidR="00D65B54">
        <w:rPr>
          <w:rFonts w:ascii="Garamond" w:eastAsia="Palatino Linotype" w:hAnsi="Garamond" w:cs="Palatino Linotype"/>
        </w:rPr>
        <w:t>23</w:t>
      </w:r>
      <w:r w:rsidRPr="00D42F8D">
        <w:rPr>
          <w:rFonts w:ascii="Garamond" w:eastAsia="Palatino Linotype" w:hAnsi="Garamond" w:cs="Palatino Linotype"/>
        </w:rPr>
        <w:t>,</w:t>
      </w:r>
      <w:r w:rsidR="00D65B54" w:rsidRPr="00D42F8D">
        <w:rPr>
          <w:rFonts w:ascii="Garamond" w:eastAsia="Palatino Linotype" w:hAnsi="Garamond" w:cs="Palatino Linotype"/>
        </w:rPr>
        <w:t>0</w:t>
      </w:r>
      <w:r w:rsidR="00D65B54">
        <w:rPr>
          <w:rFonts w:ascii="Garamond" w:eastAsia="Palatino Linotype" w:hAnsi="Garamond" w:cs="Palatino Linotype"/>
        </w:rPr>
        <w:t>0</w:t>
      </w:r>
      <w:r w:rsidR="00D65B54" w:rsidRPr="00D42F8D">
        <w:rPr>
          <w:rFonts w:ascii="Garamond" w:eastAsia="Palatino Linotype" w:hAnsi="Garamond" w:cs="Palatino Linotype"/>
        </w:rPr>
        <w:t xml:space="preserve">2 </w:t>
      </w:r>
      <w:r w:rsidRPr="00D42F8D">
        <w:rPr>
          <w:rFonts w:ascii="Garamond" w:eastAsia="Palatino Linotype" w:hAnsi="Garamond" w:cs="Palatino Linotype"/>
        </w:rPr>
        <w:t xml:space="preserve">crore, out of which the notional value of offshore derivative instruments (ODIs) (including ODIs on derivatives) was </w:t>
      </w:r>
      <w:r w:rsidRPr="00D42F8D">
        <w:rPr>
          <w:rFonts w:ascii="Times New Roman" w:eastAsia="Palatino Linotype" w:hAnsi="Times New Roman"/>
        </w:rPr>
        <w:t>₹</w:t>
      </w:r>
      <w:r w:rsidRPr="00D42F8D">
        <w:rPr>
          <w:rFonts w:ascii="Garamond" w:eastAsia="Palatino Linotype" w:hAnsi="Garamond" w:cs="Palatino Linotype"/>
        </w:rPr>
        <w:t xml:space="preserve"> 90,580 crore which constitutes 1.8 per cent of total AUC of FPIs.</w:t>
      </w:r>
    </w:p>
    <w:p w:rsidR="00700A3E" w:rsidRDefault="00700A3E" w:rsidP="009B19A4">
      <w:pPr>
        <w:pBdr>
          <w:top w:val="nil"/>
          <w:left w:val="nil"/>
          <w:bottom w:val="nil"/>
          <w:right w:val="nil"/>
          <w:between w:val="nil"/>
        </w:pBdr>
        <w:spacing w:line="276" w:lineRule="auto"/>
        <w:ind w:left="720"/>
        <w:jc w:val="both"/>
        <w:rPr>
          <w:rFonts w:ascii="Garamond" w:eastAsia="Palatino Linotype" w:hAnsi="Garamond" w:cs="Palatino Linotype"/>
          <w:b/>
        </w:rPr>
      </w:pPr>
    </w:p>
    <w:p w:rsidR="009B7ABC" w:rsidRDefault="009B7ABC" w:rsidP="009B19A4">
      <w:pPr>
        <w:pBdr>
          <w:top w:val="nil"/>
          <w:left w:val="nil"/>
          <w:bottom w:val="nil"/>
          <w:right w:val="nil"/>
          <w:between w:val="nil"/>
        </w:pBdr>
        <w:spacing w:line="276" w:lineRule="auto"/>
        <w:ind w:left="720"/>
        <w:jc w:val="both"/>
        <w:rPr>
          <w:rFonts w:ascii="Garamond" w:eastAsia="Palatino Linotype" w:hAnsi="Garamond" w:cs="Palatino Linotype"/>
          <w:b/>
        </w:rPr>
      </w:pPr>
    </w:p>
    <w:p w:rsidR="009B7ABC" w:rsidRDefault="009B7ABC" w:rsidP="009B19A4">
      <w:pPr>
        <w:pBdr>
          <w:top w:val="nil"/>
          <w:left w:val="nil"/>
          <w:bottom w:val="nil"/>
          <w:right w:val="nil"/>
          <w:between w:val="nil"/>
        </w:pBdr>
        <w:spacing w:line="276" w:lineRule="auto"/>
        <w:ind w:left="720"/>
        <w:jc w:val="both"/>
        <w:rPr>
          <w:rFonts w:ascii="Garamond" w:eastAsia="Palatino Linotype" w:hAnsi="Garamond" w:cs="Palatino Linotype"/>
          <w:b/>
        </w:rPr>
      </w:pPr>
    </w:p>
    <w:p w:rsidR="009B7ABC" w:rsidRDefault="009B7ABC" w:rsidP="009B19A4">
      <w:pPr>
        <w:pBdr>
          <w:top w:val="nil"/>
          <w:left w:val="nil"/>
          <w:bottom w:val="nil"/>
          <w:right w:val="nil"/>
          <w:between w:val="nil"/>
        </w:pBdr>
        <w:spacing w:line="276" w:lineRule="auto"/>
        <w:ind w:left="720"/>
        <w:jc w:val="both"/>
        <w:rPr>
          <w:rFonts w:ascii="Garamond" w:eastAsia="Palatino Linotype" w:hAnsi="Garamond" w:cs="Palatino Linotype"/>
          <w:b/>
        </w:rPr>
      </w:pPr>
    </w:p>
    <w:p w:rsidR="009B7ABC" w:rsidRPr="006A6CB3" w:rsidRDefault="009B7ABC" w:rsidP="009B19A4">
      <w:pPr>
        <w:pBdr>
          <w:top w:val="nil"/>
          <w:left w:val="nil"/>
          <w:bottom w:val="nil"/>
          <w:right w:val="nil"/>
          <w:between w:val="nil"/>
        </w:pBdr>
        <w:spacing w:line="276" w:lineRule="auto"/>
        <w:ind w:left="720"/>
        <w:jc w:val="both"/>
        <w:rPr>
          <w:rFonts w:ascii="Garamond" w:eastAsia="Palatino Linotype" w:hAnsi="Garamond" w:cs="Palatino Linotype"/>
          <w:b/>
        </w:rPr>
      </w:pPr>
    </w:p>
    <w:p w:rsidR="003B6ECB" w:rsidRDefault="003B6ECB" w:rsidP="009B19A4">
      <w:pPr>
        <w:pBdr>
          <w:between w:val="nil"/>
        </w:pBdr>
        <w:spacing w:line="276" w:lineRule="auto"/>
        <w:ind w:left="720"/>
        <w:jc w:val="both"/>
        <w:rPr>
          <w:rFonts w:ascii="Garamond" w:eastAsia="Palatino Linotype" w:hAnsi="Garamond" w:cs="Palatino Linotype"/>
          <w:b/>
        </w:rPr>
      </w:pPr>
      <w:r w:rsidRPr="003B6ECB">
        <w:rPr>
          <w:rFonts w:ascii="Garamond" w:eastAsia="Palatino Linotype" w:hAnsi="Garamond" w:cs="Palatino Linotype"/>
          <w:b/>
        </w:rPr>
        <w:t>Figure 12: Trends in FPIs’ Investments</w:t>
      </w:r>
    </w:p>
    <w:p w:rsidR="00B451E4" w:rsidRDefault="00B451E4" w:rsidP="009B19A4">
      <w:pPr>
        <w:pBdr>
          <w:between w:val="nil"/>
        </w:pBdr>
        <w:spacing w:line="276" w:lineRule="auto"/>
        <w:ind w:left="720"/>
        <w:jc w:val="both"/>
        <w:rPr>
          <w:rFonts w:ascii="Garamond" w:eastAsia="Palatino Linotype" w:hAnsi="Garamond" w:cs="Palatino Linotype"/>
          <w:b/>
        </w:rPr>
      </w:pPr>
    </w:p>
    <w:p w:rsidR="00B451E4" w:rsidRDefault="00B451E4" w:rsidP="009B19A4">
      <w:pPr>
        <w:pBdr>
          <w:between w:val="nil"/>
        </w:pBdr>
        <w:spacing w:line="276" w:lineRule="auto"/>
        <w:ind w:left="720"/>
        <w:jc w:val="both"/>
        <w:rPr>
          <w:rFonts w:ascii="Garamond" w:eastAsia="Palatino Linotype" w:hAnsi="Garamond" w:cs="Palatino Linotype"/>
          <w:b/>
        </w:rPr>
      </w:pPr>
      <w:r>
        <w:rPr>
          <w:noProof/>
          <w:lang w:val="en-US" w:bidi="hi-IN"/>
        </w:rPr>
        <w:drawing>
          <wp:inline distT="0" distB="0" distL="0" distR="0" wp14:anchorId="61B277C6" wp14:editId="652A92B5">
            <wp:extent cx="6124576" cy="2809875"/>
            <wp:effectExtent l="0" t="0" r="9525" b="9525"/>
            <wp:docPr id="19" name="Chart 19">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B6ECB" w:rsidRPr="003B6ECB" w:rsidRDefault="003B6ECB" w:rsidP="009B19A4">
      <w:pPr>
        <w:ind w:left="567"/>
        <w:jc w:val="both"/>
        <w:rPr>
          <w:rFonts w:ascii="Garamond" w:eastAsia="Palatino Linotype" w:hAnsi="Garamond" w:cs="Palatino Linotype"/>
          <w:bCs/>
          <w:sz w:val="22"/>
          <w:szCs w:val="22"/>
        </w:rPr>
      </w:pPr>
      <w:r w:rsidRPr="003B6ECB">
        <w:rPr>
          <w:rFonts w:ascii="Garamond" w:eastAsia="Palatino Linotype" w:hAnsi="Garamond" w:cs="Palatino Linotype"/>
          <w:b/>
          <w:sz w:val="22"/>
          <w:szCs w:val="22"/>
        </w:rPr>
        <w:t xml:space="preserve">Source: </w:t>
      </w:r>
      <w:r w:rsidRPr="003B6ECB">
        <w:rPr>
          <w:rFonts w:ascii="Garamond" w:eastAsia="Palatino Linotype" w:hAnsi="Garamond" w:cs="Palatino Linotype"/>
          <w:bCs/>
          <w:sz w:val="22"/>
          <w:szCs w:val="22"/>
        </w:rPr>
        <w:t>NSDL</w:t>
      </w:r>
    </w:p>
    <w:p w:rsidR="006A6CB3" w:rsidRDefault="006A6CB3" w:rsidP="009B19A4">
      <w:pPr>
        <w:pBdr>
          <w:top w:val="nil"/>
          <w:left w:val="nil"/>
          <w:bottom w:val="nil"/>
          <w:right w:val="nil"/>
          <w:between w:val="nil"/>
        </w:pBdr>
        <w:spacing w:line="276" w:lineRule="auto"/>
        <w:jc w:val="both"/>
        <w:rPr>
          <w:rFonts w:ascii="Garamond" w:eastAsia="Palatino Linotype" w:hAnsi="Garamond" w:cs="Palatino Linotype"/>
          <w:b/>
          <w:color w:val="2E74B5"/>
        </w:rPr>
      </w:pPr>
    </w:p>
    <w:p w:rsidR="006A6CB3" w:rsidRPr="006A6CB3" w:rsidRDefault="006A6CB3" w:rsidP="009B19A4">
      <w:pPr>
        <w:widowControl w:val="0"/>
        <w:numPr>
          <w:ilvl w:val="0"/>
          <w:numId w:val="2"/>
        </w:numPr>
        <w:spacing w:line="276" w:lineRule="auto"/>
        <w:ind w:left="567" w:hanging="141"/>
        <w:jc w:val="both"/>
        <w:rPr>
          <w:rFonts w:ascii="Garamond" w:eastAsia="Palatino Linotype" w:hAnsi="Garamond" w:cs="Palatino Linotype"/>
          <w:b/>
          <w:color w:val="222A35"/>
        </w:rPr>
      </w:pPr>
      <w:bookmarkStart w:id="1" w:name="_30j0zll" w:colFirst="0" w:colLast="0"/>
      <w:bookmarkEnd w:id="1"/>
      <w:r w:rsidRPr="006A6CB3">
        <w:rPr>
          <w:rFonts w:ascii="Garamond" w:eastAsia="Palatino Linotype" w:hAnsi="Garamond" w:cs="Palatino Linotype"/>
          <w:b/>
          <w:color w:val="222A35"/>
        </w:rPr>
        <w:t xml:space="preserve">Trends in Portfolio Management Services </w:t>
      </w:r>
    </w:p>
    <w:p w:rsidR="006A6CB3" w:rsidRPr="006A6CB3" w:rsidRDefault="006A6CB3" w:rsidP="009B19A4">
      <w:pPr>
        <w:pBdr>
          <w:top w:val="nil"/>
          <w:left w:val="nil"/>
          <w:bottom w:val="nil"/>
          <w:right w:val="nil"/>
          <w:between w:val="nil"/>
        </w:pBdr>
        <w:spacing w:line="276" w:lineRule="auto"/>
        <w:ind w:left="720"/>
        <w:jc w:val="both"/>
        <w:rPr>
          <w:rFonts w:ascii="Garamond" w:eastAsia="Palatino Linotype" w:hAnsi="Garamond" w:cs="Palatino Linotype"/>
          <w:color w:val="000000" w:themeColor="text1"/>
        </w:rPr>
      </w:pPr>
    </w:p>
    <w:p w:rsidR="00700A3E" w:rsidRPr="002D0125" w:rsidRDefault="00700A3E" w:rsidP="005748D2">
      <w:pPr>
        <w:numPr>
          <w:ilvl w:val="0"/>
          <w:numId w:val="7"/>
        </w:numPr>
        <w:pBdr>
          <w:between w:val="nil"/>
        </w:pBdr>
        <w:spacing w:after="200" w:line="360" w:lineRule="auto"/>
        <w:ind w:left="851" w:hanging="284"/>
        <w:contextualSpacing/>
        <w:jc w:val="both"/>
        <w:rPr>
          <w:rFonts w:ascii="Garamond" w:eastAsia="Palatino Linotype" w:hAnsi="Garamond" w:cs="Palatino Linotype"/>
          <w:lang w:val="en-US"/>
        </w:rPr>
      </w:pPr>
      <w:r w:rsidRPr="002D0125">
        <w:rPr>
          <w:rFonts w:ascii="Garamond" w:eastAsia="Palatino Linotype" w:hAnsi="Garamond" w:cs="Palatino Linotype"/>
          <w:lang w:val="en-US"/>
        </w:rPr>
        <w:t xml:space="preserve">As at end of </w:t>
      </w:r>
      <w:r w:rsidR="007B45B7">
        <w:rPr>
          <w:rFonts w:ascii="Garamond" w:eastAsia="Palatino Linotype" w:hAnsi="Garamond" w:cs="Palatino Linotype"/>
          <w:lang w:val="en-US"/>
        </w:rPr>
        <w:t xml:space="preserve">May </w:t>
      </w:r>
      <w:r w:rsidRPr="002D0125">
        <w:rPr>
          <w:rFonts w:ascii="Garamond" w:eastAsia="Palatino Linotype" w:hAnsi="Garamond" w:cs="Palatino Linotype"/>
          <w:lang w:val="en-US"/>
        </w:rPr>
        <w:t xml:space="preserve">2022, AUM of the portfolio management industry stood at </w:t>
      </w:r>
      <w:r w:rsidRPr="002D0125">
        <w:rPr>
          <w:rFonts w:ascii="Times New Roman" w:eastAsia="Palatino Linotype" w:hAnsi="Times New Roman"/>
          <w:lang w:val="en-US"/>
        </w:rPr>
        <w:t>₹</w:t>
      </w:r>
      <w:r w:rsidRPr="002D0125">
        <w:rPr>
          <w:rFonts w:ascii="Garamond" w:eastAsia="Palatino Linotype" w:hAnsi="Garamond"/>
          <w:lang w:val="en-US"/>
        </w:rPr>
        <w:t xml:space="preserve"> 2</w:t>
      </w:r>
      <w:r w:rsidR="007B45B7">
        <w:rPr>
          <w:rFonts w:ascii="Garamond" w:eastAsia="Palatino Linotype" w:hAnsi="Garamond"/>
          <w:lang w:val="en-US"/>
        </w:rPr>
        <w:t>4.</w:t>
      </w:r>
      <w:r w:rsidR="002553EC">
        <w:rPr>
          <w:rFonts w:ascii="Garamond" w:eastAsia="Palatino Linotype" w:hAnsi="Garamond"/>
          <w:lang w:val="en-US"/>
        </w:rPr>
        <w:t>3</w:t>
      </w:r>
      <w:r w:rsidR="002553EC" w:rsidRPr="002D0125">
        <w:rPr>
          <w:rFonts w:ascii="Garamond" w:eastAsia="Palatino Linotype" w:hAnsi="Garamond"/>
          <w:lang w:val="en-US"/>
        </w:rPr>
        <w:t xml:space="preserve"> </w:t>
      </w:r>
      <w:r w:rsidRPr="002D0125">
        <w:rPr>
          <w:rFonts w:ascii="Garamond" w:eastAsia="Palatino Linotype" w:hAnsi="Garamond"/>
          <w:lang w:val="en-US"/>
        </w:rPr>
        <w:t xml:space="preserve">lakh crore as compared to </w:t>
      </w:r>
      <w:r w:rsidRPr="002D0125">
        <w:rPr>
          <w:rFonts w:ascii="Times New Roman" w:eastAsia="Palatino Linotype" w:hAnsi="Times New Roman"/>
          <w:lang w:val="en-US"/>
        </w:rPr>
        <w:t>₹</w:t>
      </w:r>
      <w:r w:rsidRPr="002D0125">
        <w:rPr>
          <w:rFonts w:ascii="Garamond" w:eastAsia="Palatino Linotype" w:hAnsi="Garamond" w:cs="Palatino Linotype"/>
          <w:lang w:val="en-US"/>
        </w:rPr>
        <w:t>23.</w:t>
      </w:r>
      <w:r w:rsidR="007B45B7">
        <w:rPr>
          <w:rFonts w:ascii="Garamond" w:eastAsia="Palatino Linotype" w:hAnsi="Garamond" w:cs="Palatino Linotype"/>
          <w:lang w:val="en-US"/>
        </w:rPr>
        <w:t>3</w:t>
      </w:r>
      <w:r w:rsidRPr="002D0125">
        <w:rPr>
          <w:rFonts w:ascii="Garamond" w:eastAsia="Palatino Linotype" w:hAnsi="Garamond" w:cs="Palatino Linotype"/>
          <w:lang w:val="en-US"/>
        </w:rPr>
        <w:t xml:space="preserve"> lakh crore at the end of </w:t>
      </w:r>
      <w:r w:rsidR="007B45B7">
        <w:rPr>
          <w:rFonts w:ascii="Garamond" w:eastAsia="Palatino Linotype" w:hAnsi="Garamond" w:cs="Palatino Linotype"/>
          <w:lang w:val="en-US"/>
        </w:rPr>
        <w:t xml:space="preserve">April </w:t>
      </w:r>
      <w:r w:rsidRPr="002D0125">
        <w:rPr>
          <w:rFonts w:ascii="Garamond" w:eastAsia="Palatino Linotype" w:hAnsi="Garamond" w:cs="Palatino Linotype"/>
          <w:lang w:val="en-US"/>
        </w:rPr>
        <w:t xml:space="preserve">2022. On a year on year basis the total AUM of portfolio management services witnessed a growth of </w:t>
      </w:r>
      <w:r w:rsidR="002553EC">
        <w:rPr>
          <w:rFonts w:ascii="Garamond" w:eastAsia="Palatino Linotype" w:hAnsi="Garamond" w:cs="Palatino Linotype"/>
          <w:lang w:val="en-US"/>
        </w:rPr>
        <w:t>14.1</w:t>
      </w:r>
      <w:r w:rsidRPr="002D0125">
        <w:rPr>
          <w:rFonts w:ascii="Garamond" w:eastAsia="Palatino Linotype" w:hAnsi="Garamond" w:cs="Palatino Linotype"/>
          <w:lang w:val="en-US"/>
        </w:rPr>
        <w:t xml:space="preserve"> per cent. </w:t>
      </w:r>
    </w:p>
    <w:p w:rsidR="00700A3E" w:rsidRDefault="00700A3E" w:rsidP="005748D2">
      <w:pPr>
        <w:numPr>
          <w:ilvl w:val="0"/>
          <w:numId w:val="7"/>
        </w:numPr>
        <w:pBdr>
          <w:between w:val="nil"/>
        </w:pBdr>
        <w:spacing w:after="200" w:line="360" w:lineRule="auto"/>
        <w:ind w:left="851" w:hanging="284"/>
        <w:contextualSpacing/>
        <w:jc w:val="both"/>
        <w:rPr>
          <w:rFonts w:ascii="Garamond" w:eastAsia="Palatino Linotype" w:hAnsi="Garamond" w:cs="Palatino Linotype"/>
          <w:color w:val="000000"/>
          <w:lang w:val="en-US"/>
        </w:rPr>
      </w:pPr>
      <w:r w:rsidRPr="002D0125">
        <w:rPr>
          <w:rFonts w:ascii="Garamond" w:eastAsia="Palatino Linotype" w:hAnsi="Garamond" w:cs="Palatino Linotype"/>
          <w:color w:val="000000"/>
          <w:lang w:val="en-US"/>
        </w:rPr>
        <w:t>There were 1,</w:t>
      </w:r>
      <w:r w:rsidR="002D0125" w:rsidRPr="002D0125">
        <w:rPr>
          <w:rFonts w:ascii="Garamond" w:eastAsia="Palatino Linotype" w:hAnsi="Garamond" w:cs="Palatino Linotype"/>
          <w:color w:val="000000"/>
          <w:lang w:val="en-US"/>
        </w:rPr>
        <w:t>4</w:t>
      </w:r>
      <w:r w:rsidR="007B45B7">
        <w:rPr>
          <w:rFonts w:ascii="Garamond" w:eastAsia="Palatino Linotype" w:hAnsi="Garamond" w:cs="Palatino Linotype"/>
          <w:color w:val="000000"/>
          <w:lang w:val="en-US"/>
        </w:rPr>
        <w:t>1</w:t>
      </w:r>
      <w:r w:rsidR="002D0125" w:rsidRPr="002D0125">
        <w:rPr>
          <w:rFonts w:ascii="Garamond" w:eastAsia="Palatino Linotype" w:hAnsi="Garamond" w:cs="Palatino Linotype"/>
          <w:color w:val="000000"/>
          <w:lang w:val="en-US"/>
        </w:rPr>
        <w:t>,</w:t>
      </w:r>
      <w:r w:rsidR="007B45B7">
        <w:rPr>
          <w:rFonts w:ascii="Garamond" w:eastAsia="Palatino Linotype" w:hAnsi="Garamond" w:cs="Palatino Linotype"/>
          <w:color w:val="000000"/>
          <w:lang w:val="en-US"/>
        </w:rPr>
        <w:t>554</w:t>
      </w:r>
      <w:r w:rsidRPr="002D0125">
        <w:rPr>
          <w:rFonts w:ascii="Garamond" w:eastAsia="Palatino Linotype" w:hAnsi="Garamond" w:cs="Palatino Linotype"/>
          <w:color w:val="000000"/>
          <w:lang w:val="en-US"/>
        </w:rPr>
        <w:t xml:space="preserve"> clients in portfolio management industry as at the end of </w:t>
      </w:r>
      <w:r w:rsidR="007B45B7">
        <w:rPr>
          <w:rFonts w:ascii="Garamond" w:eastAsia="Palatino Linotype" w:hAnsi="Garamond" w:cs="Palatino Linotype"/>
          <w:color w:val="000000"/>
          <w:lang w:val="en-US"/>
        </w:rPr>
        <w:t xml:space="preserve">May </w:t>
      </w:r>
      <w:r w:rsidRPr="002D0125">
        <w:rPr>
          <w:rFonts w:ascii="Garamond" w:eastAsia="Palatino Linotype" w:hAnsi="Garamond" w:cs="Palatino Linotype"/>
          <w:color w:val="000000"/>
          <w:lang w:val="en-US"/>
        </w:rPr>
        <w:t xml:space="preserve"> 2022, of which 1,</w:t>
      </w:r>
      <w:r w:rsidR="002D0125" w:rsidRPr="002D0125">
        <w:rPr>
          <w:rFonts w:ascii="Garamond" w:eastAsia="Palatino Linotype" w:hAnsi="Garamond" w:cs="Palatino Linotype"/>
          <w:color w:val="000000"/>
          <w:lang w:val="en-US"/>
        </w:rPr>
        <w:t>3</w:t>
      </w:r>
      <w:r w:rsidR="007B45B7">
        <w:rPr>
          <w:rFonts w:ascii="Garamond" w:eastAsia="Palatino Linotype" w:hAnsi="Garamond" w:cs="Palatino Linotype"/>
          <w:color w:val="000000"/>
          <w:lang w:val="en-US"/>
        </w:rPr>
        <w:t>2</w:t>
      </w:r>
      <w:r w:rsidR="002D0125" w:rsidRPr="002D0125">
        <w:rPr>
          <w:rFonts w:ascii="Garamond" w:eastAsia="Palatino Linotype" w:hAnsi="Garamond" w:cs="Palatino Linotype"/>
          <w:color w:val="000000"/>
          <w:lang w:val="en-US"/>
        </w:rPr>
        <w:t>,4</w:t>
      </w:r>
      <w:r w:rsidR="007B45B7">
        <w:rPr>
          <w:rFonts w:ascii="Garamond" w:eastAsia="Palatino Linotype" w:hAnsi="Garamond" w:cs="Palatino Linotype"/>
          <w:color w:val="000000"/>
          <w:lang w:val="en-US"/>
        </w:rPr>
        <w:t>97</w:t>
      </w:r>
      <w:r w:rsidRPr="002D0125">
        <w:rPr>
          <w:rFonts w:ascii="Garamond" w:eastAsia="Palatino Linotype" w:hAnsi="Garamond" w:cs="Palatino Linotype"/>
          <w:color w:val="000000"/>
          <w:lang w:val="en-US"/>
        </w:rPr>
        <w:t xml:space="preserve"> clients were of discretionary services category, 7,</w:t>
      </w:r>
      <w:r w:rsidR="007B45B7">
        <w:rPr>
          <w:rFonts w:ascii="Garamond" w:eastAsia="Palatino Linotype" w:hAnsi="Garamond" w:cs="Palatino Linotype"/>
          <w:color w:val="000000"/>
          <w:lang w:val="en-US"/>
        </w:rPr>
        <w:t>209</w:t>
      </w:r>
      <w:r w:rsidR="002D0125" w:rsidRPr="002D0125">
        <w:rPr>
          <w:rFonts w:ascii="Garamond" w:eastAsia="Palatino Linotype" w:hAnsi="Garamond" w:cs="Palatino Linotype"/>
          <w:color w:val="000000"/>
          <w:lang w:val="en-US"/>
        </w:rPr>
        <w:t xml:space="preserve"> </w:t>
      </w:r>
      <w:r w:rsidRPr="002D0125">
        <w:rPr>
          <w:rFonts w:ascii="Garamond" w:eastAsia="Palatino Linotype" w:hAnsi="Garamond" w:cs="Palatino Linotype"/>
          <w:color w:val="000000"/>
          <w:lang w:val="en-US"/>
        </w:rPr>
        <w:t>clients in non-discretionary services category and 1,</w:t>
      </w:r>
      <w:r w:rsidR="002D0125" w:rsidRPr="002D0125">
        <w:rPr>
          <w:rFonts w:ascii="Garamond" w:eastAsia="Palatino Linotype" w:hAnsi="Garamond" w:cs="Palatino Linotype"/>
          <w:color w:val="000000"/>
          <w:lang w:val="en-US"/>
        </w:rPr>
        <w:t>8</w:t>
      </w:r>
      <w:r w:rsidR="007B45B7">
        <w:rPr>
          <w:rFonts w:ascii="Garamond" w:eastAsia="Palatino Linotype" w:hAnsi="Garamond" w:cs="Palatino Linotype"/>
          <w:color w:val="000000"/>
          <w:lang w:val="en-US"/>
        </w:rPr>
        <w:t>4</w:t>
      </w:r>
      <w:r w:rsidR="002D0125" w:rsidRPr="002D0125">
        <w:rPr>
          <w:rFonts w:ascii="Garamond" w:eastAsia="Palatino Linotype" w:hAnsi="Garamond" w:cs="Palatino Linotype"/>
          <w:color w:val="000000"/>
          <w:lang w:val="en-US"/>
        </w:rPr>
        <w:t>2</w:t>
      </w:r>
      <w:r w:rsidRPr="002D0125">
        <w:rPr>
          <w:rFonts w:ascii="Garamond" w:eastAsia="Palatino Linotype" w:hAnsi="Garamond" w:cs="Palatino Linotype"/>
          <w:color w:val="000000"/>
          <w:lang w:val="en-US"/>
        </w:rPr>
        <w:t xml:space="preserve"> clients availed advisory services of portfolio managers.</w:t>
      </w:r>
    </w:p>
    <w:p w:rsidR="005748D2" w:rsidRPr="002D0125" w:rsidRDefault="005748D2" w:rsidP="00C863F0">
      <w:pPr>
        <w:pBdr>
          <w:between w:val="nil"/>
        </w:pBdr>
        <w:spacing w:after="200" w:line="360" w:lineRule="auto"/>
        <w:ind w:left="567"/>
        <w:contextualSpacing/>
        <w:jc w:val="both"/>
        <w:rPr>
          <w:rFonts w:ascii="Garamond" w:eastAsia="Palatino Linotype" w:hAnsi="Garamond" w:cs="Palatino Linotype"/>
          <w:color w:val="000000"/>
          <w:lang w:val="en-US"/>
        </w:rPr>
      </w:pPr>
    </w:p>
    <w:p w:rsidR="006A6CB3" w:rsidRPr="006A6CB3" w:rsidRDefault="006A6CB3" w:rsidP="005748D2">
      <w:pPr>
        <w:widowControl w:val="0"/>
        <w:numPr>
          <w:ilvl w:val="0"/>
          <w:numId w:val="2"/>
        </w:numPr>
        <w:spacing w:line="360" w:lineRule="auto"/>
        <w:ind w:hanging="76"/>
        <w:jc w:val="both"/>
        <w:rPr>
          <w:rFonts w:ascii="Garamond" w:eastAsia="Palatino Linotype" w:hAnsi="Garamond" w:cs="Palatino Linotype"/>
          <w:b/>
          <w:color w:val="222A35"/>
        </w:rPr>
      </w:pPr>
      <w:r w:rsidRPr="006A6CB3">
        <w:rPr>
          <w:rFonts w:ascii="Garamond" w:eastAsia="Palatino Linotype" w:hAnsi="Garamond" w:cs="Palatino Linotype"/>
          <w:b/>
          <w:color w:val="222A35"/>
        </w:rPr>
        <w:t>Trends in Substantial Acquisition of Shares and Takeovers</w:t>
      </w:r>
    </w:p>
    <w:p w:rsidR="009A072D" w:rsidRDefault="009A072D" w:rsidP="005748D2">
      <w:pPr>
        <w:spacing w:line="360" w:lineRule="auto"/>
        <w:ind w:left="720"/>
        <w:jc w:val="both"/>
        <w:rPr>
          <w:rFonts w:ascii="Garamond" w:eastAsia="Palatino Linotype" w:hAnsi="Garamond" w:cs="Palatino Linotype"/>
        </w:rPr>
      </w:pPr>
      <w:r w:rsidRPr="00980467">
        <w:rPr>
          <w:rFonts w:ascii="Garamond" w:eastAsia="Palatino Linotype" w:hAnsi="Garamond" w:cs="Palatino Linotype"/>
        </w:rPr>
        <w:t xml:space="preserve">During </w:t>
      </w:r>
      <w:r w:rsidR="00A40239">
        <w:rPr>
          <w:rFonts w:ascii="Garamond" w:eastAsia="Palatino Linotype" w:hAnsi="Garamond" w:cs="Palatino Linotype"/>
        </w:rPr>
        <w:t xml:space="preserve">May </w:t>
      </w:r>
      <w:r w:rsidRPr="00980467">
        <w:rPr>
          <w:rFonts w:ascii="Garamond" w:eastAsia="Palatino Linotype" w:hAnsi="Garamond" w:cs="Palatino Linotype"/>
        </w:rPr>
        <w:t xml:space="preserve">2022, </w:t>
      </w:r>
      <w:r w:rsidR="000D6EE1">
        <w:rPr>
          <w:rFonts w:ascii="Garamond" w:eastAsia="Palatino Linotype" w:hAnsi="Garamond" w:cs="Palatino Linotype"/>
        </w:rPr>
        <w:t xml:space="preserve">five </w:t>
      </w:r>
      <w:r w:rsidRPr="00980467">
        <w:rPr>
          <w:rFonts w:ascii="Garamond" w:eastAsia="Palatino Linotype" w:hAnsi="Garamond" w:cs="Palatino Linotype"/>
        </w:rPr>
        <w:t xml:space="preserve">open offers with offer value of </w:t>
      </w:r>
      <w:r w:rsidRPr="00980467">
        <w:rPr>
          <w:rFonts w:ascii="Times New Roman" w:eastAsia="Palatino Linotype" w:hAnsi="Times New Roman"/>
        </w:rPr>
        <w:t xml:space="preserve">₹ </w:t>
      </w:r>
      <w:r w:rsidR="000D6EE1">
        <w:rPr>
          <w:rFonts w:ascii="Times New Roman" w:eastAsia="Palatino Linotype" w:hAnsi="Times New Roman"/>
        </w:rPr>
        <w:t>164</w:t>
      </w:r>
      <w:r w:rsidR="000D6EE1" w:rsidRPr="000D6EE1">
        <w:rPr>
          <w:rFonts w:ascii="Garamond" w:eastAsia="Palatino Linotype" w:hAnsi="Garamond" w:cs="Palatino Linotype"/>
        </w:rPr>
        <w:t xml:space="preserve"> </w:t>
      </w:r>
      <w:r w:rsidRPr="00980467">
        <w:rPr>
          <w:rFonts w:ascii="Garamond" w:eastAsia="Palatino Linotype" w:hAnsi="Garamond" w:cs="Palatino Linotype"/>
        </w:rPr>
        <w:t xml:space="preserve">crore were closed under SEBI (Substantial Acquisition of Shares and Takeover) Regulations, 2011 as against </w:t>
      </w:r>
      <w:r w:rsidR="00057A76">
        <w:rPr>
          <w:rFonts w:ascii="Garamond" w:eastAsia="Palatino Linotype" w:hAnsi="Garamond" w:cs="Palatino Linotype"/>
        </w:rPr>
        <w:t>two</w:t>
      </w:r>
      <w:r w:rsidR="00057A76" w:rsidRPr="00980467">
        <w:rPr>
          <w:rFonts w:ascii="Garamond" w:eastAsia="Palatino Linotype" w:hAnsi="Garamond" w:cs="Palatino Linotype"/>
        </w:rPr>
        <w:t xml:space="preserve"> </w:t>
      </w:r>
      <w:r w:rsidRPr="00980467">
        <w:rPr>
          <w:rFonts w:ascii="Garamond" w:eastAsia="Palatino Linotype" w:hAnsi="Garamond" w:cs="Palatino Linotype"/>
        </w:rPr>
        <w:t xml:space="preserve">open offers with offer value of </w:t>
      </w:r>
      <w:r w:rsidRPr="00980467">
        <w:rPr>
          <w:rFonts w:ascii="Times New Roman" w:eastAsia="Palatino Linotype" w:hAnsi="Times New Roman"/>
        </w:rPr>
        <w:t xml:space="preserve">₹ </w:t>
      </w:r>
      <w:r w:rsidR="00560064">
        <w:rPr>
          <w:rFonts w:ascii="Times New Roman" w:eastAsia="Palatino Linotype" w:hAnsi="Times New Roman"/>
        </w:rPr>
        <w:t>33</w:t>
      </w:r>
      <w:r w:rsidR="00A40239">
        <w:rPr>
          <w:rFonts w:ascii="Times New Roman" w:eastAsia="Palatino Linotype" w:hAnsi="Times New Roman"/>
        </w:rPr>
        <w:t xml:space="preserve"> </w:t>
      </w:r>
      <w:r w:rsidRPr="00980467">
        <w:rPr>
          <w:rFonts w:ascii="Garamond" w:eastAsia="Palatino Linotype" w:hAnsi="Garamond" w:cs="Palatino Linotype"/>
        </w:rPr>
        <w:t xml:space="preserve">crore closed in </w:t>
      </w:r>
      <w:r w:rsidR="00057A76">
        <w:rPr>
          <w:rFonts w:ascii="Garamond" w:eastAsia="Palatino Linotype" w:hAnsi="Garamond" w:cs="Palatino Linotype"/>
        </w:rPr>
        <w:t>April</w:t>
      </w:r>
      <w:r w:rsidR="00057A76" w:rsidRPr="00980467">
        <w:rPr>
          <w:rFonts w:ascii="Garamond" w:eastAsia="Palatino Linotype" w:hAnsi="Garamond" w:cs="Palatino Linotype"/>
        </w:rPr>
        <w:t xml:space="preserve"> </w:t>
      </w:r>
      <w:r w:rsidRPr="00980467">
        <w:rPr>
          <w:rFonts w:ascii="Garamond" w:eastAsia="Palatino Linotype" w:hAnsi="Garamond" w:cs="Palatino Linotype"/>
        </w:rPr>
        <w:t>2022.</w:t>
      </w:r>
      <w:r w:rsidRPr="00891713">
        <w:rPr>
          <w:rFonts w:ascii="Garamond" w:eastAsia="Palatino Linotype" w:hAnsi="Garamond" w:cs="Palatino Linotype"/>
        </w:rPr>
        <w:t xml:space="preserve"> </w:t>
      </w:r>
    </w:p>
    <w:p w:rsidR="00A40239" w:rsidRDefault="00A40239" w:rsidP="005748D2">
      <w:pPr>
        <w:spacing w:line="360" w:lineRule="auto"/>
        <w:ind w:left="720"/>
        <w:jc w:val="both"/>
        <w:rPr>
          <w:rFonts w:ascii="Garamond" w:eastAsia="Palatino Linotype" w:hAnsi="Garamond" w:cs="Palatino Linotype"/>
        </w:rPr>
      </w:pPr>
    </w:p>
    <w:p w:rsidR="00A40239" w:rsidRDefault="00A40239" w:rsidP="005748D2">
      <w:pPr>
        <w:spacing w:line="360" w:lineRule="auto"/>
        <w:ind w:left="720"/>
        <w:jc w:val="both"/>
        <w:rPr>
          <w:rFonts w:ascii="Garamond" w:eastAsia="Palatino Linotype" w:hAnsi="Garamond" w:cs="Palatino Linotype"/>
        </w:rPr>
      </w:pPr>
    </w:p>
    <w:p w:rsidR="00A40239" w:rsidRDefault="00A40239" w:rsidP="005748D2">
      <w:pPr>
        <w:spacing w:line="360" w:lineRule="auto"/>
        <w:ind w:left="720"/>
        <w:jc w:val="both"/>
        <w:rPr>
          <w:rFonts w:ascii="Garamond" w:eastAsia="Palatino Linotype" w:hAnsi="Garamond" w:cs="Palatino Linotype"/>
        </w:rPr>
      </w:pPr>
    </w:p>
    <w:p w:rsidR="009B7ABC" w:rsidRDefault="009B7ABC" w:rsidP="005748D2">
      <w:pPr>
        <w:spacing w:line="360" w:lineRule="auto"/>
        <w:ind w:left="720"/>
        <w:jc w:val="both"/>
        <w:rPr>
          <w:rFonts w:ascii="Garamond" w:eastAsia="Palatino Linotype" w:hAnsi="Garamond" w:cs="Palatino Linotype"/>
        </w:rPr>
      </w:pPr>
    </w:p>
    <w:p w:rsidR="009B7ABC" w:rsidRDefault="009B7ABC" w:rsidP="005748D2">
      <w:pPr>
        <w:spacing w:line="360" w:lineRule="auto"/>
        <w:ind w:left="720"/>
        <w:jc w:val="both"/>
        <w:rPr>
          <w:rFonts w:ascii="Garamond" w:eastAsia="Palatino Linotype" w:hAnsi="Garamond" w:cs="Palatino Linotype"/>
        </w:rPr>
      </w:pPr>
    </w:p>
    <w:p w:rsidR="009B7ABC" w:rsidRDefault="009B7ABC" w:rsidP="005748D2">
      <w:pPr>
        <w:spacing w:line="360" w:lineRule="auto"/>
        <w:ind w:left="720"/>
        <w:jc w:val="both"/>
        <w:rPr>
          <w:rFonts w:ascii="Garamond" w:eastAsia="Palatino Linotype" w:hAnsi="Garamond" w:cs="Palatino Linotype"/>
        </w:rPr>
      </w:pPr>
    </w:p>
    <w:p w:rsidR="00A40239" w:rsidRDefault="00A40239" w:rsidP="005748D2">
      <w:pPr>
        <w:spacing w:line="360" w:lineRule="auto"/>
        <w:ind w:left="720"/>
        <w:jc w:val="both"/>
        <w:rPr>
          <w:rFonts w:ascii="Garamond" w:eastAsia="Palatino Linotype" w:hAnsi="Garamond" w:cs="Palatino Linotype"/>
        </w:rPr>
      </w:pPr>
    </w:p>
    <w:p w:rsidR="00A40239" w:rsidRPr="00DB765E" w:rsidRDefault="00A40239" w:rsidP="005748D2">
      <w:pPr>
        <w:spacing w:line="360" w:lineRule="auto"/>
        <w:ind w:left="720"/>
        <w:jc w:val="both"/>
        <w:rPr>
          <w:rFonts w:ascii="Garamond" w:eastAsia="Palatino Linotype" w:hAnsi="Garamond" w:cs="Palatino Linotype"/>
        </w:rPr>
      </w:pPr>
    </w:p>
    <w:p w:rsidR="002D0125" w:rsidRDefault="002D0125" w:rsidP="009B19A4">
      <w:pPr>
        <w:jc w:val="both"/>
        <w:rPr>
          <w:rFonts w:ascii="Garamond" w:eastAsia="Palatino Linotype" w:hAnsi="Garamond" w:cs="Palatino Linotype"/>
          <w:b/>
          <w:color w:val="222A35"/>
        </w:rPr>
      </w:pPr>
    </w:p>
    <w:p w:rsidR="00700A3E" w:rsidRDefault="009A072D" w:rsidP="002D0125">
      <w:pPr>
        <w:jc w:val="center"/>
        <w:rPr>
          <w:rFonts w:ascii="Garamond" w:eastAsia="Palatino Linotype" w:hAnsi="Garamond" w:cs="Palatino Linotype"/>
          <w:b/>
          <w:color w:val="222A35"/>
        </w:rPr>
      </w:pPr>
      <w:r w:rsidRPr="00891713">
        <w:rPr>
          <w:rFonts w:ascii="Garamond" w:eastAsia="Palatino Linotype" w:hAnsi="Garamond" w:cs="Palatino Linotype"/>
          <w:b/>
          <w:color w:val="222A35"/>
        </w:rPr>
        <w:t xml:space="preserve">Figure 13: </w:t>
      </w:r>
      <w:r w:rsidRPr="00560064">
        <w:rPr>
          <w:rFonts w:ascii="Garamond" w:eastAsia="Palatino Linotype" w:hAnsi="Garamond" w:cs="Palatino Linotype"/>
          <w:b/>
          <w:color w:val="222A35"/>
        </w:rPr>
        <w:t>Details of Open Offers Closed under the SEBI (SAST) Regulations</w:t>
      </w:r>
    </w:p>
    <w:p w:rsidR="00A40239" w:rsidRDefault="00A40239" w:rsidP="002D0125">
      <w:pPr>
        <w:jc w:val="center"/>
        <w:rPr>
          <w:rFonts w:ascii="Garamond" w:eastAsia="Palatino Linotype" w:hAnsi="Garamond" w:cs="Palatino Linotype"/>
          <w:b/>
          <w:color w:val="222A35"/>
        </w:rPr>
      </w:pPr>
    </w:p>
    <w:p w:rsidR="00A40239" w:rsidRPr="00700A3E" w:rsidRDefault="00560064" w:rsidP="002D0125">
      <w:pPr>
        <w:jc w:val="center"/>
        <w:rPr>
          <w:rFonts w:ascii="Garamond" w:eastAsia="Palatino Linotype" w:hAnsi="Garamond" w:cs="Palatino Linotype"/>
          <w:b/>
          <w:color w:val="222A35"/>
        </w:rPr>
      </w:pPr>
      <w:r>
        <w:rPr>
          <w:noProof/>
          <w:lang w:val="en-US" w:bidi="hi-IN"/>
        </w:rPr>
        <w:drawing>
          <wp:inline distT="0" distB="0" distL="0" distR="0" wp14:anchorId="7BE6FB2A" wp14:editId="6211E19D">
            <wp:extent cx="5657850" cy="2676526"/>
            <wp:effectExtent l="0" t="0" r="0" b="9525"/>
            <wp:docPr id="9" name="Chart 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00A3E" w:rsidRDefault="00700A3E" w:rsidP="009B19A4">
      <w:pPr>
        <w:widowControl w:val="0"/>
        <w:ind w:left="-284"/>
        <w:jc w:val="both"/>
        <w:rPr>
          <w:rFonts w:ascii="Garamond" w:hAnsi="Garamond"/>
          <w:b/>
          <w:color w:val="0F0684"/>
        </w:rPr>
      </w:pPr>
    </w:p>
    <w:p w:rsidR="00700A3E" w:rsidRPr="006A6CB3" w:rsidRDefault="00700A3E" w:rsidP="009B19A4">
      <w:pPr>
        <w:widowControl w:val="0"/>
        <w:ind w:left="-284"/>
        <w:jc w:val="both"/>
        <w:rPr>
          <w:rFonts w:ascii="Garamond" w:hAnsi="Garamond"/>
          <w:b/>
          <w:color w:val="0F0684"/>
        </w:rPr>
      </w:pPr>
    </w:p>
    <w:p w:rsidR="00D67B55" w:rsidRPr="00B92D2D" w:rsidRDefault="00D67B55" w:rsidP="00D67B55">
      <w:pPr>
        <w:widowControl w:val="0"/>
        <w:jc w:val="both"/>
        <w:rPr>
          <w:rFonts w:ascii="Palatino Linotype" w:eastAsia="Times New Roman" w:hAnsi="Palatino Linotype"/>
          <w:b/>
          <w:color w:val="0F0684"/>
        </w:rPr>
      </w:pPr>
      <w:r w:rsidRPr="00B92D2D">
        <w:rPr>
          <w:rFonts w:ascii="Palatino Linotype" w:hAnsi="Palatino Linotype"/>
          <w:b/>
          <w:color w:val="0F0684"/>
        </w:rPr>
        <w:t>IX.</w:t>
      </w:r>
      <w:r>
        <w:rPr>
          <w:rFonts w:ascii="Palatino Linotype" w:hAnsi="Palatino Linotype"/>
          <w:b/>
          <w:color w:val="0F0684"/>
        </w:rPr>
        <w:t xml:space="preserve">     Commodity </w:t>
      </w:r>
      <w:r w:rsidRPr="00B92D2D">
        <w:rPr>
          <w:rFonts w:ascii="Palatino Linotype" w:hAnsi="Palatino Linotype"/>
          <w:b/>
          <w:color w:val="0F0684"/>
        </w:rPr>
        <w:t>Derivatives Markets</w:t>
      </w:r>
    </w:p>
    <w:p w:rsidR="00D67B55" w:rsidRPr="00B92D2D" w:rsidRDefault="00D67B55" w:rsidP="00D67B55">
      <w:pPr>
        <w:pStyle w:val="ListParagraph"/>
        <w:spacing w:after="0" w:line="240" w:lineRule="auto"/>
        <w:ind w:left="0"/>
        <w:jc w:val="both"/>
        <w:rPr>
          <w:rFonts w:ascii="Palatino Linotype" w:eastAsia="Times New Roman" w:hAnsi="Palatino Linotype"/>
          <w:b/>
          <w:color w:val="000000"/>
          <w:sz w:val="22"/>
          <w:szCs w:val="22"/>
        </w:rPr>
      </w:pPr>
    </w:p>
    <w:p w:rsidR="00D67B55" w:rsidRPr="00C84AE1" w:rsidRDefault="00D67B55" w:rsidP="00D67B55">
      <w:pPr>
        <w:pStyle w:val="ListParagraph"/>
        <w:numPr>
          <w:ilvl w:val="0"/>
          <w:numId w:val="5"/>
        </w:numPr>
        <w:tabs>
          <w:tab w:val="left" w:pos="567"/>
        </w:tabs>
        <w:spacing w:after="0" w:line="240" w:lineRule="auto"/>
        <w:ind w:left="0" w:firstLine="0"/>
        <w:jc w:val="both"/>
        <w:rPr>
          <w:rFonts w:ascii="Palatino Linotype" w:eastAsia="Times New Roman" w:hAnsi="Palatino Linotype"/>
          <w:b/>
          <w:color w:val="000000"/>
          <w:sz w:val="22"/>
          <w:szCs w:val="22"/>
        </w:rPr>
      </w:pPr>
      <w:r w:rsidRPr="00C84AE1">
        <w:rPr>
          <w:rFonts w:ascii="Palatino Linotype" w:eastAsia="Times New Roman" w:hAnsi="Palatino Linotype"/>
          <w:b/>
          <w:color w:val="000000"/>
          <w:sz w:val="22"/>
          <w:szCs w:val="22"/>
        </w:rPr>
        <w:t>Market Trends</w:t>
      </w:r>
    </w:p>
    <w:p w:rsidR="00D67B55" w:rsidRPr="00590C15" w:rsidRDefault="00D67B55" w:rsidP="00D67B55">
      <w:pPr>
        <w:pStyle w:val="ListParagraph"/>
        <w:spacing w:after="0" w:line="240" w:lineRule="auto"/>
        <w:ind w:left="567"/>
        <w:jc w:val="both"/>
        <w:rPr>
          <w:rFonts w:ascii="Palatino Linotype" w:hAnsi="Palatino Linotype"/>
          <w:sz w:val="22"/>
          <w:szCs w:val="22"/>
        </w:rPr>
      </w:pPr>
    </w:p>
    <w:p w:rsidR="00D67B55" w:rsidRPr="00831C10" w:rsidRDefault="00D67B55" w:rsidP="00D67B55">
      <w:pPr>
        <w:pStyle w:val="ListParagraph"/>
        <w:numPr>
          <w:ilvl w:val="0"/>
          <w:numId w:val="6"/>
        </w:numPr>
        <w:spacing w:after="0" w:line="240" w:lineRule="auto"/>
        <w:ind w:left="567" w:hanging="526"/>
        <w:jc w:val="both"/>
        <w:rPr>
          <w:rFonts w:ascii="Palatino Linotype" w:hAnsi="Palatino Linotype"/>
          <w:sz w:val="22"/>
          <w:szCs w:val="22"/>
        </w:rPr>
      </w:pPr>
      <w:r w:rsidRPr="00831C10">
        <w:rPr>
          <w:rFonts w:ascii="Palatino Linotype" w:hAnsi="Palatino Linotype"/>
          <w:sz w:val="22"/>
          <w:szCs w:val="22"/>
        </w:rPr>
        <w:t xml:space="preserve">At the end of </w:t>
      </w:r>
      <w:r>
        <w:rPr>
          <w:rFonts w:ascii="Palatino Linotype" w:hAnsi="Palatino Linotype"/>
          <w:sz w:val="22"/>
          <w:szCs w:val="22"/>
        </w:rPr>
        <w:t>May 2022</w:t>
      </w:r>
      <w:r w:rsidRPr="00831C10">
        <w:rPr>
          <w:rFonts w:ascii="Palatino Linotype" w:hAnsi="Palatino Linotype"/>
          <w:sz w:val="22"/>
          <w:szCs w:val="22"/>
        </w:rPr>
        <w:t xml:space="preserve">, MCX iCOMDEX composite index </w:t>
      </w:r>
      <w:r>
        <w:rPr>
          <w:rFonts w:ascii="Palatino Linotype" w:hAnsi="Palatino Linotype"/>
          <w:sz w:val="22"/>
          <w:szCs w:val="22"/>
        </w:rPr>
        <w:t>de</w:t>
      </w:r>
      <w:r w:rsidRPr="00831C10">
        <w:rPr>
          <w:rFonts w:ascii="Palatino Linotype" w:hAnsi="Palatino Linotype"/>
          <w:sz w:val="22"/>
          <w:szCs w:val="22"/>
        </w:rPr>
        <w:t xml:space="preserve">creased by </w:t>
      </w:r>
      <w:r>
        <w:rPr>
          <w:rFonts w:ascii="Palatino Linotype" w:hAnsi="Palatino Linotype"/>
          <w:sz w:val="22"/>
          <w:szCs w:val="22"/>
        </w:rPr>
        <w:t>-0.5</w:t>
      </w:r>
      <w:r w:rsidRPr="00831C10">
        <w:rPr>
          <w:rFonts w:ascii="Palatino Linotype" w:hAnsi="Palatino Linotype"/>
          <w:sz w:val="22"/>
          <w:szCs w:val="22"/>
        </w:rPr>
        <w:t xml:space="preserve"> per cent (M-o-M).  This </w:t>
      </w:r>
      <w:r>
        <w:rPr>
          <w:rFonts w:ascii="Palatino Linotype" w:hAnsi="Palatino Linotype"/>
          <w:sz w:val="22"/>
          <w:szCs w:val="22"/>
        </w:rPr>
        <w:t>de</w:t>
      </w:r>
      <w:r w:rsidRPr="00831C10">
        <w:rPr>
          <w:rFonts w:ascii="Palatino Linotype" w:hAnsi="Palatino Linotype"/>
          <w:sz w:val="22"/>
          <w:szCs w:val="22"/>
        </w:rPr>
        <w:t xml:space="preserve">crease was mainly driven by </w:t>
      </w:r>
      <w:r>
        <w:rPr>
          <w:rFonts w:ascii="Palatino Linotype" w:hAnsi="Palatino Linotype"/>
          <w:sz w:val="22"/>
          <w:szCs w:val="22"/>
        </w:rPr>
        <w:t>down</w:t>
      </w:r>
      <w:r w:rsidRPr="00831C10">
        <w:rPr>
          <w:rFonts w:ascii="Palatino Linotype" w:hAnsi="Palatino Linotype"/>
          <w:sz w:val="22"/>
          <w:szCs w:val="22"/>
        </w:rPr>
        <w:t xml:space="preserve">ward trend in </w:t>
      </w:r>
      <w:r>
        <w:rPr>
          <w:rFonts w:ascii="Palatino Linotype" w:hAnsi="Palatino Linotype"/>
          <w:sz w:val="22"/>
          <w:szCs w:val="22"/>
        </w:rPr>
        <w:t>futures prices of nickel</w:t>
      </w:r>
      <w:r w:rsidRPr="00831C10">
        <w:rPr>
          <w:rFonts w:ascii="Palatino Linotype" w:hAnsi="Palatino Linotype"/>
          <w:sz w:val="22"/>
          <w:szCs w:val="22"/>
        </w:rPr>
        <w:t xml:space="preserve"> </w:t>
      </w:r>
      <w:r>
        <w:rPr>
          <w:rFonts w:ascii="Palatino Linotype" w:hAnsi="Palatino Linotype"/>
          <w:sz w:val="22"/>
          <w:szCs w:val="22"/>
        </w:rPr>
        <w:t xml:space="preserve">(-15.9 per cent) </w:t>
      </w:r>
      <w:r w:rsidRPr="00831C10">
        <w:rPr>
          <w:rFonts w:ascii="Palatino Linotype" w:hAnsi="Palatino Linotype"/>
          <w:sz w:val="22"/>
          <w:szCs w:val="22"/>
        </w:rPr>
        <w:t xml:space="preserve">and </w:t>
      </w:r>
      <w:r>
        <w:rPr>
          <w:rFonts w:ascii="Palatino Linotype" w:hAnsi="Palatino Linotype"/>
          <w:sz w:val="22"/>
          <w:szCs w:val="22"/>
        </w:rPr>
        <w:t>silver (-5.0 per cent)</w:t>
      </w:r>
      <w:r w:rsidRPr="00831C10">
        <w:rPr>
          <w:rFonts w:ascii="Palatino Linotype" w:hAnsi="Palatino Linotype"/>
          <w:sz w:val="22"/>
          <w:szCs w:val="22"/>
        </w:rPr>
        <w:t>.</w:t>
      </w:r>
      <w:r w:rsidRPr="00831C10">
        <w:rPr>
          <w:rFonts w:ascii="Palatino Linotype" w:eastAsia="Times New Roman" w:hAnsi="Palatino Linotype"/>
          <w:color w:val="000000"/>
          <w:sz w:val="22"/>
          <w:szCs w:val="22"/>
        </w:rPr>
        <w:t xml:space="preserve"> </w:t>
      </w:r>
    </w:p>
    <w:p w:rsidR="00D67B55" w:rsidRPr="00831C10"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831C10">
        <w:rPr>
          <w:rFonts w:ascii="Palatino Linotype" w:eastAsia="Times New Roman" w:hAnsi="Palatino Linotype"/>
          <w:color w:val="000000"/>
          <w:sz w:val="22"/>
          <w:szCs w:val="22"/>
        </w:rPr>
        <w:t>Amongst</w:t>
      </w:r>
      <w:r w:rsidRPr="00831C10">
        <w:rPr>
          <w:rFonts w:ascii="Palatino Linotype" w:hAnsi="Palatino Linotype"/>
          <w:sz w:val="22"/>
          <w:szCs w:val="22"/>
        </w:rPr>
        <w:t xml:space="preserve"> sectorial indices, MCX iCOMDEX Energy Index increased by </w:t>
      </w:r>
      <w:r>
        <w:rPr>
          <w:rFonts w:ascii="Palatino Linotype" w:hAnsi="Palatino Linotype"/>
          <w:sz w:val="22"/>
          <w:szCs w:val="22"/>
        </w:rPr>
        <w:t xml:space="preserve">13.5 percent, while </w:t>
      </w:r>
      <w:r w:rsidRPr="00831C10">
        <w:rPr>
          <w:rFonts w:ascii="Palatino Linotype" w:hAnsi="Palatino Linotype"/>
          <w:sz w:val="22"/>
          <w:szCs w:val="22"/>
        </w:rPr>
        <w:t xml:space="preserve">MCX iCOMDEX Base Metal </w:t>
      </w:r>
      <w:r>
        <w:rPr>
          <w:rFonts w:ascii="Palatino Linotype" w:hAnsi="Palatino Linotype"/>
          <w:sz w:val="22"/>
          <w:szCs w:val="22"/>
        </w:rPr>
        <w:t xml:space="preserve">and </w:t>
      </w:r>
      <w:r w:rsidRPr="00831C10">
        <w:rPr>
          <w:rFonts w:ascii="Palatino Linotype" w:hAnsi="Palatino Linotype"/>
          <w:sz w:val="22"/>
          <w:szCs w:val="22"/>
        </w:rPr>
        <w:t xml:space="preserve">MCX iCOMDEX Bullion index </w:t>
      </w:r>
      <w:r>
        <w:rPr>
          <w:rFonts w:ascii="Palatino Linotype" w:hAnsi="Palatino Linotype"/>
          <w:sz w:val="22"/>
          <w:szCs w:val="22"/>
        </w:rPr>
        <w:t>decreased by 7.3</w:t>
      </w:r>
      <w:r w:rsidRPr="00831C10">
        <w:rPr>
          <w:rFonts w:ascii="Palatino Linotype" w:hAnsi="Palatino Linotype"/>
          <w:sz w:val="22"/>
          <w:szCs w:val="22"/>
        </w:rPr>
        <w:t xml:space="preserve"> per cent </w:t>
      </w:r>
      <w:r>
        <w:rPr>
          <w:rFonts w:ascii="Palatino Linotype" w:hAnsi="Palatino Linotype"/>
          <w:sz w:val="22"/>
          <w:szCs w:val="22"/>
        </w:rPr>
        <w:t>and 2.8</w:t>
      </w:r>
      <w:r w:rsidRPr="00831C10">
        <w:rPr>
          <w:rFonts w:ascii="Palatino Linotype" w:hAnsi="Palatino Linotype"/>
          <w:sz w:val="22"/>
          <w:szCs w:val="22"/>
        </w:rPr>
        <w:t xml:space="preserve"> per cent</w:t>
      </w:r>
      <w:r>
        <w:rPr>
          <w:rFonts w:ascii="Palatino Linotype" w:hAnsi="Palatino Linotype"/>
          <w:sz w:val="22"/>
          <w:szCs w:val="22"/>
        </w:rPr>
        <w:t>, respectively</w:t>
      </w:r>
      <w:r w:rsidRPr="00831C10">
        <w:rPr>
          <w:rFonts w:ascii="Palatino Linotype" w:hAnsi="Palatino Linotype"/>
          <w:sz w:val="22"/>
          <w:szCs w:val="22"/>
        </w:rPr>
        <w:t>.</w:t>
      </w:r>
    </w:p>
    <w:p w:rsidR="00D67B55" w:rsidRPr="00831C10"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831C10">
        <w:rPr>
          <w:rFonts w:ascii="Palatino Linotype" w:eastAsia="Times New Roman" w:hAnsi="Palatino Linotype"/>
          <w:color w:val="000000"/>
          <w:sz w:val="22"/>
          <w:szCs w:val="22"/>
        </w:rPr>
        <w:t xml:space="preserve">Movement </w:t>
      </w:r>
      <w:r>
        <w:rPr>
          <w:rFonts w:ascii="Palatino Linotype" w:eastAsia="Times New Roman" w:hAnsi="Palatino Linotype"/>
          <w:color w:val="000000"/>
          <w:sz w:val="22"/>
          <w:szCs w:val="22"/>
        </w:rPr>
        <w:t xml:space="preserve">of domestic commodity indices during the last 12 months </w:t>
      </w:r>
      <w:r w:rsidRPr="00831C10">
        <w:rPr>
          <w:rFonts w:ascii="Palatino Linotype" w:eastAsia="Times New Roman" w:hAnsi="Palatino Linotype"/>
          <w:color w:val="000000"/>
          <w:sz w:val="22"/>
          <w:szCs w:val="22"/>
        </w:rPr>
        <w:t xml:space="preserve">is given in </w:t>
      </w:r>
      <w:r w:rsidRPr="00831C10">
        <w:rPr>
          <w:rFonts w:ascii="Palatino Linotype" w:eastAsia="Times New Roman" w:hAnsi="Palatino Linotype"/>
          <w:b/>
          <w:bCs/>
          <w:i/>
          <w:iCs/>
          <w:color w:val="000000"/>
          <w:sz w:val="22"/>
          <w:szCs w:val="22"/>
        </w:rPr>
        <w:t>Figure 14</w:t>
      </w:r>
      <w:r>
        <w:rPr>
          <w:rFonts w:ascii="Palatino Linotype" w:eastAsia="Times New Roman" w:hAnsi="Palatino Linotype"/>
          <w:b/>
          <w:bCs/>
          <w:i/>
          <w:iCs/>
          <w:color w:val="000000"/>
          <w:sz w:val="22"/>
          <w:szCs w:val="22"/>
        </w:rPr>
        <w:t xml:space="preserve">.  </w:t>
      </w:r>
      <w:r w:rsidRPr="00505278">
        <w:rPr>
          <w:rFonts w:ascii="Palatino Linotype" w:eastAsia="Times New Roman" w:hAnsi="Palatino Linotype"/>
          <w:color w:val="000000"/>
          <w:sz w:val="22"/>
          <w:szCs w:val="22"/>
        </w:rPr>
        <w:t xml:space="preserve">The monthly data of MCX’s iCOMDEX composite index </w:t>
      </w:r>
      <w:r w:rsidRPr="00831C10">
        <w:rPr>
          <w:rFonts w:ascii="Palatino Linotype" w:eastAsia="Times New Roman" w:hAnsi="Palatino Linotype"/>
          <w:color w:val="000000"/>
          <w:sz w:val="22"/>
          <w:szCs w:val="22"/>
        </w:rPr>
        <w:t xml:space="preserve">is provided in </w:t>
      </w:r>
      <w:r w:rsidRPr="00831C10">
        <w:rPr>
          <w:rFonts w:ascii="Palatino Linotype" w:eastAsia="Times New Roman" w:hAnsi="Palatino Linotype"/>
          <w:b/>
          <w:bCs/>
          <w:i/>
          <w:iCs/>
          <w:color w:val="000000"/>
          <w:sz w:val="22"/>
          <w:szCs w:val="22"/>
        </w:rPr>
        <w:t xml:space="preserve">Table 64. </w:t>
      </w:r>
      <w:r>
        <w:rPr>
          <w:rFonts w:ascii="Palatino Linotype" w:eastAsia="Times New Roman" w:hAnsi="Palatino Linotype"/>
          <w:b/>
          <w:bCs/>
          <w:i/>
          <w:iCs/>
          <w:color w:val="000000"/>
          <w:sz w:val="22"/>
          <w:szCs w:val="22"/>
        </w:rPr>
        <w:t xml:space="preserve"> </w:t>
      </w:r>
    </w:p>
    <w:p w:rsidR="00D67B55" w:rsidRPr="009803F8" w:rsidRDefault="00D67B55" w:rsidP="00D67B55">
      <w:pPr>
        <w:rPr>
          <w:rFonts w:ascii="Palatino Linotype" w:eastAsia="Times New Roman" w:hAnsi="Palatino Linotype"/>
          <w:b/>
          <w:color w:val="2E74B5"/>
        </w:rPr>
      </w:pPr>
    </w:p>
    <w:p w:rsidR="00D67B55" w:rsidRDefault="00D67B55" w:rsidP="00D67B55">
      <w:pPr>
        <w:pStyle w:val="ListParagraph"/>
        <w:spacing w:after="0" w:line="240" w:lineRule="auto"/>
        <w:ind w:left="0"/>
        <w:rPr>
          <w:rFonts w:ascii="Palatino Linotype" w:eastAsia="Times New Roman" w:hAnsi="Palatino Linotype"/>
          <w:b/>
          <w:sz w:val="22"/>
          <w:szCs w:val="22"/>
        </w:rPr>
      </w:pPr>
      <w:r w:rsidRPr="009803F8">
        <w:rPr>
          <w:rFonts w:ascii="Palatino Linotype" w:eastAsia="Times New Roman" w:hAnsi="Palatino Linotype"/>
          <w:b/>
          <w:sz w:val="22"/>
          <w:szCs w:val="22"/>
        </w:rPr>
        <w:t xml:space="preserve">Figure 14: Movement of </w:t>
      </w:r>
      <w:r>
        <w:rPr>
          <w:rFonts w:ascii="Palatino Linotype" w:eastAsia="Times New Roman" w:hAnsi="Palatino Linotype"/>
          <w:b/>
          <w:sz w:val="22"/>
          <w:szCs w:val="22"/>
        </w:rPr>
        <w:t xml:space="preserve">Domestic </w:t>
      </w:r>
      <w:r w:rsidRPr="009803F8">
        <w:rPr>
          <w:rFonts w:ascii="Palatino Linotype" w:eastAsia="Times New Roman" w:hAnsi="Palatino Linotype"/>
          <w:b/>
          <w:sz w:val="22"/>
          <w:szCs w:val="22"/>
        </w:rPr>
        <w:t xml:space="preserve">Commodity Derivatives Market Indices </w:t>
      </w:r>
    </w:p>
    <w:p w:rsidR="00D67B55" w:rsidRDefault="00D67B55" w:rsidP="00D67B55">
      <w:pPr>
        <w:pStyle w:val="ListParagraph"/>
        <w:spacing w:after="0" w:line="240" w:lineRule="auto"/>
        <w:ind w:left="0"/>
        <w:rPr>
          <w:rFonts w:ascii="Palatino Linotype" w:eastAsia="Times New Roman" w:hAnsi="Palatino Linotype"/>
          <w:b/>
          <w:sz w:val="22"/>
          <w:szCs w:val="22"/>
        </w:rPr>
      </w:pPr>
    </w:p>
    <w:p w:rsidR="00D67B55" w:rsidRDefault="00D67B55" w:rsidP="00D67B55">
      <w:pPr>
        <w:pStyle w:val="ListParagraph"/>
        <w:spacing w:after="0" w:line="240" w:lineRule="auto"/>
        <w:ind w:left="0"/>
        <w:rPr>
          <w:rFonts w:ascii="Palatino Linotype" w:eastAsia="Times New Roman" w:hAnsi="Palatino Linotype"/>
          <w:b/>
          <w:sz w:val="22"/>
          <w:szCs w:val="22"/>
        </w:rPr>
      </w:pPr>
      <w:r w:rsidRPr="00D4370E">
        <w:rPr>
          <w:noProof/>
          <w:lang w:bidi="hi-IN"/>
        </w:rPr>
        <w:lastRenderedPageBreak/>
        <w:drawing>
          <wp:inline distT="0" distB="0" distL="0" distR="0">
            <wp:extent cx="5734050" cy="2947670"/>
            <wp:effectExtent l="0" t="0" r="0" b="508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7B55" w:rsidRPr="00DA4621" w:rsidRDefault="00D67B55" w:rsidP="00D67B55">
      <w:pPr>
        <w:pStyle w:val="ListParagraph"/>
        <w:spacing w:after="0" w:line="240" w:lineRule="auto"/>
        <w:ind w:left="142" w:hanging="142"/>
        <w:jc w:val="center"/>
        <w:rPr>
          <w:rFonts w:ascii="Palatino Linotype" w:eastAsia="Times New Roman" w:hAnsi="Palatino Linotype"/>
          <w:b/>
          <w:color w:val="2E74B5"/>
          <w:sz w:val="22"/>
          <w:szCs w:val="22"/>
        </w:rPr>
      </w:pPr>
    </w:p>
    <w:p w:rsidR="00D67B55" w:rsidRDefault="00D67B55" w:rsidP="00D67B55">
      <w:pPr>
        <w:pStyle w:val="ListParagraph"/>
        <w:spacing w:after="0" w:line="480" w:lineRule="auto"/>
        <w:ind w:left="-426"/>
        <w:jc w:val="center"/>
        <w:rPr>
          <w:rFonts w:ascii="Palatino Linotype" w:hAnsi="Palatino Linotype" w:cs="Arial"/>
          <w:b/>
          <w:bCs/>
          <w:sz w:val="22"/>
          <w:szCs w:val="22"/>
        </w:rPr>
      </w:pPr>
    </w:p>
    <w:p w:rsidR="00D67B55" w:rsidRPr="00E51ADC" w:rsidRDefault="00D67B55" w:rsidP="00D67B55">
      <w:pPr>
        <w:rPr>
          <w:rFonts w:ascii="Palatino Linotype" w:hAnsi="Palatino Linotype" w:cs="Arial"/>
          <w:sz w:val="18"/>
          <w:szCs w:val="18"/>
        </w:rPr>
      </w:pPr>
      <w:r w:rsidRPr="00E51ADC">
        <w:rPr>
          <w:rFonts w:ascii="Palatino Linotype" w:hAnsi="Palatino Linotype" w:cs="Arial"/>
          <w:sz w:val="18"/>
          <w:szCs w:val="18"/>
        </w:rPr>
        <w:t xml:space="preserve">Source: MCX </w:t>
      </w:r>
    </w:p>
    <w:p w:rsidR="00D67B55" w:rsidRDefault="00D67B55" w:rsidP="00D67B55">
      <w:pPr>
        <w:pStyle w:val="ListParagraph"/>
        <w:tabs>
          <w:tab w:val="left" w:pos="3360"/>
        </w:tabs>
        <w:spacing w:after="0" w:line="480" w:lineRule="auto"/>
        <w:ind w:left="-426"/>
        <w:rPr>
          <w:rFonts w:ascii="Palatino Linotype" w:hAnsi="Palatino Linotype" w:cs="Arial"/>
          <w:b/>
          <w:bCs/>
          <w:sz w:val="22"/>
          <w:szCs w:val="22"/>
        </w:rPr>
      </w:pPr>
      <w:r>
        <w:rPr>
          <w:rFonts w:ascii="Palatino Linotype" w:hAnsi="Palatino Linotype" w:cs="Arial"/>
          <w:b/>
          <w:bCs/>
          <w:sz w:val="22"/>
          <w:szCs w:val="22"/>
        </w:rPr>
        <w:tab/>
      </w:r>
    </w:p>
    <w:p w:rsidR="00D67B55" w:rsidRDefault="00D67B55" w:rsidP="00D67B55">
      <w:pPr>
        <w:rPr>
          <w:rFonts w:ascii="Palatino Linotype" w:hAnsi="Palatino Linotype" w:cs="Arial"/>
          <w:b/>
          <w:bCs/>
        </w:rPr>
      </w:pPr>
      <w:r>
        <w:rPr>
          <w:rFonts w:ascii="Palatino Linotype" w:hAnsi="Palatino Linotype" w:cs="Arial"/>
          <w:b/>
          <w:bCs/>
        </w:rPr>
        <w:br w:type="page"/>
      </w:r>
    </w:p>
    <w:p w:rsidR="00D67B55" w:rsidRDefault="00D67B55" w:rsidP="00D67B55">
      <w:pPr>
        <w:jc w:val="both"/>
        <w:rPr>
          <w:rFonts w:ascii="Palatino Linotype" w:hAnsi="Palatino Linotype" w:cs="Arial"/>
          <w:b/>
          <w:bCs/>
        </w:rPr>
      </w:pPr>
      <w:r>
        <w:rPr>
          <w:rFonts w:ascii="Palatino Linotype" w:hAnsi="Palatino Linotype" w:cs="Arial"/>
          <w:b/>
          <w:bCs/>
        </w:rPr>
        <w:lastRenderedPageBreak/>
        <w:t xml:space="preserve">             </w:t>
      </w:r>
      <w:r w:rsidRPr="00D45369">
        <w:rPr>
          <w:rFonts w:ascii="Palatino Linotype" w:hAnsi="Palatino Linotype" w:cs="Arial"/>
          <w:b/>
          <w:bCs/>
        </w:rPr>
        <w:t>Table 4: Snapshot of Indian Commodity Derivatives Markets</w:t>
      </w:r>
    </w:p>
    <w:tbl>
      <w:tblPr>
        <w:tblW w:w="5236" w:type="pct"/>
        <w:tblLook w:val="04A0" w:firstRow="1" w:lastRow="0" w:firstColumn="1" w:lastColumn="0" w:noHBand="0" w:noVBand="1"/>
      </w:tblPr>
      <w:tblGrid>
        <w:gridCol w:w="3141"/>
        <w:gridCol w:w="2900"/>
        <w:gridCol w:w="2900"/>
        <w:gridCol w:w="1393"/>
      </w:tblGrid>
      <w:tr w:rsidR="00D67B55" w:rsidRPr="007C21E5" w:rsidTr="00A71EC8">
        <w:trPr>
          <w:trHeight w:val="705"/>
        </w:trPr>
        <w:tc>
          <w:tcPr>
            <w:tcW w:w="15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jc w:val="cente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Items</w:t>
            </w:r>
          </w:p>
        </w:tc>
        <w:tc>
          <w:tcPr>
            <w:tcW w:w="1403" w:type="pct"/>
            <w:tcBorders>
              <w:top w:val="single" w:sz="8" w:space="0" w:color="auto"/>
              <w:left w:val="nil"/>
              <w:bottom w:val="single" w:sz="8" w:space="0" w:color="auto"/>
              <w:right w:val="single" w:sz="8" w:space="0" w:color="auto"/>
            </w:tcBorders>
            <w:shd w:val="clear" w:color="auto" w:fill="auto"/>
            <w:noWrap/>
            <w:vAlign w:val="center"/>
            <w:hideMark/>
          </w:tcPr>
          <w:p w:rsidR="00D67B55" w:rsidRPr="007C21E5" w:rsidRDefault="00D67B55" w:rsidP="00A71EC8">
            <w:pPr>
              <w:jc w:val="cente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Apr-22</w:t>
            </w:r>
          </w:p>
        </w:tc>
        <w:tc>
          <w:tcPr>
            <w:tcW w:w="1403" w:type="pct"/>
            <w:tcBorders>
              <w:top w:val="single" w:sz="8" w:space="0" w:color="auto"/>
              <w:left w:val="nil"/>
              <w:bottom w:val="single" w:sz="8" w:space="0" w:color="auto"/>
              <w:right w:val="single" w:sz="8" w:space="0" w:color="auto"/>
            </w:tcBorders>
            <w:shd w:val="clear" w:color="auto" w:fill="auto"/>
            <w:noWrap/>
            <w:vAlign w:val="center"/>
            <w:hideMark/>
          </w:tcPr>
          <w:p w:rsidR="00D67B55" w:rsidRPr="007C21E5" w:rsidRDefault="00D67B55" w:rsidP="00A71EC8">
            <w:pPr>
              <w:jc w:val="cente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May-22</w:t>
            </w:r>
          </w:p>
        </w:tc>
        <w:tc>
          <w:tcPr>
            <w:tcW w:w="674" w:type="pct"/>
            <w:tcBorders>
              <w:top w:val="single" w:sz="8" w:space="0" w:color="auto"/>
              <w:left w:val="nil"/>
              <w:bottom w:val="nil"/>
              <w:right w:val="single" w:sz="8" w:space="0" w:color="auto"/>
            </w:tcBorders>
            <w:shd w:val="clear" w:color="auto" w:fill="auto"/>
            <w:vAlign w:val="center"/>
            <w:hideMark/>
          </w:tcPr>
          <w:p w:rsidR="00D67B55" w:rsidRPr="007C21E5" w:rsidRDefault="00D67B55" w:rsidP="00A71EC8">
            <w:pPr>
              <w:jc w:val="cente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Percentage variation    M-O-M</w:t>
            </w:r>
          </w:p>
        </w:tc>
      </w:tr>
      <w:tr w:rsidR="00D67B55" w:rsidRPr="007C21E5" w:rsidTr="00A71EC8">
        <w:trPr>
          <w:trHeight w:val="360"/>
        </w:trPr>
        <w:tc>
          <w:tcPr>
            <w:tcW w:w="1520" w:type="pct"/>
            <w:tcBorders>
              <w:top w:val="nil"/>
              <w:left w:val="single" w:sz="8" w:space="0" w:color="auto"/>
              <w:bottom w:val="single" w:sz="8" w:space="0" w:color="auto"/>
              <w:right w:val="nil"/>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A. Indices</w:t>
            </w:r>
          </w:p>
        </w:tc>
        <w:tc>
          <w:tcPr>
            <w:tcW w:w="1403" w:type="pct"/>
            <w:tcBorders>
              <w:top w:val="nil"/>
              <w:left w:val="nil"/>
              <w:bottom w:val="single" w:sz="8" w:space="0" w:color="auto"/>
              <w:right w:val="nil"/>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w:t>
            </w:r>
          </w:p>
        </w:tc>
        <w:tc>
          <w:tcPr>
            <w:tcW w:w="1403" w:type="pct"/>
            <w:tcBorders>
              <w:top w:val="nil"/>
              <w:left w:val="nil"/>
              <w:bottom w:val="single" w:sz="8" w:space="0" w:color="auto"/>
              <w:right w:val="nil"/>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w:t>
            </w:r>
          </w:p>
        </w:tc>
        <w:tc>
          <w:tcPr>
            <w:tcW w:w="674" w:type="pct"/>
            <w:tcBorders>
              <w:top w:val="single" w:sz="8" w:space="0" w:color="auto"/>
              <w:left w:val="nil"/>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ind w:firstLineChars="400" w:firstLine="800"/>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MCX iCOMDEX</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14,634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14,560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-0.5</w:t>
            </w:r>
          </w:p>
        </w:tc>
      </w:tr>
      <w:tr w:rsidR="00D67B55" w:rsidRPr="007C21E5" w:rsidTr="00A71EC8">
        <w:trPr>
          <w:trHeight w:val="36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B. Turnover Exchange Wise (</w:t>
            </w:r>
            <w:r w:rsidRPr="007C21E5">
              <w:rPr>
                <w:rFonts w:ascii="Times New Roman" w:eastAsia="Times New Roman" w:hAnsi="Times New Roman"/>
                <w:b/>
                <w:bCs/>
                <w:color w:val="000000"/>
                <w:sz w:val="20"/>
                <w:szCs w:val="20"/>
                <w:lang w:val="en-IN" w:eastAsia="en-IN" w:bidi="hi-IN"/>
              </w:rPr>
              <w:t>₹</w:t>
            </w:r>
            <w:r w:rsidRPr="007C21E5">
              <w:rPr>
                <w:rFonts w:ascii="Palatino Linotype" w:eastAsia="Times New Roman" w:hAnsi="Palatino Linotype" w:cs="Calibri"/>
                <w:b/>
                <w:bCs/>
                <w:color w:val="000000"/>
                <w:sz w:val="20"/>
                <w:szCs w:val="20"/>
                <w:lang w:val="en-IN" w:eastAsia="en-IN" w:bidi="hi-IN"/>
              </w:rPr>
              <w:t>crore)</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All-India</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8,62,271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10,04,019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16.4</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Agri</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28,806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22,873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-20.6</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Non-agri</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8,33,465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9,81,146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17.7</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MCX, of which</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8,36,177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9,82,647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17.5</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Futures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4,94,757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5,50,739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11.3</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Options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3,41,420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4,31,908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26.5</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BSE, of which</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880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709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-19.4</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Futures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474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469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-1.1</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Options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406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241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-40.8</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NCDEX, of which</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23,558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19,204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-18.5</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Futures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23,194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18,726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-19.3</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Options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364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478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31.4</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NSE, of which</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1,656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b/>
                <w:bCs/>
                <w:color w:val="000000"/>
                <w:sz w:val="20"/>
                <w:szCs w:val="20"/>
                <w:lang w:val="en-IN" w:eastAsia="en-IN" w:bidi="hi-IN"/>
              </w:rPr>
            </w:pPr>
            <w:r w:rsidRPr="007C21E5">
              <w:rPr>
                <w:rFonts w:ascii="Palatino Linotype" w:eastAsia="Times New Roman" w:hAnsi="Palatino Linotype" w:cs="Calibri"/>
                <w:b/>
                <w:bCs/>
                <w:color w:val="000000"/>
                <w:sz w:val="20"/>
                <w:szCs w:val="20"/>
                <w:lang w:val="en-IN" w:eastAsia="en-IN" w:bidi="hi-IN"/>
              </w:rPr>
              <w:t xml:space="preserve">                                        1,460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-11.9</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Futures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1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1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12.3</w:t>
            </w:r>
          </w:p>
        </w:tc>
      </w:tr>
      <w:tr w:rsidR="00D67B55" w:rsidRPr="007C21E5" w:rsidTr="00A71EC8">
        <w:trPr>
          <w:trHeight w:val="360"/>
        </w:trPr>
        <w:tc>
          <w:tcPr>
            <w:tcW w:w="1520" w:type="pct"/>
            <w:tcBorders>
              <w:top w:val="nil"/>
              <w:left w:val="single" w:sz="8" w:space="0" w:color="auto"/>
              <w:bottom w:val="single" w:sz="8" w:space="0" w:color="auto"/>
              <w:right w:val="single" w:sz="8" w:space="0" w:color="auto"/>
            </w:tcBorders>
            <w:shd w:val="clear" w:color="auto" w:fill="auto"/>
            <w:vAlign w:val="center"/>
            <w:hideMark/>
          </w:tcPr>
          <w:p w:rsidR="00D67B55" w:rsidRPr="007C21E5" w:rsidRDefault="00D67B55" w:rsidP="00A71EC8">
            <w:pPr>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Options</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1,655 </w:t>
            </w:r>
          </w:p>
        </w:tc>
        <w:tc>
          <w:tcPr>
            <w:tcW w:w="1403" w:type="pct"/>
            <w:tcBorders>
              <w:top w:val="nil"/>
              <w:left w:val="nil"/>
              <w:bottom w:val="single" w:sz="8" w:space="0" w:color="auto"/>
              <w:right w:val="single" w:sz="8" w:space="0" w:color="auto"/>
            </w:tcBorders>
            <w:shd w:val="clear" w:color="auto" w:fill="auto"/>
            <w:noWrap/>
            <w:vAlign w:val="center"/>
            <w:hideMark/>
          </w:tcPr>
          <w:p w:rsidR="00D67B55" w:rsidRPr="007C21E5" w:rsidRDefault="00D67B55" w:rsidP="00A71EC8">
            <w:pPr>
              <w:jc w:val="right"/>
              <w:rPr>
                <w:rFonts w:ascii="Palatino Linotype" w:eastAsia="Times New Roman" w:hAnsi="Palatino Linotype" w:cs="Calibri"/>
                <w:color w:val="000000"/>
                <w:sz w:val="20"/>
                <w:szCs w:val="20"/>
                <w:lang w:val="en-IN" w:eastAsia="en-IN" w:bidi="hi-IN"/>
              </w:rPr>
            </w:pPr>
            <w:r w:rsidRPr="007C21E5">
              <w:rPr>
                <w:rFonts w:ascii="Palatino Linotype" w:eastAsia="Times New Roman" w:hAnsi="Palatino Linotype" w:cs="Calibri"/>
                <w:color w:val="000000"/>
                <w:sz w:val="20"/>
                <w:szCs w:val="20"/>
                <w:lang w:val="en-IN" w:eastAsia="en-IN" w:bidi="hi-IN"/>
              </w:rPr>
              <w:t xml:space="preserve">                                        1,458 </w:t>
            </w:r>
          </w:p>
        </w:tc>
        <w:tc>
          <w:tcPr>
            <w:tcW w:w="674" w:type="pct"/>
            <w:tcBorders>
              <w:top w:val="nil"/>
              <w:left w:val="nil"/>
              <w:bottom w:val="single" w:sz="8" w:space="0" w:color="auto"/>
              <w:right w:val="single" w:sz="8" w:space="0" w:color="auto"/>
            </w:tcBorders>
            <w:shd w:val="clear" w:color="auto" w:fill="auto"/>
            <w:vAlign w:val="center"/>
            <w:hideMark/>
          </w:tcPr>
          <w:p w:rsidR="00D67B55" w:rsidRPr="007C21E5" w:rsidRDefault="00D67B55" w:rsidP="00A71EC8">
            <w:pPr>
              <w:jc w:val="right"/>
              <w:rPr>
                <w:rFonts w:ascii="Palatino Linotype" w:eastAsia="Times New Roman" w:hAnsi="Palatino Linotype" w:cs="Calibri"/>
                <w:i/>
                <w:iCs/>
                <w:color w:val="000000"/>
                <w:sz w:val="20"/>
                <w:szCs w:val="20"/>
                <w:lang w:val="en-IN" w:eastAsia="en-IN" w:bidi="hi-IN"/>
              </w:rPr>
            </w:pPr>
            <w:r w:rsidRPr="007C21E5">
              <w:rPr>
                <w:rFonts w:ascii="Palatino Linotype" w:eastAsia="Times New Roman" w:hAnsi="Palatino Linotype" w:cs="Calibri"/>
                <w:i/>
                <w:iCs/>
                <w:color w:val="000000"/>
                <w:sz w:val="20"/>
                <w:szCs w:val="20"/>
                <w:lang w:val="en-IN" w:eastAsia="en-IN" w:bidi="hi-IN"/>
              </w:rPr>
              <w:t>-11.9</w:t>
            </w:r>
          </w:p>
        </w:tc>
      </w:tr>
    </w:tbl>
    <w:p w:rsidR="00D67B55" w:rsidRDefault="00D67B55" w:rsidP="00D67B55">
      <w:pPr>
        <w:jc w:val="both"/>
        <w:rPr>
          <w:rFonts w:ascii="Palatino Linotype" w:hAnsi="Palatino Linotype" w:cs="Arial"/>
          <w:b/>
          <w:bCs/>
          <w:i/>
          <w:iCs/>
          <w:sz w:val="18"/>
          <w:szCs w:val="18"/>
        </w:rPr>
      </w:pPr>
      <w:r w:rsidRPr="002C6512">
        <w:rPr>
          <w:rFonts w:ascii="Palatino Linotype" w:hAnsi="Palatino Linotype" w:cs="Arial"/>
          <w:b/>
          <w:bCs/>
          <w:i/>
          <w:iCs/>
          <w:sz w:val="18"/>
          <w:szCs w:val="18"/>
        </w:rPr>
        <w:t>Note: The values have been rounded to nearest integer</w:t>
      </w:r>
      <w:r>
        <w:rPr>
          <w:rFonts w:ascii="Palatino Linotype" w:hAnsi="Palatino Linotype" w:cs="Arial"/>
          <w:b/>
          <w:bCs/>
          <w:i/>
          <w:iCs/>
          <w:sz w:val="18"/>
          <w:szCs w:val="18"/>
        </w:rPr>
        <w:t xml:space="preserve"> in a spreadsheet software</w:t>
      </w:r>
      <w:r w:rsidRPr="002C6512">
        <w:rPr>
          <w:rFonts w:ascii="Palatino Linotype" w:hAnsi="Palatino Linotype" w:cs="Arial"/>
          <w:b/>
          <w:bCs/>
          <w:i/>
          <w:iCs/>
          <w:sz w:val="18"/>
          <w:szCs w:val="18"/>
        </w:rPr>
        <w:t>. Due to rounding</w:t>
      </w:r>
      <w:r>
        <w:rPr>
          <w:rFonts w:ascii="Palatino Linotype" w:hAnsi="Palatino Linotype" w:cs="Arial"/>
          <w:b/>
          <w:bCs/>
          <w:i/>
          <w:iCs/>
          <w:sz w:val="18"/>
          <w:szCs w:val="18"/>
        </w:rPr>
        <w:t>,</w:t>
      </w:r>
      <w:r w:rsidRPr="002C6512">
        <w:rPr>
          <w:rFonts w:ascii="Palatino Linotype" w:hAnsi="Palatino Linotype" w:cs="Arial"/>
          <w:b/>
          <w:bCs/>
          <w:i/>
          <w:iCs/>
          <w:sz w:val="18"/>
          <w:szCs w:val="18"/>
        </w:rPr>
        <w:t xml:space="preserve"> per cent change for small </w:t>
      </w:r>
      <w:r>
        <w:rPr>
          <w:rFonts w:ascii="Palatino Linotype" w:hAnsi="Palatino Linotype" w:cs="Arial"/>
          <w:b/>
          <w:bCs/>
          <w:i/>
          <w:iCs/>
          <w:sz w:val="18"/>
          <w:szCs w:val="18"/>
        </w:rPr>
        <w:t>values</w:t>
      </w:r>
      <w:r w:rsidRPr="002C6512">
        <w:rPr>
          <w:rFonts w:ascii="Palatino Linotype" w:hAnsi="Palatino Linotype" w:cs="Arial"/>
          <w:b/>
          <w:bCs/>
          <w:i/>
          <w:iCs/>
          <w:sz w:val="18"/>
          <w:szCs w:val="18"/>
        </w:rPr>
        <w:t xml:space="preserve"> may appear very large or incorrect.</w:t>
      </w:r>
    </w:p>
    <w:p w:rsidR="00D67B55" w:rsidRDefault="00D67B55" w:rsidP="00D67B55">
      <w:pPr>
        <w:jc w:val="both"/>
        <w:rPr>
          <w:rFonts w:ascii="Palatino Linotype" w:hAnsi="Palatino Linotype" w:cs="Arial"/>
          <w:b/>
          <w:bCs/>
          <w:sz w:val="18"/>
          <w:szCs w:val="18"/>
        </w:rPr>
      </w:pPr>
      <w:r w:rsidRPr="00DF31BD">
        <w:rPr>
          <w:rFonts w:ascii="Palatino Linotype" w:hAnsi="Palatino Linotype" w:cs="Arial"/>
          <w:b/>
          <w:bCs/>
          <w:sz w:val="18"/>
          <w:szCs w:val="18"/>
        </w:rPr>
        <w:t xml:space="preserve">Source: </w:t>
      </w:r>
      <w:r>
        <w:rPr>
          <w:rFonts w:ascii="Palatino Linotype" w:hAnsi="Palatino Linotype" w:cs="Arial"/>
          <w:b/>
          <w:bCs/>
          <w:sz w:val="18"/>
          <w:szCs w:val="18"/>
        </w:rPr>
        <w:t>MCX, BSE, NCDEX, NSE</w:t>
      </w:r>
    </w:p>
    <w:p w:rsidR="00D67B55" w:rsidRDefault="00D67B55" w:rsidP="00D67B55">
      <w:pPr>
        <w:rPr>
          <w:rFonts w:ascii="Palatino Linotype" w:hAnsi="Palatino Linotype" w:cs="Arial"/>
          <w:b/>
          <w:bCs/>
          <w:sz w:val="18"/>
          <w:szCs w:val="18"/>
        </w:rPr>
      </w:pPr>
    </w:p>
    <w:p w:rsidR="00D67B55" w:rsidRDefault="00D67B55" w:rsidP="00D67B55">
      <w:pPr>
        <w:pStyle w:val="ListParagraph"/>
        <w:numPr>
          <w:ilvl w:val="0"/>
          <w:numId w:val="5"/>
        </w:numPr>
        <w:tabs>
          <w:tab w:val="left" w:pos="567"/>
        </w:tabs>
        <w:spacing w:after="0" w:line="240" w:lineRule="auto"/>
        <w:ind w:left="0" w:firstLine="0"/>
        <w:jc w:val="both"/>
        <w:rPr>
          <w:rFonts w:ascii="Palatino Linotype" w:eastAsia="Times New Roman" w:hAnsi="Palatino Linotype"/>
          <w:b/>
          <w:color w:val="000000"/>
          <w:sz w:val="22"/>
          <w:szCs w:val="22"/>
        </w:rPr>
      </w:pPr>
      <w:r>
        <w:rPr>
          <w:rFonts w:ascii="Palatino Linotype" w:eastAsia="Times New Roman" w:hAnsi="Palatino Linotype"/>
          <w:b/>
          <w:color w:val="000000"/>
          <w:sz w:val="22"/>
          <w:szCs w:val="22"/>
        </w:rPr>
        <w:t xml:space="preserve">Commodity Derivatives </w:t>
      </w:r>
      <w:r w:rsidRPr="00FF2B41">
        <w:rPr>
          <w:rFonts w:ascii="Palatino Linotype" w:eastAsia="Times New Roman" w:hAnsi="Palatino Linotype"/>
          <w:b/>
          <w:color w:val="000000"/>
          <w:sz w:val="22"/>
          <w:szCs w:val="22"/>
        </w:rPr>
        <w:t>Turnover</w:t>
      </w:r>
    </w:p>
    <w:p w:rsidR="00D67B55" w:rsidRPr="00FF2B41" w:rsidRDefault="00D67B55" w:rsidP="00D67B55">
      <w:pPr>
        <w:pStyle w:val="ListParagraph"/>
        <w:tabs>
          <w:tab w:val="left" w:pos="567"/>
        </w:tabs>
        <w:spacing w:after="0" w:line="240" w:lineRule="auto"/>
        <w:ind w:left="0"/>
        <w:jc w:val="both"/>
        <w:rPr>
          <w:rFonts w:ascii="Palatino Linotype" w:eastAsia="Times New Roman" w:hAnsi="Palatino Linotype"/>
          <w:b/>
          <w:color w:val="000000"/>
          <w:sz w:val="22"/>
          <w:szCs w:val="22"/>
        </w:rPr>
      </w:pPr>
    </w:p>
    <w:p w:rsidR="00D67B55" w:rsidRPr="00460608"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460608">
        <w:rPr>
          <w:rFonts w:ascii="Palatino Linotype" w:eastAsia="Times New Roman" w:hAnsi="Palatino Linotype"/>
          <w:color w:val="000000"/>
          <w:sz w:val="22"/>
          <w:szCs w:val="22"/>
        </w:rPr>
        <w:t xml:space="preserve">During </w:t>
      </w:r>
      <w:r>
        <w:rPr>
          <w:rFonts w:ascii="Palatino Linotype" w:eastAsia="Times New Roman" w:hAnsi="Palatino Linotype"/>
          <w:color w:val="000000"/>
          <w:sz w:val="22"/>
          <w:szCs w:val="22"/>
        </w:rPr>
        <w:t>May 2022</w:t>
      </w:r>
      <w:r w:rsidRPr="00460608">
        <w:rPr>
          <w:rFonts w:ascii="Palatino Linotype" w:eastAsia="Times New Roman" w:hAnsi="Palatino Linotype"/>
          <w:color w:val="000000"/>
          <w:sz w:val="22"/>
          <w:szCs w:val="22"/>
        </w:rPr>
        <w:t xml:space="preserve">, pan- India turnover of commodity derivatives </w:t>
      </w:r>
      <w:r>
        <w:rPr>
          <w:rFonts w:ascii="Palatino Linotype" w:eastAsia="Times New Roman" w:hAnsi="Palatino Linotype"/>
          <w:color w:val="000000"/>
          <w:sz w:val="22"/>
          <w:szCs w:val="22"/>
        </w:rPr>
        <w:t>increased</w:t>
      </w:r>
      <w:r w:rsidRPr="00460608">
        <w:rPr>
          <w:rFonts w:ascii="Palatino Linotype" w:eastAsia="Times New Roman" w:hAnsi="Palatino Linotype"/>
          <w:color w:val="000000"/>
          <w:sz w:val="22"/>
          <w:szCs w:val="22"/>
        </w:rPr>
        <w:t xml:space="preserve"> by </w:t>
      </w:r>
      <w:r>
        <w:rPr>
          <w:rFonts w:ascii="Palatino Linotype" w:eastAsia="Times New Roman" w:hAnsi="Palatino Linotype"/>
          <w:color w:val="000000"/>
          <w:sz w:val="22"/>
          <w:szCs w:val="22"/>
        </w:rPr>
        <w:t>16.4</w:t>
      </w:r>
      <w:r w:rsidRPr="00460608">
        <w:rPr>
          <w:rFonts w:ascii="Palatino Linotype" w:eastAsia="Times New Roman" w:hAnsi="Palatino Linotype"/>
          <w:color w:val="000000"/>
          <w:sz w:val="22"/>
          <w:szCs w:val="22"/>
        </w:rPr>
        <w:t xml:space="preserve"> per cent to </w:t>
      </w:r>
      <w:r w:rsidRPr="00460608">
        <w:rPr>
          <w:rFonts w:ascii="Times New Roman" w:eastAsia="Times New Roman" w:hAnsi="Times New Roman"/>
          <w:bCs/>
          <w:color w:val="000000"/>
          <w:sz w:val="22"/>
          <w:szCs w:val="22"/>
          <w:lang w:val="en-IN" w:eastAsia="en-IN" w:bidi="hi-IN"/>
        </w:rPr>
        <w:t>₹</w:t>
      </w:r>
      <w:r>
        <w:rPr>
          <w:rFonts w:ascii="Palatino Linotype" w:eastAsia="Times New Roman" w:hAnsi="Palatino Linotype"/>
          <w:color w:val="000000"/>
          <w:sz w:val="22"/>
          <w:szCs w:val="22"/>
        </w:rPr>
        <w:t>10.0</w:t>
      </w:r>
      <w:r w:rsidRPr="00460608">
        <w:rPr>
          <w:rFonts w:ascii="Palatino Linotype" w:eastAsia="Times New Roman" w:hAnsi="Palatino Linotype"/>
          <w:color w:val="000000"/>
          <w:sz w:val="22"/>
          <w:szCs w:val="22"/>
        </w:rPr>
        <w:t xml:space="preserve"> lakh crore over the previous month.</w:t>
      </w:r>
    </w:p>
    <w:p w:rsidR="00D67B55" w:rsidRPr="00460608"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460608">
        <w:rPr>
          <w:rFonts w:ascii="Palatino Linotype" w:eastAsia="Times New Roman" w:hAnsi="Palatino Linotype"/>
          <w:color w:val="000000"/>
          <w:sz w:val="22"/>
          <w:szCs w:val="22"/>
        </w:rPr>
        <w:t xml:space="preserve">The percentage share of agri and non-agri segments in overall turnover accounted for </w:t>
      </w:r>
      <w:r>
        <w:rPr>
          <w:rFonts w:ascii="Palatino Linotype" w:eastAsia="Times New Roman" w:hAnsi="Palatino Linotype"/>
          <w:color w:val="000000"/>
          <w:sz w:val="22"/>
          <w:szCs w:val="22"/>
        </w:rPr>
        <w:t>2.3</w:t>
      </w:r>
      <w:r w:rsidRPr="00460608">
        <w:rPr>
          <w:rFonts w:ascii="Palatino Linotype" w:eastAsia="Times New Roman" w:hAnsi="Palatino Linotype"/>
          <w:color w:val="000000"/>
          <w:sz w:val="22"/>
          <w:szCs w:val="22"/>
        </w:rPr>
        <w:t xml:space="preserve"> per cent and </w:t>
      </w:r>
      <w:r>
        <w:rPr>
          <w:rFonts w:ascii="Palatino Linotype" w:eastAsia="Times New Roman" w:hAnsi="Palatino Linotype"/>
          <w:color w:val="000000"/>
          <w:sz w:val="22"/>
          <w:szCs w:val="22"/>
        </w:rPr>
        <w:t>97.7</w:t>
      </w:r>
      <w:r w:rsidRPr="00460608">
        <w:rPr>
          <w:rFonts w:ascii="Palatino Linotype" w:eastAsia="Times New Roman" w:hAnsi="Palatino Linotype"/>
          <w:color w:val="000000"/>
          <w:sz w:val="22"/>
          <w:szCs w:val="22"/>
        </w:rPr>
        <w:t xml:space="preserve"> per cent, respectively. The turnover of agri. segment </w:t>
      </w:r>
      <w:r>
        <w:rPr>
          <w:rFonts w:ascii="Palatino Linotype" w:eastAsia="Times New Roman" w:hAnsi="Palatino Linotype"/>
          <w:color w:val="000000"/>
          <w:sz w:val="22"/>
          <w:szCs w:val="22"/>
        </w:rPr>
        <w:t>de</w:t>
      </w:r>
      <w:r w:rsidRPr="00460608">
        <w:rPr>
          <w:rFonts w:ascii="Palatino Linotype" w:eastAsia="Times New Roman" w:hAnsi="Palatino Linotype"/>
          <w:color w:val="000000"/>
          <w:sz w:val="22"/>
          <w:szCs w:val="22"/>
        </w:rPr>
        <w:t xml:space="preserve">creased by </w:t>
      </w:r>
      <w:r>
        <w:rPr>
          <w:rFonts w:ascii="Palatino Linotype" w:eastAsia="Times New Roman" w:hAnsi="Palatino Linotype"/>
          <w:color w:val="000000"/>
          <w:sz w:val="22"/>
          <w:szCs w:val="22"/>
        </w:rPr>
        <w:t>20.6</w:t>
      </w:r>
      <w:r w:rsidRPr="00460608">
        <w:rPr>
          <w:rFonts w:ascii="Palatino Linotype" w:eastAsia="Times New Roman" w:hAnsi="Palatino Linotype"/>
          <w:color w:val="000000"/>
          <w:sz w:val="22"/>
          <w:szCs w:val="22"/>
        </w:rPr>
        <w:t xml:space="preserve"> per cent while that of non-agri segment </w:t>
      </w:r>
      <w:r>
        <w:rPr>
          <w:rFonts w:ascii="Palatino Linotype" w:eastAsia="Times New Roman" w:hAnsi="Palatino Linotype"/>
          <w:color w:val="000000"/>
          <w:sz w:val="22"/>
          <w:szCs w:val="22"/>
        </w:rPr>
        <w:t>increased</w:t>
      </w:r>
      <w:r w:rsidRPr="00460608">
        <w:rPr>
          <w:rFonts w:ascii="Palatino Linotype" w:eastAsia="Times New Roman" w:hAnsi="Palatino Linotype"/>
          <w:color w:val="000000"/>
          <w:sz w:val="22"/>
          <w:szCs w:val="22"/>
        </w:rPr>
        <w:t xml:space="preserve"> by </w:t>
      </w:r>
      <w:r>
        <w:rPr>
          <w:rFonts w:ascii="Palatino Linotype" w:eastAsia="Times New Roman" w:hAnsi="Palatino Linotype"/>
          <w:color w:val="000000"/>
          <w:sz w:val="22"/>
          <w:szCs w:val="22"/>
        </w:rPr>
        <w:t>17.7</w:t>
      </w:r>
      <w:r w:rsidRPr="00460608">
        <w:rPr>
          <w:rFonts w:ascii="Palatino Linotype" w:eastAsia="Times New Roman" w:hAnsi="Palatino Linotype"/>
          <w:color w:val="000000"/>
          <w:sz w:val="22"/>
          <w:szCs w:val="22"/>
        </w:rPr>
        <w:t xml:space="preserve"> per cent. </w:t>
      </w:r>
    </w:p>
    <w:p w:rsidR="00D67B55" w:rsidRPr="00460608"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460608">
        <w:rPr>
          <w:rFonts w:ascii="Palatino Linotype" w:eastAsia="Times New Roman" w:hAnsi="Palatino Linotype"/>
          <w:color w:val="000000"/>
          <w:sz w:val="22"/>
          <w:szCs w:val="22"/>
        </w:rPr>
        <w:t xml:space="preserve">The percentage share of futures and options contracts in overall turnover stood at </w:t>
      </w:r>
      <w:r>
        <w:rPr>
          <w:rFonts w:ascii="Palatino Linotype" w:eastAsia="Times New Roman" w:hAnsi="Palatino Linotype"/>
          <w:color w:val="000000"/>
          <w:sz w:val="22"/>
          <w:szCs w:val="22"/>
        </w:rPr>
        <w:t>56.8</w:t>
      </w:r>
      <w:r w:rsidRPr="00460608">
        <w:rPr>
          <w:rFonts w:ascii="Palatino Linotype" w:eastAsia="Times New Roman" w:hAnsi="Palatino Linotype"/>
          <w:color w:val="000000"/>
          <w:sz w:val="22"/>
          <w:szCs w:val="22"/>
        </w:rPr>
        <w:t xml:space="preserve"> per cent and </w:t>
      </w:r>
      <w:r>
        <w:rPr>
          <w:rFonts w:ascii="Palatino Linotype" w:eastAsia="Times New Roman" w:hAnsi="Palatino Linotype"/>
          <w:color w:val="000000"/>
          <w:sz w:val="22"/>
          <w:szCs w:val="22"/>
        </w:rPr>
        <w:t>43.2</w:t>
      </w:r>
      <w:r w:rsidRPr="00460608">
        <w:rPr>
          <w:rFonts w:ascii="Palatino Linotype" w:eastAsia="Times New Roman" w:hAnsi="Palatino Linotype"/>
          <w:color w:val="000000"/>
          <w:sz w:val="22"/>
          <w:szCs w:val="22"/>
        </w:rPr>
        <w:t xml:space="preserve"> per cent, respectively. The turnover of </w:t>
      </w:r>
      <w:r>
        <w:rPr>
          <w:rFonts w:ascii="Palatino Linotype" w:eastAsia="Times New Roman" w:hAnsi="Palatino Linotype"/>
          <w:color w:val="000000"/>
          <w:sz w:val="22"/>
          <w:szCs w:val="22"/>
        </w:rPr>
        <w:t xml:space="preserve">both </w:t>
      </w:r>
      <w:r w:rsidRPr="00460608">
        <w:rPr>
          <w:rFonts w:ascii="Palatino Linotype" w:eastAsia="Times New Roman" w:hAnsi="Palatino Linotype"/>
          <w:color w:val="000000"/>
          <w:sz w:val="22"/>
          <w:szCs w:val="22"/>
        </w:rPr>
        <w:t xml:space="preserve">futures </w:t>
      </w:r>
      <w:r>
        <w:rPr>
          <w:rFonts w:ascii="Palatino Linotype" w:eastAsia="Times New Roman" w:hAnsi="Palatino Linotype"/>
          <w:color w:val="000000"/>
          <w:sz w:val="22"/>
          <w:szCs w:val="22"/>
        </w:rPr>
        <w:t>and options contracts in</w:t>
      </w:r>
      <w:r w:rsidRPr="00460608">
        <w:rPr>
          <w:rFonts w:ascii="Palatino Linotype" w:eastAsia="Times New Roman" w:hAnsi="Palatino Linotype"/>
          <w:color w:val="000000"/>
          <w:sz w:val="22"/>
          <w:szCs w:val="22"/>
        </w:rPr>
        <w:t xml:space="preserve">creased by </w:t>
      </w:r>
      <w:r>
        <w:rPr>
          <w:rFonts w:ascii="Palatino Linotype" w:eastAsia="Times New Roman" w:hAnsi="Palatino Linotype"/>
          <w:color w:val="000000"/>
          <w:sz w:val="22"/>
          <w:szCs w:val="22"/>
        </w:rPr>
        <w:t>9.9</w:t>
      </w:r>
      <w:r w:rsidRPr="00460608">
        <w:rPr>
          <w:rFonts w:ascii="Palatino Linotype" w:eastAsia="Times New Roman" w:hAnsi="Palatino Linotype"/>
          <w:color w:val="000000"/>
          <w:sz w:val="22"/>
          <w:szCs w:val="22"/>
        </w:rPr>
        <w:t xml:space="preserve"> percent </w:t>
      </w:r>
      <w:r>
        <w:rPr>
          <w:rFonts w:ascii="Palatino Linotype" w:eastAsia="Times New Roman" w:hAnsi="Palatino Linotype"/>
          <w:color w:val="000000"/>
          <w:sz w:val="22"/>
          <w:szCs w:val="22"/>
        </w:rPr>
        <w:t xml:space="preserve">and </w:t>
      </w:r>
      <w:r w:rsidRPr="00460608">
        <w:rPr>
          <w:rFonts w:ascii="Palatino Linotype" w:eastAsia="Times New Roman" w:hAnsi="Palatino Linotype"/>
          <w:color w:val="000000"/>
          <w:sz w:val="22"/>
          <w:szCs w:val="22"/>
        </w:rPr>
        <w:t xml:space="preserve">by </w:t>
      </w:r>
      <w:r>
        <w:rPr>
          <w:rFonts w:ascii="Palatino Linotype" w:eastAsia="Times New Roman" w:hAnsi="Palatino Linotype"/>
          <w:color w:val="000000"/>
          <w:sz w:val="22"/>
          <w:szCs w:val="22"/>
        </w:rPr>
        <w:t>26.2</w:t>
      </w:r>
      <w:r w:rsidRPr="00460608">
        <w:rPr>
          <w:rFonts w:ascii="Palatino Linotype" w:eastAsia="Times New Roman" w:hAnsi="Palatino Linotype"/>
          <w:color w:val="000000"/>
          <w:sz w:val="22"/>
          <w:szCs w:val="22"/>
        </w:rPr>
        <w:t xml:space="preserve"> per cent</w:t>
      </w:r>
      <w:r>
        <w:rPr>
          <w:rFonts w:ascii="Palatino Linotype" w:eastAsia="Times New Roman" w:hAnsi="Palatino Linotype"/>
          <w:color w:val="000000"/>
          <w:sz w:val="22"/>
          <w:szCs w:val="22"/>
        </w:rPr>
        <w:t xml:space="preserve">, respectively, </w:t>
      </w:r>
      <w:r w:rsidRPr="00460608">
        <w:rPr>
          <w:rFonts w:ascii="Palatino Linotype" w:eastAsia="Times New Roman" w:hAnsi="Palatino Linotype"/>
          <w:color w:val="000000"/>
          <w:sz w:val="22"/>
          <w:szCs w:val="22"/>
        </w:rPr>
        <w:t>over the previous month.</w:t>
      </w:r>
    </w:p>
    <w:p w:rsidR="00D67B55" w:rsidRPr="00460608"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460608">
        <w:rPr>
          <w:rFonts w:ascii="Palatino Linotype" w:eastAsia="Times New Roman" w:hAnsi="Palatino Linotype"/>
          <w:color w:val="000000"/>
          <w:sz w:val="22"/>
          <w:szCs w:val="22"/>
        </w:rPr>
        <w:t xml:space="preserve">At exchange level, the turnover increased at </w:t>
      </w:r>
      <w:r>
        <w:rPr>
          <w:rFonts w:ascii="Palatino Linotype" w:eastAsia="Times New Roman" w:hAnsi="Palatino Linotype"/>
          <w:color w:val="000000"/>
          <w:sz w:val="22"/>
          <w:szCs w:val="22"/>
        </w:rPr>
        <w:t xml:space="preserve">MCX </w:t>
      </w:r>
      <w:r w:rsidRPr="00460608">
        <w:rPr>
          <w:rFonts w:ascii="Palatino Linotype" w:eastAsia="Times New Roman" w:hAnsi="Palatino Linotype"/>
          <w:color w:val="000000"/>
          <w:sz w:val="22"/>
          <w:szCs w:val="22"/>
        </w:rPr>
        <w:t>(</w:t>
      </w:r>
      <w:r>
        <w:rPr>
          <w:rFonts w:ascii="Palatino Linotype" w:eastAsia="Times New Roman" w:hAnsi="Palatino Linotype"/>
          <w:color w:val="000000"/>
          <w:sz w:val="22"/>
          <w:szCs w:val="22"/>
        </w:rPr>
        <w:t>17.5</w:t>
      </w:r>
      <w:r w:rsidRPr="00B941A2">
        <w:rPr>
          <w:rFonts w:ascii="Palatino Linotype" w:eastAsia="Times New Roman" w:hAnsi="Palatino Linotype"/>
          <w:color w:val="000000"/>
          <w:sz w:val="22"/>
          <w:szCs w:val="22"/>
        </w:rPr>
        <w:t>%</w:t>
      </w:r>
      <w:r w:rsidRPr="00460608">
        <w:rPr>
          <w:rFonts w:ascii="Palatino Linotype" w:eastAsia="Times New Roman" w:hAnsi="Palatino Linotype"/>
          <w:color w:val="000000"/>
          <w:sz w:val="22"/>
          <w:szCs w:val="22"/>
        </w:rPr>
        <w:t>)</w:t>
      </w:r>
      <w:r>
        <w:rPr>
          <w:rFonts w:ascii="Palatino Linotype" w:eastAsia="Times New Roman" w:hAnsi="Palatino Linotype"/>
          <w:color w:val="000000"/>
          <w:sz w:val="22"/>
          <w:szCs w:val="22"/>
        </w:rPr>
        <w:t xml:space="preserve">, while it decreased at </w:t>
      </w:r>
      <w:r w:rsidRPr="00460608">
        <w:rPr>
          <w:rFonts w:ascii="Palatino Linotype" w:eastAsia="Times New Roman" w:hAnsi="Palatino Linotype"/>
          <w:color w:val="000000"/>
          <w:sz w:val="22"/>
          <w:szCs w:val="22"/>
        </w:rPr>
        <w:t>BSE (</w:t>
      </w:r>
      <w:r>
        <w:rPr>
          <w:rFonts w:ascii="Palatino Linotype" w:eastAsia="Times New Roman" w:hAnsi="Palatino Linotype"/>
          <w:color w:val="000000"/>
          <w:sz w:val="22"/>
          <w:szCs w:val="22"/>
        </w:rPr>
        <w:t>19.4</w:t>
      </w:r>
      <w:r w:rsidRPr="00B941A2">
        <w:rPr>
          <w:rFonts w:ascii="Palatino Linotype" w:eastAsia="Times New Roman" w:hAnsi="Palatino Linotype"/>
          <w:color w:val="000000"/>
          <w:sz w:val="22"/>
          <w:szCs w:val="22"/>
        </w:rPr>
        <w:t>%</w:t>
      </w:r>
      <w:r w:rsidRPr="00460608">
        <w:rPr>
          <w:rFonts w:ascii="Palatino Linotype" w:eastAsia="Times New Roman" w:hAnsi="Palatino Linotype"/>
          <w:color w:val="000000"/>
          <w:sz w:val="22"/>
          <w:szCs w:val="22"/>
        </w:rPr>
        <w:t>)</w:t>
      </w:r>
      <w:r>
        <w:rPr>
          <w:rFonts w:ascii="Palatino Linotype" w:eastAsia="Times New Roman" w:hAnsi="Palatino Linotype"/>
          <w:color w:val="000000"/>
          <w:sz w:val="22"/>
          <w:szCs w:val="22"/>
        </w:rPr>
        <w:t>,</w:t>
      </w:r>
      <w:r w:rsidRPr="00381351">
        <w:rPr>
          <w:rFonts w:ascii="Palatino Linotype" w:eastAsia="Times New Roman" w:hAnsi="Palatino Linotype"/>
          <w:color w:val="000000"/>
          <w:sz w:val="22"/>
          <w:szCs w:val="22"/>
        </w:rPr>
        <w:t xml:space="preserve"> </w:t>
      </w:r>
      <w:r>
        <w:rPr>
          <w:rFonts w:ascii="Palatino Linotype" w:eastAsia="Times New Roman" w:hAnsi="Palatino Linotype"/>
          <w:color w:val="000000"/>
          <w:sz w:val="22"/>
          <w:szCs w:val="22"/>
        </w:rPr>
        <w:t>NCDEX</w:t>
      </w:r>
      <w:r w:rsidRPr="00460608">
        <w:rPr>
          <w:rFonts w:ascii="Palatino Linotype" w:eastAsia="Times New Roman" w:hAnsi="Palatino Linotype"/>
          <w:color w:val="000000"/>
          <w:sz w:val="22"/>
          <w:szCs w:val="22"/>
        </w:rPr>
        <w:t xml:space="preserve"> (</w:t>
      </w:r>
      <w:r>
        <w:rPr>
          <w:rFonts w:ascii="Palatino Linotype" w:eastAsia="Times New Roman" w:hAnsi="Palatino Linotype"/>
          <w:color w:val="000000"/>
          <w:sz w:val="22"/>
          <w:szCs w:val="22"/>
        </w:rPr>
        <w:t>18.5</w:t>
      </w:r>
      <w:r w:rsidRPr="00B941A2">
        <w:rPr>
          <w:rFonts w:ascii="Palatino Linotype" w:eastAsia="Times New Roman" w:hAnsi="Palatino Linotype"/>
          <w:color w:val="000000"/>
          <w:sz w:val="22"/>
          <w:szCs w:val="22"/>
        </w:rPr>
        <w:t>%</w:t>
      </w:r>
      <w:r w:rsidRPr="00460608">
        <w:rPr>
          <w:rFonts w:ascii="Palatino Linotype" w:eastAsia="Times New Roman" w:hAnsi="Palatino Linotype"/>
          <w:color w:val="000000"/>
          <w:sz w:val="22"/>
          <w:szCs w:val="22"/>
        </w:rPr>
        <w:t>)</w:t>
      </w:r>
      <w:r w:rsidRPr="00381351">
        <w:rPr>
          <w:rFonts w:ascii="Palatino Linotype" w:eastAsia="Times New Roman" w:hAnsi="Palatino Linotype"/>
          <w:color w:val="000000"/>
          <w:sz w:val="22"/>
          <w:szCs w:val="22"/>
        </w:rPr>
        <w:t xml:space="preserve"> </w:t>
      </w:r>
      <w:r w:rsidRPr="00460608">
        <w:rPr>
          <w:rFonts w:ascii="Palatino Linotype" w:eastAsia="Times New Roman" w:hAnsi="Palatino Linotype"/>
          <w:color w:val="000000"/>
          <w:sz w:val="22"/>
          <w:szCs w:val="22"/>
        </w:rPr>
        <w:t>and</w:t>
      </w:r>
      <w:r w:rsidRPr="00381351">
        <w:rPr>
          <w:rFonts w:ascii="Palatino Linotype" w:eastAsia="Times New Roman" w:hAnsi="Palatino Linotype"/>
          <w:color w:val="000000"/>
          <w:sz w:val="22"/>
          <w:szCs w:val="22"/>
        </w:rPr>
        <w:t xml:space="preserve"> </w:t>
      </w:r>
      <w:r>
        <w:rPr>
          <w:rFonts w:ascii="Palatino Linotype" w:eastAsia="Times New Roman" w:hAnsi="Palatino Linotype"/>
          <w:color w:val="000000"/>
          <w:sz w:val="22"/>
          <w:szCs w:val="22"/>
        </w:rPr>
        <w:t>N</w:t>
      </w:r>
      <w:r w:rsidRPr="00460608">
        <w:rPr>
          <w:rFonts w:ascii="Palatino Linotype" w:eastAsia="Times New Roman" w:hAnsi="Palatino Linotype"/>
          <w:color w:val="000000"/>
          <w:sz w:val="22"/>
          <w:szCs w:val="22"/>
        </w:rPr>
        <w:t>SE (</w:t>
      </w:r>
      <w:r>
        <w:rPr>
          <w:rFonts w:ascii="Palatino Linotype" w:eastAsia="Times New Roman" w:hAnsi="Palatino Linotype"/>
          <w:color w:val="000000"/>
          <w:sz w:val="22"/>
          <w:szCs w:val="22"/>
        </w:rPr>
        <w:t>11.9</w:t>
      </w:r>
      <w:r w:rsidRPr="00B941A2">
        <w:rPr>
          <w:rFonts w:ascii="Palatino Linotype" w:eastAsia="Times New Roman" w:hAnsi="Palatino Linotype"/>
          <w:color w:val="000000"/>
          <w:sz w:val="22"/>
          <w:szCs w:val="22"/>
        </w:rPr>
        <w:t>%</w:t>
      </w:r>
      <w:r w:rsidRPr="00460608">
        <w:rPr>
          <w:rFonts w:ascii="Palatino Linotype" w:eastAsia="Times New Roman" w:hAnsi="Palatino Linotype"/>
          <w:color w:val="000000"/>
          <w:sz w:val="22"/>
          <w:szCs w:val="22"/>
        </w:rPr>
        <w:t>)</w:t>
      </w:r>
      <w:r>
        <w:rPr>
          <w:rFonts w:ascii="Palatino Linotype" w:eastAsia="Times New Roman" w:hAnsi="Palatino Linotype"/>
          <w:color w:val="000000"/>
          <w:sz w:val="22"/>
          <w:szCs w:val="22"/>
        </w:rPr>
        <w:t>.</w:t>
      </w:r>
    </w:p>
    <w:p w:rsidR="00D67B55" w:rsidRPr="00460608"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460608">
        <w:rPr>
          <w:rFonts w:ascii="Palatino Linotype" w:eastAsia="Times New Roman" w:hAnsi="Palatino Linotype"/>
          <w:color w:val="000000"/>
          <w:sz w:val="22"/>
          <w:szCs w:val="22"/>
        </w:rPr>
        <w:t>In terms of percenta</w:t>
      </w:r>
      <w:r>
        <w:rPr>
          <w:rFonts w:ascii="Palatino Linotype" w:eastAsia="Times New Roman" w:hAnsi="Palatino Linotype"/>
          <w:color w:val="000000"/>
          <w:sz w:val="22"/>
          <w:szCs w:val="22"/>
        </w:rPr>
        <w:t>g</w:t>
      </w:r>
      <w:r w:rsidRPr="00460608">
        <w:rPr>
          <w:rFonts w:ascii="Palatino Linotype" w:eastAsia="Times New Roman" w:hAnsi="Palatino Linotype"/>
          <w:color w:val="000000"/>
          <w:sz w:val="22"/>
          <w:szCs w:val="22"/>
        </w:rPr>
        <w:t>e share of commodity derivatives turnover among exchanges, the MCX has the highest market share of 9</w:t>
      </w:r>
      <w:r>
        <w:rPr>
          <w:rFonts w:ascii="Palatino Linotype" w:eastAsia="Times New Roman" w:hAnsi="Palatino Linotype"/>
          <w:color w:val="000000"/>
          <w:sz w:val="22"/>
          <w:szCs w:val="22"/>
        </w:rPr>
        <w:t>7</w:t>
      </w:r>
      <w:r w:rsidRPr="00460608">
        <w:rPr>
          <w:rFonts w:ascii="Palatino Linotype" w:eastAsia="Times New Roman" w:hAnsi="Palatino Linotype"/>
          <w:color w:val="000000"/>
          <w:sz w:val="22"/>
          <w:szCs w:val="22"/>
        </w:rPr>
        <w:t>.</w:t>
      </w:r>
      <w:r>
        <w:rPr>
          <w:rFonts w:ascii="Palatino Linotype" w:eastAsia="Times New Roman" w:hAnsi="Palatino Linotype"/>
          <w:color w:val="000000"/>
          <w:sz w:val="22"/>
          <w:szCs w:val="22"/>
        </w:rPr>
        <w:t>9</w:t>
      </w:r>
      <w:r w:rsidRPr="00460608">
        <w:rPr>
          <w:rFonts w:ascii="Palatino Linotype" w:eastAsia="Times New Roman" w:hAnsi="Palatino Linotype"/>
          <w:color w:val="000000"/>
          <w:sz w:val="22"/>
          <w:szCs w:val="22"/>
        </w:rPr>
        <w:t xml:space="preserve"> per cent, followed NCDEX (</w:t>
      </w:r>
      <w:r>
        <w:rPr>
          <w:rFonts w:ascii="Palatino Linotype" w:eastAsia="Times New Roman" w:hAnsi="Palatino Linotype"/>
          <w:color w:val="000000"/>
          <w:sz w:val="22"/>
          <w:szCs w:val="22"/>
        </w:rPr>
        <w:t>1.9</w:t>
      </w:r>
      <w:r w:rsidRPr="00460608">
        <w:rPr>
          <w:rFonts w:ascii="Palatino Linotype" w:eastAsia="Times New Roman" w:hAnsi="Palatino Linotype"/>
          <w:color w:val="000000"/>
          <w:sz w:val="22"/>
          <w:szCs w:val="22"/>
        </w:rPr>
        <w:t xml:space="preserve"> per cent), </w:t>
      </w:r>
      <w:r>
        <w:rPr>
          <w:rFonts w:ascii="Palatino Linotype" w:eastAsia="Times New Roman" w:hAnsi="Palatino Linotype"/>
          <w:color w:val="000000"/>
          <w:sz w:val="22"/>
          <w:szCs w:val="22"/>
        </w:rPr>
        <w:t>B</w:t>
      </w:r>
      <w:r w:rsidRPr="00460608">
        <w:rPr>
          <w:rFonts w:ascii="Palatino Linotype" w:eastAsia="Times New Roman" w:hAnsi="Palatino Linotype"/>
          <w:color w:val="000000"/>
          <w:sz w:val="22"/>
          <w:szCs w:val="22"/>
        </w:rPr>
        <w:t>SE (0.</w:t>
      </w:r>
      <w:r>
        <w:rPr>
          <w:rFonts w:ascii="Palatino Linotype" w:eastAsia="Times New Roman" w:hAnsi="Palatino Linotype"/>
          <w:color w:val="000000"/>
          <w:sz w:val="22"/>
          <w:szCs w:val="22"/>
        </w:rPr>
        <w:t>1</w:t>
      </w:r>
      <w:r w:rsidRPr="00460608">
        <w:rPr>
          <w:rFonts w:ascii="Palatino Linotype" w:eastAsia="Times New Roman" w:hAnsi="Palatino Linotype"/>
          <w:color w:val="000000"/>
          <w:sz w:val="22"/>
          <w:szCs w:val="22"/>
        </w:rPr>
        <w:t xml:space="preserve"> per cent), NSE (0.</w:t>
      </w:r>
      <w:r>
        <w:rPr>
          <w:rFonts w:ascii="Palatino Linotype" w:eastAsia="Times New Roman" w:hAnsi="Palatino Linotype"/>
          <w:color w:val="000000"/>
          <w:sz w:val="22"/>
          <w:szCs w:val="22"/>
        </w:rPr>
        <w:t>1</w:t>
      </w:r>
      <w:r w:rsidRPr="00460608">
        <w:rPr>
          <w:rFonts w:ascii="Palatino Linotype" w:eastAsia="Times New Roman" w:hAnsi="Palatino Linotype"/>
          <w:color w:val="000000"/>
          <w:sz w:val="22"/>
          <w:szCs w:val="22"/>
        </w:rPr>
        <w:t xml:space="preserve"> per cent).</w:t>
      </w:r>
    </w:p>
    <w:p w:rsidR="00D67B55" w:rsidRPr="00460608"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460608">
        <w:rPr>
          <w:rFonts w:ascii="Palatino Linotype" w:eastAsia="Times New Roman" w:hAnsi="Palatino Linotype"/>
          <w:color w:val="000000"/>
          <w:sz w:val="22"/>
          <w:szCs w:val="22"/>
        </w:rPr>
        <w:t xml:space="preserve">At MCX, the turnover of agri. segment </w:t>
      </w:r>
      <w:r>
        <w:rPr>
          <w:rFonts w:ascii="Palatino Linotype" w:eastAsia="Times New Roman" w:hAnsi="Palatino Linotype"/>
          <w:color w:val="000000"/>
          <w:sz w:val="22"/>
          <w:szCs w:val="22"/>
        </w:rPr>
        <w:t>de</w:t>
      </w:r>
      <w:r w:rsidRPr="00460608">
        <w:rPr>
          <w:rFonts w:ascii="Palatino Linotype" w:eastAsia="Times New Roman" w:hAnsi="Palatino Linotype"/>
          <w:color w:val="000000"/>
          <w:sz w:val="22"/>
          <w:szCs w:val="22"/>
        </w:rPr>
        <w:t xml:space="preserve">creased by </w:t>
      </w:r>
      <w:r>
        <w:rPr>
          <w:rFonts w:ascii="Palatino Linotype" w:eastAsia="Times New Roman" w:hAnsi="Palatino Linotype"/>
          <w:color w:val="000000"/>
          <w:sz w:val="22"/>
          <w:szCs w:val="22"/>
        </w:rPr>
        <w:t>24.9</w:t>
      </w:r>
      <w:r w:rsidRPr="00460608">
        <w:rPr>
          <w:rFonts w:ascii="Palatino Linotype" w:eastAsia="Times New Roman" w:hAnsi="Palatino Linotype"/>
          <w:color w:val="000000"/>
          <w:sz w:val="22"/>
          <w:szCs w:val="22"/>
        </w:rPr>
        <w:t xml:space="preserve"> per cent </w:t>
      </w:r>
      <w:r>
        <w:rPr>
          <w:rFonts w:ascii="Palatino Linotype" w:eastAsia="Times New Roman" w:hAnsi="Palatino Linotype"/>
          <w:color w:val="000000"/>
          <w:sz w:val="22"/>
          <w:szCs w:val="22"/>
        </w:rPr>
        <w:t>while it increased for non-agri by 17.8 per cent.</w:t>
      </w:r>
      <w:r w:rsidRPr="00460608">
        <w:rPr>
          <w:rFonts w:ascii="Palatino Linotype" w:eastAsia="Times New Roman" w:hAnsi="Palatino Linotype"/>
          <w:color w:val="000000"/>
          <w:sz w:val="22"/>
          <w:szCs w:val="22"/>
        </w:rPr>
        <w:t xml:space="preserve"> </w:t>
      </w:r>
    </w:p>
    <w:p w:rsidR="00D67B55" w:rsidRPr="00F10641"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sidRPr="00460608">
        <w:rPr>
          <w:rFonts w:ascii="Palatino Linotype" w:eastAsia="Times New Roman" w:hAnsi="Palatino Linotype"/>
          <w:color w:val="000000"/>
          <w:sz w:val="22"/>
          <w:szCs w:val="22"/>
        </w:rPr>
        <w:lastRenderedPageBreak/>
        <w:t xml:space="preserve">At NCDEX, the overall turnover </w:t>
      </w:r>
      <w:r>
        <w:rPr>
          <w:rFonts w:ascii="Palatino Linotype" w:eastAsia="Times New Roman" w:hAnsi="Palatino Linotype"/>
          <w:color w:val="000000"/>
          <w:sz w:val="22"/>
          <w:szCs w:val="22"/>
        </w:rPr>
        <w:t>de</w:t>
      </w:r>
      <w:r w:rsidRPr="00460608">
        <w:rPr>
          <w:rFonts w:ascii="Palatino Linotype" w:eastAsia="Times New Roman" w:hAnsi="Palatino Linotype"/>
          <w:color w:val="000000"/>
          <w:sz w:val="22"/>
          <w:szCs w:val="22"/>
        </w:rPr>
        <w:t xml:space="preserve">creased by </w:t>
      </w:r>
      <w:r>
        <w:rPr>
          <w:rFonts w:ascii="Palatino Linotype" w:eastAsia="Times New Roman" w:hAnsi="Palatino Linotype"/>
          <w:color w:val="000000"/>
          <w:sz w:val="22"/>
          <w:szCs w:val="22"/>
        </w:rPr>
        <w:t>18.5</w:t>
      </w:r>
      <w:r w:rsidRPr="00460608">
        <w:rPr>
          <w:rFonts w:ascii="Palatino Linotype" w:eastAsia="Times New Roman" w:hAnsi="Palatino Linotype"/>
          <w:color w:val="000000"/>
          <w:sz w:val="22"/>
          <w:szCs w:val="22"/>
        </w:rPr>
        <w:t xml:space="preserve"> per cent to </w:t>
      </w:r>
      <w:r w:rsidRPr="00F10641">
        <w:rPr>
          <w:rFonts w:ascii="Times New Roman" w:eastAsia="Times New Roman" w:hAnsi="Times New Roman"/>
          <w:color w:val="000000"/>
          <w:sz w:val="22"/>
          <w:szCs w:val="22"/>
        </w:rPr>
        <w:t>₹</w:t>
      </w:r>
      <w:r w:rsidRPr="005F0D43">
        <w:rPr>
          <w:rFonts w:ascii="Palatino Linotype" w:eastAsia="Times New Roman" w:hAnsi="Palatino Linotype"/>
          <w:color w:val="000000"/>
          <w:sz w:val="22"/>
          <w:szCs w:val="22"/>
        </w:rPr>
        <w:t>19,204</w:t>
      </w:r>
      <w:r w:rsidRPr="00460608">
        <w:rPr>
          <w:rFonts w:ascii="Palatino Linotype" w:eastAsia="Times New Roman" w:hAnsi="Palatino Linotype"/>
          <w:color w:val="000000"/>
          <w:sz w:val="22"/>
          <w:szCs w:val="22"/>
        </w:rPr>
        <w:t xml:space="preserve"> crore over the previous month.  The turnover in agricultural index GUAREX </w:t>
      </w:r>
      <w:r>
        <w:rPr>
          <w:rFonts w:ascii="Palatino Linotype" w:eastAsia="Times New Roman" w:hAnsi="Palatino Linotype"/>
          <w:color w:val="000000"/>
          <w:sz w:val="22"/>
          <w:szCs w:val="22"/>
        </w:rPr>
        <w:t>increased</w:t>
      </w:r>
      <w:r w:rsidRPr="00460608">
        <w:rPr>
          <w:rFonts w:ascii="Palatino Linotype" w:eastAsia="Times New Roman" w:hAnsi="Palatino Linotype"/>
          <w:color w:val="000000"/>
          <w:sz w:val="22"/>
          <w:szCs w:val="22"/>
        </w:rPr>
        <w:t xml:space="preserve"> to </w:t>
      </w:r>
      <w:r w:rsidRPr="00F10641">
        <w:rPr>
          <w:rFonts w:ascii="Times New Roman" w:eastAsia="Times New Roman" w:hAnsi="Times New Roman"/>
          <w:color w:val="000000"/>
          <w:sz w:val="22"/>
          <w:szCs w:val="22"/>
        </w:rPr>
        <w:t>₹</w:t>
      </w:r>
      <w:r w:rsidRPr="00F10641">
        <w:rPr>
          <w:rFonts w:ascii="Palatino Linotype" w:eastAsia="Times New Roman" w:hAnsi="Palatino Linotype"/>
          <w:color w:val="000000"/>
          <w:sz w:val="22"/>
          <w:szCs w:val="22"/>
        </w:rPr>
        <w:t xml:space="preserve">533.77 </w:t>
      </w:r>
      <w:r w:rsidRPr="00460608">
        <w:rPr>
          <w:rFonts w:ascii="Palatino Linotype" w:eastAsia="Times New Roman" w:hAnsi="Palatino Linotype"/>
          <w:color w:val="000000"/>
          <w:sz w:val="22"/>
          <w:szCs w:val="22"/>
        </w:rPr>
        <w:t xml:space="preserve">crore from </w:t>
      </w:r>
      <w:r w:rsidRPr="00F10641">
        <w:rPr>
          <w:rFonts w:ascii="Times New Roman" w:eastAsia="Times New Roman" w:hAnsi="Times New Roman"/>
          <w:color w:val="000000"/>
          <w:sz w:val="22"/>
          <w:szCs w:val="22"/>
        </w:rPr>
        <w:t>₹</w:t>
      </w:r>
      <w:r w:rsidRPr="00F10641">
        <w:rPr>
          <w:rFonts w:ascii="Palatino Linotype" w:eastAsia="Times New Roman" w:hAnsi="Palatino Linotype"/>
          <w:color w:val="000000"/>
          <w:sz w:val="22"/>
          <w:szCs w:val="22"/>
        </w:rPr>
        <w:t xml:space="preserve">216.7 </w:t>
      </w:r>
      <w:r w:rsidRPr="00460608">
        <w:rPr>
          <w:rFonts w:ascii="Palatino Linotype" w:eastAsia="Times New Roman" w:hAnsi="Palatino Linotype"/>
          <w:color w:val="000000"/>
          <w:sz w:val="22"/>
          <w:szCs w:val="22"/>
        </w:rPr>
        <w:t xml:space="preserve">crore.  The steel long, the only non-agri commodity traded at NCDEX, recorded turnover of </w:t>
      </w:r>
      <w:r w:rsidRPr="00F10641">
        <w:rPr>
          <w:rFonts w:ascii="Times New Roman" w:eastAsia="Times New Roman" w:hAnsi="Times New Roman"/>
          <w:color w:val="000000"/>
          <w:sz w:val="22"/>
          <w:szCs w:val="22"/>
        </w:rPr>
        <w:t>₹</w:t>
      </w:r>
      <w:r>
        <w:rPr>
          <w:rFonts w:ascii="Palatino Linotype" w:eastAsia="Times New Roman" w:hAnsi="Palatino Linotype"/>
          <w:color w:val="000000"/>
          <w:sz w:val="22"/>
          <w:szCs w:val="22"/>
        </w:rPr>
        <w:t>6.3</w:t>
      </w:r>
      <w:r w:rsidRPr="00460608">
        <w:rPr>
          <w:rFonts w:ascii="Palatino Linotype" w:eastAsia="Times New Roman" w:hAnsi="Palatino Linotype"/>
          <w:color w:val="000000"/>
          <w:sz w:val="22"/>
          <w:szCs w:val="22"/>
        </w:rPr>
        <w:t xml:space="preserve"> crore during the month.</w:t>
      </w:r>
      <w:r w:rsidRPr="00F10641">
        <w:rPr>
          <w:rFonts w:ascii="Palatino Linotype" w:eastAsia="Times New Roman" w:hAnsi="Palatino Linotype"/>
          <w:color w:val="000000"/>
          <w:sz w:val="22"/>
          <w:szCs w:val="22"/>
        </w:rPr>
        <w:t xml:space="preserve"> </w:t>
      </w:r>
    </w:p>
    <w:p w:rsidR="00D67B55"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Pr>
          <w:rFonts w:ascii="Palatino Linotype" w:eastAsia="Times New Roman" w:hAnsi="Palatino Linotype"/>
          <w:color w:val="000000"/>
          <w:sz w:val="22"/>
          <w:szCs w:val="22"/>
        </w:rPr>
        <w:t>T</w:t>
      </w:r>
      <w:r w:rsidRPr="00460608">
        <w:rPr>
          <w:rFonts w:ascii="Palatino Linotype" w:eastAsia="Times New Roman" w:hAnsi="Palatino Linotype"/>
          <w:color w:val="000000"/>
          <w:sz w:val="22"/>
          <w:szCs w:val="22"/>
        </w:rPr>
        <w:t xml:space="preserve">he BSE </w:t>
      </w:r>
      <w:r>
        <w:rPr>
          <w:rFonts w:ascii="Palatino Linotype" w:eastAsia="Times New Roman" w:hAnsi="Palatino Linotype"/>
          <w:color w:val="000000"/>
          <w:sz w:val="22"/>
          <w:szCs w:val="22"/>
        </w:rPr>
        <w:t xml:space="preserve">recorded turnover of </w:t>
      </w:r>
      <w:r w:rsidRPr="00F10641">
        <w:rPr>
          <w:rFonts w:ascii="Times New Roman" w:eastAsia="Times New Roman" w:hAnsi="Times New Roman"/>
          <w:color w:val="000000"/>
          <w:sz w:val="22"/>
          <w:szCs w:val="22"/>
        </w:rPr>
        <w:t>₹</w:t>
      </w:r>
      <w:r w:rsidRPr="00F10641">
        <w:rPr>
          <w:rFonts w:ascii="Palatino Linotype" w:eastAsia="Times New Roman" w:hAnsi="Palatino Linotype"/>
          <w:color w:val="000000"/>
          <w:sz w:val="22"/>
          <w:szCs w:val="22"/>
        </w:rPr>
        <w:t>709</w:t>
      </w:r>
      <w:r w:rsidRPr="00460608">
        <w:rPr>
          <w:rFonts w:ascii="Palatino Linotype" w:eastAsia="Times New Roman" w:hAnsi="Palatino Linotype"/>
          <w:color w:val="000000"/>
          <w:sz w:val="22"/>
          <w:szCs w:val="22"/>
        </w:rPr>
        <w:t xml:space="preserve"> crore</w:t>
      </w:r>
      <w:r>
        <w:rPr>
          <w:rFonts w:ascii="Palatino Linotype" w:eastAsia="Times New Roman" w:hAnsi="Palatino Linotype"/>
          <w:color w:val="000000"/>
          <w:sz w:val="22"/>
          <w:szCs w:val="22"/>
        </w:rPr>
        <w:t>, a decrease of 19.4 per cent over the previous month</w:t>
      </w:r>
      <w:r w:rsidRPr="00460608">
        <w:rPr>
          <w:rFonts w:ascii="Palatino Linotype" w:eastAsia="Times New Roman" w:hAnsi="Palatino Linotype"/>
          <w:color w:val="000000"/>
          <w:sz w:val="22"/>
          <w:szCs w:val="22"/>
        </w:rPr>
        <w:t>.</w:t>
      </w:r>
      <w:r>
        <w:rPr>
          <w:rFonts w:ascii="Palatino Linotype" w:eastAsia="Times New Roman" w:hAnsi="Palatino Linotype"/>
          <w:color w:val="000000"/>
          <w:sz w:val="22"/>
          <w:szCs w:val="22"/>
        </w:rPr>
        <w:t xml:space="preserve"> The agri futures contracts contributed 57% (</w:t>
      </w:r>
      <w:r w:rsidRPr="00F10641">
        <w:rPr>
          <w:rFonts w:ascii="Times New Roman" w:eastAsia="Times New Roman" w:hAnsi="Times New Roman"/>
          <w:color w:val="000000"/>
          <w:sz w:val="22"/>
          <w:szCs w:val="22"/>
        </w:rPr>
        <w:t>₹</w:t>
      </w:r>
      <w:r>
        <w:rPr>
          <w:rFonts w:ascii="Palatino Linotype" w:eastAsia="Times New Roman" w:hAnsi="Palatino Linotype"/>
          <w:color w:val="000000"/>
          <w:sz w:val="22"/>
          <w:szCs w:val="22"/>
        </w:rPr>
        <w:t>402 crore) while options contract contributed 34% (</w:t>
      </w:r>
      <w:r w:rsidRPr="00F10641">
        <w:rPr>
          <w:rFonts w:ascii="Times New Roman" w:eastAsia="Times New Roman" w:hAnsi="Times New Roman"/>
          <w:color w:val="000000"/>
          <w:sz w:val="22"/>
          <w:szCs w:val="22"/>
        </w:rPr>
        <w:t>₹</w:t>
      </w:r>
      <w:r>
        <w:rPr>
          <w:rFonts w:ascii="Palatino Linotype" w:eastAsia="Times New Roman" w:hAnsi="Palatino Linotype"/>
          <w:color w:val="000000"/>
          <w:sz w:val="22"/>
          <w:szCs w:val="22"/>
        </w:rPr>
        <w:t xml:space="preserve">241 crore) to the total turnover.  Among options contract, almost all the turnover too place in gold mini contracts.  </w:t>
      </w:r>
    </w:p>
    <w:p w:rsidR="00D67B55" w:rsidRPr="00460608" w:rsidRDefault="00D67B55" w:rsidP="00D67B55">
      <w:pPr>
        <w:pStyle w:val="ListParagraph"/>
        <w:numPr>
          <w:ilvl w:val="0"/>
          <w:numId w:val="6"/>
        </w:numPr>
        <w:spacing w:after="0" w:line="240" w:lineRule="auto"/>
        <w:ind w:left="567" w:hanging="526"/>
        <w:jc w:val="both"/>
        <w:rPr>
          <w:rFonts w:ascii="Palatino Linotype" w:eastAsia="Times New Roman" w:hAnsi="Palatino Linotype"/>
          <w:color w:val="000000"/>
          <w:sz w:val="22"/>
          <w:szCs w:val="22"/>
        </w:rPr>
      </w:pPr>
      <w:r>
        <w:rPr>
          <w:rFonts w:ascii="Palatino Linotype" w:eastAsia="Times New Roman" w:hAnsi="Palatino Linotype"/>
          <w:color w:val="000000"/>
          <w:sz w:val="22"/>
          <w:szCs w:val="22"/>
        </w:rPr>
        <w:t xml:space="preserve">NSE recorded turnover of </w:t>
      </w:r>
      <w:r w:rsidRPr="00F10641">
        <w:rPr>
          <w:rFonts w:ascii="Times New Roman" w:eastAsia="Times New Roman" w:hAnsi="Times New Roman"/>
          <w:color w:val="000000"/>
          <w:sz w:val="22"/>
          <w:szCs w:val="22"/>
        </w:rPr>
        <w:t>₹</w:t>
      </w:r>
      <w:r w:rsidRPr="00F10641">
        <w:rPr>
          <w:rFonts w:ascii="Palatino Linotype" w:eastAsia="Times New Roman" w:hAnsi="Palatino Linotype"/>
          <w:color w:val="000000"/>
          <w:sz w:val="22"/>
          <w:szCs w:val="22"/>
        </w:rPr>
        <w:t>1,460</w:t>
      </w:r>
      <w:r>
        <w:rPr>
          <w:rFonts w:ascii="Palatino Linotype" w:eastAsia="Times New Roman" w:hAnsi="Palatino Linotype"/>
          <w:color w:val="000000"/>
          <w:sz w:val="22"/>
          <w:szCs w:val="22"/>
        </w:rPr>
        <w:t xml:space="preserve"> crore, a decrease of 11.9 percent over the previous month.  The options on gold mini contract contributed almost all the turnover of commodity derivatives segment.  </w:t>
      </w:r>
    </w:p>
    <w:p w:rsidR="00D67B55" w:rsidRDefault="00D67B55" w:rsidP="00D67B55">
      <w:pPr>
        <w:pStyle w:val="ListParagraph"/>
        <w:numPr>
          <w:ilvl w:val="0"/>
          <w:numId w:val="6"/>
        </w:numPr>
        <w:spacing w:after="0" w:line="240" w:lineRule="auto"/>
        <w:ind w:left="567" w:hanging="526"/>
        <w:jc w:val="both"/>
        <w:rPr>
          <w:rFonts w:ascii="Palatino Linotype" w:hAnsi="Palatino Linotype" w:cs="Arial"/>
          <w:bCs/>
          <w:sz w:val="22"/>
          <w:szCs w:val="22"/>
        </w:rPr>
      </w:pPr>
      <w:r w:rsidRPr="00460608">
        <w:rPr>
          <w:rFonts w:ascii="Palatino Linotype" w:hAnsi="Palatino Linotype" w:cs="Arial"/>
          <w:bCs/>
          <w:sz w:val="22"/>
          <w:szCs w:val="22"/>
        </w:rPr>
        <w:t xml:space="preserve">The trends in turnover of commodity derivatives at exchanges are shown in Figures 15, 16 and 17 and the details are given in </w:t>
      </w:r>
      <w:r w:rsidRPr="00460608">
        <w:rPr>
          <w:rFonts w:ascii="Palatino Linotype" w:eastAsia="Times New Roman" w:hAnsi="Palatino Linotype"/>
          <w:color w:val="000000"/>
          <w:sz w:val="22"/>
          <w:szCs w:val="22"/>
        </w:rPr>
        <w:t>Tables</w:t>
      </w:r>
      <w:r w:rsidRPr="00460608">
        <w:rPr>
          <w:rFonts w:ascii="Palatino Linotype" w:hAnsi="Palatino Linotype" w:cs="Arial"/>
          <w:bCs/>
          <w:sz w:val="22"/>
          <w:szCs w:val="22"/>
        </w:rPr>
        <w:t xml:space="preserve"> 65 to 69.</w:t>
      </w:r>
    </w:p>
    <w:p w:rsidR="00E97406" w:rsidRPr="00E97406" w:rsidRDefault="00E97406" w:rsidP="00E97406">
      <w:pPr>
        <w:pStyle w:val="ListParagraph"/>
        <w:spacing w:after="0" w:line="240" w:lineRule="auto"/>
        <w:rPr>
          <w:rFonts w:ascii="Palatino Linotype" w:hAnsi="Palatino Linotype" w:cs="Arial"/>
          <w:b/>
          <w:bCs/>
          <w:sz w:val="22"/>
          <w:szCs w:val="22"/>
        </w:rPr>
      </w:pPr>
      <w:r w:rsidRPr="00074C35">
        <w:rPr>
          <w:rFonts w:ascii="Palatino Linotype" w:hAnsi="Palatino Linotype" w:cs="Arial"/>
          <w:b/>
          <w:bCs/>
          <w:sz w:val="22"/>
          <w:szCs w:val="22"/>
        </w:rPr>
        <w:t>Figure 15: Trends in Turnover of Agricultural Commodity Derivatives</w:t>
      </w:r>
    </w:p>
    <w:p w:rsidR="00E97406" w:rsidRPr="00460608" w:rsidRDefault="00E97406" w:rsidP="00E97406">
      <w:pPr>
        <w:pStyle w:val="ListParagraph"/>
        <w:spacing w:after="0" w:line="240" w:lineRule="auto"/>
        <w:ind w:left="567"/>
        <w:jc w:val="both"/>
        <w:rPr>
          <w:rFonts w:ascii="Palatino Linotype" w:hAnsi="Palatino Linotype" w:cs="Arial"/>
          <w:bCs/>
          <w:sz w:val="22"/>
          <w:szCs w:val="22"/>
        </w:rPr>
      </w:pPr>
    </w:p>
    <w:p w:rsidR="00D67B55" w:rsidRPr="00074C35" w:rsidRDefault="00D67B55" w:rsidP="00D67B55">
      <w:pPr>
        <w:pStyle w:val="ListParagraph"/>
        <w:spacing w:after="0" w:line="240" w:lineRule="auto"/>
        <w:ind w:left="0"/>
        <w:rPr>
          <w:rFonts w:ascii="Palatino Linotype" w:hAnsi="Palatino Linotype"/>
          <w:b/>
          <w:color w:val="0D0D0D"/>
          <w:sz w:val="18"/>
          <w:szCs w:val="18"/>
        </w:rPr>
      </w:pPr>
      <w:r>
        <w:rPr>
          <w:noProof/>
          <w:lang w:bidi="hi-IN"/>
        </w:rPr>
        <w:drawing>
          <wp:anchor distT="6096" distB="8001" distL="120396" distR="119126" simplePos="0" relativeHeight="251659264" behindDoc="0" locked="0" layoutInCell="1" allowOverlap="1">
            <wp:simplePos x="0" y="0"/>
            <wp:positionH relativeFrom="column">
              <wp:posOffset>-254</wp:posOffset>
            </wp:positionH>
            <wp:positionV relativeFrom="paragraph">
              <wp:posOffset>1651</wp:posOffset>
            </wp:positionV>
            <wp:extent cx="5730875" cy="3136900"/>
            <wp:effectExtent l="0" t="0" r="3175" b="6350"/>
            <wp:wrapTopAndBottom/>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Pr="00074C35">
        <w:rPr>
          <w:rFonts w:ascii="Palatino Linotype" w:hAnsi="Palatino Linotype"/>
          <w:b/>
          <w:color w:val="0D0D0D"/>
          <w:sz w:val="18"/>
          <w:szCs w:val="18"/>
        </w:rPr>
        <w:t>Source: MCX, NCDEX, NSE, BSE &amp; ICEX</w:t>
      </w:r>
    </w:p>
    <w:p w:rsidR="00D67B55" w:rsidRPr="00074C35" w:rsidRDefault="00D67B55"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E97406" w:rsidRDefault="00E97406" w:rsidP="00D67B55">
      <w:pPr>
        <w:pStyle w:val="ListParagraph"/>
        <w:spacing w:after="0" w:line="240" w:lineRule="auto"/>
        <w:ind w:left="426" w:hanging="862"/>
        <w:jc w:val="center"/>
        <w:rPr>
          <w:rFonts w:ascii="Palatino Linotype" w:hAnsi="Palatino Linotype"/>
          <w:b/>
          <w:sz w:val="22"/>
          <w:szCs w:val="22"/>
        </w:rPr>
      </w:pPr>
    </w:p>
    <w:p w:rsidR="00D67B55" w:rsidRDefault="00D67B55" w:rsidP="00D67B55">
      <w:pPr>
        <w:pStyle w:val="ListParagraph"/>
        <w:spacing w:after="0" w:line="240" w:lineRule="auto"/>
        <w:ind w:left="426" w:hanging="862"/>
        <w:jc w:val="center"/>
        <w:rPr>
          <w:rFonts w:ascii="Palatino Linotype" w:hAnsi="Palatino Linotype"/>
          <w:b/>
          <w:sz w:val="22"/>
          <w:szCs w:val="22"/>
        </w:rPr>
      </w:pPr>
      <w:r w:rsidRPr="00074C35">
        <w:rPr>
          <w:rFonts w:ascii="Palatino Linotype" w:hAnsi="Palatino Linotype"/>
          <w:b/>
          <w:sz w:val="22"/>
          <w:szCs w:val="22"/>
        </w:rPr>
        <w:t xml:space="preserve">Figure 16: Trends in Turnover of Non-Agricultural Futures contracts </w:t>
      </w:r>
    </w:p>
    <w:p w:rsidR="00D67B55" w:rsidRPr="00074C35" w:rsidRDefault="00D67B55" w:rsidP="00D67B55">
      <w:pPr>
        <w:pStyle w:val="ListParagraph"/>
        <w:spacing w:after="0" w:line="240" w:lineRule="auto"/>
        <w:ind w:left="426" w:hanging="862"/>
        <w:jc w:val="center"/>
        <w:rPr>
          <w:rFonts w:ascii="Palatino Linotype" w:hAnsi="Palatino Linotype"/>
          <w:b/>
          <w:sz w:val="22"/>
          <w:szCs w:val="22"/>
        </w:rPr>
      </w:pPr>
      <w:r w:rsidRPr="00D34534">
        <w:rPr>
          <w:noProof/>
          <w:lang w:bidi="hi-IN"/>
        </w:rPr>
        <w:drawing>
          <wp:inline distT="0" distB="0" distL="0" distR="0">
            <wp:extent cx="6372000" cy="3304800"/>
            <wp:effectExtent l="0" t="0" r="10160" b="1016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67B55" w:rsidRPr="00074C35" w:rsidRDefault="00D67B55" w:rsidP="00D67B55">
      <w:pPr>
        <w:spacing w:line="259" w:lineRule="auto"/>
        <w:rPr>
          <w:rFonts w:ascii="Palatino Linotype" w:hAnsi="Palatino Linotype" w:cs="Arial"/>
          <w:bCs/>
        </w:rPr>
      </w:pPr>
      <w:r w:rsidRPr="00074C35">
        <w:rPr>
          <w:rFonts w:ascii="Palatino Linotype" w:hAnsi="Palatino Linotype"/>
          <w:b/>
          <w:color w:val="0D0D0D"/>
          <w:sz w:val="18"/>
          <w:szCs w:val="18"/>
        </w:rPr>
        <w:t>Source: MCX, NCDEX, NSE, BSE &amp; ICEX.</w:t>
      </w:r>
      <w:r w:rsidRPr="00074C35">
        <w:rPr>
          <w:rFonts w:ascii="Palatino Linotype" w:hAnsi="Palatino Linotype" w:cs="Arial"/>
          <w:bCs/>
        </w:rPr>
        <w:t xml:space="preserve"> </w:t>
      </w:r>
    </w:p>
    <w:p w:rsidR="00D67B55" w:rsidRPr="00074C35" w:rsidRDefault="00D67B55" w:rsidP="00D67B55">
      <w:pPr>
        <w:pStyle w:val="ListParagraph"/>
        <w:spacing w:after="0" w:line="240" w:lineRule="auto"/>
        <w:ind w:left="-284" w:hanging="152"/>
        <w:jc w:val="center"/>
        <w:rPr>
          <w:rFonts w:ascii="Palatino Linotype" w:hAnsi="Palatino Linotype"/>
          <w:b/>
          <w:sz w:val="22"/>
          <w:szCs w:val="22"/>
        </w:rPr>
      </w:pPr>
    </w:p>
    <w:p w:rsidR="00D67B55" w:rsidRPr="00074C35" w:rsidRDefault="00D67B55" w:rsidP="00D67B55">
      <w:pPr>
        <w:pStyle w:val="ListParagraph"/>
        <w:spacing w:after="0" w:line="240" w:lineRule="auto"/>
        <w:ind w:left="-284" w:hanging="152"/>
        <w:jc w:val="center"/>
        <w:rPr>
          <w:rFonts w:ascii="Palatino Linotype" w:hAnsi="Palatino Linotype"/>
          <w:b/>
          <w:sz w:val="22"/>
          <w:szCs w:val="22"/>
        </w:rPr>
      </w:pPr>
      <w:r w:rsidRPr="00074C35">
        <w:rPr>
          <w:rFonts w:ascii="Palatino Linotype" w:hAnsi="Palatino Linotype"/>
          <w:b/>
          <w:sz w:val="22"/>
          <w:szCs w:val="22"/>
        </w:rPr>
        <w:t>Figure 17: Trends in Turnover of Non</w:t>
      </w:r>
      <w:r>
        <w:rPr>
          <w:rFonts w:ascii="Palatino Linotype" w:hAnsi="Palatino Linotype"/>
          <w:b/>
          <w:sz w:val="22"/>
          <w:szCs w:val="22"/>
        </w:rPr>
        <w:t>-Agricultural Options contracts</w:t>
      </w:r>
    </w:p>
    <w:p w:rsidR="00D67B55" w:rsidRPr="00074C35" w:rsidRDefault="00D67B55" w:rsidP="00D67B55">
      <w:pPr>
        <w:pStyle w:val="ListParagraph"/>
        <w:spacing w:after="0" w:line="240" w:lineRule="auto"/>
        <w:ind w:left="0"/>
        <w:rPr>
          <w:rFonts w:ascii="Palatino Linotype" w:hAnsi="Palatino Linotype"/>
          <w:b/>
          <w:sz w:val="22"/>
          <w:szCs w:val="22"/>
        </w:rPr>
      </w:pPr>
      <w:r w:rsidRPr="00074C35">
        <w:rPr>
          <w:noProof/>
          <w:lang w:val="en-IN" w:eastAsia="en-IN" w:bidi="hi-IN"/>
        </w:rPr>
        <w:t xml:space="preserve"> </w:t>
      </w:r>
      <w:r w:rsidRPr="00D34534">
        <w:rPr>
          <w:noProof/>
          <w:lang w:bidi="hi-IN"/>
        </w:rPr>
        <w:drawing>
          <wp:inline distT="0" distB="0" distL="0" distR="0">
            <wp:extent cx="5734050" cy="3268345"/>
            <wp:effectExtent l="0" t="0" r="0" b="8255"/>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67B55" w:rsidRPr="00074C35" w:rsidRDefault="00D67B55" w:rsidP="00D67B55">
      <w:pPr>
        <w:spacing w:line="259" w:lineRule="auto"/>
        <w:rPr>
          <w:rFonts w:ascii="Palatino Linotype" w:hAnsi="Palatino Linotype" w:cs="Arial"/>
          <w:bCs/>
        </w:rPr>
      </w:pPr>
      <w:r w:rsidRPr="00074C35">
        <w:rPr>
          <w:rFonts w:ascii="Palatino Linotype" w:hAnsi="Palatino Linotype"/>
          <w:b/>
          <w:color w:val="0D0D0D"/>
          <w:sz w:val="18"/>
          <w:szCs w:val="18"/>
        </w:rPr>
        <w:t>Source: MCX, BSE &amp; NSE.</w:t>
      </w:r>
      <w:r w:rsidRPr="00074C35">
        <w:rPr>
          <w:rFonts w:ascii="Palatino Linotype" w:hAnsi="Palatino Linotype" w:cs="Arial"/>
          <w:bCs/>
        </w:rPr>
        <w:t xml:space="preserve">        </w:t>
      </w:r>
    </w:p>
    <w:p w:rsidR="00D67B55" w:rsidRPr="00074C35" w:rsidRDefault="00D67B55" w:rsidP="00D67B55">
      <w:pPr>
        <w:spacing w:line="259" w:lineRule="auto"/>
        <w:rPr>
          <w:rFonts w:ascii="Palatino Linotype" w:hAnsi="Palatino Linotype" w:cs="Arial"/>
          <w:bCs/>
        </w:rPr>
      </w:pPr>
    </w:p>
    <w:p w:rsidR="00D67B55" w:rsidRPr="00074C35" w:rsidRDefault="00D67B55" w:rsidP="00D67B55">
      <w:pPr>
        <w:spacing w:line="259" w:lineRule="auto"/>
        <w:rPr>
          <w:rFonts w:ascii="Palatino Linotype" w:hAnsi="Palatino Linotype" w:cs="Arial"/>
          <w:bCs/>
        </w:rPr>
      </w:pPr>
    </w:p>
    <w:p w:rsidR="00630B0B" w:rsidRDefault="00630B0B" w:rsidP="00363C1F">
      <w:pPr>
        <w:keepNext/>
        <w:keepLines/>
        <w:spacing w:before="240" w:after="40"/>
        <w:contextualSpacing/>
        <w:jc w:val="center"/>
        <w:outlineLvl w:val="3"/>
        <w:rPr>
          <w:rFonts w:ascii="Garamond" w:eastAsia="Times New Roman" w:hAnsi="Garamond"/>
          <w:b/>
          <w:color w:val="1F4E79" w:themeColor="accent1" w:themeShade="80"/>
          <w:sz w:val="26"/>
          <w:szCs w:val="26"/>
          <w:lang w:val="en-IN" w:eastAsia="en-IN"/>
        </w:rPr>
      </w:pPr>
    </w:p>
    <w:p w:rsidR="00630B0B" w:rsidRDefault="00630B0B" w:rsidP="00363C1F">
      <w:pPr>
        <w:keepNext/>
        <w:keepLines/>
        <w:spacing w:before="240" w:after="40"/>
        <w:contextualSpacing/>
        <w:jc w:val="center"/>
        <w:outlineLvl w:val="3"/>
        <w:rPr>
          <w:rFonts w:ascii="Garamond" w:eastAsia="Times New Roman" w:hAnsi="Garamond"/>
          <w:b/>
          <w:color w:val="1F4E79" w:themeColor="accent1" w:themeShade="80"/>
          <w:sz w:val="26"/>
          <w:szCs w:val="26"/>
          <w:lang w:val="en-IN" w:eastAsia="en-IN"/>
        </w:rPr>
      </w:pPr>
    </w:p>
    <w:p w:rsidR="00630B0B" w:rsidRDefault="00630B0B" w:rsidP="00363C1F">
      <w:pPr>
        <w:keepNext/>
        <w:keepLines/>
        <w:spacing w:before="240" w:after="40"/>
        <w:contextualSpacing/>
        <w:jc w:val="center"/>
        <w:outlineLvl w:val="3"/>
        <w:rPr>
          <w:rFonts w:ascii="Garamond" w:eastAsia="Times New Roman" w:hAnsi="Garamond"/>
          <w:b/>
          <w:color w:val="1F4E79" w:themeColor="accent1" w:themeShade="80"/>
          <w:sz w:val="26"/>
          <w:szCs w:val="26"/>
          <w:lang w:val="en-IN" w:eastAsia="en-IN"/>
        </w:rPr>
      </w:pPr>
    </w:p>
    <w:p w:rsidR="003C2485" w:rsidRDefault="003C2485">
      <w:pPr>
        <w:rPr>
          <w:rFonts w:ascii="Palatino Linotype" w:hAnsi="Palatino Linotype" w:cs="Arial"/>
          <w:bCs/>
        </w:rPr>
      </w:pPr>
    </w:p>
    <w:p w:rsidR="00A1669F" w:rsidRDefault="00A1669F">
      <w:pPr>
        <w:rPr>
          <w:rFonts w:ascii="Palatino Linotype" w:hAnsi="Palatino Linotype" w:cs="Arial"/>
          <w:bCs/>
        </w:rPr>
      </w:pPr>
    </w:p>
    <w:p w:rsidR="00A1669F" w:rsidRDefault="00A1669F">
      <w:pPr>
        <w:rPr>
          <w:rFonts w:ascii="Palatino Linotype" w:hAnsi="Palatino Linotype" w:cs="Arial"/>
          <w:bCs/>
        </w:rPr>
      </w:pPr>
    </w:p>
    <w:p w:rsidR="00A1669F" w:rsidRDefault="00A1669F">
      <w:pPr>
        <w:rPr>
          <w:rFonts w:ascii="Palatino Linotype" w:hAnsi="Palatino Linotype" w:cs="Arial"/>
          <w:bCs/>
        </w:rPr>
      </w:pPr>
    </w:p>
    <w:p w:rsidR="00C863F0" w:rsidRDefault="00C863F0">
      <w:pPr>
        <w:rPr>
          <w:rFonts w:ascii="Palatino Linotype" w:hAnsi="Palatino Linotype" w:cs="Arial"/>
          <w:bCs/>
        </w:rPr>
      </w:pPr>
    </w:p>
    <w:p w:rsidR="00A1669F" w:rsidRPr="009B7ABC" w:rsidRDefault="00A1669F" w:rsidP="00A1669F">
      <w:pPr>
        <w:jc w:val="center"/>
        <w:rPr>
          <w:rFonts w:ascii="Palatino Linotype" w:hAnsi="Palatino Linotype" w:cs="Arial"/>
          <w:bCs/>
        </w:rPr>
      </w:pPr>
      <w:r w:rsidRPr="009B7ABC">
        <w:rPr>
          <w:rFonts w:ascii="Garamond" w:eastAsia="Times New Roman" w:hAnsi="Garamond"/>
          <w:b/>
          <w:sz w:val="26"/>
          <w:szCs w:val="26"/>
          <w:lang w:val="en-IN" w:eastAsia="en-IN"/>
        </w:rPr>
        <w:t>OVERVIEW OF THE GLOBAL FINANCIAL MARKETS</w:t>
      </w:r>
    </w:p>
    <w:p w:rsidR="00A1669F" w:rsidRPr="00D67B55" w:rsidRDefault="00A1669F">
      <w:pPr>
        <w:rPr>
          <w:rFonts w:ascii="Palatino Linotype" w:hAnsi="Palatino Linotype" w:cs="Arial"/>
          <w:bCs/>
          <w:color w:val="FF0000"/>
        </w:rPr>
      </w:pPr>
    </w:p>
    <w:p w:rsidR="00A1669F" w:rsidRPr="00A1669F" w:rsidRDefault="00A1669F" w:rsidP="00A1669F">
      <w:pPr>
        <w:numPr>
          <w:ilvl w:val="0"/>
          <w:numId w:val="8"/>
        </w:numPr>
        <w:spacing w:before="100" w:beforeAutospacing="1" w:line="276" w:lineRule="auto"/>
        <w:ind w:right="107"/>
        <w:contextualSpacing/>
        <w:jc w:val="both"/>
        <w:rPr>
          <w:rFonts w:ascii="Garamond" w:eastAsia="Times New Roman" w:hAnsi="Garamond"/>
          <w:b/>
          <w:bCs/>
          <w:lang w:val="en-US"/>
        </w:rPr>
      </w:pPr>
      <w:r w:rsidRPr="00A1669F">
        <w:rPr>
          <w:rFonts w:ascii="Garamond" w:eastAsia="Times New Roman" w:hAnsi="Garamond"/>
          <w:b/>
          <w:bCs/>
          <w:lang w:val="en-US"/>
        </w:rPr>
        <w:t>State of Economy</w:t>
      </w:r>
    </w:p>
    <w:p w:rsidR="00A1669F" w:rsidRPr="00A1669F" w:rsidRDefault="00A1669F" w:rsidP="00A1669F">
      <w:pPr>
        <w:spacing w:before="100" w:beforeAutospacing="1" w:line="276" w:lineRule="auto"/>
        <w:ind w:left="360" w:right="107"/>
        <w:contextualSpacing/>
        <w:jc w:val="both"/>
        <w:rPr>
          <w:rFonts w:ascii="Garamond" w:eastAsia="Times New Roman" w:hAnsi="Garamond"/>
          <w:lang w:val="en-US"/>
        </w:rPr>
      </w:pPr>
    </w:p>
    <w:p w:rsidR="00A1669F" w:rsidRPr="00A1669F" w:rsidRDefault="00A1669F" w:rsidP="00A1669F">
      <w:pPr>
        <w:spacing w:before="100" w:beforeAutospacing="1" w:line="276" w:lineRule="auto"/>
        <w:ind w:left="360" w:right="107"/>
        <w:contextualSpacing/>
        <w:jc w:val="both"/>
        <w:rPr>
          <w:rFonts w:ascii="Garamond" w:eastAsia="Times New Roman" w:hAnsi="Garamond"/>
          <w:b/>
          <w:bCs/>
          <w:lang w:val="en-US"/>
        </w:rPr>
      </w:pPr>
      <w:r w:rsidRPr="00A1669F">
        <w:rPr>
          <w:rFonts w:ascii="Garamond" w:eastAsia="Times New Roman" w:hAnsi="Garamond"/>
          <w:b/>
          <w:bCs/>
          <w:lang w:val="en-US"/>
        </w:rPr>
        <w:t>Global</w:t>
      </w:r>
    </w:p>
    <w:p w:rsidR="00A1669F" w:rsidRPr="00A1669F" w:rsidRDefault="00A1669F" w:rsidP="00A1669F">
      <w:pPr>
        <w:spacing w:before="100" w:beforeAutospacing="1" w:line="276" w:lineRule="auto"/>
        <w:ind w:left="360" w:right="107"/>
        <w:contextualSpacing/>
        <w:jc w:val="both"/>
        <w:rPr>
          <w:rFonts w:ascii="Garamond" w:eastAsia="Times New Roman" w:hAnsi="Garamond"/>
          <w:lang w:val="en-US"/>
        </w:rPr>
      </w:pPr>
    </w:p>
    <w:p w:rsidR="00557572" w:rsidRDefault="00557572" w:rsidP="00557572">
      <w:pPr>
        <w:numPr>
          <w:ilvl w:val="0"/>
          <w:numId w:val="9"/>
        </w:numPr>
        <w:spacing w:line="276" w:lineRule="auto"/>
        <w:jc w:val="both"/>
        <w:rPr>
          <w:rFonts w:ascii="Palatino Linotype" w:eastAsia="Times New Roman" w:hAnsi="Palatino Linotype"/>
          <w:sz w:val="22"/>
          <w:szCs w:val="22"/>
          <w:lang w:val="en-US"/>
        </w:rPr>
      </w:pPr>
      <w:r w:rsidRPr="001477AC">
        <w:rPr>
          <w:rFonts w:ascii="Palatino Linotype" w:eastAsia="Times New Roman" w:hAnsi="Palatino Linotype"/>
          <w:sz w:val="22"/>
          <w:szCs w:val="22"/>
          <w:lang w:val="en-US"/>
        </w:rPr>
        <w:t xml:space="preserve">As per </w:t>
      </w:r>
      <w:r>
        <w:rPr>
          <w:rFonts w:ascii="Palatino Linotype" w:eastAsia="Times New Roman" w:hAnsi="Palatino Linotype"/>
          <w:sz w:val="22"/>
          <w:szCs w:val="22"/>
          <w:lang w:val="en-US"/>
        </w:rPr>
        <w:t>World Banks’s Global Economic Prospects</w:t>
      </w:r>
      <w:r w:rsidRPr="00F6677D">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 xml:space="preserve">–June </w:t>
      </w:r>
      <w:r w:rsidRPr="00F6677D">
        <w:rPr>
          <w:rFonts w:ascii="Palatino Linotype" w:eastAsia="Times New Roman" w:hAnsi="Palatino Linotype"/>
          <w:sz w:val="22"/>
          <w:szCs w:val="22"/>
          <w:lang w:val="en-US"/>
        </w:rPr>
        <w:t>2022,</w:t>
      </w:r>
      <w:r>
        <w:rPr>
          <w:rFonts w:ascii="Palatino Linotype" w:eastAsia="Times New Roman" w:hAnsi="Palatino Linotype"/>
          <w:sz w:val="22"/>
          <w:szCs w:val="22"/>
          <w:lang w:val="en-US"/>
        </w:rPr>
        <w:t xml:space="preserve"> global</w:t>
      </w:r>
      <w:r w:rsidRPr="00F6677D">
        <w:rPr>
          <w:rFonts w:ascii="Palatino Linotype" w:eastAsia="Times New Roman" w:hAnsi="Palatino Linotype"/>
          <w:sz w:val="22"/>
          <w:szCs w:val="22"/>
          <w:lang w:val="en-US"/>
        </w:rPr>
        <w:t xml:space="preserve"> economic growth </w:t>
      </w:r>
      <w:r>
        <w:rPr>
          <w:rFonts w:ascii="Palatino Linotype" w:eastAsia="Times New Roman" w:hAnsi="Palatino Linotype"/>
          <w:sz w:val="22"/>
          <w:szCs w:val="22"/>
          <w:lang w:val="en-US"/>
        </w:rPr>
        <w:t>is estimated to slowdown to 2.9 per cent in 2022 and 3.0 per cent in 2023 (downgrade of 1.2 percentage points for 2022 and 0.2 percentage points for 2023, as compared to January 2022 assessment). Growth in emerging markets and developing economies is estimated at 3.4 per cent in 2022 and 4.2 per cent in 2023.</w:t>
      </w:r>
    </w:p>
    <w:p w:rsidR="00557572" w:rsidRDefault="00557572" w:rsidP="00557572">
      <w:pPr>
        <w:numPr>
          <w:ilvl w:val="0"/>
          <w:numId w:val="9"/>
        </w:numPr>
        <w:spacing w:line="276" w:lineRule="auto"/>
        <w:jc w:val="both"/>
        <w:rPr>
          <w:rFonts w:ascii="Palatino Linotype" w:eastAsia="Times New Roman" w:hAnsi="Palatino Linotype"/>
          <w:sz w:val="22"/>
          <w:szCs w:val="22"/>
          <w:lang w:val="en-US"/>
        </w:rPr>
      </w:pPr>
      <w:r>
        <w:rPr>
          <w:rFonts w:ascii="Palatino Linotype" w:eastAsia="Times New Roman" w:hAnsi="Palatino Linotype"/>
          <w:sz w:val="22"/>
          <w:szCs w:val="22"/>
          <w:lang w:val="en-US"/>
        </w:rPr>
        <w:t xml:space="preserve">The downward revision in growth forecast may be attributed to acute inflationary pressures due to surge in energy, food prices triggered by the </w:t>
      </w:r>
      <w:r w:rsidRPr="008B5DFF">
        <w:rPr>
          <w:rFonts w:ascii="Palatino Linotype" w:eastAsia="Times New Roman" w:hAnsi="Palatino Linotype"/>
          <w:sz w:val="22"/>
          <w:szCs w:val="22"/>
          <w:lang w:val="en-US"/>
        </w:rPr>
        <w:t xml:space="preserve">Russia-Ukraine conflict </w:t>
      </w:r>
      <w:r>
        <w:rPr>
          <w:rFonts w:ascii="Palatino Linotype" w:eastAsia="Times New Roman" w:hAnsi="Palatino Linotype"/>
          <w:sz w:val="22"/>
          <w:szCs w:val="22"/>
          <w:lang w:val="en-US"/>
        </w:rPr>
        <w:t>and a faster pace of monetary tightening.</w:t>
      </w:r>
    </w:p>
    <w:p w:rsidR="00557572" w:rsidRDefault="00557572" w:rsidP="00557572">
      <w:pPr>
        <w:numPr>
          <w:ilvl w:val="0"/>
          <w:numId w:val="9"/>
        </w:numPr>
        <w:spacing w:line="276" w:lineRule="auto"/>
        <w:jc w:val="both"/>
        <w:rPr>
          <w:rFonts w:ascii="Palatino Linotype" w:eastAsia="Times New Roman" w:hAnsi="Palatino Linotype"/>
          <w:sz w:val="22"/>
          <w:szCs w:val="22"/>
          <w:lang w:val="en-US"/>
        </w:rPr>
      </w:pPr>
      <w:r w:rsidRPr="0004304D">
        <w:rPr>
          <w:rFonts w:ascii="Palatino Linotype" w:eastAsia="Times New Roman" w:hAnsi="Palatino Linotype"/>
          <w:sz w:val="22"/>
          <w:szCs w:val="22"/>
          <w:lang w:val="en-US"/>
        </w:rPr>
        <w:t xml:space="preserve">The report finds </w:t>
      </w:r>
      <w:r>
        <w:rPr>
          <w:rFonts w:ascii="Palatino Linotype" w:eastAsia="Times New Roman" w:hAnsi="Palatino Linotype"/>
          <w:sz w:val="22"/>
          <w:szCs w:val="22"/>
          <w:lang w:val="en-US"/>
        </w:rPr>
        <w:t>a considerable risk of stagflation for the global economy amid above-average inflation and the below-average growth in major economies across the world.</w:t>
      </w:r>
    </w:p>
    <w:p w:rsidR="00557572" w:rsidRDefault="00557572" w:rsidP="00557572">
      <w:pPr>
        <w:numPr>
          <w:ilvl w:val="0"/>
          <w:numId w:val="9"/>
        </w:numPr>
        <w:spacing w:line="276" w:lineRule="auto"/>
        <w:jc w:val="both"/>
        <w:rPr>
          <w:rFonts w:ascii="Palatino Linotype" w:eastAsia="Times New Roman" w:hAnsi="Palatino Linotype"/>
          <w:sz w:val="22"/>
          <w:szCs w:val="22"/>
          <w:lang w:val="en-US"/>
        </w:rPr>
      </w:pPr>
      <w:r w:rsidRPr="00DB78A5">
        <w:rPr>
          <w:rFonts w:ascii="Palatino Linotype" w:eastAsia="Times New Roman" w:hAnsi="Palatino Linotype"/>
          <w:sz w:val="22"/>
          <w:szCs w:val="22"/>
          <w:lang w:val="en-US"/>
        </w:rPr>
        <w:t>The JP</w:t>
      </w:r>
      <w:r w:rsidR="00D449B0">
        <w:rPr>
          <w:rFonts w:ascii="Palatino Linotype" w:eastAsia="Times New Roman" w:hAnsi="Palatino Linotype"/>
          <w:sz w:val="22"/>
          <w:szCs w:val="22"/>
          <w:lang w:val="en-US"/>
        </w:rPr>
        <w:t xml:space="preserve"> </w:t>
      </w:r>
      <w:r w:rsidRPr="00DB78A5">
        <w:rPr>
          <w:rFonts w:ascii="Palatino Linotype" w:eastAsia="Times New Roman" w:hAnsi="Palatino Linotype"/>
          <w:sz w:val="22"/>
          <w:szCs w:val="22"/>
          <w:lang w:val="en-US"/>
        </w:rPr>
        <w:t xml:space="preserve">Morgan Global Composite Output Index, </w:t>
      </w:r>
      <w:r>
        <w:rPr>
          <w:rFonts w:ascii="Palatino Linotype" w:eastAsia="Times New Roman" w:hAnsi="Palatino Linotype"/>
          <w:sz w:val="22"/>
          <w:szCs w:val="22"/>
          <w:lang w:val="en-US"/>
        </w:rPr>
        <w:t>marginally increased</w:t>
      </w:r>
      <w:r w:rsidRPr="00DB78A5">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to</w:t>
      </w:r>
      <w:r w:rsidRPr="00DB78A5">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 xml:space="preserve">51.5 </w:t>
      </w:r>
      <w:r w:rsidRPr="00DB78A5">
        <w:rPr>
          <w:rFonts w:ascii="Palatino Linotype" w:eastAsia="Times New Roman" w:hAnsi="Palatino Linotype"/>
          <w:sz w:val="22"/>
          <w:szCs w:val="22"/>
          <w:lang w:val="en-US"/>
        </w:rPr>
        <w:t xml:space="preserve">in </w:t>
      </w:r>
      <w:r>
        <w:rPr>
          <w:rFonts w:ascii="Palatino Linotype" w:eastAsia="Times New Roman" w:hAnsi="Palatino Linotype"/>
          <w:sz w:val="22"/>
          <w:szCs w:val="22"/>
          <w:lang w:val="en-US"/>
        </w:rPr>
        <w:t>May</w:t>
      </w:r>
      <w:r w:rsidRPr="00DB78A5">
        <w:rPr>
          <w:rFonts w:ascii="Palatino Linotype" w:eastAsia="Times New Roman" w:hAnsi="Palatino Linotype"/>
          <w:sz w:val="22"/>
          <w:szCs w:val="22"/>
          <w:lang w:val="en-US"/>
        </w:rPr>
        <w:t xml:space="preserve"> 2022, from </w:t>
      </w:r>
      <w:r>
        <w:rPr>
          <w:rFonts w:ascii="Palatino Linotype" w:eastAsia="Times New Roman" w:hAnsi="Palatino Linotype"/>
          <w:sz w:val="22"/>
          <w:szCs w:val="22"/>
          <w:lang w:val="en-US"/>
        </w:rPr>
        <w:t>51.2</w:t>
      </w:r>
      <w:r w:rsidRPr="00DB78A5">
        <w:rPr>
          <w:rFonts w:ascii="Palatino Linotype" w:eastAsia="Times New Roman" w:hAnsi="Palatino Linotype"/>
          <w:sz w:val="22"/>
          <w:szCs w:val="22"/>
          <w:lang w:val="en-US"/>
        </w:rPr>
        <w:t xml:space="preserve"> in </w:t>
      </w:r>
      <w:r>
        <w:rPr>
          <w:rFonts w:ascii="Palatino Linotype" w:eastAsia="Times New Roman" w:hAnsi="Palatino Linotype"/>
          <w:sz w:val="22"/>
          <w:szCs w:val="22"/>
          <w:lang w:val="en-US"/>
        </w:rPr>
        <w:t>previous month</w:t>
      </w:r>
      <w:r w:rsidRPr="00DB78A5">
        <w:rPr>
          <w:rFonts w:ascii="Palatino Linotype" w:eastAsia="Times New Roman" w:hAnsi="Palatino Linotype"/>
          <w:sz w:val="22"/>
          <w:szCs w:val="22"/>
          <w:lang w:val="en-US"/>
        </w:rPr>
        <w:t>, due</w:t>
      </w:r>
      <w:r w:rsidRPr="00550AFB">
        <w:rPr>
          <w:rFonts w:ascii="Palatino Linotype" w:eastAsia="Times New Roman" w:hAnsi="Palatino Linotype"/>
          <w:sz w:val="22"/>
          <w:szCs w:val="22"/>
          <w:lang w:val="en-US"/>
        </w:rPr>
        <w:t xml:space="preserve"> to </w:t>
      </w:r>
      <w:r>
        <w:rPr>
          <w:rFonts w:ascii="Palatino Linotype" w:eastAsia="Times New Roman" w:hAnsi="Palatino Linotype"/>
          <w:sz w:val="22"/>
          <w:szCs w:val="22"/>
          <w:lang w:val="en-US"/>
        </w:rPr>
        <w:t>expansion in service sector business activities.</w:t>
      </w:r>
    </w:p>
    <w:p w:rsidR="00557572" w:rsidRPr="00EC115D" w:rsidRDefault="00557572" w:rsidP="00557572">
      <w:pPr>
        <w:spacing w:before="100" w:beforeAutospacing="1" w:line="276" w:lineRule="auto"/>
        <w:ind w:left="360" w:right="107"/>
        <w:contextualSpacing/>
        <w:jc w:val="both"/>
        <w:rPr>
          <w:rFonts w:ascii="Palatino Linotype" w:eastAsia="Times New Roman" w:hAnsi="Palatino Linotype"/>
          <w:sz w:val="22"/>
          <w:szCs w:val="22"/>
          <w:highlight w:val="yellow"/>
          <w:lang w:val="en-US"/>
        </w:rPr>
      </w:pPr>
    </w:p>
    <w:p w:rsidR="00557572" w:rsidRDefault="00557572" w:rsidP="00557572">
      <w:pPr>
        <w:spacing w:before="100" w:beforeAutospacing="1" w:line="276" w:lineRule="auto"/>
        <w:ind w:left="360" w:right="107"/>
        <w:contextualSpacing/>
        <w:jc w:val="both"/>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United States</w:t>
      </w:r>
    </w:p>
    <w:p w:rsidR="00557572" w:rsidRPr="00DB7C82" w:rsidRDefault="00557572" w:rsidP="00557572">
      <w:pPr>
        <w:numPr>
          <w:ilvl w:val="0"/>
          <w:numId w:val="9"/>
        </w:numPr>
        <w:spacing w:line="276" w:lineRule="auto"/>
        <w:jc w:val="both"/>
        <w:rPr>
          <w:rFonts w:ascii="Palatino Linotype" w:eastAsia="Times New Roman" w:hAnsi="Palatino Linotype"/>
          <w:b/>
          <w:bCs/>
          <w:sz w:val="22"/>
          <w:szCs w:val="22"/>
          <w:lang w:val="en-US"/>
        </w:rPr>
      </w:pPr>
      <w:r>
        <w:rPr>
          <w:rFonts w:ascii="Palatino Linotype" w:eastAsia="Times New Roman" w:hAnsi="Palatino Linotype"/>
          <w:sz w:val="22"/>
          <w:szCs w:val="22"/>
          <w:lang w:val="en-US"/>
        </w:rPr>
        <w:t>Second</w:t>
      </w:r>
      <w:r w:rsidRPr="00DB7C82">
        <w:rPr>
          <w:rFonts w:ascii="Palatino Linotype" w:eastAsia="Times New Roman" w:hAnsi="Palatino Linotype"/>
          <w:sz w:val="22"/>
          <w:szCs w:val="22"/>
          <w:lang w:val="en-US"/>
        </w:rPr>
        <w:t xml:space="preserve"> estimate of GDP released by Bureau of Economic Analysis, US Department of Commerce, on </w:t>
      </w:r>
      <w:r>
        <w:rPr>
          <w:rFonts w:ascii="Palatino Linotype" w:eastAsia="Times New Roman" w:hAnsi="Palatino Linotype"/>
          <w:sz w:val="22"/>
          <w:szCs w:val="22"/>
          <w:lang w:val="en-US"/>
        </w:rPr>
        <w:t>May</w:t>
      </w:r>
      <w:r w:rsidRPr="00DB7C82">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26</w:t>
      </w:r>
      <w:r w:rsidRPr="00DB7C82">
        <w:rPr>
          <w:rFonts w:ascii="Palatino Linotype" w:eastAsia="Times New Roman" w:hAnsi="Palatino Linotype"/>
          <w:sz w:val="22"/>
          <w:szCs w:val="22"/>
          <w:lang w:val="en-US"/>
        </w:rPr>
        <w:t>, 202</w:t>
      </w:r>
      <w:r>
        <w:rPr>
          <w:rFonts w:ascii="Palatino Linotype" w:eastAsia="Times New Roman" w:hAnsi="Palatino Linotype"/>
          <w:sz w:val="22"/>
          <w:szCs w:val="22"/>
          <w:lang w:val="en-US"/>
        </w:rPr>
        <w:t>2</w:t>
      </w:r>
      <w:r w:rsidRPr="00DB7C82">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shows that the real GDP in US de</w:t>
      </w:r>
      <w:r w:rsidRPr="00DB7C82">
        <w:rPr>
          <w:rFonts w:ascii="Palatino Linotype" w:eastAsia="Times New Roman" w:hAnsi="Palatino Linotype"/>
          <w:sz w:val="22"/>
          <w:szCs w:val="22"/>
          <w:lang w:val="en-US"/>
        </w:rPr>
        <w:t xml:space="preserve">creased at </w:t>
      </w:r>
      <w:r>
        <w:rPr>
          <w:rFonts w:ascii="Palatino Linotype" w:eastAsia="Times New Roman" w:hAnsi="Palatino Linotype"/>
          <w:sz w:val="22"/>
          <w:szCs w:val="22"/>
          <w:lang w:val="en-US"/>
        </w:rPr>
        <w:t xml:space="preserve">an </w:t>
      </w:r>
      <w:r w:rsidRPr="00DB7C82">
        <w:rPr>
          <w:rFonts w:ascii="Palatino Linotype" w:eastAsia="Times New Roman" w:hAnsi="Palatino Linotype"/>
          <w:sz w:val="22"/>
          <w:szCs w:val="22"/>
          <w:lang w:val="en-US"/>
        </w:rPr>
        <w:t xml:space="preserve">annual rate of </w:t>
      </w:r>
      <w:r>
        <w:rPr>
          <w:rFonts w:ascii="Palatino Linotype" w:eastAsia="Times New Roman" w:hAnsi="Palatino Linotype"/>
          <w:sz w:val="22"/>
          <w:szCs w:val="22"/>
          <w:lang w:val="en-US"/>
        </w:rPr>
        <w:t>1.5</w:t>
      </w:r>
      <w:r w:rsidRPr="00DB7C82">
        <w:rPr>
          <w:rFonts w:ascii="Palatino Linotype" w:eastAsia="Times New Roman" w:hAnsi="Palatino Linotype"/>
          <w:sz w:val="22"/>
          <w:szCs w:val="22"/>
          <w:lang w:val="en-US"/>
        </w:rPr>
        <w:t xml:space="preserve"> per cent (Q-o-Q) in Q</w:t>
      </w:r>
      <w:r>
        <w:rPr>
          <w:rFonts w:ascii="Palatino Linotype" w:eastAsia="Times New Roman" w:hAnsi="Palatino Linotype"/>
          <w:sz w:val="22"/>
          <w:szCs w:val="22"/>
          <w:lang w:val="en-US"/>
        </w:rPr>
        <w:t>1, 2022,</w:t>
      </w:r>
      <w:r w:rsidRPr="00DB7C82">
        <w:rPr>
          <w:rFonts w:ascii="Palatino Linotype" w:eastAsia="Times New Roman" w:hAnsi="Palatino Linotype"/>
          <w:sz w:val="22"/>
          <w:szCs w:val="22"/>
          <w:lang w:val="en-US"/>
        </w:rPr>
        <w:t xml:space="preserve"> as compare</w:t>
      </w:r>
      <w:r>
        <w:rPr>
          <w:rFonts w:ascii="Palatino Linotype" w:eastAsia="Times New Roman" w:hAnsi="Palatino Linotype"/>
          <w:sz w:val="22"/>
          <w:szCs w:val="22"/>
          <w:lang w:val="en-US"/>
        </w:rPr>
        <w:t>d to growth of 6.9 per cent in Q4, 2021.</w:t>
      </w:r>
    </w:p>
    <w:p w:rsidR="00557572"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B41CFA">
        <w:rPr>
          <w:rFonts w:ascii="Palatino Linotype" w:eastAsia="Times New Roman" w:hAnsi="Palatino Linotype"/>
          <w:sz w:val="22"/>
          <w:szCs w:val="22"/>
          <w:lang w:val="en-US"/>
        </w:rPr>
        <w:t xml:space="preserve">Seasonally adjusted CPI (All Urban Consumers) </w:t>
      </w:r>
      <w:r w:rsidRPr="008144F4">
        <w:rPr>
          <w:rFonts w:ascii="Palatino Linotype" w:eastAsia="Times New Roman" w:hAnsi="Palatino Linotype"/>
          <w:sz w:val="22"/>
          <w:szCs w:val="22"/>
          <w:lang w:val="en-US"/>
        </w:rPr>
        <w:t xml:space="preserve">increased </w:t>
      </w:r>
      <w:r w:rsidR="00D449B0">
        <w:rPr>
          <w:rFonts w:ascii="Palatino Linotype" w:eastAsia="Times New Roman" w:hAnsi="Palatino Linotype"/>
          <w:sz w:val="22"/>
          <w:szCs w:val="22"/>
          <w:lang w:val="en-US"/>
        </w:rPr>
        <w:t xml:space="preserve">by </w:t>
      </w:r>
      <w:r>
        <w:rPr>
          <w:rFonts w:ascii="Palatino Linotype" w:eastAsia="Times New Roman" w:hAnsi="Palatino Linotype"/>
          <w:sz w:val="22"/>
          <w:szCs w:val="22"/>
          <w:lang w:val="en-US"/>
        </w:rPr>
        <w:t>1.0</w:t>
      </w:r>
      <w:r w:rsidRPr="008144F4">
        <w:rPr>
          <w:rFonts w:ascii="Palatino Linotype" w:eastAsia="Times New Roman" w:hAnsi="Palatino Linotype"/>
          <w:sz w:val="22"/>
          <w:szCs w:val="22"/>
          <w:lang w:val="en-US"/>
        </w:rPr>
        <w:t xml:space="preserve"> per cent (M-o-M) in </w:t>
      </w:r>
      <w:r>
        <w:rPr>
          <w:rFonts w:ascii="Palatino Linotype" w:eastAsia="Times New Roman" w:hAnsi="Palatino Linotype"/>
          <w:sz w:val="22"/>
          <w:szCs w:val="22"/>
          <w:lang w:val="en-US"/>
        </w:rPr>
        <w:t>May</w:t>
      </w:r>
      <w:r w:rsidRPr="008144F4">
        <w:rPr>
          <w:rFonts w:ascii="Palatino Linotype" w:eastAsia="Times New Roman" w:hAnsi="Palatino Linotype"/>
          <w:sz w:val="22"/>
          <w:szCs w:val="22"/>
          <w:lang w:val="en-US"/>
        </w:rPr>
        <w:t xml:space="preserve"> 2022, </w:t>
      </w:r>
      <w:r>
        <w:rPr>
          <w:rFonts w:ascii="Palatino Linotype" w:eastAsia="Times New Roman" w:hAnsi="Palatino Linotype"/>
          <w:sz w:val="22"/>
          <w:szCs w:val="22"/>
          <w:lang w:val="en-US"/>
        </w:rPr>
        <w:t>a</w:t>
      </w:r>
      <w:r w:rsidRPr="008144F4">
        <w:rPr>
          <w:rFonts w:ascii="Palatino Linotype" w:eastAsia="Times New Roman" w:hAnsi="Palatino Linotype"/>
          <w:sz w:val="22"/>
          <w:szCs w:val="22"/>
          <w:lang w:val="en-US"/>
        </w:rPr>
        <w:t>fter</w:t>
      </w:r>
      <w:r>
        <w:rPr>
          <w:rFonts w:ascii="Palatino Linotype" w:eastAsia="Times New Roman" w:hAnsi="Palatino Linotype"/>
          <w:sz w:val="22"/>
          <w:szCs w:val="22"/>
          <w:lang w:val="en-US"/>
        </w:rPr>
        <w:t xml:space="preserve"> rising 0.3 per cent in April 2022</w:t>
      </w:r>
      <w:r w:rsidRPr="008144F4">
        <w:rPr>
          <w:rFonts w:ascii="Palatino Linotype" w:eastAsia="Times New Roman" w:hAnsi="Palatino Linotype"/>
          <w:sz w:val="22"/>
          <w:szCs w:val="22"/>
          <w:lang w:val="en-US"/>
        </w:rPr>
        <w:t>. Over past 12 months, the inflation index increased by 8.</w:t>
      </w:r>
      <w:r>
        <w:rPr>
          <w:rFonts w:ascii="Palatino Linotype" w:eastAsia="Times New Roman" w:hAnsi="Palatino Linotype"/>
          <w:sz w:val="22"/>
          <w:szCs w:val="22"/>
          <w:lang w:val="en-US"/>
        </w:rPr>
        <w:t>6</w:t>
      </w:r>
      <w:r w:rsidRPr="008144F4">
        <w:rPr>
          <w:rFonts w:ascii="Palatino Linotype" w:eastAsia="Times New Roman" w:hAnsi="Palatino Linotype"/>
          <w:sz w:val="22"/>
          <w:szCs w:val="22"/>
          <w:lang w:val="en-US"/>
        </w:rPr>
        <w:t xml:space="preserve"> per cent in </w:t>
      </w:r>
      <w:r>
        <w:rPr>
          <w:rFonts w:ascii="Palatino Linotype" w:eastAsia="Times New Roman" w:hAnsi="Palatino Linotype"/>
          <w:sz w:val="22"/>
          <w:szCs w:val="22"/>
          <w:lang w:val="en-US"/>
        </w:rPr>
        <w:t>May</w:t>
      </w:r>
      <w:r w:rsidRPr="00B41CFA">
        <w:rPr>
          <w:rFonts w:ascii="Palatino Linotype" w:eastAsia="Times New Roman" w:hAnsi="Palatino Linotype"/>
          <w:sz w:val="22"/>
          <w:szCs w:val="22"/>
          <w:lang w:val="en-US"/>
        </w:rPr>
        <w:t xml:space="preserve"> 2022.</w:t>
      </w:r>
      <w:r>
        <w:rPr>
          <w:rFonts w:ascii="Palatino Linotype" w:eastAsia="Times New Roman" w:hAnsi="Palatino Linotype"/>
          <w:sz w:val="22"/>
          <w:szCs w:val="22"/>
          <w:lang w:val="en-US"/>
        </w:rPr>
        <w:t xml:space="preserve"> </w:t>
      </w:r>
      <w:r w:rsidRPr="00B41CFA">
        <w:rPr>
          <w:rFonts w:ascii="Palatino Linotype" w:eastAsia="Times New Roman" w:hAnsi="Palatino Linotype"/>
          <w:sz w:val="22"/>
          <w:szCs w:val="22"/>
          <w:lang w:val="en-US"/>
        </w:rPr>
        <w:t xml:space="preserve">The </w:t>
      </w:r>
      <w:r w:rsidR="00D449B0">
        <w:rPr>
          <w:rFonts w:ascii="Palatino Linotype" w:eastAsia="Times New Roman" w:hAnsi="Palatino Linotype"/>
          <w:sz w:val="22"/>
          <w:szCs w:val="22"/>
          <w:lang w:val="en-US"/>
        </w:rPr>
        <w:t>u</w:t>
      </w:r>
      <w:r w:rsidR="00D449B0" w:rsidRPr="00B41CFA">
        <w:rPr>
          <w:rFonts w:ascii="Palatino Linotype" w:eastAsia="Times New Roman" w:hAnsi="Palatino Linotype"/>
          <w:sz w:val="22"/>
          <w:szCs w:val="22"/>
          <w:lang w:val="en-US"/>
        </w:rPr>
        <w:t xml:space="preserve">nemployment </w:t>
      </w:r>
      <w:r w:rsidRPr="00B41CFA">
        <w:rPr>
          <w:rFonts w:ascii="Palatino Linotype" w:eastAsia="Times New Roman" w:hAnsi="Palatino Linotype"/>
          <w:sz w:val="22"/>
          <w:szCs w:val="22"/>
          <w:lang w:val="en-US"/>
        </w:rPr>
        <w:t xml:space="preserve">rate </w:t>
      </w:r>
      <w:r>
        <w:rPr>
          <w:rFonts w:ascii="Palatino Linotype" w:eastAsia="Times New Roman" w:hAnsi="Palatino Linotype"/>
          <w:sz w:val="22"/>
          <w:szCs w:val="22"/>
          <w:lang w:val="en-US"/>
        </w:rPr>
        <w:t>was unchanged</w:t>
      </w:r>
      <w:r w:rsidRPr="00B41CFA">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at</w:t>
      </w:r>
      <w:r w:rsidRPr="00B41CFA">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3.6</w:t>
      </w:r>
      <w:r w:rsidRPr="00B41CFA">
        <w:rPr>
          <w:rFonts w:ascii="Palatino Linotype" w:eastAsia="Times New Roman" w:hAnsi="Palatino Linotype"/>
          <w:sz w:val="22"/>
          <w:szCs w:val="22"/>
          <w:lang w:val="en-US"/>
        </w:rPr>
        <w:t xml:space="preserve"> per cent in </w:t>
      </w:r>
      <w:r>
        <w:rPr>
          <w:rFonts w:ascii="Palatino Linotype" w:eastAsia="Times New Roman" w:hAnsi="Palatino Linotype"/>
          <w:sz w:val="22"/>
          <w:szCs w:val="22"/>
          <w:lang w:val="en-US"/>
        </w:rPr>
        <w:t xml:space="preserve">May </w:t>
      </w:r>
      <w:r w:rsidRPr="00B41CFA">
        <w:rPr>
          <w:rFonts w:ascii="Palatino Linotype" w:eastAsia="Times New Roman" w:hAnsi="Palatino Linotype"/>
          <w:sz w:val="22"/>
          <w:szCs w:val="22"/>
          <w:lang w:val="en-US"/>
        </w:rPr>
        <w:t>202</w:t>
      </w:r>
      <w:r>
        <w:rPr>
          <w:rFonts w:ascii="Palatino Linotype" w:eastAsia="Times New Roman" w:hAnsi="Palatino Linotype"/>
          <w:sz w:val="22"/>
          <w:szCs w:val="22"/>
          <w:lang w:val="en-US"/>
        </w:rPr>
        <w:t xml:space="preserve">2, as </w:t>
      </w:r>
      <w:r w:rsidRPr="00B41CFA">
        <w:rPr>
          <w:rFonts w:ascii="Palatino Linotype" w:eastAsia="Times New Roman" w:hAnsi="Palatino Linotype"/>
          <w:sz w:val="22"/>
          <w:szCs w:val="22"/>
          <w:lang w:val="en-US"/>
        </w:rPr>
        <w:t>in previous month.</w:t>
      </w:r>
    </w:p>
    <w:p w:rsidR="00557572" w:rsidRPr="00494A37"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494A37">
        <w:rPr>
          <w:rFonts w:ascii="Palatino Linotype" w:eastAsia="Times New Roman" w:hAnsi="Palatino Linotype"/>
          <w:sz w:val="22"/>
          <w:szCs w:val="22"/>
          <w:lang w:val="en-US"/>
        </w:rPr>
        <w:t>IHS Markit US Manufacturing PMI decreased to 57.0 in May 2022, as compared to 59.2 in previous month, indicating slower pace of expansion of manufacturing activities. Witnessing similar trend, service sector output increased at slower pace as inflation, labor availability and supply-chain disruption</w:t>
      </w:r>
      <w:r>
        <w:rPr>
          <w:rFonts w:ascii="Palatino Linotype" w:eastAsia="Times New Roman" w:hAnsi="Palatino Linotype"/>
          <w:sz w:val="22"/>
          <w:szCs w:val="22"/>
          <w:lang w:val="en-US"/>
        </w:rPr>
        <w:t xml:space="preserve"> </w:t>
      </w:r>
      <w:r w:rsidRPr="00494A37">
        <w:rPr>
          <w:rFonts w:ascii="Palatino Linotype" w:eastAsia="Times New Roman" w:hAnsi="Palatino Linotype"/>
          <w:sz w:val="22"/>
          <w:szCs w:val="22"/>
          <w:lang w:val="en-US"/>
        </w:rPr>
        <w:t xml:space="preserve">hampered </w:t>
      </w:r>
      <w:r>
        <w:rPr>
          <w:rFonts w:ascii="Palatino Linotype" w:eastAsia="Times New Roman" w:hAnsi="Palatino Linotype"/>
          <w:sz w:val="22"/>
          <w:szCs w:val="22"/>
          <w:lang w:val="en-US"/>
        </w:rPr>
        <w:t xml:space="preserve">the </w:t>
      </w:r>
      <w:r w:rsidRPr="00494A37">
        <w:rPr>
          <w:rFonts w:ascii="Palatino Linotype" w:eastAsia="Times New Roman" w:hAnsi="Palatino Linotype"/>
          <w:sz w:val="22"/>
          <w:szCs w:val="22"/>
          <w:lang w:val="en-US"/>
        </w:rPr>
        <w:t>growth momentum</w:t>
      </w:r>
      <w:r>
        <w:rPr>
          <w:rFonts w:ascii="Palatino Linotype" w:eastAsia="Times New Roman" w:hAnsi="Palatino Linotype"/>
          <w:sz w:val="22"/>
          <w:szCs w:val="22"/>
          <w:lang w:val="en-US"/>
        </w:rPr>
        <w:t>.</w:t>
      </w:r>
    </w:p>
    <w:p w:rsidR="00557572" w:rsidRPr="00EC115D" w:rsidRDefault="00557572" w:rsidP="00557572">
      <w:pPr>
        <w:spacing w:before="100" w:beforeAutospacing="1" w:line="276" w:lineRule="auto"/>
        <w:ind w:left="360" w:right="107"/>
        <w:contextualSpacing/>
        <w:jc w:val="both"/>
        <w:rPr>
          <w:rFonts w:ascii="Palatino Linotype" w:eastAsia="Times New Roman" w:hAnsi="Palatino Linotype"/>
          <w:sz w:val="22"/>
          <w:szCs w:val="22"/>
          <w:highlight w:val="yellow"/>
          <w:lang w:val="en-US"/>
        </w:rPr>
      </w:pPr>
    </w:p>
    <w:p w:rsidR="00557572" w:rsidRPr="00B878CF" w:rsidRDefault="00557572" w:rsidP="00557572">
      <w:pPr>
        <w:spacing w:before="100" w:beforeAutospacing="1" w:line="276" w:lineRule="auto"/>
        <w:ind w:left="360" w:right="107"/>
        <w:contextualSpacing/>
        <w:jc w:val="both"/>
        <w:rPr>
          <w:rFonts w:ascii="Palatino Linotype" w:eastAsia="Times New Roman" w:hAnsi="Palatino Linotype"/>
          <w:b/>
          <w:bCs/>
          <w:sz w:val="22"/>
          <w:szCs w:val="22"/>
          <w:lang w:val="en-US"/>
        </w:rPr>
      </w:pPr>
      <w:r w:rsidRPr="00B878CF">
        <w:rPr>
          <w:rFonts w:ascii="Palatino Linotype" w:eastAsia="Times New Roman" w:hAnsi="Palatino Linotype"/>
          <w:b/>
          <w:bCs/>
          <w:sz w:val="22"/>
          <w:szCs w:val="22"/>
          <w:lang w:val="en-US"/>
        </w:rPr>
        <w:t>United Kingdom</w:t>
      </w:r>
    </w:p>
    <w:p w:rsidR="00557572" w:rsidRPr="0049034F"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0F23DF">
        <w:rPr>
          <w:rFonts w:ascii="Palatino Linotype" w:eastAsia="Times New Roman" w:hAnsi="Palatino Linotype"/>
          <w:sz w:val="22"/>
          <w:szCs w:val="22"/>
          <w:lang w:val="en-US"/>
        </w:rPr>
        <w:t xml:space="preserve">As per latest quarterly </w:t>
      </w:r>
      <w:r w:rsidRPr="0049034F">
        <w:rPr>
          <w:rFonts w:ascii="Palatino Linotype" w:eastAsia="Times New Roman" w:hAnsi="Palatino Linotype"/>
          <w:sz w:val="22"/>
          <w:szCs w:val="22"/>
          <w:lang w:val="en-US"/>
        </w:rPr>
        <w:t xml:space="preserve">estimates of GDP released by Office of National Statistics on </w:t>
      </w:r>
      <w:r>
        <w:rPr>
          <w:rFonts w:ascii="Palatino Linotype" w:eastAsia="Times New Roman" w:hAnsi="Palatino Linotype"/>
          <w:sz w:val="22"/>
          <w:szCs w:val="22"/>
          <w:lang w:val="en-US"/>
        </w:rPr>
        <w:t>May</w:t>
      </w:r>
      <w:r w:rsidRPr="0049034F">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12</w:t>
      </w:r>
      <w:r w:rsidRPr="0049034F">
        <w:rPr>
          <w:rFonts w:ascii="Palatino Linotype" w:eastAsia="Times New Roman" w:hAnsi="Palatino Linotype"/>
          <w:sz w:val="22"/>
          <w:szCs w:val="22"/>
          <w:lang w:val="en-US"/>
        </w:rPr>
        <w:t xml:space="preserve">, 2022, UK GDP increased by </w:t>
      </w:r>
      <w:r>
        <w:rPr>
          <w:rFonts w:ascii="Palatino Linotype" w:eastAsia="Times New Roman" w:hAnsi="Palatino Linotype"/>
          <w:sz w:val="22"/>
          <w:szCs w:val="22"/>
          <w:lang w:val="en-US"/>
        </w:rPr>
        <w:t>0.8</w:t>
      </w:r>
      <w:r w:rsidRPr="0049034F">
        <w:rPr>
          <w:rFonts w:ascii="Palatino Linotype" w:eastAsia="Times New Roman" w:hAnsi="Palatino Linotype"/>
          <w:sz w:val="22"/>
          <w:szCs w:val="22"/>
          <w:lang w:val="en-US"/>
        </w:rPr>
        <w:t xml:space="preserve"> per cent (Q-o-Q) in Q</w:t>
      </w:r>
      <w:r>
        <w:rPr>
          <w:rFonts w:ascii="Palatino Linotype" w:eastAsia="Times New Roman" w:hAnsi="Palatino Linotype"/>
          <w:sz w:val="22"/>
          <w:szCs w:val="22"/>
          <w:lang w:val="en-US"/>
        </w:rPr>
        <w:t>1</w:t>
      </w:r>
      <w:r w:rsidRPr="0049034F">
        <w:rPr>
          <w:rFonts w:ascii="Palatino Linotype" w:eastAsia="Times New Roman" w:hAnsi="Palatino Linotype"/>
          <w:sz w:val="22"/>
          <w:szCs w:val="22"/>
          <w:lang w:val="en-US"/>
        </w:rPr>
        <w:t xml:space="preserve"> 202</w:t>
      </w:r>
      <w:r>
        <w:rPr>
          <w:rFonts w:ascii="Palatino Linotype" w:eastAsia="Times New Roman" w:hAnsi="Palatino Linotype"/>
          <w:sz w:val="22"/>
          <w:szCs w:val="22"/>
          <w:lang w:val="en-US"/>
        </w:rPr>
        <w:t>2</w:t>
      </w:r>
      <w:r w:rsidRPr="0049034F">
        <w:rPr>
          <w:rFonts w:ascii="Palatino Linotype" w:eastAsia="Times New Roman" w:hAnsi="Palatino Linotype"/>
          <w:sz w:val="22"/>
          <w:szCs w:val="22"/>
          <w:lang w:val="en-US"/>
        </w:rPr>
        <w:t xml:space="preserve">, as compared to </w:t>
      </w:r>
      <w:r>
        <w:rPr>
          <w:rFonts w:ascii="Palatino Linotype" w:eastAsia="Times New Roman" w:hAnsi="Palatino Linotype"/>
          <w:sz w:val="22"/>
          <w:szCs w:val="22"/>
          <w:lang w:val="en-US"/>
        </w:rPr>
        <w:t>a</w:t>
      </w:r>
      <w:r w:rsidRPr="0049034F">
        <w:rPr>
          <w:rFonts w:ascii="Palatino Linotype" w:eastAsia="Times New Roman" w:hAnsi="Palatino Linotype"/>
          <w:sz w:val="22"/>
          <w:szCs w:val="22"/>
          <w:lang w:val="en-US"/>
        </w:rPr>
        <w:t xml:space="preserve"> growth of 1.</w:t>
      </w:r>
      <w:r>
        <w:rPr>
          <w:rFonts w:ascii="Palatino Linotype" w:eastAsia="Times New Roman" w:hAnsi="Palatino Linotype"/>
          <w:sz w:val="22"/>
          <w:szCs w:val="22"/>
          <w:lang w:val="en-US"/>
        </w:rPr>
        <w:t>3</w:t>
      </w:r>
      <w:r w:rsidRPr="0049034F">
        <w:rPr>
          <w:rFonts w:ascii="Palatino Linotype" w:eastAsia="Times New Roman" w:hAnsi="Palatino Linotype"/>
          <w:sz w:val="22"/>
          <w:szCs w:val="22"/>
          <w:lang w:val="en-US"/>
        </w:rPr>
        <w:t xml:space="preserve"> per cent in Q</w:t>
      </w:r>
      <w:r>
        <w:rPr>
          <w:rFonts w:ascii="Palatino Linotype" w:eastAsia="Times New Roman" w:hAnsi="Palatino Linotype"/>
          <w:sz w:val="22"/>
          <w:szCs w:val="22"/>
          <w:lang w:val="en-US"/>
        </w:rPr>
        <w:t>4</w:t>
      </w:r>
      <w:r w:rsidRPr="0049034F">
        <w:rPr>
          <w:rFonts w:ascii="Palatino Linotype" w:eastAsia="Times New Roman" w:hAnsi="Palatino Linotype"/>
          <w:sz w:val="22"/>
          <w:szCs w:val="22"/>
          <w:lang w:val="en-US"/>
        </w:rPr>
        <w:t xml:space="preserve">, 2021. </w:t>
      </w:r>
    </w:p>
    <w:p w:rsidR="00557572" w:rsidRPr="0049034F"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49034F">
        <w:rPr>
          <w:rFonts w:ascii="Palatino Linotype" w:eastAsia="Times New Roman" w:hAnsi="Palatino Linotype"/>
          <w:sz w:val="22"/>
          <w:szCs w:val="22"/>
          <w:lang w:val="en-US"/>
        </w:rPr>
        <w:t xml:space="preserve">During </w:t>
      </w:r>
      <w:r>
        <w:rPr>
          <w:rFonts w:ascii="Palatino Linotype" w:eastAsia="Times New Roman" w:hAnsi="Palatino Linotype"/>
          <w:sz w:val="22"/>
          <w:szCs w:val="22"/>
          <w:lang w:val="en-US"/>
        </w:rPr>
        <w:t>May</w:t>
      </w:r>
      <w:r w:rsidRPr="0049034F">
        <w:rPr>
          <w:rFonts w:ascii="Palatino Linotype" w:eastAsia="Times New Roman" w:hAnsi="Palatino Linotype"/>
          <w:sz w:val="22"/>
          <w:szCs w:val="22"/>
          <w:lang w:val="en-US"/>
        </w:rPr>
        <w:t xml:space="preserve"> 2022, CPI rose by </w:t>
      </w:r>
      <w:r>
        <w:rPr>
          <w:rFonts w:ascii="Palatino Linotype" w:eastAsia="Times New Roman" w:hAnsi="Palatino Linotype"/>
          <w:sz w:val="22"/>
          <w:szCs w:val="22"/>
          <w:lang w:val="en-US"/>
        </w:rPr>
        <w:t>9</w:t>
      </w:r>
      <w:r w:rsidRPr="0049034F">
        <w:rPr>
          <w:rFonts w:ascii="Palatino Linotype" w:eastAsia="Times New Roman" w:hAnsi="Palatino Linotype"/>
          <w:sz w:val="22"/>
          <w:szCs w:val="22"/>
          <w:lang w:val="en-US"/>
        </w:rPr>
        <w:t>.</w:t>
      </w:r>
      <w:r>
        <w:rPr>
          <w:rFonts w:ascii="Palatino Linotype" w:eastAsia="Times New Roman" w:hAnsi="Palatino Linotype"/>
          <w:sz w:val="22"/>
          <w:szCs w:val="22"/>
          <w:lang w:val="en-US"/>
        </w:rPr>
        <w:t>1</w:t>
      </w:r>
      <w:r w:rsidRPr="0049034F">
        <w:rPr>
          <w:rFonts w:ascii="Palatino Linotype" w:eastAsia="Times New Roman" w:hAnsi="Palatino Linotype"/>
          <w:sz w:val="22"/>
          <w:szCs w:val="22"/>
          <w:lang w:val="en-US"/>
        </w:rPr>
        <w:t xml:space="preserve"> per cent (Y-o-Y) as compared to </w:t>
      </w:r>
      <w:r>
        <w:rPr>
          <w:rFonts w:ascii="Palatino Linotype" w:eastAsia="Times New Roman" w:hAnsi="Palatino Linotype"/>
          <w:sz w:val="22"/>
          <w:szCs w:val="22"/>
          <w:lang w:val="en-US"/>
        </w:rPr>
        <w:t>9.0</w:t>
      </w:r>
      <w:r w:rsidRPr="0049034F">
        <w:rPr>
          <w:rFonts w:ascii="Palatino Linotype" w:eastAsia="Times New Roman" w:hAnsi="Palatino Linotype"/>
          <w:sz w:val="22"/>
          <w:szCs w:val="22"/>
          <w:lang w:val="en-US"/>
        </w:rPr>
        <w:t xml:space="preserve"> per cent in previous month. </w:t>
      </w:r>
    </w:p>
    <w:p w:rsidR="00557572" w:rsidRPr="0049034F"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49034F">
        <w:rPr>
          <w:rFonts w:ascii="Palatino Linotype" w:eastAsia="Times New Roman" w:hAnsi="Palatino Linotype"/>
          <w:sz w:val="22"/>
          <w:szCs w:val="22"/>
          <w:lang w:val="en-US"/>
        </w:rPr>
        <w:lastRenderedPageBreak/>
        <w:t xml:space="preserve">The UK unemployment rate fell </w:t>
      </w:r>
      <w:r>
        <w:rPr>
          <w:rFonts w:ascii="Palatino Linotype" w:eastAsia="Times New Roman" w:hAnsi="Palatino Linotype"/>
          <w:sz w:val="22"/>
          <w:szCs w:val="22"/>
          <w:lang w:val="en-US"/>
        </w:rPr>
        <w:t xml:space="preserve">by 0.2 percentage points </w:t>
      </w:r>
      <w:r w:rsidRPr="0049034F">
        <w:rPr>
          <w:rFonts w:ascii="Palatino Linotype" w:eastAsia="Times New Roman" w:hAnsi="Palatino Linotype"/>
          <w:sz w:val="22"/>
          <w:szCs w:val="22"/>
          <w:lang w:val="en-US"/>
        </w:rPr>
        <w:t>to 3.</w:t>
      </w:r>
      <w:r>
        <w:rPr>
          <w:rFonts w:ascii="Palatino Linotype" w:eastAsia="Times New Roman" w:hAnsi="Palatino Linotype"/>
          <w:sz w:val="22"/>
          <w:szCs w:val="22"/>
          <w:lang w:val="en-US"/>
        </w:rPr>
        <w:t>8</w:t>
      </w:r>
      <w:r w:rsidRPr="0049034F">
        <w:rPr>
          <w:rFonts w:ascii="Palatino Linotype" w:eastAsia="Times New Roman" w:hAnsi="Palatino Linotype"/>
          <w:sz w:val="22"/>
          <w:szCs w:val="22"/>
          <w:lang w:val="en-US"/>
        </w:rPr>
        <w:t xml:space="preserve"> per cent for </w:t>
      </w:r>
      <w:r>
        <w:rPr>
          <w:rFonts w:ascii="Palatino Linotype" w:eastAsia="Times New Roman" w:hAnsi="Palatino Linotype"/>
          <w:sz w:val="22"/>
          <w:szCs w:val="22"/>
          <w:lang w:val="en-US"/>
        </w:rPr>
        <w:t>February</w:t>
      </w:r>
      <w:r w:rsidRPr="0049034F">
        <w:rPr>
          <w:rFonts w:ascii="Palatino Linotype" w:eastAsia="Times New Roman" w:hAnsi="Palatino Linotype"/>
          <w:sz w:val="22"/>
          <w:szCs w:val="22"/>
          <w:lang w:val="en-US"/>
        </w:rPr>
        <w:t xml:space="preserve"> 202</w:t>
      </w:r>
      <w:r>
        <w:rPr>
          <w:rFonts w:ascii="Palatino Linotype" w:eastAsia="Times New Roman" w:hAnsi="Palatino Linotype"/>
          <w:sz w:val="22"/>
          <w:szCs w:val="22"/>
          <w:lang w:val="en-US"/>
        </w:rPr>
        <w:t>2</w:t>
      </w:r>
      <w:r w:rsidRPr="0049034F">
        <w:rPr>
          <w:rFonts w:ascii="Palatino Linotype" w:eastAsia="Times New Roman" w:hAnsi="Palatino Linotype"/>
          <w:sz w:val="22"/>
          <w:szCs w:val="22"/>
          <w:lang w:val="en-US"/>
        </w:rPr>
        <w:t xml:space="preserve"> to </w:t>
      </w:r>
      <w:r>
        <w:rPr>
          <w:rFonts w:ascii="Palatino Linotype" w:eastAsia="Times New Roman" w:hAnsi="Palatino Linotype"/>
          <w:sz w:val="22"/>
          <w:szCs w:val="22"/>
          <w:lang w:val="en-US"/>
        </w:rPr>
        <w:t xml:space="preserve">April </w:t>
      </w:r>
      <w:r w:rsidRPr="0049034F">
        <w:rPr>
          <w:rFonts w:ascii="Palatino Linotype" w:eastAsia="Times New Roman" w:hAnsi="Palatino Linotype"/>
          <w:sz w:val="22"/>
          <w:szCs w:val="22"/>
          <w:lang w:val="en-US"/>
        </w:rPr>
        <w:t>2022</w:t>
      </w:r>
      <w:r>
        <w:rPr>
          <w:rFonts w:ascii="Palatino Linotype" w:eastAsia="Times New Roman" w:hAnsi="Palatino Linotype"/>
          <w:sz w:val="22"/>
          <w:szCs w:val="22"/>
          <w:lang w:val="en-US"/>
        </w:rPr>
        <w:t xml:space="preserve"> period as compared to </w:t>
      </w:r>
      <w:r w:rsidRPr="0049034F">
        <w:rPr>
          <w:rFonts w:ascii="Palatino Linotype" w:eastAsia="Times New Roman" w:hAnsi="Palatino Linotype"/>
          <w:sz w:val="22"/>
          <w:szCs w:val="22"/>
          <w:lang w:val="en-US"/>
        </w:rPr>
        <w:t>previous quarter.</w:t>
      </w:r>
    </w:p>
    <w:p w:rsidR="00557572" w:rsidRPr="0049034F"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49034F">
        <w:rPr>
          <w:rFonts w:ascii="Palatino Linotype" w:eastAsia="Times New Roman" w:hAnsi="Palatino Linotype"/>
          <w:sz w:val="22"/>
          <w:szCs w:val="22"/>
          <w:lang w:val="en-US"/>
        </w:rPr>
        <w:t xml:space="preserve">In its Monetary Policy meeting held in </w:t>
      </w:r>
      <w:r>
        <w:rPr>
          <w:rFonts w:ascii="Palatino Linotype" w:eastAsia="Times New Roman" w:hAnsi="Palatino Linotype"/>
          <w:sz w:val="22"/>
          <w:szCs w:val="22"/>
          <w:lang w:val="en-US"/>
        </w:rPr>
        <w:t>June</w:t>
      </w:r>
      <w:r w:rsidR="00D449B0">
        <w:rPr>
          <w:rFonts w:ascii="Palatino Linotype" w:eastAsia="Times New Roman" w:hAnsi="Palatino Linotype"/>
          <w:sz w:val="22"/>
          <w:szCs w:val="22"/>
          <w:lang w:val="en-US"/>
        </w:rPr>
        <w:t xml:space="preserve"> </w:t>
      </w:r>
      <w:r w:rsidRPr="0049034F">
        <w:rPr>
          <w:rFonts w:ascii="Palatino Linotype" w:eastAsia="Times New Roman" w:hAnsi="Palatino Linotype"/>
          <w:sz w:val="22"/>
          <w:szCs w:val="22"/>
          <w:lang w:val="en-US"/>
        </w:rPr>
        <w:t xml:space="preserve">2022, Bank of England increased the </w:t>
      </w:r>
      <w:r w:rsidR="00D449B0">
        <w:rPr>
          <w:rFonts w:ascii="Palatino Linotype" w:eastAsia="Times New Roman" w:hAnsi="Palatino Linotype"/>
          <w:sz w:val="22"/>
          <w:szCs w:val="22"/>
          <w:lang w:val="en-US"/>
        </w:rPr>
        <w:t>b</w:t>
      </w:r>
      <w:r w:rsidR="00D449B0" w:rsidRPr="0049034F">
        <w:rPr>
          <w:rFonts w:ascii="Palatino Linotype" w:eastAsia="Times New Roman" w:hAnsi="Palatino Linotype"/>
          <w:sz w:val="22"/>
          <w:szCs w:val="22"/>
          <w:lang w:val="en-US"/>
        </w:rPr>
        <w:t xml:space="preserve">ank </w:t>
      </w:r>
      <w:r w:rsidR="00D449B0">
        <w:rPr>
          <w:rFonts w:ascii="Palatino Linotype" w:eastAsia="Times New Roman" w:hAnsi="Palatino Linotype"/>
          <w:sz w:val="22"/>
          <w:szCs w:val="22"/>
          <w:lang w:val="en-US"/>
        </w:rPr>
        <w:t>r</w:t>
      </w:r>
      <w:r w:rsidR="00D449B0" w:rsidRPr="0049034F">
        <w:rPr>
          <w:rFonts w:ascii="Palatino Linotype" w:eastAsia="Times New Roman" w:hAnsi="Palatino Linotype"/>
          <w:sz w:val="22"/>
          <w:szCs w:val="22"/>
          <w:lang w:val="en-US"/>
        </w:rPr>
        <w:t xml:space="preserve">ate </w:t>
      </w:r>
      <w:r w:rsidRPr="0049034F">
        <w:rPr>
          <w:rFonts w:ascii="Palatino Linotype" w:eastAsia="Times New Roman" w:hAnsi="Palatino Linotype"/>
          <w:sz w:val="22"/>
          <w:szCs w:val="22"/>
          <w:lang w:val="en-US"/>
        </w:rPr>
        <w:t>by 0.2</w:t>
      </w:r>
      <w:r>
        <w:rPr>
          <w:rFonts w:ascii="Palatino Linotype" w:eastAsia="Times New Roman" w:hAnsi="Palatino Linotype"/>
          <w:sz w:val="22"/>
          <w:szCs w:val="22"/>
          <w:lang w:val="en-US"/>
        </w:rPr>
        <w:t>5 percentage points to 1.25</w:t>
      </w:r>
      <w:r w:rsidRPr="0049034F">
        <w:rPr>
          <w:rFonts w:ascii="Palatino Linotype" w:eastAsia="Times New Roman" w:hAnsi="Palatino Linotype"/>
          <w:sz w:val="22"/>
          <w:szCs w:val="22"/>
          <w:lang w:val="en-US"/>
        </w:rPr>
        <w:t xml:space="preserve"> per cent.</w:t>
      </w:r>
    </w:p>
    <w:p w:rsidR="00557572" w:rsidRPr="0049034F" w:rsidRDefault="00D449B0"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Pr>
          <w:rFonts w:ascii="Palatino Linotype" w:eastAsia="Times New Roman" w:hAnsi="Palatino Linotype"/>
          <w:sz w:val="22"/>
          <w:szCs w:val="22"/>
          <w:lang w:val="en-US"/>
        </w:rPr>
        <w:t>IHS</w:t>
      </w:r>
      <w:r w:rsidRPr="0049034F">
        <w:rPr>
          <w:rFonts w:ascii="Palatino Linotype" w:eastAsia="Times New Roman" w:hAnsi="Palatino Linotype"/>
          <w:sz w:val="22"/>
          <w:szCs w:val="22"/>
          <w:lang w:val="en-US"/>
        </w:rPr>
        <w:t xml:space="preserve"> </w:t>
      </w:r>
      <w:r w:rsidR="00557572" w:rsidRPr="0049034F">
        <w:rPr>
          <w:rFonts w:ascii="Palatino Linotype" w:eastAsia="Times New Roman" w:hAnsi="Palatino Linotype"/>
          <w:sz w:val="22"/>
          <w:szCs w:val="22"/>
          <w:lang w:val="en-US"/>
        </w:rPr>
        <w:t xml:space="preserve">Markit UK Manufacturing PMI </w:t>
      </w:r>
      <w:r w:rsidR="00557572">
        <w:rPr>
          <w:rFonts w:ascii="Palatino Linotype" w:eastAsia="Times New Roman" w:hAnsi="Palatino Linotype"/>
          <w:sz w:val="22"/>
          <w:szCs w:val="22"/>
          <w:lang w:val="en-US"/>
        </w:rPr>
        <w:t>moved down</w:t>
      </w:r>
      <w:r w:rsidR="00557572" w:rsidRPr="0049034F">
        <w:rPr>
          <w:rFonts w:ascii="Palatino Linotype" w:eastAsia="Times New Roman" w:hAnsi="Palatino Linotype"/>
          <w:sz w:val="22"/>
          <w:szCs w:val="22"/>
          <w:lang w:val="en-US"/>
        </w:rPr>
        <w:t xml:space="preserve"> </w:t>
      </w:r>
      <w:r w:rsidR="00557572">
        <w:rPr>
          <w:rFonts w:ascii="Palatino Linotype" w:eastAsia="Times New Roman" w:hAnsi="Palatino Linotype"/>
          <w:sz w:val="22"/>
          <w:szCs w:val="22"/>
          <w:lang w:val="en-US"/>
        </w:rPr>
        <w:t xml:space="preserve">to 54.6 </w:t>
      </w:r>
      <w:r w:rsidR="00557572" w:rsidRPr="0049034F">
        <w:rPr>
          <w:rFonts w:ascii="Palatino Linotype" w:eastAsia="Times New Roman" w:hAnsi="Palatino Linotype"/>
          <w:sz w:val="22"/>
          <w:szCs w:val="22"/>
          <w:lang w:val="en-US"/>
        </w:rPr>
        <w:t xml:space="preserve">in </w:t>
      </w:r>
      <w:r w:rsidR="00557572">
        <w:rPr>
          <w:rFonts w:ascii="Palatino Linotype" w:eastAsia="Times New Roman" w:hAnsi="Palatino Linotype"/>
          <w:sz w:val="22"/>
          <w:szCs w:val="22"/>
          <w:lang w:val="en-US"/>
        </w:rPr>
        <w:t>May</w:t>
      </w:r>
      <w:r w:rsidR="00557572" w:rsidRPr="0049034F">
        <w:rPr>
          <w:rFonts w:ascii="Palatino Linotype" w:eastAsia="Times New Roman" w:hAnsi="Palatino Linotype"/>
          <w:sz w:val="22"/>
          <w:szCs w:val="22"/>
          <w:lang w:val="en-US"/>
        </w:rPr>
        <w:t xml:space="preserve"> 2022, from </w:t>
      </w:r>
      <w:r w:rsidR="00557572">
        <w:rPr>
          <w:rFonts w:ascii="Palatino Linotype" w:eastAsia="Times New Roman" w:hAnsi="Palatino Linotype"/>
          <w:sz w:val="22"/>
          <w:szCs w:val="22"/>
          <w:lang w:val="en-US"/>
        </w:rPr>
        <w:t xml:space="preserve">55.8 </w:t>
      </w:r>
      <w:r w:rsidR="00557572" w:rsidRPr="0049034F">
        <w:rPr>
          <w:rFonts w:ascii="Palatino Linotype" w:eastAsia="Times New Roman" w:hAnsi="Palatino Linotype"/>
          <w:sz w:val="22"/>
          <w:szCs w:val="22"/>
          <w:lang w:val="en-US"/>
        </w:rPr>
        <w:t xml:space="preserve">in previous month. </w:t>
      </w:r>
      <w:r w:rsidR="00557572">
        <w:rPr>
          <w:rFonts w:ascii="Palatino Linotype" w:eastAsia="Times New Roman" w:hAnsi="Palatino Linotype"/>
          <w:sz w:val="22"/>
          <w:szCs w:val="22"/>
          <w:lang w:val="en-US"/>
        </w:rPr>
        <w:t>While</w:t>
      </w:r>
      <w:r w:rsidR="00557572" w:rsidRPr="0049034F">
        <w:rPr>
          <w:rFonts w:ascii="Palatino Linotype" w:eastAsia="Times New Roman" w:hAnsi="Palatino Linotype"/>
          <w:sz w:val="22"/>
          <w:szCs w:val="22"/>
          <w:lang w:val="en-US"/>
        </w:rPr>
        <w:t xml:space="preserve">, Services PMI </w:t>
      </w:r>
      <w:r w:rsidR="00557572">
        <w:rPr>
          <w:rFonts w:ascii="Palatino Linotype" w:eastAsia="Times New Roman" w:hAnsi="Palatino Linotype"/>
          <w:sz w:val="22"/>
          <w:szCs w:val="22"/>
          <w:lang w:val="en-US"/>
        </w:rPr>
        <w:t xml:space="preserve">decreased to 53.4 </w:t>
      </w:r>
      <w:r w:rsidR="00557572" w:rsidRPr="0049034F">
        <w:rPr>
          <w:rFonts w:ascii="Palatino Linotype" w:eastAsia="Times New Roman" w:hAnsi="Palatino Linotype"/>
          <w:sz w:val="22"/>
          <w:szCs w:val="22"/>
          <w:lang w:val="en-US"/>
        </w:rPr>
        <w:t xml:space="preserve">in </w:t>
      </w:r>
      <w:r w:rsidR="00557572">
        <w:rPr>
          <w:rFonts w:ascii="Palatino Linotype" w:eastAsia="Times New Roman" w:hAnsi="Palatino Linotype"/>
          <w:sz w:val="22"/>
          <w:szCs w:val="22"/>
          <w:lang w:val="en-US"/>
        </w:rPr>
        <w:t xml:space="preserve">May </w:t>
      </w:r>
      <w:r w:rsidR="00557572" w:rsidRPr="0049034F">
        <w:rPr>
          <w:rFonts w:ascii="Palatino Linotype" w:eastAsia="Times New Roman" w:hAnsi="Palatino Linotype"/>
          <w:sz w:val="22"/>
          <w:szCs w:val="22"/>
          <w:lang w:val="en-US"/>
        </w:rPr>
        <w:t xml:space="preserve">2022 from </w:t>
      </w:r>
      <w:r w:rsidR="00557572">
        <w:rPr>
          <w:rFonts w:ascii="Palatino Linotype" w:eastAsia="Times New Roman" w:hAnsi="Palatino Linotype"/>
          <w:sz w:val="22"/>
          <w:szCs w:val="22"/>
          <w:lang w:val="en-US"/>
        </w:rPr>
        <w:t>58.9</w:t>
      </w:r>
      <w:r w:rsidR="00557572" w:rsidRPr="0049034F">
        <w:rPr>
          <w:rFonts w:ascii="Palatino Linotype" w:eastAsia="Times New Roman" w:hAnsi="Palatino Linotype"/>
          <w:sz w:val="22"/>
          <w:szCs w:val="22"/>
          <w:lang w:val="en-US"/>
        </w:rPr>
        <w:t xml:space="preserve"> in previous month</w:t>
      </w:r>
      <w:r w:rsidR="00557572">
        <w:rPr>
          <w:rFonts w:ascii="Palatino Linotype" w:eastAsia="Times New Roman" w:hAnsi="Palatino Linotype"/>
          <w:sz w:val="22"/>
          <w:szCs w:val="22"/>
          <w:lang w:val="en-US"/>
        </w:rPr>
        <w:t>, amid rise in input cost due to high inflation</w:t>
      </w:r>
      <w:r w:rsidR="00557572" w:rsidRPr="0049034F">
        <w:rPr>
          <w:rFonts w:ascii="Palatino Linotype" w:eastAsia="Times New Roman" w:hAnsi="Palatino Linotype"/>
          <w:sz w:val="22"/>
          <w:szCs w:val="22"/>
          <w:lang w:val="en-US"/>
        </w:rPr>
        <w:t>.</w:t>
      </w:r>
    </w:p>
    <w:p w:rsidR="00557572" w:rsidRPr="00A736B1" w:rsidRDefault="00557572" w:rsidP="00557572">
      <w:pPr>
        <w:spacing w:before="100" w:beforeAutospacing="1" w:line="276" w:lineRule="auto"/>
        <w:ind w:left="360" w:right="107"/>
        <w:contextualSpacing/>
        <w:jc w:val="both"/>
        <w:rPr>
          <w:rFonts w:ascii="Palatino Linotype" w:eastAsia="Times New Roman" w:hAnsi="Palatino Linotype"/>
          <w:sz w:val="22"/>
          <w:szCs w:val="22"/>
          <w:lang w:val="en-US"/>
        </w:rPr>
      </w:pPr>
    </w:p>
    <w:p w:rsidR="00557572" w:rsidRPr="00A736B1" w:rsidRDefault="00557572" w:rsidP="00557572">
      <w:pPr>
        <w:spacing w:before="100" w:beforeAutospacing="1" w:line="276" w:lineRule="auto"/>
        <w:ind w:left="360" w:right="107"/>
        <w:contextualSpacing/>
        <w:jc w:val="both"/>
        <w:rPr>
          <w:rFonts w:ascii="Palatino Linotype" w:eastAsia="Times New Roman" w:hAnsi="Palatino Linotype"/>
          <w:b/>
          <w:bCs/>
          <w:sz w:val="22"/>
          <w:szCs w:val="22"/>
          <w:lang w:val="en-US"/>
        </w:rPr>
      </w:pPr>
      <w:r w:rsidRPr="00A736B1">
        <w:rPr>
          <w:rFonts w:ascii="Palatino Linotype" w:eastAsia="Times New Roman" w:hAnsi="Palatino Linotype"/>
          <w:b/>
          <w:bCs/>
          <w:sz w:val="22"/>
          <w:szCs w:val="22"/>
          <w:lang w:val="en-US"/>
        </w:rPr>
        <w:t>Euro area</w:t>
      </w:r>
    </w:p>
    <w:p w:rsidR="00557572" w:rsidRPr="00D1037B" w:rsidRDefault="00557572" w:rsidP="00557572">
      <w:pPr>
        <w:numPr>
          <w:ilvl w:val="0"/>
          <w:numId w:val="9"/>
        </w:numPr>
        <w:spacing w:line="276" w:lineRule="auto"/>
        <w:jc w:val="both"/>
        <w:rPr>
          <w:rFonts w:ascii="Palatino Linotype" w:eastAsia="Times New Roman" w:hAnsi="Palatino Linotype"/>
          <w:sz w:val="22"/>
          <w:szCs w:val="22"/>
          <w:lang w:val="en-US"/>
        </w:rPr>
      </w:pPr>
      <w:r w:rsidRPr="00A736B1">
        <w:rPr>
          <w:rFonts w:ascii="Palatino Linotype" w:eastAsia="Times New Roman" w:hAnsi="Palatino Linotype"/>
          <w:sz w:val="22"/>
          <w:szCs w:val="22"/>
          <w:lang w:val="en-US"/>
        </w:rPr>
        <w:t xml:space="preserve">As per estimates of </w:t>
      </w:r>
      <w:r w:rsidRPr="00D1037B">
        <w:rPr>
          <w:rFonts w:ascii="Palatino Linotype" w:eastAsia="Times New Roman" w:hAnsi="Palatino Linotype"/>
          <w:sz w:val="22"/>
          <w:szCs w:val="22"/>
          <w:lang w:val="en-US"/>
        </w:rPr>
        <w:t>GDP released by Eurostat (the statistical office of the European Union)</w:t>
      </w:r>
      <w:r>
        <w:rPr>
          <w:rFonts w:ascii="Palatino Linotype" w:eastAsia="Times New Roman" w:hAnsi="Palatino Linotype"/>
          <w:sz w:val="22"/>
          <w:szCs w:val="22"/>
          <w:lang w:val="en-US"/>
        </w:rPr>
        <w:t xml:space="preserve"> on June 08, 2022</w:t>
      </w:r>
      <w:r w:rsidRPr="00D1037B">
        <w:rPr>
          <w:rFonts w:ascii="Palatino Linotype" w:eastAsia="Times New Roman" w:hAnsi="Palatino Linotype"/>
          <w:sz w:val="22"/>
          <w:szCs w:val="22"/>
          <w:lang w:val="en-US"/>
        </w:rPr>
        <w:t>, GDP increased by 0.</w:t>
      </w:r>
      <w:r>
        <w:rPr>
          <w:rFonts w:ascii="Palatino Linotype" w:eastAsia="Times New Roman" w:hAnsi="Palatino Linotype"/>
          <w:sz w:val="22"/>
          <w:szCs w:val="22"/>
          <w:lang w:val="en-US"/>
        </w:rPr>
        <w:t>6</w:t>
      </w:r>
      <w:r w:rsidRPr="00D1037B">
        <w:rPr>
          <w:rFonts w:ascii="Palatino Linotype" w:eastAsia="Times New Roman" w:hAnsi="Palatino Linotype"/>
          <w:sz w:val="22"/>
          <w:szCs w:val="22"/>
          <w:lang w:val="en-US"/>
        </w:rPr>
        <w:t xml:space="preserve"> per cent (Q-o-Q) in </w:t>
      </w:r>
      <w:r w:rsidR="00D449B0">
        <w:rPr>
          <w:rFonts w:ascii="Palatino Linotype" w:eastAsia="Times New Roman" w:hAnsi="Palatino Linotype"/>
          <w:sz w:val="22"/>
          <w:szCs w:val="22"/>
          <w:lang w:val="en-US"/>
        </w:rPr>
        <w:t>E</w:t>
      </w:r>
      <w:r w:rsidR="00D449B0" w:rsidRPr="00D1037B">
        <w:rPr>
          <w:rFonts w:ascii="Palatino Linotype" w:eastAsia="Times New Roman" w:hAnsi="Palatino Linotype"/>
          <w:sz w:val="22"/>
          <w:szCs w:val="22"/>
          <w:lang w:val="en-US"/>
        </w:rPr>
        <w:t xml:space="preserve">uro </w:t>
      </w:r>
      <w:r w:rsidRPr="00D1037B">
        <w:rPr>
          <w:rFonts w:ascii="Palatino Linotype" w:eastAsia="Times New Roman" w:hAnsi="Palatino Linotype"/>
          <w:sz w:val="22"/>
          <w:szCs w:val="22"/>
          <w:lang w:val="en-US"/>
        </w:rPr>
        <w:t>area in Q1</w:t>
      </w:r>
      <w:r w:rsidR="00D449B0">
        <w:rPr>
          <w:rFonts w:ascii="Palatino Linotype" w:eastAsia="Times New Roman" w:hAnsi="Palatino Linotype"/>
          <w:sz w:val="22"/>
          <w:szCs w:val="22"/>
          <w:lang w:val="en-US"/>
        </w:rPr>
        <w:t xml:space="preserve"> of </w:t>
      </w:r>
      <w:r w:rsidRPr="00D1037B">
        <w:rPr>
          <w:rFonts w:ascii="Palatino Linotype" w:eastAsia="Times New Roman" w:hAnsi="Palatino Linotype"/>
          <w:sz w:val="22"/>
          <w:szCs w:val="22"/>
          <w:lang w:val="en-US"/>
        </w:rPr>
        <w:t xml:space="preserve"> 2022, </w:t>
      </w:r>
      <w:r>
        <w:rPr>
          <w:rFonts w:ascii="Palatino Linotype" w:eastAsia="Times New Roman" w:hAnsi="Palatino Linotype"/>
          <w:sz w:val="22"/>
          <w:szCs w:val="22"/>
          <w:lang w:val="en-US"/>
        </w:rPr>
        <w:t xml:space="preserve">as compared to a growth of 0.2 per cent </w:t>
      </w:r>
      <w:r w:rsidRPr="00D1037B">
        <w:rPr>
          <w:rFonts w:ascii="Palatino Linotype" w:eastAsia="Times New Roman" w:hAnsi="Palatino Linotype"/>
          <w:sz w:val="22"/>
          <w:szCs w:val="22"/>
          <w:lang w:val="en-US"/>
        </w:rPr>
        <w:t>in Q4</w:t>
      </w:r>
      <w:r w:rsidR="00D449B0">
        <w:rPr>
          <w:rFonts w:ascii="Palatino Linotype" w:eastAsia="Times New Roman" w:hAnsi="Palatino Linotype"/>
          <w:sz w:val="22"/>
          <w:szCs w:val="22"/>
          <w:lang w:val="en-US"/>
        </w:rPr>
        <w:t xml:space="preserve"> of </w:t>
      </w:r>
      <w:r w:rsidRPr="00D1037B">
        <w:rPr>
          <w:rFonts w:ascii="Palatino Linotype" w:eastAsia="Times New Roman" w:hAnsi="Palatino Linotype"/>
          <w:sz w:val="22"/>
          <w:szCs w:val="22"/>
          <w:lang w:val="en-US"/>
        </w:rPr>
        <w:t>2021.</w:t>
      </w:r>
    </w:p>
    <w:p w:rsidR="00557572" w:rsidRPr="00A736B1" w:rsidRDefault="00557572" w:rsidP="00557572">
      <w:pPr>
        <w:numPr>
          <w:ilvl w:val="0"/>
          <w:numId w:val="9"/>
        </w:numPr>
        <w:spacing w:line="276" w:lineRule="auto"/>
        <w:jc w:val="both"/>
        <w:rPr>
          <w:rFonts w:ascii="Palatino Linotype" w:eastAsia="Times New Roman" w:hAnsi="Palatino Linotype"/>
          <w:sz w:val="22"/>
          <w:szCs w:val="22"/>
          <w:lang w:val="en-US"/>
        </w:rPr>
      </w:pPr>
      <w:r w:rsidRPr="00D1037B">
        <w:rPr>
          <w:rFonts w:ascii="Palatino Linotype" w:eastAsia="Times New Roman" w:hAnsi="Palatino Linotype"/>
          <w:sz w:val="22"/>
          <w:szCs w:val="22"/>
          <w:lang w:val="en-US"/>
        </w:rPr>
        <w:t xml:space="preserve">Estimates of inflation released by Eurostat, indicate </w:t>
      </w:r>
      <w:r w:rsidR="00D449B0">
        <w:rPr>
          <w:rFonts w:ascii="Palatino Linotype" w:eastAsia="Times New Roman" w:hAnsi="Palatino Linotype"/>
          <w:sz w:val="22"/>
          <w:szCs w:val="22"/>
          <w:lang w:val="en-US"/>
        </w:rPr>
        <w:t>E</w:t>
      </w:r>
      <w:r w:rsidR="00D449B0" w:rsidRPr="00D1037B">
        <w:rPr>
          <w:rFonts w:ascii="Palatino Linotype" w:eastAsia="Times New Roman" w:hAnsi="Palatino Linotype"/>
          <w:sz w:val="22"/>
          <w:szCs w:val="22"/>
          <w:lang w:val="en-US"/>
        </w:rPr>
        <w:t xml:space="preserve">uro </w:t>
      </w:r>
      <w:r w:rsidRPr="00D1037B">
        <w:rPr>
          <w:rFonts w:ascii="Palatino Linotype" w:eastAsia="Times New Roman" w:hAnsi="Palatino Linotype"/>
          <w:sz w:val="22"/>
          <w:szCs w:val="22"/>
          <w:lang w:val="en-US"/>
        </w:rPr>
        <w:t xml:space="preserve">area annual inflation increased at </w:t>
      </w:r>
      <w:r>
        <w:rPr>
          <w:rFonts w:ascii="Palatino Linotype" w:eastAsia="Times New Roman" w:hAnsi="Palatino Linotype"/>
          <w:sz w:val="22"/>
          <w:szCs w:val="22"/>
          <w:lang w:val="en-US"/>
        </w:rPr>
        <w:t>8.1</w:t>
      </w:r>
      <w:r w:rsidRPr="00D1037B">
        <w:rPr>
          <w:rFonts w:ascii="Palatino Linotype" w:eastAsia="Times New Roman" w:hAnsi="Palatino Linotype"/>
          <w:sz w:val="22"/>
          <w:szCs w:val="22"/>
          <w:lang w:val="en-US"/>
        </w:rPr>
        <w:t xml:space="preserve"> per cent in </w:t>
      </w:r>
      <w:r>
        <w:rPr>
          <w:rFonts w:ascii="Palatino Linotype" w:eastAsia="Times New Roman" w:hAnsi="Palatino Linotype"/>
          <w:sz w:val="22"/>
          <w:szCs w:val="22"/>
          <w:lang w:val="en-US"/>
        </w:rPr>
        <w:t>May</w:t>
      </w:r>
      <w:r w:rsidRPr="00D1037B">
        <w:rPr>
          <w:rFonts w:ascii="Palatino Linotype" w:eastAsia="Times New Roman" w:hAnsi="Palatino Linotype"/>
          <w:sz w:val="22"/>
          <w:szCs w:val="22"/>
          <w:lang w:val="en-US"/>
        </w:rPr>
        <w:t xml:space="preserve"> 2022, </w:t>
      </w:r>
      <w:r>
        <w:rPr>
          <w:rFonts w:ascii="Palatino Linotype" w:eastAsia="Times New Roman" w:hAnsi="Palatino Linotype"/>
          <w:sz w:val="22"/>
          <w:szCs w:val="22"/>
          <w:lang w:val="en-US"/>
        </w:rPr>
        <w:t>from 7.4 per cent</w:t>
      </w:r>
      <w:r w:rsidRPr="00D1037B">
        <w:rPr>
          <w:rFonts w:ascii="Palatino Linotype" w:eastAsia="Times New Roman" w:hAnsi="Palatino Linotype"/>
          <w:sz w:val="22"/>
          <w:szCs w:val="22"/>
          <w:lang w:val="en-US"/>
        </w:rPr>
        <w:t xml:space="preserve"> in previous month</w:t>
      </w:r>
      <w:r>
        <w:rPr>
          <w:rFonts w:ascii="Palatino Linotype" w:eastAsia="Times New Roman" w:hAnsi="Palatino Linotype"/>
          <w:sz w:val="22"/>
          <w:szCs w:val="22"/>
          <w:lang w:val="en-US"/>
        </w:rPr>
        <w:t>. European Union annual inflation was 8.8 per cent in May 2022, up from 8.1 per cent</w:t>
      </w:r>
      <w:r w:rsidRPr="002D3BF8">
        <w:rPr>
          <w:rFonts w:ascii="Palatino Linotype" w:eastAsia="Times New Roman" w:hAnsi="Palatino Linotype"/>
          <w:sz w:val="22"/>
          <w:szCs w:val="22"/>
          <w:lang w:val="en-US"/>
        </w:rPr>
        <w:t xml:space="preserve"> in </w:t>
      </w:r>
      <w:r>
        <w:rPr>
          <w:rFonts w:ascii="Palatino Linotype" w:eastAsia="Times New Roman" w:hAnsi="Palatino Linotype"/>
          <w:sz w:val="22"/>
          <w:szCs w:val="22"/>
          <w:lang w:val="en-US"/>
        </w:rPr>
        <w:t>April 2022.</w:t>
      </w:r>
    </w:p>
    <w:p w:rsidR="00557572" w:rsidRPr="00A736B1" w:rsidRDefault="00557572" w:rsidP="00557572">
      <w:pPr>
        <w:spacing w:before="100" w:beforeAutospacing="1" w:line="276" w:lineRule="auto"/>
        <w:ind w:right="107"/>
        <w:contextualSpacing/>
        <w:jc w:val="both"/>
        <w:rPr>
          <w:rFonts w:ascii="Palatino Linotype" w:eastAsia="Times New Roman" w:hAnsi="Palatino Linotype"/>
          <w:sz w:val="22"/>
          <w:szCs w:val="22"/>
          <w:lang w:val="en-US"/>
        </w:rPr>
      </w:pPr>
    </w:p>
    <w:p w:rsidR="00557572" w:rsidRPr="00A736B1" w:rsidRDefault="00557572" w:rsidP="00557572">
      <w:pPr>
        <w:spacing w:before="100" w:beforeAutospacing="1" w:line="276" w:lineRule="auto"/>
        <w:ind w:left="360" w:right="107"/>
        <w:contextualSpacing/>
        <w:jc w:val="both"/>
        <w:rPr>
          <w:rFonts w:ascii="Palatino Linotype" w:eastAsia="Times New Roman" w:hAnsi="Palatino Linotype"/>
          <w:b/>
          <w:bCs/>
          <w:sz w:val="22"/>
          <w:szCs w:val="22"/>
          <w:lang w:val="en-US"/>
        </w:rPr>
      </w:pPr>
      <w:r w:rsidRPr="00A736B1">
        <w:rPr>
          <w:rFonts w:ascii="Palatino Linotype" w:eastAsia="Times New Roman" w:hAnsi="Palatino Linotype"/>
          <w:b/>
          <w:bCs/>
          <w:sz w:val="22"/>
          <w:szCs w:val="22"/>
          <w:lang w:val="en-US"/>
        </w:rPr>
        <w:t>India</w:t>
      </w:r>
    </w:p>
    <w:p w:rsidR="00557572" w:rsidRPr="004E1A0D"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327F0E">
        <w:rPr>
          <w:rFonts w:ascii="Palatino Linotype" w:eastAsia="Times New Roman" w:hAnsi="Palatino Linotype"/>
          <w:sz w:val="22"/>
          <w:szCs w:val="22"/>
          <w:lang w:val="en-US"/>
        </w:rPr>
        <w:t xml:space="preserve">As per </w:t>
      </w:r>
      <w:r>
        <w:rPr>
          <w:rFonts w:ascii="Palatino Linotype" w:eastAsia="Times New Roman" w:hAnsi="Palatino Linotype"/>
          <w:sz w:val="22"/>
          <w:szCs w:val="22"/>
          <w:lang w:val="en-US"/>
        </w:rPr>
        <w:t>provisional</w:t>
      </w:r>
      <w:r w:rsidRPr="00327F0E">
        <w:rPr>
          <w:rFonts w:ascii="Palatino Linotype" w:eastAsia="Times New Roman" w:hAnsi="Palatino Linotype"/>
          <w:sz w:val="22"/>
          <w:szCs w:val="22"/>
          <w:lang w:val="en-US"/>
        </w:rPr>
        <w:t xml:space="preserve"> estimates of National Income for 2021-22 released by MOSPI on </w:t>
      </w:r>
      <w:r>
        <w:rPr>
          <w:rFonts w:ascii="Palatino Linotype" w:eastAsia="Times New Roman" w:hAnsi="Palatino Linotype"/>
          <w:sz w:val="22"/>
          <w:szCs w:val="22"/>
          <w:lang w:val="en-US"/>
        </w:rPr>
        <w:t>May</w:t>
      </w:r>
      <w:r w:rsidRPr="00327F0E">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31</w:t>
      </w:r>
      <w:r w:rsidRPr="00327F0E">
        <w:rPr>
          <w:rFonts w:ascii="Palatino Linotype" w:eastAsia="Times New Roman" w:hAnsi="Palatino Linotype"/>
          <w:sz w:val="22"/>
          <w:szCs w:val="22"/>
          <w:lang w:val="en-US"/>
        </w:rPr>
        <w:t xml:space="preserve">, 2022, real GDP growth for </w:t>
      </w:r>
      <w:r w:rsidRPr="004E1A0D">
        <w:rPr>
          <w:rFonts w:ascii="Palatino Linotype" w:eastAsia="Times New Roman" w:hAnsi="Palatino Linotype"/>
          <w:sz w:val="22"/>
          <w:szCs w:val="22"/>
          <w:lang w:val="en-US"/>
        </w:rPr>
        <w:t xml:space="preserve">2021-22 is estimated at 8.7 per cent as compared to a contracted of 6.6 per cent (Y-o-Y) in 2020-21.  </w:t>
      </w:r>
    </w:p>
    <w:p w:rsidR="00557572" w:rsidRPr="004E1A0D"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Pr>
          <w:rFonts w:ascii="Palatino Linotype" w:eastAsia="Times New Roman" w:hAnsi="Palatino Linotype"/>
          <w:sz w:val="22"/>
          <w:szCs w:val="22"/>
          <w:lang w:val="en-US"/>
        </w:rPr>
        <w:t>Quarterly estimate</w:t>
      </w:r>
      <w:r w:rsidRPr="00327F0E">
        <w:rPr>
          <w:rFonts w:ascii="Palatino Linotype" w:eastAsia="Times New Roman" w:hAnsi="Palatino Linotype"/>
          <w:sz w:val="22"/>
          <w:szCs w:val="22"/>
          <w:lang w:val="en-US"/>
        </w:rPr>
        <w:t xml:space="preserve"> of GDP show</w:t>
      </w:r>
      <w:r>
        <w:rPr>
          <w:rFonts w:ascii="Palatino Linotype" w:eastAsia="Times New Roman" w:hAnsi="Palatino Linotype"/>
          <w:sz w:val="22"/>
          <w:szCs w:val="22"/>
          <w:lang w:val="en-US"/>
        </w:rPr>
        <w:t>s</w:t>
      </w:r>
      <w:r w:rsidRPr="00327F0E">
        <w:rPr>
          <w:rFonts w:ascii="Palatino Linotype" w:eastAsia="Times New Roman" w:hAnsi="Palatino Linotype"/>
          <w:sz w:val="22"/>
          <w:szCs w:val="22"/>
          <w:lang w:val="en-US"/>
        </w:rPr>
        <w:t xml:space="preserve"> that the real </w:t>
      </w:r>
      <w:r w:rsidRPr="004E1A0D">
        <w:rPr>
          <w:rFonts w:ascii="Palatino Linotype" w:eastAsia="Times New Roman" w:hAnsi="Palatino Linotype"/>
          <w:sz w:val="22"/>
          <w:szCs w:val="22"/>
          <w:lang w:val="en-US"/>
        </w:rPr>
        <w:t>GDP growth in Q4</w:t>
      </w:r>
      <w:r w:rsidR="00D449B0">
        <w:rPr>
          <w:rFonts w:ascii="Palatino Linotype" w:eastAsia="Times New Roman" w:hAnsi="Palatino Linotype"/>
          <w:sz w:val="22"/>
          <w:szCs w:val="22"/>
          <w:lang w:val="en-US"/>
        </w:rPr>
        <w:t xml:space="preserve"> of </w:t>
      </w:r>
      <w:r w:rsidRPr="004E1A0D">
        <w:rPr>
          <w:rFonts w:ascii="Palatino Linotype" w:eastAsia="Times New Roman" w:hAnsi="Palatino Linotype"/>
          <w:sz w:val="22"/>
          <w:szCs w:val="22"/>
          <w:lang w:val="en-US"/>
        </w:rPr>
        <w:t xml:space="preserve"> 2021-22 stood at 4.1 per cent as compared to 5.4 per cent in Q3</w:t>
      </w:r>
      <w:r w:rsidR="00D449B0">
        <w:rPr>
          <w:rFonts w:ascii="Palatino Linotype" w:eastAsia="Times New Roman" w:hAnsi="Palatino Linotype"/>
          <w:sz w:val="22"/>
          <w:szCs w:val="22"/>
          <w:lang w:val="en-US"/>
        </w:rPr>
        <w:t xml:space="preserve"> of </w:t>
      </w:r>
      <w:r w:rsidRPr="004E1A0D">
        <w:rPr>
          <w:rFonts w:ascii="Palatino Linotype" w:eastAsia="Times New Roman" w:hAnsi="Palatino Linotype"/>
          <w:sz w:val="22"/>
          <w:szCs w:val="22"/>
          <w:lang w:val="en-US"/>
        </w:rPr>
        <w:t xml:space="preserve"> 2021-22.</w:t>
      </w:r>
    </w:p>
    <w:p w:rsidR="00557572" w:rsidRPr="004E1A0D"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4E1A0D">
        <w:rPr>
          <w:rFonts w:ascii="Palatino Linotype" w:eastAsia="Times New Roman" w:hAnsi="Palatino Linotype"/>
          <w:sz w:val="22"/>
          <w:szCs w:val="22"/>
          <w:lang w:val="en-US"/>
        </w:rPr>
        <w:t>CPI inflation (provisional) in May 2022, decreased to 7.97 per cent from 8.31 per cent in previous month.</w:t>
      </w:r>
    </w:p>
    <w:p w:rsidR="00557572"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sidRPr="004E1A0D">
        <w:rPr>
          <w:rFonts w:ascii="Palatino Linotype" w:eastAsia="Times New Roman" w:hAnsi="Palatino Linotype"/>
          <w:sz w:val="22"/>
          <w:szCs w:val="22"/>
          <w:lang w:val="en-US"/>
        </w:rPr>
        <w:t>As per quick estimates released by MOSPI</w:t>
      </w:r>
      <w:r w:rsidRPr="00327F0E">
        <w:rPr>
          <w:rFonts w:ascii="Palatino Linotype" w:eastAsia="Times New Roman" w:hAnsi="Palatino Linotype"/>
          <w:sz w:val="22"/>
          <w:szCs w:val="22"/>
          <w:lang w:val="en-US"/>
        </w:rPr>
        <w:t xml:space="preserve"> on </w:t>
      </w:r>
      <w:r>
        <w:rPr>
          <w:rFonts w:ascii="Palatino Linotype" w:eastAsia="Times New Roman" w:hAnsi="Palatino Linotype"/>
          <w:sz w:val="22"/>
          <w:szCs w:val="22"/>
          <w:lang w:val="en-US"/>
        </w:rPr>
        <w:t>June</w:t>
      </w:r>
      <w:r w:rsidRPr="00327F0E">
        <w:rPr>
          <w:rFonts w:ascii="Palatino Linotype" w:eastAsia="Times New Roman" w:hAnsi="Palatino Linotype"/>
          <w:sz w:val="22"/>
          <w:szCs w:val="22"/>
          <w:lang w:val="en-US"/>
        </w:rPr>
        <w:t xml:space="preserve"> 1</w:t>
      </w:r>
      <w:r>
        <w:rPr>
          <w:rFonts w:ascii="Palatino Linotype" w:eastAsia="Times New Roman" w:hAnsi="Palatino Linotype"/>
          <w:sz w:val="22"/>
          <w:szCs w:val="22"/>
          <w:lang w:val="en-US"/>
        </w:rPr>
        <w:t>0</w:t>
      </w:r>
      <w:r w:rsidRPr="00327F0E">
        <w:rPr>
          <w:rFonts w:ascii="Palatino Linotype" w:eastAsia="Times New Roman" w:hAnsi="Palatino Linotype"/>
          <w:sz w:val="22"/>
          <w:szCs w:val="22"/>
          <w:lang w:val="en-US"/>
        </w:rPr>
        <w:t xml:space="preserve">, 2022, IIP increased by </w:t>
      </w:r>
      <w:r>
        <w:rPr>
          <w:rFonts w:ascii="Palatino Linotype" w:eastAsia="Times New Roman" w:hAnsi="Palatino Linotype"/>
          <w:sz w:val="22"/>
          <w:szCs w:val="22"/>
          <w:lang w:val="en-US"/>
        </w:rPr>
        <w:t xml:space="preserve">7.1 </w:t>
      </w:r>
      <w:r w:rsidRPr="00327F0E">
        <w:rPr>
          <w:rFonts w:ascii="Palatino Linotype" w:eastAsia="Times New Roman" w:hAnsi="Palatino Linotype"/>
          <w:sz w:val="22"/>
          <w:szCs w:val="22"/>
          <w:lang w:val="en-US"/>
        </w:rPr>
        <w:t xml:space="preserve">per cent (Y-o-Y) in </w:t>
      </w:r>
      <w:r>
        <w:rPr>
          <w:rFonts w:ascii="Palatino Linotype" w:eastAsia="Times New Roman" w:hAnsi="Palatino Linotype"/>
          <w:sz w:val="22"/>
          <w:szCs w:val="22"/>
          <w:lang w:val="en-US"/>
        </w:rPr>
        <w:t>April</w:t>
      </w:r>
      <w:r w:rsidRPr="00327F0E">
        <w:rPr>
          <w:rFonts w:ascii="Palatino Linotype" w:eastAsia="Times New Roman" w:hAnsi="Palatino Linotype"/>
          <w:sz w:val="22"/>
          <w:szCs w:val="22"/>
          <w:lang w:val="en-US"/>
        </w:rPr>
        <w:t xml:space="preserve"> 2022 as compared to </w:t>
      </w:r>
      <w:r>
        <w:rPr>
          <w:rFonts w:ascii="Palatino Linotype" w:eastAsia="Times New Roman" w:hAnsi="Palatino Linotype"/>
          <w:sz w:val="22"/>
          <w:szCs w:val="22"/>
          <w:lang w:val="en-US"/>
        </w:rPr>
        <w:t>2.2</w:t>
      </w:r>
      <w:r w:rsidRPr="00327F0E">
        <w:rPr>
          <w:rFonts w:ascii="Palatino Linotype" w:eastAsia="Times New Roman" w:hAnsi="Palatino Linotype"/>
          <w:sz w:val="22"/>
          <w:szCs w:val="22"/>
          <w:lang w:val="en-US"/>
        </w:rPr>
        <w:t xml:space="preserve"> per cent </w:t>
      </w:r>
      <w:r>
        <w:rPr>
          <w:rFonts w:ascii="Palatino Linotype" w:eastAsia="Times New Roman" w:hAnsi="Palatino Linotype"/>
          <w:sz w:val="22"/>
          <w:szCs w:val="22"/>
          <w:lang w:val="en-US"/>
        </w:rPr>
        <w:t>rise</w:t>
      </w:r>
      <w:r w:rsidRPr="00327F0E">
        <w:rPr>
          <w:rFonts w:ascii="Palatino Linotype" w:eastAsia="Times New Roman" w:hAnsi="Palatino Linotype"/>
          <w:sz w:val="22"/>
          <w:szCs w:val="22"/>
          <w:lang w:val="en-US"/>
        </w:rPr>
        <w:t xml:space="preserve"> in previous</w:t>
      </w:r>
      <w:r w:rsidRPr="000F23DF">
        <w:rPr>
          <w:rFonts w:ascii="Palatino Linotype" w:eastAsia="Times New Roman" w:hAnsi="Palatino Linotype"/>
          <w:sz w:val="22"/>
          <w:szCs w:val="22"/>
          <w:lang w:val="en-US"/>
        </w:rPr>
        <w:t xml:space="preserve"> month.</w:t>
      </w:r>
    </w:p>
    <w:p w:rsidR="00557572" w:rsidRPr="004E1A0D" w:rsidRDefault="00557572" w:rsidP="00557572">
      <w:pPr>
        <w:numPr>
          <w:ilvl w:val="0"/>
          <w:numId w:val="9"/>
        </w:numPr>
        <w:spacing w:before="100" w:beforeAutospacing="1" w:line="276" w:lineRule="auto"/>
        <w:ind w:right="107"/>
        <w:contextualSpacing/>
        <w:jc w:val="both"/>
        <w:rPr>
          <w:rFonts w:ascii="Palatino Linotype" w:eastAsia="Times New Roman" w:hAnsi="Palatino Linotype"/>
          <w:sz w:val="22"/>
          <w:szCs w:val="22"/>
          <w:lang w:val="en-US"/>
        </w:rPr>
      </w:pPr>
      <w:r>
        <w:rPr>
          <w:rFonts w:ascii="Palatino Linotype" w:eastAsia="Times New Roman" w:hAnsi="Palatino Linotype"/>
          <w:sz w:val="22"/>
          <w:szCs w:val="22"/>
          <w:lang w:val="en-US"/>
        </w:rPr>
        <w:t xml:space="preserve">In its </w:t>
      </w:r>
      <w:r w:rsidRPr="004E1A0D">
        <w:rPr>
          <w:rFonts w:ascii="Palatino Linotype" w:eastAsia="Times New Roman" w:hAnsi="Palatino Linotype"/>
          <w:sz w:val="22"/>
          <w:szCs w:val="22"/>
          <w:lang w:val="en-US"/>
        </w:rPr>
        <w:t xml:space="preserve">Monetary Policy Committee </w:t>
      </w:r>
      <w:r>
        <w:rPr>
          <w:rFonts w:ascii="Palatino Linotype" w:eastAsia="Times New Roman" w:hAnsi="Palatino Linotype"/>
          <w:sz w:val="22"/>
          <w:szCs w:val="22"/>
          <w:lang w:val="en-US"/>
        </w:rPr>
        <w:t xml:space="preserve">meeting in June 2022, RBI increased the policy repo rate by 50 basis points to 4.9 per cent. </w:t>
      </w:r>
      <w:r w:rsidRPr="004E1A0D">
        <w:rPr>
          <w:rFonts w:ascii="Palatino Linotype" w:eastAsia="Times New Roman" w:hAnsi="Palatino Linotype"/>
          <w:sz w:val="22"/>
          <w:szCs w:val="22"/>
          <w:lang w:val="en-US"/>
        </w:rPr>
        <w:t xml:space="preserve">Consequently, the standing deposit facility rate stands adjusted to 4.65 per cent and the marginal standing facility rate and the </w:t>
      </w:r>
      <w:r w:rsidR="006A6F94">
        <w:rPr>
          <w:rFonts w:ascii="Palatino Linotype" w:eastAsia="Times New Roman" w:hAnsi="Palatino Linotype"/>
          <w:sz w:val="22"/>
          <w:szCs w:val="22"/>
          <w:lang w:val="en-US"/>
        </w:rPr>
        <w:t>b</w:t>
      </w:r>
      <w:r w:rsidR="006A6F94" w:rsidRPr="004E1A0D">
        <w:rPr>
          <w:rFonts w:ascii="Palatino Linotype" w:eastAsia="Times New Roman" w:hAnsi="Palatino Linotype"/>
          <w:sz w:val="22"/>
          <w:szCs w:val="22"/>
          <w:lang w:val="en-US"/>
        </w:rPr>
        <w:t xml:space="preserve">ank </w:t>
      </w:r>
      <w:r w:rsidR="006A6F94">
        <w:rPr>
          <w:rFonts w:ascii="Palatino Linotype" w:eastAsia="Times New Roman" w:hAnsi="Palatino Linotype"/>
          <w:sz w:val="22"/>
          <w:szCs w:val="22"/>
          <w:lang w:val="en-US"/>
        </w:rPr>
        <w:t>r</w:t>
      </w:r>
      <w:r w:rsidR="006A6F94" w:rsidRPr="004E1A0D">
        <w:rPr>
          <w:rFonts w:ascii="Palatino Linotype" w:eastAsia="Times New Roman" w:hAnsi="Palatino Linotype"/>
          <w:sz w:val="22"/>
          <w:szCs w:val="22"/>
          <w:lang w:val="en-US"/>
        </w:rPr>
        <w:t xml:space="preserve">ate </w:t>
      </w:r>
      <w:r w:rsidRPr="004E1A0D">
        <w:rPr>
          <w:rFonts w:ascii="Palatino Linotype" w:eastAsia="Times New Roman" w:hAnsi="Palatino Linotype"/>
          <w:sz w:val="22"/>
          <w:szCs w:val="22"/>
          <w:lang w:val="en-US"/>
        </w:rPr>
        <w:t>to 5.15 per cent.</w:t>
      </w:r>
    </w:p>
    <w:p w:rsidR="00557572" w:rsidRPr="00A01675" w:rsidRDefault="00557572" w:rsidP="00557572">
      <w:pPr>
        <w:spacing w:before="100" w:beforeAutospacing="1" w:line="276" w:lineRule="auto"/>
        <w:ind w:right="107"/>
        <w:contextualSpacing/>
        <w:jc w:val="both"/>
        <w:rPr>
          <w:rFonts w:ascii="Palatino Linotype" w:eastAsia="Times New Roman" w:hAnsi="Palatino Linotype"/>
          <w:sz w:val="22"/>
          <w:szCs w:val="22"/>
          <w:lang w:val="en-US"/>
        </w:rPr>
      </w:pPr>
    </w:p>
    <w:p w:rsidR="00557572" w:rsidRPr="00A01675" w:rsidRDefault="00557572" w:rsidP="00557572">
      <w:pPr>
        <w:numPr>
          <w:ilvl w:val="0"/>
          <w:numId w:val="19"/>
        </w:numPr>
        <w:spacing w:before="100" w:beforeAutospacing="1" w:line="276" w:lineRule="auto"/>
        <w:ind w:right="107"/>
        <w:contextualSpacing/>
        <w:jc w:val="both"/>
        <w:rPr>
          <w:rFonts w:ascii="Palatino Linotype" w:eastAsia="Times New Roman" w:hAnsi="Palatino Linotype"/>
          <w:b/>
          <w:sz w:val="22"/>
          <w:szCs w:val="22"/>
          <w:lang w:val="en-US" w:eastAsia="en-GB"/>
        </w:rPr>
      </w:pPr>
      <w:r w:rsidRPr="00A01675">
        <w:rPr>
          <w:rFonts w:ascii="Palatino Linotype" w:eastAsia="Times New Roman" w:hAnsi="Palatino Linotype"/>
          <w:b/>
          <w:bCs/>
          <w:lang w:val="en-US"/>
        </w:rPr>
        <w:t>Market</w:t>
      </w:r>
      <w:r w:rsidRPr="00A01675">
        <w:rPr>
          <w:rFonts w:ascii="Palatino Linotype" w:eastAsia="Times New Roman" w:hAnsi="Palatino Linotype"/>
          <w:b/>
          <w:sz w:val="22"/>
          <w:szCs w:val="22"/>
          <w:lang w:val="en-US" w:eastAsia="en-GB"/>
        </w:rPr>
        <w:t xml:space="preserve"> Trends – </w:t>
      </w:r>
    </w:p>
    <w:p w:rsidR="00557572" w:rsidRPr="00A01675" w:rsidRDefault="00557572" w:rsidP="00557572">
      <w:pPr>
        <w:spacing w:line="23" w:lineRule="atLeast"/>
        <w:ind w:left="180"/>
        <w:contextualSpacing/>
        <w:rPr>
          <w:rFonts w:ascii="Palatino Linotype" w:eastAsia="Times New Roman" w:hAnsi="Palatino Linotype"/>
          <w:b/>
          <w:sz w:val="22"/>
          <w:szCs w:val="22"/>
          <w:lang w:val="en-US" w:eastAsia="en-GB"/>
        </w:rPr>
      </w:pPr>
    </w:p>
    <w:p w:rsidR="00557572" w:rsidRPr="00A01675" w:rsidRDefault="00557572" w:rsidP="00557572">
      <w:pPr>
        <w:spacing w:line="360" w:lineRule="auto"/>
        <w:ind w:left="720"/>
        <w:contextualSpacing/>
        <w:rPr>
          <w:rFonts w:ascii="Palatino Linotype" w:eastAsia="Times New Roman" w:hAnsi="Palatino Linotype"/>
          <w:b/>
          <w:sz w:val="22"/>
          <w:szCs w:val="22"/>
          <w:lang w:val="en-US" w:eastAsia="en-GB"/>
        </w:rPr>
      </w:pPr>
      <w:r>
        <w:rPr>
          <w:rFonts w:ascii="Palatino Linotype" w:eastAsia="Times New Roman" w:hAnsi="Palatino Linotype"/>
          <w:b/>
          <w:sz w:val="22"/>
          <w:szCs w:val="22"/>
          <w:u w:val="single"/>
          <w:lang w:val="en-US" w:eastAsia="en-GB"/>
        </w:rPr>
        <w:t xml:space="preserve">Equity Markets </w:t>
      </w:r>
    </w:p>
    <w:p w:rsidR="00557572" w:rsidRPr="00EF3334" w:rsidRDefault="00557572" w:rsidP="00557572">
      <w:pPr>
        <w:numPr>
          <w:ilvl w:val="0"/>
          <w:numId w:val="10"/>
        </w:numPr>
        <w:spacing w:line="276" w:lineRule="auto"/>
        <w:jc w:val="both"/>
        <w:rPr>
          <w:rFonts w:ascii="Palatino Linotype" w:eastAsia="Times New Roman" w:hAnsi="Palatino Linotype"/>
          <w:bCs/>
          <w:sz w:val="22"/>
          <w:szCs w:val="22"/>
          <w:lang w:val="en-US" w:eastAsia="en-GB"/>
        </w:rPr>
      </w:pPr>
      <w:r w:rsidRPr="005048C2">
        <w:rPr>
          <w:rFonts w:ascii="Palatino Linotype" w:eastAsia="Times New Roman" w:hAnsi="Palatino Linotype"/>
          <w:bCs/>
          <w:sz w:val="22"/>
          <w:szCs w:val="22"/>
          <w:lang w:val="en-US" w:eastAsia="en-GB"/>
        </w:rPr>
        <w:t xml:space="preserve">During </w:t>
      </w:r>
      <w:r>
        <w:rPr>
          <w:rFonts w:ascii="Palatino Linotype" w:eastAsia="Times New Roman" w:hAnsi="Palatino Linotype"/>
          <w:bCs/>
          <w:sz w:val="22"/>
          <w:szCs w:val="22"/>
          <w:lang w:val="en-US" w:eastAsia="en-GB"/>
        </w:rPr>
        <w:t>May</w:t>
      </w:r>
      <w:r w:rsidRPr="005048C2">
        <w:rPr>
          <w:rFonts w:ascii="Palatino Linotype" w:eastAsia="Times New Roman" w:hAnsi="Palatino Linotype"/>
          <w:bCs/>
          <w:sz w:val="22"/>
          <w:szCs w:val="22"/>
          <w:lang w:val="en-US" w:eastAsia="en-GB"/>
        </w:rPr>
        <w:t xml:space="preserve"> 202</w:t>
      </w:r>
      <w:r>
        <w:rPr>
          <w:rFonts w:ascii="Palatino Linotype" w:eastAsia="Times New Roman" w:hAnsi="Palatino Linotype"/>
          <w:bCs/>
          <w:sz w:val="22"/>
          <w:szCs w:val="22"/>
          <w:lang w:val="en-US" w:eastAsia="en-GB"/>
        </w:rPr>
        <w:t>2</w:t>
      </w:r>
      <w:r w:rsidRPr="005048C2">
        <w:rPr>
          <w:rFonts w:ascii="Palatino Linotype" w:eastAsia="Times New Roman" w:hAnsi="Palatino Linotype"/>
          <w:bCs/>
          <w:sz w:val="22"/>
          <w:szCs w:val="22"/>
          <w:lang w:val="en-US" w:eastAsia="en-GB"/>
        </w:rPr>
        <w:t>, amongst the BRICS countries</w:t>
      </w:r>
      <w:r>
        <w:rPr>
          <w:rFonts w:ascii="Palatino Linotype" w:eastAsia="Times New Roman" w:hAnsi="Palatino Linotype"/>
          <w:bCs/>
          <w:sz w:val="22"/>
          <w:szCs w:val="22"/>
          <w:lang w:val="en-US" w:eastAsia="en-GB"/>
        </w:rPr>
        <w:t xml:space="preserve"> (excluding Russia),</w:t>
      </w:r>
      <w:r w:rsidRPr="005048C2">
        <w:rPr>
          <w:rFonts w:ascii="Palatino Linotype" w:eastAsia="Times New Roman" w:hAnsi="Palatino Linotype"/>
          <w:bCs/>
          <w:sz w:val="22"/>
          <w:szCs w:val="22"/>
          <w:lang w:val="en-US" w:eastAsia="en-GB"/>
        </w:rPr>
        <w:t xml:space="preserve"> highest annualized volatility was observed in </w:t>
      </w:r>
      <w:r>
        <w:rPr>
          <w:rFonts w:ascii="Palatino Linotype" w:eastAsia="Times New Roman" w:hAnsi="Palatino Linotype"/>
          <w:bCs/>
          <w:sz w:val="22"/>
          <w:szCs w:val="22"/>
          <w:lang w:val="en-US" w:eastAsia="en-GB"/>
        </w:rPr>
        <w:t xml:space="preserve">FTSE/JSE Africa All Share </w:t>
      </w:r>
      <w:r w:rsidRPr="005048C2">
        <w:rPr>
          <w:rFonts w:ascii="Palatino Linotype" w:eastAsia="Times New Roman" w:hAnsi="Palatino Linotype"/>
          <w:bCs/>
          <w:sz w:val="22"/>
          <w:szCs w:val="22"/>
          <w:lang w:val="en-US" w:eastAsia="en-GB"/>
        </w:rPr>
        <w:t xml:space="preserve">index </w:t>
      </w:r>
      <w:r>
        <w:rPr>
          <w:rFonts w:ascii="Palatino Linotype" w:eastAsia="Times New Roman" w:hAnsi="Palatino Linotype"/>
          <w:bCs/>
          <w:sz w:val="22"/>
          <w:szCs w:val="22"/>
          <w:lang w:val="en-US" w:eastAsia="en-GB"/>
        </w:rPr>
        <w:t xml:space="preserve">of South Africa </w:t>
      </w:r>
      <w:r w:rsidRPr="005048C2">
        <w:rPr>
          <w:rFonts w:ascii="Palatino Linotype" w:eastAsia="Times New Roman" w:hAnsi="Palatino Linotype"/>
          <w:bCs/>
          <w:sz w:val="22"/>
          <w:szCs w:val="22"/>
          <w:lang w:val="en-US" w:eastAsia="en-GB"/>
        </w:rPr>
        <w:t>(</w:t>
      </w:r>
      <w:r>
        <w:rPr>
          <w:rFonts w:ascii="Palatino Linotype" w:eastAsia="Times New Roman" w:hAnsi="Palatino Linotype"/>
          <w:bCs/>
          <w:sz w:val="22"/>
          <w:szCs w:val="22"/>
          <w:lang w:val="en-US" w:eastAsia="en-GB"/>
        </w:rPr>
        <w:t>23.2</w:t>
      </w:r>
      <w:r w:rsidRPr="005048C2">
        <w:rPr>
          <w:rFonts w:ascii="Palatino Linotype" w:eastAsia="Times New Roman" w:hAnsi="Palatino Linotype"/>
          <w:bCs/>
          <w:sz w:val="22"/>
          <w:szCs w:val="22"/>
          <w:lang w:val="en-US" w:eastAsia="en-GB"/>
        </w:rPr>
        <w:t xml:space="preserve"> per cent), while </w:t>
      </w:r>
      <w:r>
        <w:rPr>
          <w:rFonts w:ascii="Palatino Linotype" w:eastAsia="Times New Roman" w:hAnsi="Palatino Linotype"/>
          <w:bCs/>
          <w:sz w:val="22"/>
          <w:szCs w:val="22"/>
          <w:lang w:val="en-US" w:eastAsia="en-GB"/>
        </w:rPr>
        <w:t xml:space="preserve">Shanghai </w:t>
      </w:r>
      <w:r w:rsidRPr="003000E1">
        <w:rPr>
          <w:rFonts w:ascii="Palatino Linotype" w:eastAsia="Times New Roman" w:hAnsi="Palatino Linotype"/>
          <w:bCs/>
          <w:sz w:val="22"/>
          <w:szCs w:val="22"/>
          <w:lang w:val="en-US" w:eastAsia="en-GB"/>
        </w:rPr>
        <w:t xml:space="preserve">Composite </w:t>
      </w:r>
      <w:r w:rsidRPr="005048C2">
        <w:rPr>
          <w:rFonts w:ascii="Palatino Linotype" w:eastAsia="Times New Roman" w:hAnsi="Palatino Linotype"/>
          <w:bCs/>
          <w:sz w:val="22"/>
          <w:szCs w:val="22"/>
          <w:lang w:val="en-US" w:eastAsia="en-GB"/>
        </w:rPr>
        <w:t>index</w:t>
      </w:r>
      <w:r w:rsidRPr="005F4E9B">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 xml:space="preserve">of China </w:t>
      </w:r>
      <w:r w:rsidRPr="005048C2">
        <w:rPr>
          <w:rFonts w:ascii="Palatino Linotype" w:eastAsia="Times New Roman" w:hAnsi="Palatino Linotype"/>
          <w:bCs/>
          <w:sz w:val="22"/>
          <w:szCs w:val="22"/>
          <w:lang w:val="en-US" w:eastAsia="en-GB"/>
        </w:rPr>
        <w:t xml:space="preserve">recorded the lowest volatility of </w:t>
      </w:r>
      <w:r>
        <w:rPr>
          <w:rFonts w:ascii="Palatino Linotype" w:eastAsia="Times New Roman" w:hAnsi="Palatino Linotype"/>
          <w:bCs/>
          <w:sz w:val="22"/>
          <w:szCs w:val="22"/>
          <w:lang w:val="en-US" w:eastAsia="en-GB"/>
        </w:rPr>
        <w:t>15.0</w:t>
      </w:r>
      <w:r w:rsidRPr="005048C2">
        <w:rPr>
          <w:rFonts w:ascii="Palatino Linotype" w:eastAsia="Times New Roman" w:hAnsi="Palatino Linotype"/>
          <w:bCs/>
          <w:sz w:val="22"/>
          <w:szCs w:val="22"/>
          <w:lang w:val="en-US" w:eastAsia="en-GB"/>
        </w:rPr>
        <w:t xml:space="preserve"> per </w:t>
      </w:r>
      <w:r>
        <w:rPr>
          <w:rFonts w:ascii="Palatino Linotype" w:eastAsia="Times New Roman" w:hAnsi="Palatino Linotype"/>
          <w:bCs/>
          <w:sz w:val="22"/>
          <w:szCs w:val="22"/>
          <w:lang w:val="en-US" w:eastAsia="en-GB"/>
        </w:rPr>
        <w:t>cent.</w:t>
      </w:r>
    </w:p>
    <w:p w:rsidR="00557572" w:rsidRPr="00EF3334" w:rsidRDefault="00557572" w:rsidP="00557572">
      <w:pPr>
        <w:numPr>
          <w:ilvl w:val="0"/>
          <w:numId w:val="10"/>
        </w:numPr>
        <w:spacing w:line="276" w:lineRule="auto"/>
        <w:jc w:val="both"/>
        <w:rPr>
          <w:rFonts w:ascii="Palatino Linotype" w:eastAsia="Times New Roman" w:hAnsi="Palatino Linotype"/>
          <w:bCs/>
          <w:sz w:val="22"/>
          <w:szCs w:val="22"/>
          <w:lang w:val="en-US" w:eastAsia="en-GB"/>
        </w:rPr>
      </w:pPr>
      <w:r w:rsidRPr="00EF3334">
        <w:rPr>
          <w:rFonts w:ascii="Palatino Linotype" w:eastAsia="Times New Roman" w:hAnsi="Palatino Linotype"/>
          <w:bCs/>
          <w:sz w:val="22"/>
          <w:szCs w:val="22"/>
          <w:lang w:val="en-US" w:eastAsia="en-GB"/>
        </w:rPr>
        <w:t xml:space="preserve">In terms of monthly movement in indices, </w:t>
      </w:r>
      <w:r>
        <w:rPr>
          <w:rFonts w:ascii="Palatino Linotype" w:eastAsia="Times New Roman" w:hAnsi="Palatino Linotype"/>
          <w:bCs/>
          <w:sz w:val="22"/>
          <w:szCs w:val="22"/>
          <w:lang w:val="en-US" w:eastAsia="en-GB"/>
        </w:rPr>
        <w:t xml:space="preserve">Shanghai </w:t>
      </w:r>
      <w:r w:rsidRPr="003000E1">
        <w:rPr>
          <w:rFonts w:ascii="Palatino Linotype" w:eastAsia="Times New Roman" w:hAnsi="Palatino Linotype"/>
          <w:bCs/>
          <w:sz w:val="22"/>
          <w:szCs w:val="22"/>
          <w:lang w:val="en-US" w:eastAsia="en-GB"/>
        </w:rPr>
        <w:t xml:space="preserve">Composite </w:t>
      </w:r>
      <w:r>
        <w:rPr>
          <w:rFonts w:ascii="Palatino Linotype" w:eastAsia="Times New Roman" w:hAnsi="Palatino Linotype"/>
          <w:bCs/>
          <w:sz w:val="22"/>
          <w:szCs w:val="22"/>
          <w:lang w:val="en-US" w:eastAsia="en-GB"/>
        </w:rPr>
        <w:t xml:space="preserve">recorded highest increase </w:t>
      </w:r>
      <w:r w:rsidRPr="00EF3334">
        <w:rPr>
          <w:rFonts w:ascii="Palatino Linotype" w:eastAsia="Times New Roman" w:hAnsi="Palatino Linotype"/>
          <w:bCs/>
          <w:sz w:val="22"/>
          <w:szCs w:val="22"/>
          <w:lang w:val="en-US" w:eastAsia="en-GB"/>
        </w:rPr>
        <w:t xml:space="preserve">of </w:t>
      </w:r>
      <w:r>
        <w:rPr>
          <w:rFonts w:ascii="Palatino Linotype" w:eastAsia="Times New Roman" w:hAnsi="Palatino Linotype"/>
          <w:bCs/>
          <w:sz w:val="22"/>
          <w:szCs w:val="22"/>
          <w:lang w:val="en-US" w:eastAsia="en-GB"/>
        </w:rPr>
        <w:t>4.6</w:t>
      </w:r>
      <w:r w:rsidRPr="00EF3334">
        <w:rPr>
          <w:rFonts w:ascii="Palatino Linotype" w:eastAsia="Times New Roman" w:hAnsi="Palatino Linotype"/>
          <w:bCs/>
          <w:sz w:val="22"/>
          <w:szCs w:val="22"/>
          <w:lang w:val="en-US" w:eastAsia="en-GB"/>
        </w:rPr>
        <w:t xml:space="preserve"> per cent, while </w:t>
      </w:r>
      <w:r>
        <w:rPr>
          <w:rFonts w:ascii="Palatino Linotype" w:eastAsia="Times New Roman" w:hAnsi="Palatino Linotype"/>
          <w:bCs/>
          <w:sz w:val="22"/>
          <w:szCs w:val="22"/>
          <w:lang w:val="en-US" w:eastAsia="en-GB"/>
        </w:rPr>
        <w:t xml:space="preserve">Nifty 50 </w:t>
      </w:r>
      <w:r w:rsidRPr="005048C2">
        <w:rPr>
          <w:rFonts w:ascii="Palatino Linotype" w:eastAsia="Times New Roman" w:hAnsi="Palatino Linotype"/>
          <w:bCs/>
          <w:sz w:val="22"/>
          <w:szCs w:val="22"/>
          <w:lang w:val="en-US" w:eastAsia="en-GB"/>
        </w:rPr>
        <w:t xml:space="preserve">index </w:t>
      </w:r>
      <w:r>
        <w:rPr>
          <w:rFonts w:ascii="Palatino Linotype" w:eastAsia="Times New Roman" w:hAnsi="Palatino Linotype"/>
          <w:bCs/>
          <w:sz w:val="22"/>
          <w:szCs w:val="22"/>
          <w:lang w:val="en-US" w:eastAsia="en-GB"/>
        </w:rPr>
        <w:t>reco</w:t>
      </w:r>
      <w:r w:rsidR="007F63CB">
        <w:rPr>
          <w:rFonts w:ascii="Palatino Linotype" w:eastAsia="Times New Roman" w:hAnsi="Palatino Linotype"/>
          <w:bCs/>
          <w:sz w:val="22"/>
          <w:szCs w:val="22"/>
          <w:lang w:val="en-US" w:eastAsia="en-GB"/>
        </w:rPr>
        <w:t>r</w:t>
      </w:r>
      <w:r>
        <w:rPr>
          <w:rFonts w:ascii="Palatino Linotype" w:eastAsia="Times New Roman" w:hAnsi="Palatino Linotype"/>
          <w:bCs/>
          <w:sz w:val="22"/>
          <w:szCs w:val="22"/>
          <w:lang w:val="en-US" w:eastAsia="en-GB"/>
        </w:rPr>
        <w:t>ded steepest decline of 3.0</w:t>
      </w:r>
      <w:r w:rsidRPr="00EF3334">
        <w:rPr>
          <w:rFonts w:ascii="Palatino Linotype" w:eastAsia="Times New Roman" w:hAnsi="Palatino Linotype"/>
          <w:bCs/>
          <w:sz w:val="22"/>
          <w:szCs w:val="22"/>
          <w:lang w:val="en-US" w:eastAsia="en-GB"/>
        </w:rPr>
        <w:t xml:space="preserve"> per cent</w:t>
      </w:r>
      <w:r>
        <w:rPr>
          <w:rFonts w:ascii="Palatino Linotype" w:eastAsia="Times New Roman" w:hAnsi="Palatino Linotype"/>
          <w:bCs/>
          <w:sz w:val="22"/>
          <w:szCs w:val="22"/>
          <w:lang w:val="en-US" w:eastAsia="en-GB"/>
        </w:rPr>
        <w:t xml:space="preserve"> during May</w:t>
      </w:r>
      <w:r w:rsidRPr="005048C2">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2022</w:t>
      </w:r>
      <w:r w:rsidRPr="00EF3334">
        <w:rPr>
          <w:rFonts w:ascii="Palatino Linotype" w:eastAsia="Times New Roman" w:hAnsi="Palatino Linotype"/>
          <w:bCs/>
          <w:sz w:val="22"/>
          <w:szCs w:val="22"/>
          <w:lang w:val="en-US" w:eastAsia="en-GB"/>
        </w:rPr>
        <w:t>.</w:t>
      </w:r>
    </w:p>
    <w:p w:rsidR="00557572" w:rsidRPr="00AA6004" w:rsidRDefault="00557572" w:rsidP="00557572">
      <w:pPr>
        <w:numPr>
          <w:ilvl w:val="0"/>
          <w:numId w:val="10"/>
        </w:numPr>
        <w:spacing w:line="276" w:lineRule="auto"/>
        <w:jc w:val="both"/>
        <w:rPr>
          <w:rFonts w:ascii="Palatino Linotype" w:eastAsia="Times New Roman" w:hAnsi="Palatino Linotype"/>
          <w:bCs/>
          <w:color w:val="FF0000"/>
          <w:sz w:val="22"/>
          <w:szCs w:val="22"/>
          <w:lang w:val="en-US" w:eastAsia="en-GB"/>
        </w:rPr>
      </w:pPr>
      <w:r w:rsidRPr="00A01675">
        <w:rPr>
          <w:rFonts w:ascii="Palatino Linotype" w:eastAsia="Times New Roman" w:hAnsi="Palatino Linotype"/>
          <w:bCs/>
          <w:sz w:val="22"/>
          <w:szCs w:val="22"/>
          <w:lang w:val="en-US" w:eastAsia="en-GB"/>
        </w:rPr>
        <w:lastRenderedPageBreak/>
        <w:t xml:space="preserve">Among </w:t>
      </w:r>
      <w:r>
        <w:rPr>
          <w:rFonts w:ascii="Palatino Linotype" w:eastAsia="Times New Roman" w:hAnsi="Palatino Linotype"/>
          <w:bCs/>
          <w:sz w:val="22"/>
          <w:szCs w:val="22"/>
          <w:lang w:val="en-US" w:eastAsia="en-GB"/>
        </w:rPr>
        <w:t>select</w:t>
      </w:r>
      <w:r w:rsidRPr="00A01675">
        <w:rPr>
          <w:rFonts w:ascii="Palatino Linotype" w:eastAsia="Times New Roman" w:hAnsi="Palatino Linotype"/>
          <w:bCs/>
          <w:sz w:val="22"/>
          <w:szCs w:val="22"/>
          <w:lang w:val="en-US" w:eastAsia="en-GB"/>
        </w:rPr>
        <w:t xml:space="preserve"> developed markets</w:t>
      </w:r>
      <w:r>
        <w:rPr>
          <w:rStyle w:val="FootnoteReference"/>
          <w:rFonts w:ascii="Palatino Linotype" w:hAnsi="Palatino Linotype"/>
          <w:bCs/>
          <w:sz w:val="22"/>
          <w:szCs w:val="22"/>
          <w:lang w:eastAsia="en-GB"/>
        </w:rPr>
        <w:footnoteReference w:id="2"/>
      </w:r>
      <w:r w:rsidRPr="00A01675">
        <w:rPr>
          <w:rFonts w:ascii="Palatino Linotype" w:eastAsia="Times New Roman" w:hAnsi="Palatino Linotype"/>
          <w:bCs/>
          <w:sz w:val="22"/>
          <w:szCs w:val="22"/>
          <w:lang w:val="en-US" w:eastAsia="en-GB"/>
        </w:rPr>
        <w:t xml:space="preserve">, </w:t>
      </w:r>
      <w:r w:rsidRPr="002F0258">
        <w:rPr>
          <w:rFonts w:ascii="Palatino Linotype" w:eastAsia="Times New Roman" w:hAnsi="Palatino Linotype"/>
          <w:bCs/>
          <w:sz w:val="22"/>
          <w:szCs w:val="22"/>
          <w:lang w:val="en-US" w:eastAsia="en-GB"/>
        </w:rPr>
        <w:t xml:space="preserve">Nasdaq Composite </w:t>
      </w:r>
      <w:r>
        <w:rPr>
          <w:rFonts w:ascii="Palatino Linotype" w:eastAsia="Times New Roman" w:hAnsi="Palatino Linotype"/>
          <w:bCs/>
          <w:sz w:val="22"/>
          <w:szCs w:val="22"/>
          <w:lang w:val="en-US" w:eastAsia="en-GB"/>
        </w:rPr>
        <w:t>index of the U.S.</w:t>
      </w:r>
      <w:r w:rsidRPr="006B015D">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was</w:t>
      </w:r>
      <w:r w:rsidR="007F63CB">
        <w:rPr>
          <w:rFonts w:ascii="Palatino Linotype" w:eastAsia="Times New Roman" w:hAnsi="Palatino Linotype"/>
          <w:bCs/>
          <w:sz w:val="22"/>
          <w:szCs w:val="22"/>
          <w:lang w:val="en-US" w:eastAsia="en-GB"/>
        </w:rPr>
        <w:t xml:space="preserve"> the</w:t>
      </w:r>
      <w:r>
        <w:rPr>
          <w:rFonts w:ascii="Palatino Linotype" w:eastAsia="Times New Roman" w:hAnsi="Palatino Linotype"/>
          <w:bCs/>
          <w:sz w:val="22"/>
          <w:szCs w:val="22"/>
          <w:lang w:val="en-US" w:eastAsia="en-GB"/>
        </w:rPr>
        <w:t xml:space="preserve"> most volatile index </w:t>
      </w:r>
      <w:r w:rsidRPr="00A01675">
        <w:rPr>
          <w:rFonts w:ascii="Palatino Linotype" w:eastAsia="Times New Roman" w:hAnsi="Palatino Linotype"/>
          <w:bCs/>
          <w:sz w:val="22"/>
          <w:szCs w:val="22"/>
          <w:lang w:val="en-US" w:eastAsia="en-GB"/>
        </w:rPr>
        <w:t>(</w:t>
      </w:r>
      <w:r>
        <w:rPr>
          <w:rFonts w:ascii="Palatino Linotype" w:eastAsia="Times New Roman" w:hAnsi="Palatino Linotype"/>
          <w:bCs/>
          <w:sz w:val="22"/>
          <w:szCs w:val="22"/>
          <w:lang w:val="en-US" w:eastAsia="en-GB"/>
        </w:rPr>
        <w:t>40.9</w:t>
      </w:r>
      <w:r w:rsidRPr="00A01675">
        <w:rPr>
          <w:rFonts w:ascii="Palatino Linotype" w:eastAsia="Times New Roman" w:hAnsi="Palatino Linotype"/>
          <w:bCs/>
          <w:sz w:val="22"/>
          <w:szCs w:val="22"/>
          <w:lang w:val="en-US" w:eastAsia="en-GB"/>
        </w:rPr>
        <w:t xml:space="preserve"> per cent</w:t>
      </w:r>
      <w:r>
        <w:rPr>
          <w:rFonts w:ascii="Palatino Linotype" w:eastAsia="Times New Roman" w:hAnsi="Palatino Linotype"/>
          <w:bCs/>
          <w:sz w:val="22"/>
          <w:szCs w:val="22"/>
          <w:lang w:val="en-US" w:eastAsia="en-GB"/>
        </w:rPr>
        <w:t>, annualized volatility</w:t>
      </w:r>
      <w:r w:rsidRPr="00A01675">
        <w:rPr>
          <w:rFonts w:ascii="Palatino Linotype" w:eastAsia="Times New Roman" w:hAnsi="Palatino Linotype"/>
          <w:bCs/>
          <w:sz w:val="22"/>
          <w:szCs w:val="22"/>
          <w:lang w:val="en-US" w:eastAsia="en-GB"/>
        </w:rPr>
        <w:t>)</w:t>
      </w:r>
      <w:r>
        <w:rPr>
          <w:rFonts w:ascii="Palatino Linotype" w:eastAsia="Times New Roman" w:hAnsi="Palatino Linotype"/>
          <w:bCs/>
          <w:sz w:val="22"/>
          <w:szCs w:val="22"/>
          <w:lang w:val="en-US" w:eastAsia="en-GB"/>
        </w:rPr>
        <w:t xml:space="preserve"> during May</w:t>
      </w:r>
      <w:r w:rsidRPr="005048C2">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 xml:space="preserve">2022, while, </w:t>
      </w:r>
      <w:r w:rsidRPr="0044705E">
        <w:rPr>
          <w:rFonts w:ascii="Palatino Linotype" w:eastAsia="Times New Roman" w:hAnsi="Palatino Linotype"/>
          <w:bCs/>
          <w:sz w:val="22"/>
          <w:szCs w:val="22"/>
          <w:lang w:val="en-US" w:eastAsia="en-GB"/>
        </w:rPr>
        <w:t>Straits Times</w:t>
      </w:r>
      <w:r w:rsidRPr="00F05A5E">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index</w:t>
      </w:r>
      <w:r w:rsidRPr="00A01675">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of the Singapore</w:t>
      </w:r>
      <w:r w:rsidRPr="006B015D">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exhibited least volatility</w:t>
      </w:r>
      <w:r w:rsidRPr="00A01675">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13.1</w:t>
      </w:r>
      <w:r w:rsidRPr="00A01675">
        <w:rPr>
          <w:rFonts w:ascii="Palatino Linotype" w:eastAsia="Times New Roman" w:hAnsi="Palatino Linotype"/>
          <w:bCs/>
          <w:sz w:val="22"/>
          <w:szCs w:val="22"/>
          <w:lang w:val="en-US" w:eastAsia="en-GB"/>
        </w:rPr>
        <w:t xml:space="preserve"> per cent). </w:t>
      </w:r>
    </w:p>
    <w:p w:rsidR="00557572" w:rsidRPr="00EF3334" w:rsidRDefault="00557572" w:rsidP="00557572">
      <w:pPr>
        <w:numPr>
          <w:ilvl w:val="0"/>
          <w:numId w:val="10"/>
        </w:numPr>
        <w:spacing w:line="276" w:lineRule="auto"/>
        <w:jc w:val="both"/>
        <w:rPr>
          <w:rFonts w:ascii="Palatino Linotype" w:eastAsia="Times New Roman" w:hAnsi="Palatino Linotype"/>
          <w:bCs/>
          <w:color w:val="FF0000"/>
          <w:sz w:val="22"/>
          <w:szCs w:val="22"/>
          <w:lang w:val="en-US" w:eastAsia="en-GB"/>
        </w:rPr>
      </w:pPr>
      <w:r>
        <w:rPr>
          <w:rFonts w:ascii="Palatino Linotype" w:eastAsia="Times New Roman" w:hAnsi="Palatino Linotype"/>
          <w:bCs/>
          <w:sz w:val="22"/>
          <w:szCs w:val="22"/>
          <w:lang w:val="en-US" w:eastAsia="en-GB"/>
        </w:rPr>
        <w:t>During May</w:t>
      </w:r>
      <w:r w:rsidRPr="005048C2">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2022, Dax</w:t>
      </w:r>
      <w:r w:rsidRPr="00F05A5E">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index</w:t>
      </w:r>
      <w:r w:rsidRPr="00A01675">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 xml:space="preserve">of the Germany was top gainer with an increase of 2.1 per cent, while </w:t>
      </w:r>
      <w:r w:rsidRPr="0044705E">
        <w:rPr>
          <w:rFonts w:ascii="Palatino Linotype" w:eastAsia="Times New Roman" w:hAnsi="Palatino Linotype"/>
          <w:bCs/>
          <w:sz w:val="22"/>
          <w:szCs w:val="22"/>
          <w:lang w:val="en-US" w:eastAsia="en-GB"/>
        </w:rPr>
        <w:t>Straits Times</w:t>
      </w:r>
      <w:r w:rsidRPr="00F05A5E">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 xml:space="preserve">index registered highest decline of 3.7 per cent, among the select developed market indices. </w:t>
      </w:r>
    </w:p>
    <w:p w:rsidR="00557572" w:rsidRPr="00DF5CEF" w:rsidRDefault="00557572" w:rsidP="00557572">
      <w:pPr>
        <w:numPr>
          <w:ilvl w:val="0"/>
          <w:numId w:val="10"/>
        </w:numPr>
        <w:spacing w:line="276" w:lineRule="auto"/>
        <w:jc w:val="both"/>
        <w:rPr>
          <w:rFonts w:ascii="Palatino Linotype" w:eastAsia="Times New Roman" w:hAnsi="Palatino Linotype"/>
          <w:bCs/>
          <w:sz w:val="22"/>
          <w:szCs w:val="22"/>
          <w:lang w:val="en-US" w:eastAsia="en-GB"/>
        </w:rPr>
      </w:pPr>
      <w:r w:rsidRPr="003B5DCF">
        <w:rPr>
          <w:rFonts w:ascii="Palatino Linotype" w:eastAsia="Times New Roman" w:hAnsi="Palatino Linotype"/>
          <w:bCs/>
          <w:sz w:val="22"/>
          <w:szCs w:val="22"/>
          <w:lang w:val="en-US" w:eastAsia="en-GB"/>
        </w:rPr>
        <w:t>The MSCI World Index</w:t>
      </w:r>
      <w:r w:rsidRPr="00DF5CEF">
        <w:rPr>
          <w:rFonts w:ascii="Palatino Linotype" w:eastAsia="Times New Roman" w:hAnsi="Palatino Linotype"/>
          <w:bCs/>
          <w:sz w:val="22"/>
          <w:szCs w:val="22"/>
          <w:lang w:val="en-US" w:eastAsia="en-GB"/>
        </w:rPr>
        <w:t xml:space="preserve">, which is a broad global equity index that represents large and mid-cap equity performance across </w:t>
      </w:r>
      <w:r>
        <w:rPr>
          <w:rFonts w:ascii="Palatino Linotype" w:eastAsia="Times New Roman" w:hAnsi="Palatino Linotype"/>
          <w:bCs/>
          <w:sz w:val="22"/>
          <w:szCs w:val="22"/>
          <w:lang w:val="en-US" w:eastAsia="en-GB"/>
        </w:rPr>
        <w:t>23 developed markets, de</w:t>
      </w:r>
      <w:r w:rsidRPr="00DF5CEF">
        <w:rPr>
          <w:rFonts w:ascii="Palatino Linotype" w:eastAsia="Times New Roman" w:hAnsi="Palatino Linotype"/>
          <w:bCs/>
          <w:sz w:val="22"/>
          <w:szCs w:val="22"/>
          <w:lang w:val="en-US" w:eastAsia="en-GB"/>
        </w:rPr>
        <w:t xml:space="preserve">creased by </w:t>
      </w:r>
      <w:r>
        <w:rPr>
          <w:rFonts w:ascii="Palatino Linotype" w:eastAsia="Times New Roman" w:hAnsi="Palatino Linotype"/>
          <w:bCs/>
          <w:sz w:val="22"/>
          <w:szCs w:val="22"/>
          <w:lang w:val="en-US" w:eastAsia="en-GB"/>
        </w:rPr>
        <w:t>0.2</w:t>
      </w:r>
      <w:r w:rsidRPr="00DF5CEF">
        <w:rPr>
          <w:rFonts w:ascii="Palatino Linotype" w:eastAsia="Times New Roman" w:hAnsi="Palatino Linotype"/>
          <w:bCs/>
          <w:sz w:val="22"/>
          <w:szCs w:val="22"/>
          <w:lang w:val="en-US" w:eastAsia="en-GB"/>
        </w:rPr>
        <w:t xml:space="preserve"> per cent in </w:t>
      </w:r>
      <w:r>
        <w:rPr>
          <w:rFonts w:ascii="Palatino Linotype" w:eastAsia="Times New Roman" w:hAnsi="Palatino Linotype"/>
          <w:bCs/>
          <w:sz w:val="22"/>
          <w:szCs w:val="22"/>
          <w:lang w:val="en-US" w:eastAsia="en-GB"/>
        </w:rPr>
        <w:t>May</w:t>
      </w:r>
      <w:r w:rsidRPr="005048C2">
        <w:rPr>
          <w:rFonts w:ascii="Palatino Linotype" w:eastAsia="Times New Roman" w:hAnsi="Palatino Linotype"/>
          <w:bCs/>
          <w:sz w:val="22"/>
          <w:szCs w:val="22"/>
          <w:lang w:val="en-US" w:eastAsia="en-GB"/>
        </w:rPr>
        <w:t xml:space="preserve"> </w:t>
      </w:r>
      <w:r w:rsidRPr="00DF5CEF">
        <w:rPr>
          <w:rFonts w:ascii="Palatino Linotype" w:eastAsia="Times New Roman" w:hAnsi="Palatino Linotype"/>
          <w:bCs/>
          <w:sz w:val="22"/>
          <w:szCs w:val="22"/>
          <w:lang w:val="en-US" w:eastAsia="en-GB"/>
        </w:rPr>
        <w:t>2022.</w:t>
      </w:r>
    </w:p>
    <w:p w:rsidR="00557572" w:rsidRDefault="00557572" w:rsidP="00557572">
      <w:pPr>
        <w:numPr>
          <w:ilvl w:val="0"/>
          <w:numId w:val="10"/>
        </w:numPr>
        <w:spacing w:line="276" w:lineRule="auto"/>
        <w:jc w:val="both"/>
        <w:rPr>
          <w:rFonts w:ascii="Palatino Linotype" w:eastAsia="Times New Roman" w:hAnsi="Palatino Linotype"/>
          <w:bCs/>
          <w:sz w:val="22"/>
          <w:szCs w:val="22"/>
          <w:lang w:val="en-US" w:eastAsia="en-GB"/>
        </w:rPr>
      </w:pPr>
      <w:r w:rsidRPr="00DF5CEF">
        <w:rPr>
          <w:rFonts w:ascii="Palatino Linotype" w:eastAsia="Times New Roman" w:hAnsi="Palatino Linotype"/>
          <w:bCs/>
          <w:sz w:val="22"/>
          <w:szCs w:val="22"/>
          <w:lang w:val="en-US" w:eastAsia="en-GB"/>
        </w:rPr>
        <w:t>MSCI All Country World Price Index (MSCI ACWI), which represent</w:t>
      </w:r>
      <w:r w:rsidR="007F63CB">
        <w:rPr>
          <w:rFonts w:ascii="Palatino Linotype" w:eastAsia="Times New Roman" w:hAnsi="Palatino Linotype"/>
          <w:bCs/>
          <w:sz w:val="22"/>
          <w:szCs w:val="22"/>
          <w:lang w:val="en-US" w:eastAsia="en-GB"/>
        </w:rPr>
        <w:t>s</w:t>
      </w:r>
      <w:r w:rsidRPr="00DF5CEF">
        <w:rPr>
          <w:rFonts w:ascii="Palatino Linotype" w:eastAsia="Times New Roman" w:hAnsi="Palatino Linotype"/>
          <w:bCs/>
          <w:sz w:val="22"/>
          <w:szCs w:val="22"/>
          <w:lang w:val="en-US" w:eastAsia="en-GB"/>
        </w:rPr>
        <w:t xml:space="preserve"> performance of set of large- and mid-cap stocks across 23 developed</w:t>
      </w:r>
      <w:r w:rsidRPr="003B5DCF">
        <w:rPr>
          <w:rFonts w:ascii="Palatino Linotype" w:eastAsia="Times New Roman" w:hAnsi="Palatino Linotype"/>
          <w:bCs/>
          <w:sz w:val="22"/>
          <w:szCs w:val="22"/>
          <w:lang w:val="en-US" w:eastAsia="en-GB"/>
        </w:rPr>
        <w:t xml:space="preserve"> and 27 emerging markets</w:t>
      </w:r>
      <w:r>
        <w:rPr>
          <w:rFonts w:ascii="Palatino Linotype" w:eastAsia="Times New Roman" w:hAnsi="Palatino Linotype"/>
          <w:bCs/>
          <w:sz w:val="22"/>
          <w:szCs w:val="22"/>
          <w:lang w:val="en-US" w:eastAsia="en-GB"/>
        </w:rPr>
        <w:t>, moved down by 0.1 per cent during the month.</w:t>
      </w:r>
    </w:p>
    <w:p w:rsidR="00557572" w:rsidRPr="003B5DCF" w:rsidRDefault="00557572" w:rsidP="00557572">
      <w:pPr>
        <w:spacing w:line="276" w:lineRule="auto"/>
        <w:ind w:left="360"/>
        <w:jc w:val="both"/>
        <w:rPr>
          <w:rFonts w:ascii="Palatino Linotype" w:eastAsia="Times New Roman" w:hAnsi="Palatino Linotype"/>
          <w:bCs/>
          <w:sz w:val="22"/>
          <w:szCs w:val="22"/>
          <w:lang w:val="en-US" w:eastAsia="en-GB"/>
        </w:rPr>
      </w:pPr>
    </w:p>
    <w:p w:rsidR="00557572" w:rsidRDefault="00557572" w:rsidP="00557572">
      <w:pPr>
        <w:rPr>
          <w:rFonts w:ascii="Palatino Linotype" w:hAnsi="Palatino Linotype"/>
          <w:b/>
          <w:bCs/>
          <w:szCs w:val="22"/>
        </w:rPr>
      </w:pPr>
      <w:r>
        <w:rPr>
          <w:rFonts w:ascii="Palatino Linotype" w:hAnsi="Palatino Linotype"/>
          <w:b/>
          <w:bCs/>
          <w:szCs w:val="22"/>
        </w:rPr>
        <w:t>Table 1: Performance of Stock Indices</w:t>
      </w:r>
    </w:p>
    <w:tbl>
      <w:tblPr>
        <w:tblW w:w="10622" w:type="dxa"/>
        <w:tblLook w:val="04A0" w:firstRow="1" w:lastRow="0" w:firstColumn="1" w:lastColumn="0" w:noHBand="0" w:noVBand="1"/>
      </w:tblPr>
      <w:tblGrid>
        <w:gridCol w:w="1398"/>
        <w:gridCol w:w="2112"/>
        <w:gridCol w:w="1276"/>
        <w:gridCol w:w="1134"/>
        <w:gridCol w:w="992"/>
        <w:gridCol w:w="1058"/>
        <w:gridCol w:w="783"/>
        <w:gridCol w:w="1176"/>
        <w:gridCol w:w="693"/>
      </w:tblGrid>
      <w:tr w:rsidR="00557572" w:rsidRPr="00395D65" w:rsidTr="005F1CCA">
        <w:trPr>
          <w:trHeight w:val="188"/>
        </w:trPr>
        <w:tc>
          <w:tcPr>
            <w:tcW w:w="1398"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Country</w:t>
            </w:r>
          </w:p>
        </w:tc>
        <w:tc>
          <w:tcPr>
            <w:tcW w:w="2112"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Index</w:t>
            </w:r>
          </w:p>
        </w:tc>
        <w:tc>
          <w:tcPr>
            <w:tcW w:w="1276" w:type="dxa"/>
            <w:tcBorders>
              <w:top w:val="single" w:sz="8" w:space="0" w:color="auto"/>
              <w:left w:val="nil"/>
              <w:bottom w:val="nil"/>
              <w:right w:val="single" w:sz="8" w:space="0" w:color="auto"/>
            </w:tcBorders>
            <w:shd w:val="clear" w:color="000000" w:fill="B4C6E7"/>
            <w:noWrap/>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Closing Value as on</w:t>
            </w:r>
          </w:p>
        </w:tc>
        <w:tc>
          <w:tcPr>
            <w:tcW w:w="3967" w:type="dxa"/>
            <w:gridSpan w:val="4"/>
            <w:tcBorders>
              <w:top w:val="single" w:sz="8" w:space="0" w:color="auto"/>
              <w:left w:val="nil"/>
              <w:bottom w:val="single" w:sz="8" w:space="0" w:color="auto"/>
              <w:right w:val="single" w:sz="8" w:space="0" w:color="000000"/>
            </w:tcBorders>
            <w:shd w:val="clear" w:color="000000" w:fill="B4C6E7"/>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Pr>
                <w:rFonts w:ascii="Palatino Linotype" w:eastAsia="Times New Roman" w:hAnsi="Palatino Linotype" w:cs="Calibri"/>
                <w:b/>
                <w:bCs/>
                <w:color w:val="000000"/>
                <w:sz w:val="18"/>
                <w:szCs w:val="18"/>
                <w:lang w:val="en-IN" w:eastAsia="en-IN" w:bidi="hi-IN"/>
              </w:rPr>
              <w:t xml:space="preserve">Percentage </w:t>
            </w:r>
            <w:r w:rsidRPr="00395D65">
              <w:rPr>
                <w:rFonts w:ascii="Palatino Linotype" w:eastAsia="Times New Roman" w:hAnsi="Palatino Linotype" w:cs="Calibri"/>
                <w:b/>
                <w:bCs/>
                <w:color w:val="000000"/>
                <w:sz w:val="18"/>
                <w:szCs w:val="18"/>
                <w:lang w:val="en-IN" w:eastAsia="en-IN" w:bidi="hi-IN"/>
              </w:rPr>
              <w:t>Change in Closing Value over period</w:t>
            </w:r>
          </w:p>
        </w:tc>
        <w:tc>
          <w:tcPr>
            <w:tcW w:w="1176" w:type="dxa"/>
            <w:tcBorders>
              <w:top w:val="single" w:sz="8" w:space="0" w:color="auto"/>
              <w:left w:val="single" w:sz="8" w:space="0" w:color="auto"/>
              <w:right w:val="single" w:sz="8" w:space="0" w:color="auto"/>
            </w:tcBorders>
            <w:shd w:val="clear" w:color="auto" w:fill="BDD6EE"/>
            <w:vAlign w:val="center"/>
            <w:hideMark/>
          </w:tcPr>
          <w:p w:rsidR="00557572" w:rsidRDefault="00557572" w:rsidP="005F1CCA">
            <w:pPr>
              <w:jc w:val="center"/>
              <w:rPr>
                <w:rFonts w:ascii="Palatino Linotype" w:eastAsia="Times New Roman" w:hAnsi="Palatino Linotype" w:cs="Calibri"/>
                <w:b/>
                <w:bCs/>
                <w:color w:val="000000"/>
                <w:sz w:val="18"/>
                <w:szCs w:val="18"/>
                <w:lang w:val="en-IN" w:eastAsia="en-IN" w:bidi="hi-IN"/>
              </w:rPr>
            </w:pPr>
            <w:r>
              <w:rPr>
                <w:rFonts w:ascii="Palatino Linotype" w:eastAsia="Times New Roman" w:hAnsi="Palatino Linotype" w:cs="Calibri"/>
                <w:b/>
                <w:bCs/>
                <w:color w:val="000000"/>
                <w:sz w:val="18"/>
                <w:szCs w:val="18"/>
                <w:lang w:val="en-IN" w:eastAsia="en-IN" w:bidi="hi-IN"/>
              </w:rPr>
              <w:t>Annualised</w:t>
            </w:r>
          </w:p>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Volatility</w:t>
            </w:r>
            <w:r>
              <w:rPr>
                <w:rFonts w:ascii="Palatino Linotype" w:eastAsia="Times New Roman" w:hAnsi="Palatino Linotype" w:cs="Calibri"/>
                <w:b/>
                <w:bCs/>
                <w:color w:val="000000"/>
                <w:sz w:val="18"/>
                <w:szCs w:val="18"/>
                <w:lang w:val="en-IN" w:eastAsia="en-IN" w:bidi="hi-IN"/>
              </w:rPr>
              <w:t xml:space="preserve"> </w:t>
            </w:r>
          </w:p>
        </w:tc>
        <w:tc>
          <w:tcPr>
            <w:tcW w:w="693" w:type="dxa"/>
            <w:tcBorders>
              <w:top w:val="single" w:sz="8" w:space="0" w:color="auto"/>
              <w:left w:val="single" w:sz="8" w:space="0" w:color="auto"/>
              <w:right w:val="single" w:sz="8" w:space="0" w:color="auto"/>
            </w:tcBorders>
            <w:shd w:val="clear" w:color="auto" w:fill="BDD6EE"/>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P/E Ratio</w:t>
            </w:r>
          </w:p>
        </w:tc>
      </w:tr>
      <w:tr w:rsidR="00557572" w:rsidRPr="00395D65" w:rsidTr="005F1CCA">
        <w:trPr>
          <w:trHeight w:val="288"/>
        </w:trPr>
        <w:tc>
          <w:tcPr>
            <w:tcW w:w="1398" w:type="dxa"/>
            <w:vMerge/>
            <w:tcBorders>
              <w:top w:val="single" w:sz="8" w:space="0" w:color="auto"/>
              <w:left w:val="single" w:sz="8" w:space="0" w:color="auto"/>
              <w:bottom w:val="single" w:sz="8" w:space="0" w:color="000000"/>
              <w:right w:val="single" w:sz="8" w:space="0" w:color="auto"/>
            </w:tcBorders>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p>
        </w:tc>
        <w:tc>
          <w:tcPr>
            <w:tcW w:w="2112" w:type="dxa"/>
            <w:vMerge/>
            <w:tcBorders>
              <w:top w:val="single" w:sz="8" w:space="0" w:color="auto"/>
              <w:left w:val="single" w:sz="8" w:space="0" w:color="auto"/>
              <w:bottom w:val="single" w:sz="8" w:space="0" w:color="000000"/>
              <w:right w:val="single" w:sz="8" w:space="0" w:color="auto"/>
            </w:tcBorders>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p>
        </w:tc>
        <w:tc>
          <w:tcPr>
            <w:tcW w:w="1276" w:type="dxa"/>
            <w:tcBorders>
              <w:top w:val="nil"/>
              <w:left w:val="nil"/>
              <w:bottom w:val="single" w:sz="8" w:space="0" w:color="auto"/>
              <w:right w:val="single" w:sz="8" w:space="0" w:color="auto"/>
            </w:tcBorders>
            <w:shd w:val="clear" w:color="000000" w:fill="B4C6E7"/>
            <w:noWrap/>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Pr>
                <w:rFonts w:ascii="Palatino Linotype" w:eastAsia="Times New Roman" w:hAnsi="Palatino Linotype" w:cs="Calibri"/>
                <w:b/>
                <w:bCs/>
                <w:color w:val="000000"/>
                <w:sz w:val="18"/>
                <w:szCs w:val="18"/>
                <w:lang w:val="en-IN" w:eastAsia="en-IN" w:bidi="hi-IN"/>
              </w:rPr>
              <w:t>31-May</w:t>
            </w:r>
            <w:r w:rsidRPr="00395D65">
              <w:rPr>
                <w:rFonts w:ascii="Palatino Linotype" w:eastAsia="Times New Roman" w:hAnsi="Palatino Linotype" w:cs="Calibri"/>
                <w:b/>
                <w:bCs/>
                <w:color w:val="000000"/>
                <w:sz w:val="18"/>
                <w:szCs w:val="18"/>
                <w:lang w:val="en-IN" w:eastAsia="en-IN" w:bidi="hi-IN"/>
              </w:rPr>
              <w:t>-2</w:t>
            </w:r>
            <w:r>
              <w:rPr>
                <w:rFonts w:ascii="Palatino Linotype" w:eastAsia="Times New Roman" w:hAnsi="Palatino Linotype" w:cs="Calibri"/>
                <w:b/>
                <w:bCs/>
                <w:color w:val="000000"/>
                <w:sz w:val="18"/>
                <w:szCs w:val="18"/>
                <w:lang w:val="en-IN" w:eastAsia="en-IN" w:bidi="hi-IN"/>
              </w:rPr>
              <w:t>2</w:t>
            </w:r>
          </w:p>
        </w:tc>
        <w:tc>
          <w:tcPr>
            <w:tcW w:w="1134" w:type="dxa"/>
            <w:tcBorders>
              <w:top w:val="nil"/>
              <w:left w:val="nil"/>
              <w:bottom w:val="single" w:sz="8" w:space="0" w:color="auto"/>
              <w:right w:val="single" w:sz="8" w:space="0" w:color="auto"/>
            </w:tcBorders>
            <w:shd w:val="clear" w:color="000000" w:fill="B4C6E7"/>
            <w:noWrap/>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1-Month</w:t>
            </w:r>
          </w:p>
        </w:tc>
        <w:tc>
          <w:tcPr>
            <w:tcW w:w="992" w:type="dxa"/>
            <w:tcBorders>
              <w:top w:val="nil"/>
              <w:left w:val="nil"/>
              <w:bottom w:val="single" w:sz="8" w:space="0" w:color="auto"/>
              <w:right w:val="single" w:sz="8" w:space="0" w:color="auto"/>
            </w:tcBorders>
            <w:shd w:val="clear" w:color="000000" w:fill="B4C6E7"/>
            <w:noWrap/>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3-Month</w:t>
            </w:r>
          </w:p>
        </w:tc>
        <w:tc>
          <w:tcPr>
            <w:tcW w:w="1058" w:type="dxa"/>
            <w:tcBorders>
              <w:top w:val="nil"/>
              <w:left w:val="nil"/>
              <w:bottom w:val="single" w:sz="8" w:space="0" w:color="auto"/>
              <w:right w:val="single" w:sz="8" w:space="0" w:color="auto"/>
            </w:tcBorders>
            <w:shd w:val="clear" w:color="000000" w:fill="B4C6E7"/>
            <w:noWrap/>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6-Month</w:t>
            </w:r>
          </w:p>
        </w:tc>
        <w:tc>
          <w:tcPr>
            <w:tcW w:w="783" w:type="dxa"/>
            <w:tcBorders>
              <w:top w:val="nil"/>
              <w:left w:val="nil"/>
              <w:bottom w:val="single" w:sz="8" w:space="0" w:color="auto"/>
              <w:right w:val="single" w:sz="8" w:space="0" w:color="auto"/>
            </w:tcBorders>
            <w:shd w:val="clear" w:color="000000" w:fill="B4C6E7"/>
            <w:noWrap/>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1-Year</w:t>
            </w:r>
          </w:p>
        </w:tc>
        <w:tc>
          <w:tcPr>
            <w:tcW w:w="1176" w:type="dxa"/>
            <w:tcBorders>
              <w:left w:val="single" w:sz="8" w:space="0" w:color="auto"/>
              <w:bottom w:val="single" w:sz="8" w:space="0" w:color="000000"/>
              <w:right w:val="single" w:sz="8" w:space="0" w:color="auto"/>
            </w:tcBorders>
            <w:shd w:val="clear" w:color="auto" w:fill="BDD6EE"/>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Pr>
                <w:rFonts w:ascii="Palatino Linotype" w:eastAsia="Times New Roman" w:hAnsi="Palatino Linotype" w:cs="Calibri"/>
                <w:b/>
                <w:bCs/>
                <w:color w:val="000000"/>
                <w:sz w:val="18"/>
                <w:szCs w:val="18"/>
                <w:lang w:val="en-IN" w:eastAsia="en-IN" w:bidi="hi-IN"/>
              </w:rPr>
              <w:t>(%)</w:t>
            </w:r>
          </w:p>
        </w:tc>
        <w:tc>
          <w:tcPr>
            <w:tcW w:w="693" w:type="dxa"/>
            <w:tcBorders>
              <w:left w:val="single" w:sz="8" w:space="0" w:color="auto"/>
              <w:bottom w:val="single" w:sz="8" w:space="0" w:color="000000"/>
              <w:right w:val="single" w:sz="8" w:space="0" w:color="auto"/>
            </w:tcBorders>
            <w:shd w:val="clear" w:color="auto" w:fill="BDD6EE"/>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p>
        </w:tc>
      </w:tr>
      <w:tr w:rsidR="00557572" w:rsidRPr="00395D65" w:rsidTr="005F1CCA">
        <w:trPr>
          <w:trHeight w:val="384"/>
        </w:trPr>
        <w:tc>
          <w:tcPr>
            <w:tcW w:w="10622" w:type="dxa"/>
            <w:gridSpan w:val="9"/>
            <w:tcBorders>
              <w:top w:val="single" w:sz="8" w:space="0" w:color="auto"/>
              <w:left w:val="single" w:sz="8" w:space="0" w:color="auto"/>
              <w:bottom w:val="single" w:sz="8" w:space="0" w:color="auto"/>
              <w:right w:val="single" w:sz="8" w:space="0" w:color="000000"/>
            </w:tcBorders>
            <w:shd w:val="clear" w:color="000000" w:fill="D9E1F2"/>
            <w:noWrap/>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BRICS Nations</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Brazil</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BRAZIL IBOVESPA</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1,11,351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3.2</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-1.6</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9.3</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-11.8</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19.8</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6.5</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India</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Nifty 50</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16,585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-3.0</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-1.2</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-2.3</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6.4</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22.0</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20.4</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India</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S&amp;P BSE SENSEX</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55,566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-2.6</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-1.2</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-2.6</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7.0</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21.8</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22.5</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China</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SHANGHAI COMPOSITE</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3,186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4.6</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-8.0</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-10.6</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-11.9</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15.0</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12.0</w:t>
            </w:r>
          </w:p>
        </w:tc>
      </w:tr>
      <w:tr w:rsidR="00557572" w:rsidRPr="00395D65" w:rsidTr="005F1CCA">
        <w:trPr>
          <w:trHeight w:val="188"/>
        </w:trPr>
        <w:tc>
          <w:tcPr>
            <w:tcW w:w="1398" w:type="dxa"/>
            <w:tcBorders>
              <w:top w:val="nil"/>
              <w:left w:val="single" w:sz="8" w:space="0" w:color="auto"/>
              <w:bottom w:val="single" w:sz="8" w:space="0" w:color="auto"/>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South Africa</w:t>
            </w:r>
          </w:p>
        </w:tc>
        <w:tc>
          <w:tcPr>
            <w:tcW w:w="2112" w:type="dxa"/>
            <w:tcBorders>
              <w:top w:val="nil"/>
              <w:left w:val="nil"/>
              <w:bottom w:val="single" w:sz="8" w:space="0" w:color="auto"/>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FTSE/JSE AFRICA</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72,095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-0.5</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-5.3</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2.3</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6.1</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23.2</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8.6</w:t>
            </w:r>
          </w:p>
        </w:tc>
      </w:tr>
      <w:tr w:rsidR="00557572" w:rsidRPr="00395D65" w:rsidTr="005F1CCA">
        <w:trPr>
          <w:trHeight w:val="384"/>
        </w:trPr>
        <w:tc>
          <w:tcPr>
            <w:tcW w:w="10622" w:type="dxa"/>
            <w:gridSpan w:val="9"/>
            <w:tcBorders>
              <w:top w:val="single" w:sz="8" w:space="0" w:color="auto"/>
              <w:left w:val="single" w:sz="8" w:space="0" w:color="auto"/>
              <w:bottom w:val="single" w:sz="8" w:space="0" w:color="auto"/>
              <w:right w:val="single" w:sz="8" w:space="0" w:color="000000"/>
            </w:tcBorders>
            <w:shd w:val="clear" w:color="000000" w:fill="D9E1F2"/>
            <w:vAlign w:val="center"/>
            <w:hideMark/>
          </w:tcPr>
          <w:p w:rsidR="00557572" w:rsidRPr="00395D65" w:rsidRDefault="00557572" w:rsidP="005F1CCA">
            <w:pPr>
              <w:jc w:val="center"/>
              <w:rPr>
                <w:rFonts w:ascii="Palatino Linotype" w:eastAsia="Times New Roman" w:hAnsi="Palatino Linotype" w:cs="Calibri"/>
                <w:b/>
                <w:bCs/>
                <w:color w:val="000000"/>
                <w:sz w:val="18"/>
                <w:szCs w:val="18"/>
                <w:lang w:val="en-IN" w:eastAsia="en-IN" w:bidi="hi-IN"/>
              </w:rPr>
            </w:pPr>
            <w:r w:rsidRPr="00395D65">
              <w:rPr>
                <w:rFonts w:ascii="Palatino Linotype" w:eastAsia="Times New Roman" w:hAnsi="Palatino Linotype" w:cs="Calibri"/>
                <w:b/>
                <w:bCs/>
                <w:color w:val="000000"/>
                <w:sz w:val="18"/>
                <w:szCs w:val="18"/>
                <w:lang w:val="en-IN" w:eastAsia="en-IN" w:bidi="hi-IN"/>
              </w:rPr>
              <w:t>Developed Markets</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USA</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NASDAQ COMPOSITE</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12,081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-2.1</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-12.1</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-22.2</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-12.1</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40.9</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NA</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USA</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DOW JONES INDUS. AVG</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32,990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0.0</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-2.7</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-4.3</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-4.5</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24.2</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17.8</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France</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CAC 40</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6,469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-1.0</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-2.9</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-3.8</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0.3</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23.3</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12.0</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Germany</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DAX</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14,388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2.1</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-0.5</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-4.7</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-6.7</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21.1</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13.0</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UK</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FTSE 100</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7,608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0.8</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2.0</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7.8</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8.3</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18.6</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13.2</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Hong Kong</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HANG SENG</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21,415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1.5</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-5.7</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-8.8</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-26.5</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29.8</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10.4</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South Korea</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KOSPI</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2,686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-0.3</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-0.5</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-5.4</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-16.2</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15.9</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NA</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Japan</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NIKKEI 225</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27,280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1.6</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2.8</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-1.9</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-5.5</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18.9</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15.7</w:t>
            </w:r>
          </w:p>
        </w:tc>
      </w:tr>
      <w:tr w:rsidR="00557572" w:rsidRPr="00395D65" w:rsidTr="005F1CCA">
        <w:trPr>
          <w:trHeight w:val="179"/>
        </w:trPr>
        <w:tc>
          <w:tcPr>
            <w:tcW w:w="1398" w:type="dxa"/>
            <w:tcBorders>
              <w:top w:val="nil"/>
              <w:left w:val="single" w:sz="8" w:space="0" w:color="auto"/>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Singapore</w:t>
            </w:r>
          </w:p>
        </w:tc>
        <w:tc>
          <w:tcPr>
            <w:tcW w:w="2112" w:type="dxa"/>
            <w:tcBorders>
              <w:top w:val="nil"/>
              <w:left w:val="nil"/>
              <w:bottom w:val="nil"/>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STRAITS TIMES  STI</w:t>
            </w:r>
          </w:p>
        </w:tc>
        <w:tc>
          <w:tcPr>
            <w:tcW w:w="1276" w:type="dxa"/>
            <w:tcBorders>
              <w:top w:val="nil"/>
              <w:left w:val="nil"/>
              <w:bottom w:val="nil"/>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3,232 </w:t>
            </w:r>
          </w:p>
        </w:tc>
        <w:tc>
          <w:tcPr>
            <w:tcW w:w="1134"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-3.7</w:t>
            </w:r>
          </w:p>
        </w:tc>
        <w:tc>
          <w:tcPr>
            <w:tcW w:w="992"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-0.3</w:t>
            </w:r>
          </w:p>
        </w:tc>
        <w:tc>
          <w:tcPr>
            <w:tcW w:w="1058"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6.3</w:t>
            </w:r>
          </w:p>
        </w:tc>
        <w:tc>
          <w:tcPr>
            <w:tcW w:w="78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2.2</w:t>
            </w:r>
          </w:p>
        </w:tc>
        <w:tc>
          <w:tcPr>
            <w:tcW w:w="1176"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13.1</w:t>
            </w:r>
          </w:p>
        </w:tc>
        <w:tc>
          <w:tcPr>
            <w:tcW w:w="693" w:type="dxa"/>
            <w:tcBorders>
              <w:top w:val="nil"/>
              <w:left w:val="nil"/>
              <w:bottom w:val="nil"/>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12.4</w:t>
            </w:r>
          </w:p>
        </w:tc>
      </w:tr>
      <w:tr w:rsidR="00557572" w:rsidRPr="00395D65" w:rsidTr="005F1CCA">
        <w:trPr>
          <w:trHeight w:val="188"/>
        </w:trPr>
        <w:tc>
          <w:tcPr>
            <w:tcW w:w="1398" w:type="dxa"/>
            <w:tcBorders>
              <w:top w:val="nil"/>
              <w:left w:val="single" w:sz="8" w:space="0" w:color="auto"/>
              <w:bottom w:val="single" w:sz="8" w:space="0" w:color="auto"/>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Taiwan</w:t>
            </w:r>
          </w:p>
        </w:tc>
        <w:tc>
          <w:tcPr>
            <w:tcW w:w="2112" w:type="dxa"/>
            <w:tcBorders>
              <w:top w:val="nil"/>
              <w:left w:val="nil"/>
              <w:bottom w:val="single" w:sz="8" w:space="0" w:color="auto"/>
              <w:right w:val="single" w:sz="8" w:space="0" w:color="auto"/>
            </w:tcBorders>
            <w:shd w:val="clear" w:color="000000" w:fill="D9E1F2"/>
            <w:noWrap/>
            <w:vAlign w:val="center"/>
            <w:hideMark/>
          </w:tcPr>
          <w:p w:rsidR="00557572" w:rsidRPr="00395D65" w:rsidRDefault="00557572" w:rsidP="005F1CCA">
            <w:pPr>
              <w:rPr>
                <w:rFonts w:ascii="Palatino Linotype" w:eastAsia="Times New Roman" w:hAnsi="Palatino Linotype" w:cs="Calibri"/>
                <w:color w:val="000000"/>
                <w:sz w:val="18"/>
                <w:szCs w:val="18"/>
                <w:lang w:val="en-IN" w:eastAsia="en-IN" w:bidi="hi-IN"/>
              </w:rPr>
            </w:pPr>
            <w:r w:rsidRPr="00395D65">
              <w:rPr>
                <w:rFonts w:ascii="Palatino Linotype" w:eastAsia="Times New Roman" w:hAnsi="Palatino Linotype" w:cs="Calibri"/>
                <w:color w:val="000000"/>
                <w:sz w:val="18"/>
                <w:szCs w:val="18"/>
                <w:lang w:val="en-IN" w:eastAsia="en-IN" w:bidi="hi-IN"/>
              </w:rPr>
              <w:t>TAIWAN TAIEX</w:t>
            </w:r>
          </w:p>
        </w:tc>
        <w:tc>
          <w:tcPr>
            <w:tcW w:w="1276" w:type="dxa"/>
            <w:tcBorders>
              <w:top w:val="nil"/>
              <w:left w:val="nil"/>
              <w:bottom w:val="single" w:sz="8" w:space="0" w:color="auto"/>
              <w:right w:val="single" w:sz="8" w:space="0" w:color="auto"/>
            </w:tcBorders>
            <w:shd w:val="clear" w:color="000000" w:fill="9BC2E6"/>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 xml:space="preserve"> 16,808 </w:t>
            </w:r>
          </w:p>
        </w:tc>
        <w:tc>
          <w:tcPr>
            <w:tcW w:w="1134" w:type="dxa"/>
            <w:tcBorders>
              <w:top w:val="nil"/>
              <w:left w:val="nil"/>
              <w:bottom w:val="single" w:sz="8" w:space="0" w:color="auto"/>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1.3</w:t>
            </w:r>
          </w:p>
        </w:tc>
        <w:tc>
          <w:tcPr>
            <w:tcW w:w="992" w:type="dxa"/>
            <w:tcBorders>
              <w:top w:val="nil"/>
              <w:left w:val="nil"/>
              <w:bottom w:val="single" w:sz="8" w:space="0" w:color="auto"/>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-4.8</w:t>
            </w:r>
          </w:p>
        </w:tc>
        <w:tc>
          <w:tcPr>
            <w:tcW w:w="1058" w:type="dxa"/>
            <w:tcBorders>
              <w:top w:val="nil"/>
              <w:left w:val="nil"/>
              <w:bottom w:val="single" w:sz="8" w:space="0" w:color="auto"/>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-3.6</w:t>
            </w:r>
          </w:p>
        </w:tc>
        <w:tc>
          <w:tcPr>
            <w:tcW w:w="783" w:type="dxa"/>
            <w:tcBorders>
              <w:top w:val="nil"/>
              <w:left w:val="nil"/>
              <w:bottom w:val="single" w:sz="8" w:space="0" w:color="auto"/>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-1.5</w:t>
            </w:r>
          </w:p>
        </w:tc>
        <w:tc>
          <w:tcPr>
            <w:tcW w:w="1176" w:type="dxa"/>
            <w:tcBorders>
              <w:top w:val="nil"/>
              <w:left w:val="nil"/>
              <w:bottom w:val="single" w:sz="8" w:space="0" w:color="auto"/>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20.3</w:t>
            </w:r>
          </w:p>
        </w:tc>
        <w:tc>
          <w:tcPr>
            <w:tcW w:w="693" w:type="dxa"/>
            <w:tcBorders>
              <w:top w:val="nil"/>
              <w:left w:val="nil"/>
              <w:bottom w:val="single" w:sz="8" w:space="0" w:color="auto"/>
              <w:right w:val="single" w:sz="8" w:space="0" w:color="auto"/>
            </w:tcBorders>
            <w:shd w:val="clear" w:color="auto" w:fill="auto"/>
            <w:noWrap/>
            <w:hideMark/>
          </w:tcPr>
          <w:p w:rsidR="00557572" w:rsidRPr="00283C58" w:rsidRDefault="00557572" w:rsidP="005F1CCA">
            <w:pPr>
              <w:jc w:val="right"/>
              <w:rPr>
                <w:rFonts w:ascii="Palatino Linotype" w:hAnsi="Palatino Linotype"/>
                <w:sz w:val="18"/>
                <w:szCs w:val="18"/>
              </w:rPr>
            </w:pPr>
            <w:r w:rsidRPr="00283C58">
              <w:rPr>
                <w:rFonts w:ascii="Palatino Linotype" w:hAnsi="Palatino Linotype"/>
                <w:sz w:val="18"/>
                <w:szCs w:val="18"/>
              </w:rPr>
              <w:t>11.0</w:t>
            </w:r>
          </w:p>
        </w:tc>
      </w:tr>
    </w:tbl>
    <w:p w:rsidR="00557572" w:rsidRDefault="00557572" w:rsidP="00557572">
      <w:pPr>
        <w:spacing w:line="23" w:lineRule="atLeast"/>
        <w:jc w:val="both"/>
        <w:rPr>
          <w:rFonts w:ascii="Palatino Linotype" w:hAnsi="Palatino Linotype"/>
          <w:bCs/>
          <w:sz w:val="18"/>
          <w:szCs w:val="18"/>
        </w:rPr>
      </w:pPr>
    </w:p>
    <w:p w:rsidR="00557572" w:rsidRDefault="00557572" w:rsidP="00557572">
      <w:pPr>
        <w:spacing w:line="23" w:lineRule="atLeast"/>
        <w:jc w:val="both"/>
        <w:rPr>
          <w:rFonts w:ascii="Palatino Linotype" w:hAnsi="Palatino Linotype"/>
          <w:bCs/>
          <w:sz w:val="18"/>
          <w:szCs w:val="18"/>
        </w:rPr>
      </w:pPr>
      <w:r>
        <w:rPr>
          <w:rFonts w:ascii="Palatino Linotype" w:hAnsi="Palatino Linotype"/>
          <w:bCs/>
          <w:sz w:val="18"/>
          <w:szCs w:val="18"/>
        </w:rPr>
        <w:t xml:space="preserve">Note: </w:t>
      </w:r>
      <w:r w:rsidRPr="00A01675">
        <w:rPr>
          <w:rFonts w:ascii="Palatino Linotype" w:hAnsi="Palatino Linotype"/>
          <w:bCs/>
          <w:sz w:val="18"/>
          <w:szCs w:val="18"/>
        </w:rPr>
        <w:t xml:space="preserve">P/E Ratios </w:t>
      </w:r>
      <w:r>
        <w:rPr>
          <w:rFonts w:ascii="Palatino Linotype" w:hAnsi="Palatino Linotype"/>
          <w:bCs/>
          <w:sz w:val="18"/>
          <w:szCs w:val="18"/>
        </w:rPr>
        <w:t xml:space="preserve">are </w:t>
      </w:r>
      <w:r w:rsidRPr="00A01675">
        <w:rPr>
          <w:rFonts w:ascii="Palatino Linotype" w:hAnsi="Palatino Linotype"/>
          <w:bCs/>
          <w:sz w:val="18"/>
          <w:szCs w:val="18"/>
        </w:rPr>
        <w:t>as o</w:t>
      </w:r>
      <w:r>
        <w:rPr>
          <w:rFonts w:ascii="Palatino Linotype" w:hAnsi="Palatino Linotype"/>
          <w:bCs/>
          <w:sz w:val="18"/>
          <w:szCs w:val="18"/>
        </w:rPr>
        <w:t>n the last trading day of month</w:t>
      </w:r>
      <w:r w:rsidRPr="00A01675">
        <w:rPr>
          <w:rFonts w:ascii="Palatino Linotype" w:hAnsi="Palatino Linotype"/>
          <w:bCs/>
          <w:sz w:val="18"/>
          <w:szCs w:val="18"/>
        </w:rPr>
        <w:t xml:space="preserve">. </w:t>
      </w:r>
      <w:r>
        <w:rPr>
          <w:rFonts w:ascii="Palatino Linotype" w:hAnsi="Palatino Linotype"/>
          <w:bCs/>
          <w:sz w:val="18"/>
          <w:szCs w:val="18"/>
        </w:rPr>
        <w:t>NA: Not Available</w:t>
      </w:r>
    </w:p>
    <w:p w:rsidR="00557572" w:rsidRPr="00A01675" w:rsidRDefault="00557572" w:rsidP="00557572">
      <w:pPr>
        <w:spacing w:line="23" w:lineRule="atLeast"/>
        <w:jc w:val="both"/>
        <w:rPr>
          <w:rFonts w:ascii="Palatino Linotype" w:hAnsi="Palatino Linotype"/>
          <w:bCs/>
          <w:sz w:val="18"/>
          <w:szCs w:val="18"/>
        </w:rPr>
      </w:pPr>
      <w:r w:rsidRPr="00A01675">
        <w:rPr>
          <w:rFonts w:ascii="Palatino Linotype" w:hAnsi="Palatino Linotype"/>
          <w:bCs/>
          <w:sz w:val="18"/>
          <w:szCs w:val="18"/>
        </w:rPr>
        <w:t>Data for Sensex and Nifty was taken f</w:t>
      </w:r>
      <w:r>
        <w:rPr>
          <w:rFonts w:ascii="Palatino Linotype" w:hAnsi="Palatino Linotype"/>
          <w:bCs/>
          <w:sz w:val="18"/>
          <w:szCs w:val="18"/>
        </w:rPr>
        <w:t>rom respective exchange website</w:t>
      </w:r>
      <w:r w:rsidRPr="00A01675">
        <w:rPr>
          <w:rFonts w:ascii="Palatino Linotype" w:hAnsi="Palatino Linotype"/>
          <w:bCs/>
          <w:sz w:val="18"/>
          <w:szCs w:val="18"/>
          <w:lang w:val="en-US"/>
        </w:rPr>
        <w:t>.</w:t>
      </w:r>
    </w:p>
    <w:p w:rsidR="00557572" w:rsidRDefault="00557572" w:rsidP="00557572">
      <w:pPr>
        <w:spacing w:line="23" w:lineRule="atLeast"/>
        <w:jc w:val="both"/>
        <w:rPr>
          <w:rFonts w:ascii="Palatino Linotype" w:hAnsi="Palatino Linotype"/>
          <w:bCs/>
          <w:sz w:val="18"/>
          <w:szCs w:val="18"/>
        </w:rPr>
      </w:pPr>
      <w:r w:rsidRPr="00A01675">
        <w:rPr>
          <w:rFonts w:ascii="Palatino Linotype" w:hAnsi="Palatino Linotype"/>
          <w:bCs/>
          <w:sz w:val="18"/>
          <w:szCs w:val="18"/>
        </w:rPr>
        <w:t xml:space="preserve">Source: Refinitiv, BSE and </w:t>
      </w:r>
      <w:r>
        <w:rPr>
          <w:rFonts w:ascii="Palatino Linotype" w:hAnsi="Palatino Linotype"/>
          <w:bCs/>
          <w:sz w:val="18"/>
          <w:szCs w:val="18"/>
        </w:rPr>
        <w:t>NSE</w:t>
      </w:r>
      <w:r w:rsidRPr="00A01675">
        <w:rPr>
          <w:rFonts w:ascii="Palatino Linotype" w:hAnsi="Palatino Linotype"/>
          <w:bCs/>
          <w:sz w:val="18"/>
          <w:szCs w:val="18"/>
        </w:rPr>
        <w:t xml:space="preserve"> </w:t>
      </w:r>
    </w:p>
    <w:p w:rsidR="00557572" w:rsidRDefault="00557572" w:rsidP="00557572">
      <w:pPr>
        <w:spacing w:line="23" w:lineRule="atLeast"/>
        <w:jc w:val="both"/>
        <w:rPr>
          <w:rFonts w:ascii="Palatino Linotype" w:hAnsi="Palatino Linotype"/>
          <w:bCs/>
          <w:sz w:val="18"/>
          <w:szCs w:val="18"/>
        </w:rPr>
      </w:pPr>
    </w:p>
    <w:p w:rsidR="00557572" w:rsidRDefault="00557572" w:rsidP="00557572">
      <w:pPr>
        <w:spacing w:after="160" w:line="259" w:lineRule="auto"/>
        <w:rPr>
          <w:rFonts w:ascii="Palatino Linotype" w:hAnsi="Palatino Linotype"/>
          <w:b/>
          <w:bCs/>
          <w:szCs w:val="22"/>
        </w:rPr>
      </w:pPr>
      <w:r>
        <w:rPr>
          <w:rFonts w:ascii="Palatino Linotype" w:hAnsi="Palatino Linotype"/>
          <w:b/>
          <w:bCs/>
          <w:szCs w:val="22"/>
        </w:rPr>
        <w:br w:type="page"/>
      </w:r>
    </w:p>
    <w:p w:rsidR="00557572" w:rsidRDefault="00557572" w:rsidP="00557572">
      <w:pPr>
        <w:spacing w:after="160" w:line="259" w:lineRule="auto"/>
        <w:rPr>
          <w:rFonts w:ascii="Palatino Linotype" w:hAnsi="Palatino Linotype"/>
          <w:b/>
          <w:bCs/>
          <w:szCs w:val="22"/>
        </w:rPr>
      </w:pPr>
      <w:r>
        <w:rPr>
          <w:rFonts w:ascii="Palatino Linotype" w:hAnsi="Palatino Linotype"/>
          <w:b/>
          <w:bCs/>
          <w:szCs w:val="22"/>
        </w:rPr>
        <w:lastRenderedPageBreak/>
        <w:t>Figure 1</w:t>
      </w:r>
      <w:r w:rsidRPr="00A01675">
        <w:rPr>
          <w:rFonts w:ascii="Palatino Linotype" w:hAnsi="Palatino Linotype"/>
          <w:b/>
          <w:bCs/>
          <w:szCs w:val="22"/>
        </w:rPr>
        <w:t xml:space="preserve">: Stock </w:t>
      </w:r>
      <w:r>
        <w:rPr>
          <w:rFonts w:ascii="Palatino Linotype" w:hAnsi="Palatino Linotype"/>
          <w:b/>
          <w:bCs/>
          <w:szCs w:val="22"/>
        </w:rPr>
        <w:t>indices trends in select markets</w:t>
      </w:r>
    </w:p>
    <w:p w:rsidR="00557572" w:rsidRPr="005D3B3F" w:rsidRDefault="00557572" w:rsidP="00557572">
      <w:pPr>
        <w:rPr>
          <w:rFonts w:ascii="Palatino Linotype" w:hAnsi="Palatino Linotype"/>
          <w:b/>
          <w:bCs/>
          <w:sz w:val="18"/>
          <w:szCs w:val="16"/>
        </w:rPr>
      </w:pPr>
    </w:p>
    <w:p w:rsidR="00557572" w:rsidRPr="00A01675" w:rsidRDefault="00557572" w:rsidP="00557572">
      <w:pPr>
        <w:spacing w:line="23" w:lineRule="atLeast"/>
        <w:rPr>
          <w:rFonts w:ascii="Palatino Linotype" w:hAnsi="Palatino Linotype"/>
          <w:bCs/>
          <w:sz w:val="22"/>
          <w:szCs w:val="22"/>
        </w:rPr>
      </w:pPr>
      <w:r>
        <w:rPr>
          <w:noProof/>
          <w:lang w:val="en-US" w:bidi="hi-IN"/>
        </w:rPr>
        <w:drawing>
          <wp:inline distT="0" distB="0" distL="0" distR="0" wp14:anchorId="29B3EFCB" wp14:editId="7702F60A">
            <wp:extent cx="5657850" cy="2534970"/>
            <wp:effectExtent l="0" t="0" r="0" b="17780"/>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57572" w:rsidRPr="00A01675" w:rsidRDefault="00557572" w:rsidP="00557572">
      <w:pPr>
        <w:spacing w:line="23" w:lineRule="atLeast"/>
        <w:jc w:val="both"/>
        <w:outlineLvl w:val="0"/>
        <w:rPr>
          <w:rFonts w:ascii="Palatino Linotype" w:hAnsi="Palatino Linotype"/>
          <w:bCs/>
          <w:sz w:val="18"/>
          <w:szCs w:val="18"/>
        </w:rPr>
      </w:pPr>
      <w:r w:rsidRPr="008815D7">
        <w:rPr>
          <w:rFonts w:ascii="Palatino Linotype" w:hAnsi="Palatino Linotype"/>
          <w:b/>
          <w:sz w:val="18"/>
          <w:szCs w:val="18"/>
        </w:rPr>
        <w:t>Note</w:t>
      </w:r>
      <w:r w:rsidRPr="00A01675">
        <w:rPr>
          <w:rFonts w:ascii="Palatino Linotype" w:hAnsi="Palatino Linotype"/>
          <w:bCs/>
          <w:sz w:val="18"/>
          <w:szCs w:val="18"/>
        </w:rPr>
        <w:t xml:space="preserve">: All indices have been normalised to 100 on </w:t>
      </w:r>
      <w:r>
        <w:rPr>
          <w:rFonts w:ascii="Palatino Linotype" w:eastAsia="Times New Roman" w:hAnsi="Palatino Linotype"/>
          <w:bCs/>
          <w:sz w:val="18"/>
          <w:szCs w:val="18"/>
        </w:rPr>
        <w:t>31 May</w:t>
      </w:r>
      <w:r w:rsidRPr="00A01675">
        <w:rPr>
          <w:rFonts w:ascii="Palatino Linotype" w:eastAsia="Times New Roman" w:hAnsi="Palatino Linotype"/>
          <w:bCs/>
          <w:sz w:val="18"/>
          <w:szCs w:val="18"/>
        </w:rPr>
        <w:t xml:space="preserve"> 202</w:t>
      </w:r>
      <w:r>
        <w:rPr>
          <w:rFonts w:ascii="Palatino Linotype" w:eastAsia="Times New Roman" w:hAnsi="Palatino Linotype"/>
          <w:bCs/>
          <w:sz w:val="18"/>
          <w:szCs w:val="18"/>
        </w:rPr>
        <w:t>1</w:t>
      </w:r>
      <w:r w:rsidRPr="00A01675">
        <w:rPr>
          <w:rFonts w:ascii="Palatino Linotype" w:hAnsi="Palatino Linotype"/>
          <w:bCs/>
          <w:sz w:val="18"/>
          <w:szCs w:val="18"/>
        </w:rPr>
        <w:t>.</w:t>
      </w:r>
    </w:p>
    <w:p w:rsidR="00557572" w:rsidRDefault="00557572" w:rsidP="00557572">
      <w:pPr>
        <w:spacing w:line="23" w:lineRule="atLeast"/>
        <w:jc w:val="both"/>
        <w:outlineLvl w:val="0"/>
        <w:rPr>
          <w:rFonts w:ascii="Palatino Linotype" w:hAnsi="Palatino Linotype"/>
          <w:bCs/>
          <w:sz w:val="18"/>
          <w:szCs w:val="18"/>
        </w:rPr>
      </w:pPr>
      <w:r w:rsidRPr="008815D7">
        <w:rPr>
          <w:rFonts w:ascii="Palatino Linotype" w:hAnsi="Palatino Linotype"/>
          <w:b/>
          <w:sz w:val="18"/>
          <w:szCs w:val="18"/>
        </w:rPr>
        <w:t>Source</w:t>
      </w:r>
      <w:r w:rsidRPr="00A01675">
        <w:rPr>
          <w:rFonts w:ascii="Palatino Linotype" w:hAnsi="Palatino Linotype"/>
          <w:bCs/>
          <w:sz w:val="18"/>
          <w:szCs w:val="18"/>
        </w:rPr>
        <w:t>: Refinitiv</w:t>
      </w:r>
    </w:p>
    <w:p w:rsidR="00557572" w:rsidRDefault="00557572" w:rsidP="00557572"/>
    <w:p w:rsidR="00557572" w:rsidRPr="00E97406" w:rsidRDefault="00557572" w:rsidP="00E97406">
      <w:pPr>
        <w:spacing w:line="276" w:lineRule="auto"/>
        <w:ind w:left="720"/>
        <w:contextualSpacing/>
        <w:rPr>
          <w:rFonts w:ascii="Palatino Linotype" w:eastAsia="Times New Roman" w:hAnsi="Palatino Linotype"/>
          <w:b/>
          <w:sz w:val="22"/>
          <w:szCs w:val="22"/>
          <w:u w:val="single"/>
          <w:lang w:val="en-US" w:eastAsia="en-GB"/>
        </w:rPr>
      </w:pPr>
      <w:r>
        <w:rPr>
          <w:rFonts w:ascii="Palatino Linotype" w:eastAsia="Times New Roman" w:hAnsi="Palatino Linotype"/>
          <w:b/>
          <w:sz w:val="22"/>
          <w:szCs w:val="22"/>
          <w:u w:val="single"/>
          <w:lang w:val="en-US" w:eastAsia="en-GB"/>
        </w:rPr>
        <w:t>Bond Market</w:t>
      </w:r>
    </w:p>
    <w:p w:rsidR="00557572" w:rsidRPr="00ED38D1" w:rsidRDefault="00557572" w:rsidP="00557572">
      <w:pPr>
        <w:numPr>
          <w:ilvl w:val="0"/>
          <w:numId w:val="10"/>
        </w:numPr>
        <w:spacing w:line="276" w:lineRule="auto"/>
        <w:contextualSpacing/>
        <w:jc w:val="both"/>
        <w:rPr>
          <w:rFonts w:ascii="Palatino Linotype" w:eastAsia="Times New Roman" w:hAnsi="Palatino Linotype"/>
          <w:bCs/>
          <w:color w:val="000000"/>
          <w:sz w:val="22"/>
          <w:szCs w:val="22"/>
          <w:lang w:val="en-US" w:eastAsia="en-GB"/>
        </w:rPr>
      </w:pPr>
      <w:r w:rsidRPr="00ED38D1">
        <w:rPr>
          <w:rFonts w:ascii="Palatino Linotype" w:eastAsia="Times New Roman" w:hAnsi="Palatino Linotype"/>
          <w:bCs/>
          <w:color w:val="000000"/>
          <w:sz w:val="22"/>
          <w:szCs w:val="22"/>
          <w:lang w:val="en-US" w:eastAsia="en-GB"/>
        </w:rPr>
        <w:t xml:space="preserve">Among BRIC </w:t>
      </w:r>
      <w:r w:rsidR="007F63CB">
        <w:rPr>
          <w:rFonts w:ascii="Palatino Linotype" w:eastAsia="Times New Roman" w:hAnsi="Palatino Linotype"/>
          <w:bCs/>
          <w:color w:val="000000"/>
          <w:sz w:val="22"/>
          <w:szCs w:val="22"/>
          <w:lang w:val="en-US" w:eastAsia="en-GB"/>
        </w:rPr>
        <w:t>n</w:t>
      </w:r>
      <w:r w:rsidR="007F63CB" w:rsidRPr="00ED38D1">
        <w:rPr>
          <w:rFonts w:ascii="Palatino Linotype" w:eastAsia="Times New Roman" w:hAnsi="Palatino Linotype"/>
          <w:bCs/>
          <w:color w:val="000000"/>
          <w:sz w:val="22"/>
          <w:szCs w:val="22"/>
          <w:lang w:val="en-US" w:eastAsia="en-GB"/>
        </w:rPr>
        <w:t>ations</w:t>
      </w:r>
      <w:r w:rsidRPr="00ED38D1">
        <w:rPr>
          <w:rFonts w:ascii="Palatino Linotype" w:eastAsia="Times New Roman" w:hAnsi="Palatino Linotype"/>
          <w:bCs/>
          <w:color w:val="000000"/>
          <w:sz w:val="22"/>
          <w:szCs w:val="22"/>
          <w:lang w:val="en-US" w:eastAsia="en-GB"/>
        </w:rPr>
        <w:t>, 10-year go</w:t>
      </w:r>
      <w:r>
        <w:rPr>
          <w:rFonts w:ascii="Palatino Linotype" w:eastAsia="Times New Roman" w:hAnsi="Palatino Linotype"/>
          <w:bCs/>
          <w:color w:val="000000"/>
          <w:sz w:val="22"/>
          <w:szCs w:val="22"/>
          <w:lang w:val="en-US" w:eastAsia="en-GB"/>
        </w:rPr>
        <w:t xml:space="preserve">vernment bond yield of Brazil increased further </w:t>
      </w:r>
      <w:r w:rsidRPr="00ED38D1">
        <w:rPr>
          <w:rFonts w:ascii="Palatino Linotype" w:eastAsia="Times New Roman" w:hAnsi="Palatino Linotype"/>
          <w:bCs/>
          <w:color w:val="000000"/>
          <w:sz w:val="22"/>
          <w:szCs w:val="22"/>
          <w:lang w:val="en-US" w:eastAsia="en-GB"/>
        </w:rPr>
        <w:t xml:space="preserve">to </w:t>
      </w:r>
      <w:r>
        <w:rPr>
          <w:rFonts w:ascii="Palatino Linotype" w:eastAsia="Times New Roman" w:hAnsi="Palatino Linotype"/>
          <w:bCs/>
          <w:color w:val="000000"/>
          <w:sz w:val="22"/>
          <w:szCs w:val="22"/>
          <w:lang w:val="en-US" w:eastAsia="en-GB"/>
        </w:rPr>
        <w:t xml:space="preserve">12.6 </w:t>
      </w:r>
      <w:r w:rsidRPr="00ED38D1">
        <w:rPr>
          <w:rFonts w:ascii="Palatino Linotype" w:eastAsia="Times New Roman" w:hAnsi="Palatino Linotype"/>
          <w:bCs/>
          <w:color w:val="000000"/>
          <w:sz w:val="22"/>
          <w:szCs w:val="22"/>
          <w:lang w:val="en-US" w:eastAsia="en-GB"/>
        </w:rPr>
        <w:t xml:space="preserve">per cent, as at end of </w:t>
      </w:r>
      <w:r>
        <w:rPr>
          <w:rFonts w:ascii="Palatino Linotype" w:eastAsia="Times New Roman" w:hAnsi="Palatino Linotype"/>
          <w:bCs/>
          <w:sz w:val="22"/>
          <w:szCs w:val="22"/>
          <w:lang w:val="en-US" w:eastAsia="en-GB"/>
        </w:rPr>
        <w:t>May</w:t>
      </w:r>
      <w:r w:rsidRPr="005048C2">
        <w:rPr>
          <w:rFonts w:ascii="Palatino Linotype" w:eastAsia="Times New Roman" w:hAnsi="Palatino Linotype"/>
          <w:bCs/>
          <w:sz w:val="22"/>
          <w:szCs w:val="22"/>
          <w:lang w:val="en-US" w:eastAsia="en-GB"/>
        </w:rPr>
        <w:t xml:space="preserve"> </w:t>
      </w:r>
      <w:r w:rsidRPr="00ED38D1">
        <w:rPr>
          <w:rFonts w:ascii="Palatino Linotype" w:eastAsia="Times New Roman" w:hAnsi="Palatino Linotype"/>
          <w:bCs/>
          <w:color w:val="000000"/>
          <w:sz w:val="22"/>
          <w:szCs w:val="22"/>
          <w:lang w:val="en-US" w:eastAsia="en-GB"/>
        </w:rPr>
        <w:t>202</w:t>
      </w:r>
      <w:r>
        <w:rPr>
          <w:rFonts w:ascii="Palatino Linotype" w:eastAsia="Times New Roman" w:hAnsi="Palatino Linotype"/>
          <w:bCs/>
          <w:color w:val="000000"/>
          <w:sz w:val="22"/>
          <w:szCs w:val="22"/>
          <w:lang w:val="en-US" w:eastAsia="en-GB"/>
        </w:rPr>
        <w:t>2</w:t>
      </w:r>
      <w:r w:rsidRPr="00ED38D1">
        <w:rPr>
          <w:rFonts w:ascii="Palatino Linotype" w:eastAsia="Times New Roman" w:hAnsi="Palatino Linotype"/>
          <w:bCs/>
          <w:color w:val="000000"/>
          <w:sz w:val="22"/>
          <w:szCs w:val="22"/>
          <w:lang w:val="en-US" w:eastAsia="en-GB"/>
        </w:rPr>
        <w:t xml:space="preserve"> from</w:t>
      </w:r>
      <w:r>
        <w:rPr>
          <w:rFonts w:ascii="Palatino Linotype" w:eastAsia="Times New Roman" w:hAnsi="Palatino Linotype"/>
          <w:bCs/>
          <w:color w:val="000000"/>
          <w:sz w:val="22"/>
          <w:szCs w:val="22"/>
          <w:lang w:val="en-US" w:eastAsia="en-GB"/>
        </w:rPr>
        <w:t xml:space="preserve"> 12.3 </w:t>
      </w:r>
      <w:r w:rsidRPr="00ED38D1">
        <w:rPr>
          <w:rFonts w:ascii="Palatino Linotype" w:eastAsia="Times New Roman" w:hAnsi="Palatino Linotype"/>
          <w:bCs/>
          <w:color w:val="000000"/>
          <w:sz w:val="22"/>
          <w:szCs w:val="22"/>
          <w:lang w:val="en-US" w:eastAsia="en-GB"/>
        </w:rPr>
        <w:t>per cent</w:t>
      </w:r>
      <w:r>
        <w:rPr>
          <w:rFonts w:ascii="Palatino Linotype" w:eastAsia="Times New Roman" w:hAnsi="Palatino Linotype"/>
          <w:bCs/>
          <w:color w:val="000000"/>
          <w:sz w:val="22"/>
          <w:szCs w:val="22"/>
          <w:lang w:val="en-US" w:eastAsia="en-GB"/>
        </w:rPr>
        <w:t xml:space="preserve"> in April and 11.</w:t>
      </w:r>
      <w:r w:rsidR="007F63CB">
        <w:rPr>
          <w:rFonts w:ascii="Palatino Linotype" w:eastAsia="Times New Roman" w:hAnsi="Palatino Linotype"/>
          <w:bCs/>
          <w:color w:val="000000"/>
          <w:sz w:val="22"/>
          <w:szCs w:val="22"/>
          <w:lang w:val="en-US" w:eastAsia="en-GB"/>
        </w:rPr>
        <w:t xml:space="preserve">3 </w:t>
      </w:r>
      <w:r>
        <w:rPr>
          <w:rFonts w:ascii="Palatino Linotype" w:eastAsia="Times New Roman" w:hAnsi="Palatino Linotype"/>
          <w:bCs/>
          <w:color w:val="000000"/>
          <w:sz w:val="22"/>
          <w:szCs w:val="22"/>
          <w:lang w:val="en-US" w:eastAsia="en-GB"/>
        </w:rPr>
        <w:t>per cent in March 2022</w:t>
      </w:r>
      <w:r w:rsidRPr="00ED38D1">
        <w:rPr>
          <w:rFonts w:ascii="Palatino Linotype" w:eastAsia="Times New Roman" w:hAnsi="Palatino Linotype"/>
          <w:bCs/>
          <w:color w:val="000000"/>
          <w:sz w:val="22"/>
          <w:szCs w:val="22"/>
          <w:lang w:val="en-US" w:eastAsia="en-GB"/>
        </w:rPr>
        <w:t>.</w:t>
      </w:r>
    </w:p>
    <w:p w:rsidR="00557572" w:rsidRPr="00ED38D1" w:rsidRDefault="00557572" w:rsidP="00557572">
      <w:pPr>
        <w:numPr>
          <w:ilvl w:val="0"/>
          <w:numId w:val="10"/>
        </w:numPr>
        <w:spacing w:line="276" w:lineRule="auto"/>
        <w:contextualSpacing/>
        <w:jc w:val="both"/>
        <w:rPr>
          <w:rFonts w:ascii="Palatino Linotype" w:eastAsia="Times New Roman" w:hAnsi="Palatino Linotype"/>
          <w:bCs/>
          <w:color w:val="000000"/>
          <w:sz w:val="22"/>
          <w:szCs w:val="22"/>
          <w:lang w:val="en-US" w:eastAsia="en-GB"/>
        </w:rPr>
      </w:pPr>
      <w:r w:rsidRPr="00ED38D1">
        <w:rPr>
          <w:rFonts w:ascii="Palatino Linotype" w:eastAsia="Times New Roman" w:hAnsi="Palatino Linotype"/>
          <w:bCs/>
          <w:color w:val="000000"/>
          <w:sz w:val="22"/>
          <w:szCs w:val="22"/>
          <w:lang w:val="en-US" w:eastAsia="en-GB"/>
        </w:rPr>
        <w:t xml:space="preserve">Indian 10-year government bond yield </w:t>
      </w:r>
      <w:r>
        <w:rPr>
          <w:rFonts w:ascii="Palatino Linotype" w:eastAsia="Times New Roman" w:hAnsi="Palatino Linotype"/>
          <w:bCs/>
          <w:color w:val="000000"/>
          <w:sz w:val="22"/>
          <w:szCs w:val="22"/>
          <w:lang w:val="en-US" w:eastAsia="en-GB"/>
        </w:rPr>
        <w:t>rose to 7.4</w:t>
      </w:r>
      <w:r w:rsidRPr="00ED38D1">
        <w:rPr>
          <w:rFonts w:ascii="Palatino Linotype" w:eastAsia="Times New Roman" w:hAnsi="Palatino Linotype"/>
          <w:bCs/>
          <w:color w:val="000000"/>
          <w:sz w:val="22"/>
          <w:szCs w:val="22"/>
          <w:lang w:val="en-US" w:eastAsia="en-GB"/>
        </w:rPr>
        <w:t xml:space="preserve"> per cent in </w:t>
      </w:r>
      <w:r>
        <w:rPr>
          <w:rFonts w:ascii="Palatino Linotype" w:eastAsia="Times New Roman" w:hAnsi="Palatino Linotype"/>
          <w:bCs/>
          <w:sz w:val="22"/>
          <w:szCs w:val="22"/>
          <w:lang w:val="en-US" w:eastAsia="en-GB"/>
        </w:rPr>
        <w:t>May</w:t>
      </w:r>
      <w:r w:rsidRPr="005048C2">
        <w:rPr>
          <w:rFonts w:ascii="Palatino Linotype" w:eastAsia="Times New Roman" w:hAnsi="Palatino Linotype"/>
          <w:bCs/>
          <w:sz w:val="22"/>
          <w:szCs w:val="22"/>
          <w:lang w:val="en-US" w:eastAsia="en-GB"/>
        </w:rPr>
        <w:t xml:space="preserve"> </w:t>
      </w:r>
      <w:r w:rsidRPr="00ED38D1">
        <w:rPr>
          <w:rFonts w:ascii="Palatino Linotype" w:eastAsia="Times New Roman" w:hAnsi="Palatino Linotype"/>
          <w:bCs/>
          <w:color w:val="000000"/>
          <w:sz w:val="22"/>
          <w:szCs w:val="22"/>
          <w:lang w:val="en-US" w:eastAsia="en-GB"/>
        </w:rPr>
        <w:t>202</w:t>
      </w:r>
      <w:r>
        <w:rPr>
          <w:rFonts w:ascii="Palatino Linotype" w:eastAsia="Times New Roman" w:hAnsi="Palatino Linotype"/>
          <w:bCs/>
          <w:color w:val="000000"/>
          <w:sz w:val="22"/>
          <w:szCs w:val="22"/>
          <w:lang w:val="en-US" w:eastAsia="en-GB"/>
        </w:rPr>
        <w:t>2</w:t>
      </w:r>
      <w:r w:rsidRPr="00ED38D1">
        <w:rPr>
          <w:rFonts w:ascii="Palatino Linotype" w:eastAsia="Times New Roman" w:hAnsi="Palatino Linotype"/>
          <w:bCs/>
          <w:color w:val="000000"/>
          <w:sz w:val="22"/>
          <w:szCs w:val="22"/>
          <w:lang w:val="en-US" w:eastAsia="en-GB"/>
        </w:rPr>
        <w:t xml:space="preserve">, </w:t>
      </w:r>
      <w:r>
        <w:rPr>
          <w:rFonts w:ascii="Palatino Linotype" w:eastAsia="Times New Roman" w:hAnsi="Palatino Linotype"/>
          <w:bCs/>
          <w:color w:val="000000"/>
          <w:sz w:val="22"/>
          <w:szCs w:val="22"/>
          <w:lang w:val="en-US" w:eastAsia="en-GB"/>
        </w:rPr>
        <w:t xml:space="preserve">from 7.1 per cent in previous month. The Indian </w:t>
      </w:r>
      <w:r w:rsidR="007F63CB">
        <w:rPr>
          <w:rFonts w:ascii="Palatino Linotype" w:eastAsia="Times New Roman" w:hAnsi="Palatino Linotype"/>
          <w:bCs/>
          <w:color w:val="000000"/>
          <w:sz w:val="22"/>
          <w:szCs w:val="22"/>
          <w:lang w:val="en-US" w:eastAsia="en-GB"/>
        </w:rPr>
        <w:t>G</w:t>
      </w:r>
      <w:r>
        <w:rPr>
          <w:rFonts w:ascii="Palatino Linotype" w:eastAsia="Times New Roman" w:hAnsi="Palatino Linotype"/>
          <w:bCs/>
          <w:color w:val="000000"/>
          <w:sz w:val="22"/>
          <w:szCs w:val="22"/>
          <w:lang w:val="en-US" w:eastAsia="en-GB"/>
        </w:rPr>
        <w:t>-sec yield remained elevated in 2022, as compared to 6.5 per cent observed in December 2021</w:t>
      </w:r>
      <w:r w:rsidRPr="00ED38D1">
        <w:rPr>
          <w:rFonts w:ascii="Palatino Linotype" w:eastAsia="Times New Roman" w:hAnsi="Palatino Linotype"/>
          <w:bCs/>
          <w:color w:val="000000"/>
          <w:sz w:val="22"/>
          <w:szCs w:val="22"/>
          <w:lang w:val="en-US" w:eastAsia="en-GB"/>
        </w:rPr>
        <w:t>.</w:t>
      </w:r>
      <w:r>
        <w:rPr>
          <w:rFonts w:ascii="Palatino Linotype" w:eastAsia="Times New Roman" w:hAnsi="Palatino Linotype"/>
          <w:bCs/>
          <w:color w:val="000000"/>
          <w:sz w:val="22"/>
          <w:szCs w:val="22"/>
          <w:lang w:val="en-US" w:eastAsia="en-GB"/>
        </w:rPr>
        <w:t xml:space="preserve"> </w:t>
      </w:r>
    </w:p>
    <w:p w:rsidR="00557572" w:rsidRPr="001D4695" w:rsidRDefault="00557572" w:rsidP="00557572">
      <w:pPr>
        <w:numPr>
          <w:ilvl w:val="0"/>
          <w:numId w:val="10"/>
        </w:numPr>
        <w:spacing w:line="276" w:lineRule="auto"/>
        <w:contextualSpacing/>
        <w:jc w:val="both"/>
        <w:rPr>
          <w:rFonts w:ascii="Palatino Linotype" w:hAnsi="Palatino Linotype"/>
          <w:bCs/>
          <w:sz w:val="22"/>
          <w:szCs w:val="22"/>
        </w:rPr>
      </w:pPr>
      <w:r w:rsidRPr="00A01675">
        <w:rPr>
          <w:rFonts w:ascii="Palatino Linotype" w:eastAsia="Times New Roman" w:hAnsi="Palatino Linotype"/>
          <w:bCs/>
          <w:color w:val="000000"/>
          <w:sz w:val="22"/>
          <w:szCs w:val="22"/>
          <w:lang w:val="en-US" w:eastAsia="en-GB"/>
        </w:rPr>
        <w:t xml:space="preserve">Among </w:t>
      </w:r>
      <w:r>
        <w:rPr>
          <w:rFonts w:ascii="Palatino Linotype" w:eastAsia="Times New Roman" w:hAnsi="Palatino Linotype"/>
          <w:bCs/>
          <w:color w:val="000000"/>
          <w:sz w:val="22"/>
          <w:szCs w:val="22"/>
          <w:lang w:val="en-US" w:eastAsia="en-GB"/>
        </w:rPr>
        <w:t xml:space="preserve">select developed </w:t>
      </w:r>
      <w:r w:rsidRPr="00A01675">
        <w:rPr>
          <w:rFonts w:ascii="Palatino Linotype" w:eastAsia="Times New Roman" w:hAnsi="Palatino Linotype"/>
          <w:bCs/>
          <w:color w:val="000000"/>
          <w:sz w:val="22"/>
          <w:szCs w:val="22"/>
          <w:lang w:val="en-US" w:eastAsia="en-GB"/>
        </w:rPr>
        <w:t>countries</w:t>
      </w:r>
      <w:r>
        <w:rPr>
          <w:rStyle w:val="FootnoteReference"/>
          <w:rFonts w:ascii="Palatino Linotype" w:hAnsi="Palatino Linotype"/>
          <w:bCs/>
          <w:color w:val="000000"/>
          <w:sz w:val="22"/>
          <w:szCs w:val="22"/>
          <w:lang w:eastAsia="en-GB"/>
        </w:rPr>
        <w:footnoteReference w:id="3"/>
      </w:r>
      <w:r w:rsidRPr="00A01675">
        <w:rPr>
          <w:rFonts w:ascii="Palatino Linotype" w:eastAsia="Times New Roman" w:hAnsi="Palatino Linotype"/>
          <w:bCs/>
          <w:color w:val="000000"/>
          <w:sz w:val="22"/>
          <w:szCs w:val="22"/>
          <w:lang w:val="en-US" w:eastAsia="en-GB"/>
        </w:rPr>
        <w:t xml:space="preserve">, 10-year </w:t>
      </w:r>
      <w:r>
        <w:rPr>
          <w:rFonts w:ascii="Palatino Linotype" w:eastAsia="Times New Roman" w:hAnsi="Palatino Linotype"/>
          <w:bCs/>
          <w:color w:val="000000"/>
          <w:sz w:val="22"/>
          <w:szCs w:val="22"/>
          <w:lang w:val="en-US" w:eastAsia="en-GB"/>
        </w:rPr>
        <w:t xml:space="preserve">government </w:t>
      </w:r>
      <w:r w:rsidRPr="00A01675">
        <w:rPr>
          <w:rFonts w:ascii="Palatino Linotype" w:eastAsia="Times New Roman" w:hAnsi="Palatino Linotype"/>
          <w:bCs/>
          <w:color w:val="000000"/>
          <w:sz w:val="22"/>
          <w:szCs w:val="22"/>
          <w:lang w:val="en-US" w:eastAsia="en-GB"/>
        </w:rPr>
        <w:t xml:space="preserve">bond yield in </w:t>
      </w:r>
      <w:r>
        <w:rPr>
          <w:rFonts w:ascii="Palatino Linotype" w:eastAsia="Times New Roman" w:hAnsi="Palatino Linotype"/>
          <w:bCs/>
          <w:color w:val="000000"/>
          <w:sz w:val="22"/>
          <w:szCs w:val="22"/>
          <w:lang w:val="en-US" w:eastAsia="en-GB"/>
        </w:rPr>
        <w:t xml:space="preserve">U.S. decreased to 2.8 per cent in </w:t>
      </w:r>
      <w:r>
        <w:rPr>
          <w:rFonts w:ascii="Palatino Linotype" w:eastAsia="Times New Roman" w:hAnsi="Palatino Linotype"/>
          <w:bCs/>
          <w:sz w:val="22"/>
          <w:szCs w:val="22"/>
          <w:lang w:val="en-US" w:eastAsia="en-GB"/>
        </w:rPr>
        <w:t>May</w:t>
      </w:r>
      <w:r w:rsidRPr="005048C2">
        <w:rPr>
          <w:rFonts w:ascii="Palatino Linotype" w:eastAsia="Times New Roman" w:hAnsi="Palatino Linotype"/>
          <w:bCs/>
          <w:sz w:val="22"/>
          <w:szCs w:val="22"/>
          <w:lang w:val="en-US" w:eastAsia="en-GB"/>
        </w:rPr>
        <w:t xml:space="preserve"> </w:t>
      </w:r>
      <w:r>
        <w:rPr>
          <w:rFonts w:ascii="Palatino Linotype" w:eastAsia="Times New Roman" w:hAnsi="Palatino Linotype"/>
          <w:bCs/>
          <w:color w:val="000000"/>
          <w:sz w:val="22"/>
          <w:szCs w:val="22"/>
          <w:lang w:val="en-US" w:eastAsia="en-GB"/>
        </w:rPr>
        <w:t xml:space="preserve">2022 from 2.9 per cent as at end of </w:t>
      </w:r>
      <w:r>
        <w:rPr>
          <w:rFonts w:ascii="Palatino Linotype" w:eastAsia="Times New Roman" w:hAnsi="Palatino Linotype"/>
          <w:bCs/>
          <w:sz w:val="22"/>
          <w:szCs w:val="22"/>
          <w:lang w:val="en-US" w:eastAsia="en-GB"/>
        </w:rPr>
        <w:t>April</w:t>
      </w:r>
      <w:r w:rsidRPr="005048C2">
        <w:rPr>
          <w:rFonts w:ascii="Palatino Linotype" w:eastAsia="Times New Roman" w:hAnsi="Palatino Linotype"/>
          <w:bCs/>
          <w:sz w:val="22"/>
          <w:szCs w:val="22"/>
          <w:lang w:val="en-US" w:eastAsia="en-GB"/>
        </w:rPr>
        <w:t xml:space="preserve"> </w:t>
      </w:r>
      <w:r w:rsidRPr="00ED38D1">
        <w:rPr>
          <w:rFonts w:ascii="Palatino Linotype" w:eastAsia="Times New Roman" w:hAnsi="Palatino Linotype"/>
          <w:bCs/>
          <w:color w:val="000000"/>
          <w:sz w:val="22"/>
          <w:szCs w:val="22"/>
          <w:lang w:val="en-US" w:eastAsia="en-GB"/>
        </w:rPr>
        <w:t>202</w:t>
      </w:r>
      <w:r>
        <w:rPr>
          <w:rFonts w:ascii="Palatino Linotype" w:eastAsia="Times New Roman" w:hAnsi="Palatino Linotype"/>
          <w:bCs/>
          <w:color w:val="000000"/>
          <w:sz w:val="22"/>
          <w:szCs w:val="22"/>
          <w:lang w:val="en-US" w:eastAsia="en-GB"/>
        </w:rPr>
        <w:t xml:space="preserve">2. </w:t>
      </w:r>
    </w:p>
    <w:p w:rsidR="00557572" w:rsidRDefault="00557572" w:rsidP="00557572">
      <w:pPr>
        <w:numPr>
          <w:ilvl w:val="0"/>
          <w:numId w:val="10"/>
        </w:numPr>
        <w:spacing w:line="276" w:lineRule="auto"/>
        <w:contextualSpacing/>
        <w:jc w:val="both"/>
        <w:rPr>
          <w:rFonts w:ascii="Palatino Linotype" w:hAnsi="Palatino Linotype"/>
          <w:bCs/>
          <w:sz w:val="22"/>
          <w:szCs w:val="22"/>
        </w:rPr>
      </w:pPr>
      <w:r>
        <w:rPr>
          <w:rFonts w:ascii="Palatino Linotype" w:eastAsia="Times New Roman" w:hAnsi="Palatino Linotype"/>
          <w:bCs/>
          <w:color w:val="000000"/>
          <w:sz w:val="22"/>
          <w:szCs w:val="22"/>
          <w:lang w:val="en-US" w:eastAsia="en-GB"/>
        </w:rPr>
        <w:t xml:space="preserve">Germany reported </w:t>
      </w:r>
      <w:r w:rsidRPr="00A01675">
        <w:rPr>
          <w:rFonts w:ascii="Palatino Linotype" w:eastAsia="Times New Roman" w:hAnsi="Palatino Linotype"/>
          <w:bCs/>
          <w:color w:val="000000"/>
          <w:sz w:val="22"/>
          <w:szCs w:val="22"/>
          <w:lang w:val="en-US" w:eastAsia="en-GB"/>
        </w:rPr>
        <w:t xml:space="preserve">10-year </w:t>
      </w:r>
      <w:r>
        <w:rPr>
          <w:rFonts w:ascii="Palatino Linotype" w:eastAsia="Times New Roman" w:hAnsi="Palatino Linotype"/>
          <w:bCs/>
          <w:color w:val="000000"/>
          <w:sz w:val="22"/>
          <w:szCs w:val="22"/>
          <w:lang w:val="en-US" w:eastAsia="en-GB"/>
        </w:rPr>
        <w:t xml:space="preserve">government bond yield of 1.1 per cent in </w:t>
      </w:r>
      <w:r>
        <w:rPr>
          <w:rFonts w:ascii="Palatino Linotype" w:eastAsia="Times New Roman" w:hAnsi="Palatino Linotype"/>
          <w:bCs/>
          <w:sz w:val="22"/>
          <w:szCs w:val="22"/>
          <w:lang w:val="en-US" w:eastAsia="en-GB"/>
        </w:rPr>
        <w:t>May</w:t>
      </w:r>
      <w:r w:rsidRPr="005048C2">
        <w:rPr>
          <w:rFonts w:ascii="Palatino Linotype" w:eastAsia="Times New Roman" w:hAnsi="Palatino Linotype"/>
          <w:bCs/>
          <w:sz w:val="22"/>
          <w:szCs w:val="22"/>
          <w:lang w:val="en-US" w:eastAsia="en-GB"/>
        </w:rPr>
        <w:t xml:space="preserve"> </w:t>
      </w:r>
      <w:r>
        <w:rPr>
          <w:rFonts w:ascii="Palatino Linotype" w:eastAsia="Times New Roman" w:hAnsi="Palatino Linotype"/>
          <w:bCs/>
          <w:color w:val="000000"/>
          <w:sz w:val="22"/>
          <w:szCs w:val="22"/>
          <w:lang w:val="en-US" w:eastAsia="en-GB"/>
        </w:rPr>
        <w:t xml:space="preserve">2022 as compared to 0.9 per cent recorded in previous month and a low of 0.01 per cent in January 2022. </w:t>
      </w:r>
    </w:p>
    <w:p w:rsidR="00557572" w:rsidRPr="005F3E08" w:rsidRDefault="00557572" w:rsidP="00557572">
      <w:pPr>
        <w:spacing w:line="276" w:lineRule="auto"/>
        <w:contextualSpacing/>
        <w:jc w:val="both"/>
        <w:rPr>
          <w:rFonts w:ascii="Palatino Linotype" w:hAnsi="Palatino Linotype"/>
          <w:bCs/>
          <w:sz w:val="18"/>
          <w:szCs w:val="18"/>
        </w:rPr>
      </w:pPr>
    </w:p>
    <w:p w:rsidR="00557572" w:rsidRPr="00A01675" w:rsidRDefault="00557572" w:rsidP="00557572">
      <w:pPr>
        <w:rPr>
          <w:rFonts w:ascii="Palatino Linotype" w:hAnsi="Palatino Linotype"/>
          <w:b/>
          <w:bCs/>
          <w:szCs w:val="22"/>
        </w:rPr>
      </w:pPr>
      <w:r>
        <w:rPr>
          <w:rFonts w:ascii="Palatino Linotype" w:hAnsi="Palatino Linotype"/>
          <w:b/>
          <w:bCs/>
          <w:szCs w:val="22"/>
        </w:rPr>
        <w:t>Table 2</w:t>
      </w:r>
      <w:r w:rsidRPr="00A01675">
        <w:rPr>
          <w:rFonts w:ascii="Palatino Linotype" w:hAnsi="Palatino Linotype"/>
          <w:b/>
          <w:bCs/>
          <w:szCs w:val="22"/>
        </w:rPr>
        <w:t>: 10-year Government Bond Yields</w:t>
      </w:r>
    </w:p>
    <w:p w:rsidR="00557572" w:rsidRPr="005D3B3F" w:rsidRDefault="00557572" w:rsidP="00557572">
      <w:pPr>
        <w:rPr>
          <w:rFonts w:ascii="Palatino Linotype" w:hAnsi="Palatino Linotype"/>
          <w:bCs/>
          <w:sz w:val="20"/>
          <w:szCs w:val="20"/>
        </w:rPr>
      </w:pPr>
    </w:p>
    <w:tbl>
      <w:tblPr>
        <w:tblW w:w="6683" w:type="dxa"/>
        <w:tblInd w:w="108" w:type="dxa"/>
        <w:tblLook w:val="04A0" w:firstRow="1" w:lastRow="0" w:firstColumn="1" w:lastColumn="0" w:noHBand="0" w:noVBand="1"/>
      </w:tblPr>
      <w:tblGrid>
        <w:gridCol w:w="1083"/>
        <w:gridCol w:w="1323"/>
        <w:gridCol w:w="1377"/>
        <w:gridCol w:w="962"/>
        <w:gridCol w:w="962"/>
        <w:gridCol w:w="965"/>
        <w:gridCol w:w="11"/>
      </w:tblGrid>
      <w:tr w:rsidR="00557572" w:rsidRPr="00593C40" w:rsidTr="005F1CCA">
        <w:trPr>
          <w:gridAfter w:val="1"/>
          <w:wAfter w:w="11" w:type="dxa"/>
          <w:trHeight w:val="265"/>
        </w:trPr>
        <w:tc>
          <w:tcPr>
            <w:tcW w:w="1083"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Country</w:t>
            </w:r>
          </w:p>
        </w:tc>
        <w:tc>
          <w:tcPr>
            <w:tcW w:w="1323" w:type="dxa"/>
            <w:tcBorders>
              <w:top w:val="single" w:sz="8" w:space="0" w:color="auto"/>
              <w:left w:val="nil"/>
              <w:bottom w:val="nil"/>
              <w:right w:val="single" w:sz="8" w:space="0" w:color="auto"/>
            </w:tcBorders>
            <w:shd w:val="clear" w:color="000000" w:fill="B4C6E7"/>
            <w:noWrap/>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Yield as on</w:t>
            </w:r>
          </w:p>
        </w:tc>
        <w:tc>
          <w:tcPr>
            <w:tcW w:w="4266" w:type="dxa"/>
            <w:gridSpan w:val="4"/>
            <w:tcBorders>
              <w:top w:val="single" w:sz="8" w:space="0" w:color="auto"/>
              <w:left w:val="nil"/>
              <w:bottom w:val="single" w:sz="8" w:space="0" w:color="auto"/>
              <w:right w:val="single" w:sz="8" w:space="0" w:color="000000"/>
            </w:tcBorders>
            <w:shd w:val="clear" w:color="000000" w:fill="B4C6E7"/>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Bond Yield in previous period</w:t>
            </w:r>
          </w:p>
        </w:tc>
      </w:tr>
      <w:tr w:rsidR="00557572" w:rsidRPr="00593C40" w:rsidTr="005F1CCA">
        <w:trPr>
          <w:gridAfter w:val="1"/>
          <w:wAfter w:w="11" w:type="dxa"/>
          <w:trHeight w:val="265"/>
        </w:trPr>
        <w:tc>
          <w:tcPr>
            <w:tcW w:w="1083" w:type="dxa"/>
            <w:vMerge/>
            <w:tcBorders>
              <w:top w:val="single" w:sz="8" w:space="0" w:color="auto"/>
              <w:left w:val="single" w:sz="8" w:space="0" w:color="auto"/>
              <w:bottom w:val="single" w:sz="8" w:space="0" w:color="000000"/>
              <w:right w:val="single" w:sz="8" w:space="0" w:color="auto"/>
            </w:tcBorders>
            <w:vAlign w:val="center"/>
            <w:hideMark/>
          </w:tcPr>
          <w:p w:rsidR="00557572" w:rsidRPr="00593C40" w:rsidRDefault="00557572" w:rsidP="005F1CCA">
            <w:pPr>
              <w:rPr>
                <w:rFonts w:ascii="Garamond" w:eastAsia="Times New Roman" w:hAnsi="Garamond" w:cs="Calibri"/>
                <w:b/>
                <w:bCs/>
                <w:color w:val="000000"/>
                <w:sz w:val="20"/>
                <w:szCs w:val="20"/>
                <w:lang w:val="en-IN" w:eastAsia="en-IN" w:bidi="hi-IN"/>
              </w:rPr>
            </w:pPr>
          </w:p>
        </w:tc>
        <w:tc>
          <w:tcPr>
            <w:tcW w:w="1323" w:type="dxa"/>
            <w:tcBorders>
              <w:top w:val="nil"/>
              <w:left w:val="nil"/>
              <w:bottom w:val="single" w:sz="8" w:space="0" w:color="auto"/>
              <w:right w:val="single" w:sz="8" w:space="0" w:color="auto"/>
            </w:tcBorders>
            <w:shd w:val="clear" w:color="000000" w:fill="B4C6E7"/>
            <w:noWrap/>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Pr>
                <w:rFonts w:ascii="Palatino Linotype" w:eastAsia="Times New Roman" w:hAnsi="Palatino Linotype" w:cs="Calibri"/>
                <w:b/>
                <w:bCs/>
                <w:color w:val="000000"/>
                <w:sz w:val="18"/>
                <w:szCs w:val="18"/>
                <w:lang w:val="en-IN" w:eastAsia="en-IN" w:bidi="hi-IN"/>
              </w:rPr>
              <w:t>31-May</w:t>
            </w:r>
            <w:r w:rsidRPr="00395D65">
              <w:rPr>
                <w:rFonts w:ascii="Palatino Linotype" w:eastAsia="Times New Roman" w:hAnsi="Palatino Linotype" w:cs="Calibri"/>
                <w:b/>
                <w:bCs/>
                <w:color w:val="000000"/>
                <w:sz w:val="18"/>
                <w:szCs w:val="18"/>
                <w:lang w:val="en-IN" w:eastAsia="en-IN" w:bidi="hi-IN"/>
              </w:rPr>
              <w:t>-2</w:t>
            </w:r>
            <w:r>
              <w:rPr>
                <w:rFonts w:ascii="Palatino Linotype" w:eastAsia="Times New Roman" w:hAnsi="Palatino Linotype" w:cs="Calibri"/>
                <w:b/>
                <w:bCs/>
                <w:color w:val="000000"/>
                <w:sz w:val="18"/>
                <w:szCs w:val="18"/>
                <w:lang w:val="en-IN" w:eastAsia="en-IN" w:bidi="hi-IN"/>
              </w:rPr>
              <w:t>2</w:t>
            </w:r>
          </w:p>
        </w:tc>
        <w:tc>
          <w:tcPr>
            <w:tcW w:w="1377" w:type="dxa"/>
            <w:tcBorders>
              <w:top w:val="nil"/>
              <w:left w:val="nil"/>
              <w:bottom w:val="single" w:sz="8" w:space="0" w:color="auto"/>
              <w:right w:val="single" w:sz="8" w:space="0" w:color="auto"/>
            </w:tcBorders>
            <w:shd w:val="clear" w:color="000000" w:fill="B4C6E7"/>
            <w:noWrap/>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1-Month</w:t>
            </w:r>
          </w:p>
        </w:tc>
        <w:tc>
          <w:tcPr>
            <w:tcW w:w="962" w:type="dxa"/>
            <w:tcBorders>
              <w:top w:val="nil"/>
              <w:left w:val="nil"/>
              <w:bottom w:val="single" w:sz="8" w:space="0" w:color="auto"/>
              <w:right w:val="single" w:sz="8" w:space="0" w:color="auto"/>
            </w:tcBorders>
            <w:shd w:val="clear" w:color="000000" w:fill="B4C6E7"/>
            <w:noWrap/>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3-Month</w:t>
            </w:r>
          </w:p>
        </w:tc>
        <w:tc>
          <w:tcPr>
            <w:tcW w:w="962" w:type="dxa"/>
            <w:tcBorders>
              <w:top w:val="nil"/>
              <w:left w:val="nil"/>
              <w:bottom w:val="single" w:sz="8" w:space="0" w:color="auto"/>
              <w:right w:val="single" w:sz="8" w:space="0" w:color="auto"/>
            </w:tcBorders>
            <w:shd w:val="clear" w:color="000000" w:fill="B4C6E7"/>
            <w:noWrap/>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6-Month</w:t>
            </w:r>
          </w:p>
        </w:tc>
        <w:tc>
          <w:tcPr>
            <w:tcW w:w="965" w:type="dxa"/>
            <w:tcBorders>
              <w:top w:val="nil"/>
              <w:left w:val="nil"/>
              <w:bottom w:val="single" w:sz="8" w:space="0" w:color="auto"/>
              <w:right w:val="single" w:sz="8" w:space="0" w:color="auto"/>
            </w:tcBorders>
            <w:shd w:val="clear" w:color="000000" w:fill="B4C6E7"/>
            <w:noWrap/>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1-Year</w:t>
            </w:r>
          </w:p>
        </w:tc>
      </w:tr>
      <w:tr w:rsidR="00557572" w:rsidRPr="00593C40" w:rsidTr="005F1CCA">
        <w:trPr>
          <w:trHeight w:val="265"/>
        </w:trPr>
        <w:tc>
          <w:tcPr>
            <w:tcW w:w="6683" w:type="dxa"/>
            <w:gridSpan w:val="7"/>
            <w:tcBorders>
              <w:top w:val="single" w:sz="8" w:space="0" w:color="auto"/>
              <w:left w:val="single" w:sz="8" w:space="0" w:color="auto"/>
              <w:bottom w:val="single" w:sz="8" w:space="0" w:color="auto"/>
              <w:right w:val="single" w:sz="8" w:space="0" w:color="000000"/>
            </w:tcBorders>
            <w:shd w:val="clear" w:color="000000" w:fill="D9E1F2"/>
            <w:noWrap/>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BRIC Nations</w:t>
            </w:r>
          </w:p>
        </w:tc>
      </w:tr>
      <w:tr w:rsidR="00557572" w:rsidRPr="00593C40" w:rsidTr="005F1CCA">
        <w:trPr>
          <w:gridAfter w:val="1"/>
          <w:wAfter w:w="11" w:type="dxa"/>
          <w:trHeight w:val="252"/>
        </w:trPr>
        <w:tc>
          <w:tcPr>
            <w:tcW w:w="1083" w:type="dxa"/>
            <w:tcBorders>
              <w:top w:val="nil"/>
              <w:left w:val="single" w:sz="8" w:space="0" w:color="auto"/>
              <w:bottom w:val="nil"/>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Brazil</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eastAsia="Times New Roman" w:hAnsi="Garamond" w:cs="Calibri"/>
                <w:b/>
                <w:bCs/>
                <w:sz w:val="20"/>
                <w:szCs w:val="20"/>
                <w:lang w:val="en-IN" w:bidi="hi-IN"/>
              </w:rPr>
            </w:pPr>
            <w:r>
              <w:rPr>
                <w:rFonts w:ascii="Garamond" w:hAnsi="Garamond" w:cs="Calibri"/>
                <w:b/>
                <w:bCs/>
                <w:sz w:val="20"/>
                <w:szCs w:val="20"/>
              </w:rPr>
              <w:t>12.6</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12.3</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11.3</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11.4</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9.1</w:t>
            </w:r>
          </w:p>
        </w:tc>
      </w:tr>
      <w:tr w:rsidR="00557572" w:rsidRPr="00593C40" w:rsidTr="005F1CCA">
        <w:trPr>
          <w:gridAfter w:val="1"/>
          <w:wAfter w:w="11" w:type="dxa"/>
          <w:trHeight w:val="252"/>
        </w:trPr>
        <w:tc>
          <w:tcPr>
            <w:tcW w:w="1083" w:type="dxa"/>
            <w:tcBorders>
              <w:top w:val="nil"/>
              <w:left w:val="single" w:sz="8" w:space="0" w:color="auto"/>
              <w:bottom w:val="nil"/>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Russia</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hAnsi="Garamond" w:cs="Calibri"/>
                <w:b/>
                <w:bCs/>
                <w:sz w:val="20"/>
                <w:szCs w:val="20"/>
              </w:rPr>
            </w:pPr>
            <w:r>
              <w:rPr>
                <w:rFonts w:ascii="Garamond" w:hAnsi="Garamond" w:cs="Calibri"/>
                <w:b/>
                <w:bCs/>
                <w:sz w:val="20"/>
                <w:szCs w:val="20"/>
              </w:rPr>
              <w:t>9.5</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10.1</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12.8</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8.4</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7.2</w:t>
            </w:r>
          </w:p>
        </w:tc>
      </w:tr>
      <w:tr w:rsidR="00557572" w:rsidRPr="00593C40" w:rsidTr="005F1CCA">
        <w:trPr>
          <w:gridAfter w:val="1"/>
          <w:wAfter w:w="11" w:type="dxa"/>
          <w:trHeight w:val="252"/>
        </w:trPr>
        <w:tc>
          <w:tcPr>
            <w:tcW w:w="1083" w:type="dxa"/>
            <w:tcBorders>
              <w:top w:val="nil"/>
              <w:left w:val="single" w:sz="8" w:space="0" w:color="auto"/>
              <w:bottom w:val="nil"/>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India</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hAnsi="Garamond" w:cs="Calibri"/>
                <w:b/>
                <w:bCs/>
                <w:sz w:val="20"/>
                <w:szCs w:val="20"/>
              </w:rPr>
            </w:pPr>
            <w:r>
              <w:rPr>
                <w:rFonts w:ascii="Garamond" w:hAnsi="Garamond" w:cs="Calibri"/>
                <w:b/>
                <w:bCs/>
                <w:sz w:val="20"/>
                <w:szCs w:val="20"/>
              </w:rPr>
              <w:t>7.4</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7.1</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6.8</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6.3</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6.0</w:t>
            </w:r>
          </w:p>
        </w:tc>
      </w:tr>
      <w:tr w:rsidR="00557572" w:rsidRPr="00593C40" w:rsidTr="005F1CCA">
        <w:trPr>
          <w:gridAfter w:val="1"/>
          <w:wAfter w:w="11" w:type="dxa"/>
          <w:trHeight w:val="265"/>
        </w:trPr>
        <w:tc>
          <w:tcPr>
            <w:tcW w:w="1083" w:type="dxa"/>
            <w:tcBorders>
              <w:top w:val="nil"/>
              <w:left w:val="single" w:sz="8" w:space="0" w:color="auto"/>
              <w:bottom w:val="single" w:sz="8" w:space="0" w:color="auto"/>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China</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hAnsi="Garamond" w:cs="Calibri"/>
                <w:b/>
                <w:bCs/>
                <w:sz w:val="20"/>
                <w:szCs w:val="20"/>
              </w:rPr>
            </w:pPr>
            <w:r>
              <w:rPr>
                <w:rFonts w:ascii="Garamond" w:hAnsi="Garamond" w:cs="Calibri"/>
                <w:b/>
                <w:bCs/>
                <w:sz w:val="20"/>
                <w:szCs w:val="20"/>
              </w:rPr>
              <w:t>2.8</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2.8</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2.8</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2.9</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3.1</w:t>
            </w:r>
          </w:p>
        </w:tc>
      </w:tr>
      <w:tr w:rsidR="00557572" w:rsidRPr="00593C40" w:rsidTr="005F1CCA">
        <w:trPr>
          <w:trHeight w:val="265"/>
        </w:trPr>
        <w:tc>
          <w:tcPr>
            <w:tcW w:w="6683" w:type="dxa"/>
            <w:gridSpan w:val="7"/>
            <w:tcBorders>
              <w:top w:val="single" w:sz="8" w:space="0" w:color="auto"/>
              <w:left w:val="single" w:sz="8" w:space="0" w:color="auto"/>
              <w:bottom w:val="single" w:sz="8" w:space="0" w:color="auto"/>
              <w:right w:val="single" w:sz="8" w:space="0" w:color="000000"/>
            </w:tcBorders>
            <w:shd w:val="clear" w:color="000000" w:fill="D9E1F2"/>
            <w:hideMark/>
          </w:tcPr>
          <w:p w:rsidR="00557572" w:rsidRPr="00593C40" w:rsidRDefault="00557572" w:rsidP="005F1CCA">
            <w:pPr>
              <w:jc w:val="center"/>
              <w:rPr>
                <w:rFonts w:ascii="Garamond" w:eastAsia="Times New Roman" w:hAnsi="Garamond" w:cs="Calibri"/>
                <w:b/>
                <w:bCs/>
                <w:color w:val="000000"/>
                <w:sz w:val="20"/>
                <w:szCs w:val="20"/>
                <w:lang w:val="en-IN" w:eastAsia="en-IN" w:bidi="hi-IN"/>
              </w:rPr>
            </w:pPr>
            <w:r w:rsidRPr="00593C40">
              <w:rPr>
                <w:rFonts w:ascii="Garamond" w:eastAsia="Times New Roman" w:hAnsi="Garamond" w:cs="Calibri"/>
                <w:b/>
                <w:bCs/>
                <w:color w:val="000000"/>
                <w:sz w:val="20"/>
                <w:szCs w:val="20"/>
                <w:lang w:val="en-IN" w:eastAsia="en-IN" w:bidi="hi-IN"/>
              </w:rPr>
              <w:t>Developed Markets</w:t>
            </w:r>
          </w:p>
        </w:tc>
      </w:tr>
      <w:tr w:rsidR="00557572" w:rsidRPr="00593C40" w:rsidTr="005F1CCA">
        <w:trPr>
          <w:gridAfter w:val="1"/>
          <w:wAfter w:w="11" w:type="dxa"/>
          <w:trHeight w:val="252"/>
        </w:trPr>
        <w:tc>
          <w:tcPr>
            <w:tcW w:w="1083" w:type="dxa"/>
            <w:tcBorders>
              <w:top w:val="nil"/>
              <w:left w:val="single" w:sz="8" w:space="0" w:color="auto"/>
              <w:bottom w:val="nil"/>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USA</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eastAsia="Times New Roman" w:hAnsi="Garamond" w:cs="Calibri"/>
                <w:b/>
                <w:bCs/>
                <w:sz w:val="20"/>
                <w:szCs w:val="20"/>
                <w:lang w:val="en-IN" w:bidi="hi-IN"/>
              </w:rPr>
            </w:pPr>
            <w:r>
              <w:rPr>
                <w:rFonts w:ascii="Garamond" w:hAnsi="Garamond" w:cs="Calibri"/>
                <w:b/>
                <w:bCs/>
                <w:sz w:val="20"/>
                <w:szCs w:val="20"/>
              </w:rPr>
              <w:t>2.8</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2.9</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1.8</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1.5</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1.6</w:t>
            </w:r>
          </w:p>
        </w:tc>
      </w:tr>
      <w:tr w:rsidR="00557572" w:rsidRPr="00593C40" w:rsidTr="005F1CCA">
        <w:trPr>
          <w:gridAfter w:val="1"/>
          <w:wAfter w:w="11" w:type="dxa"/>
          <w:trHeight w:val="252"/>
        </w:trPr>
        <w:tc>
          <w:tcPr>
            <w:tcW w:w="1083" w:type="dxa"/>
            <w:tcBorders>
              <w:top w:val="nil"/>
              <w:left w:val="single" w:sz="8" w:space="0" w:color="auto"/>
              <w:bottom w:val="nil"/>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UK</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hAnsi="Garamond" w:cs="Calibri"/>
                <w:b/>
                <w:bCs/>
                <w:sz w:val="20"/>
                <w:szCs w:val="20"/>
              </w:rPr>
            </w:pPr>
            <w:r>
              <w:rPr>
                <w:rFonts w:ascii="Garamond" w:hAnsi="Garamond" w:cs="Calibri"/>
                <w:b/>
                <w:bCs/>
                <w:sz w:val="20"/>
                <w:szCs w:val="20"/>
              </w:rPr>
              <w:t>2.1</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1.9</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1.4</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0.8</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0.8</w:t>
            </w:r>
          </w:p>
        </w:tc>
      </w:tr>
      <w:tr w:rsidR="00557572" w:rsidRPr="00593C40" w:rsidTr="005F1CCA">
        <w:trPr>
          <w:gridAfter w:val="1"/>
          <w:wAfter w:w="11" w:type="dxa"/>
          <w:trHeight w:val="252"/>
        </w:trPr>
        <w:tc>
          <w:tcPr>
            <w:tcW w:w="1083" w:type="dxa"/>
            <w:tcBorders>
              <w:top w:val="nil"/>
              <w:left w:val="single" w:sz="8" w:space="0" w:color="auto"/>
              <w:bottom w:val="nil"/>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Germany</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hAnsi="Garamond" w:cs="Calibri"/>
                <w:b/>
                <w:bCs/>
                <w:sz w:val="20"/>
                <w:szCs w:val="20"/>
              </w:rPr>
            </w:pPr>
            <w:r>
              <w:rPr>
                <w:rFonts w:ascii="Garamond" w:hAnsi="Garamond" w:cs="Calibri"/>
                <w:b/>
                <w:bCs/>
                <w:sz w:val="20"/>
                <w:szCs w:val="20"/>
              </w:rPr>
              <w:t>1.1</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0.9</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0.2</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-0.3</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-0.2</w:t>
            </w:r>
          </w:p>
        </w:tc>
      </w:tr>
      <w:tr w:rsidR="00557572" w:rsidRPr="00593C40" w:rsidTr="005F1CCA">
        <w:trPr>
          <w:gridAfter w:val="1"/>
          <w:wAfter w:w="11" w:type="dxa"/>
          <w:trHeight w:val="252"/>
        </w:trPr>
        <w:tc>
          <w:tcPr>
            <w:tcW w:w="1083" w:type="dxa"/>
            <w:tcBorders>
              <w:top w:val="nil"/>
              <w:left w:val="single" w:sz="8" w:space="0" w:color="auto"/>
              <w:bottom w:val="nil"/>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Spain</w:t>
            </w:r>
          </w:p>
        </w:tc>
        <w:tc>
          <w:tcPr>
            <w:tcW w:w="1323" w:type="dxa"/>
            <w:tcBorders>
              <w:top w:val="nil"/>
              <w:left w:val="nil"/>
              <w:bottom w:val="nil"/>
              <w:right w:val="single" w:sz="8" w:space="0" w:color="auto"/>
            </w:tcBorders>
            <w:shd w:val="clear" w:color="000000" w:fill="9BC2E6"/>
            <w:noWrap/>
            <w:hideMark/>
          </w:tcPr>
          <w:p w:rsidR="00557572" w:rsidRDefault="00557572" w:rsidP="005F1CCA">
            <w:pPr>
              <w:ind w:firstLineChars="100" w:firstLine="201"/>
              <w:jc w:val="right"/>
              <w:rPr>
                <w:rFonts w:ascii="Garamond" w:hAnsi="Garamond" w:cs="Calibri"/>
                <w:b/>
                <w:bCs/>
                <w:sz w:val="20"/>
                <w:szCs w:val="20"/>
              </w:rPr>
            </w:pPr>
            <w:r>
              <w:rPr>
                <w:rFonts w:ascii="Garamond" w:hAnsi="Garamond" w:cs="Calibri"/>
                <w:b/>
                <w:bCs/>
                <w:sz w:val="20"/>
                <w:szCs w:val="20"/>
              </w:rPr>
              <w:t>2.2</w:t>
            </w:r>
          </w:p>
        </w:tc>
        <w:tc>
          <w:tcPr>
            <w:tcW w:w="1377"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2.0</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1.1</w:t>
            </w:r>
          </w:p>
        </w:tc>
        <w:tc>
          <w:tcPr>
            <w:tcW w:w="962"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0.4</w:t>
            </w:r>
          </w:p>
        </w:tc>
        <w:tc>
          <w:tcPr>
            <w:tcW w:w="965"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0.5</w:t>
            </w:r>
          </w:p>
        </w:tc>
      </w:tr>
      <w:tr w:rsidR="00557572" w:rsidRPr="00593C40" w:rsidTr="005F1CCA">
        <w:trPr>
          <w:gridAfter w:val="1"/>
          <w:wAfter w:w="11" w:type="dxa"/>
          <w:trHeight w:val="265"/>
        </w:trPr>
        <w:tc>
          <w:tcPr>
            <w:tcW w:w="1083" w:type="dxa"/>
            <w:tcBorders>
              <w:top w:val="nil"/>
              <w:left w:val="single" w:sz="8" w:space="0" w:color="auto"/>
              <w:bottom w:val="single" w:sz="8" w:space="0" w:color="auto"/>
              <w:right w:val="single" w:sz="8" w:space="0" w:color="auto"/>
            </w:tcBorders>
            <w:shd w:val="clear" w:color="000000" w:fill="D9E1F2"/>
            <w:noWrap/>
            <w:hideMark/>
          </w:tcPr>
          <w:p w:rsidR="00557572" w:rsidRPr="00593C40" w:rsidRDefault="00557572" w:rsidP="005F1CCA">
            <w:pPr>
              <w:rPr>
                <w:rFonts w:ascii="Garamond" w:eastAsia="Times New Roman" w:hAnsi="Garamond" w:cs="Calibri"/>
                <w:color w:val="000000"/>
                <w:sz w:val="20"/>
                <w:szCs w:val="20"/>
                <w:lang w:val="en-IN" w:eastAsia="en-IN" w:bidi="hi-IN"/>
              </w:rPr>
            </w:pPr>
            <w:r w:rsidRPr="00593C40">
              <w:rPr>
                <w:rFonts w:ascii="Garamond" w:eastAsia="Times New Roman" w:hAnsi="Garamond" w:cs="Calibri"/>
                <w:color w:val="000000"/>
                <w:sz w:val="20"/>
                <w:szCs w:val="20"/>
                <w:lang w:val="en-IN" w:eastAsia="en-IN" w:bidi="hi-IN"/>
              </w:rPr>
              <w:t>Japan</w:t>
            </w:r>
          </w:p>
        </w:tc>
        <w:tc>
          <w:tcPr>
            <w:tcW w:w="1323" w:type="dxa"/>
            <w:tcBorders>
              <w:top w:val="nil"/>
              <w:left w:val="nil"/>
              <w:bottom w:val="single" w:sz="8" w:space="0" w:color="auto"/>
              <w:right w:val="single" w:sz="8" w:space="0" w:color="auto"/>
            </w:tcBorders>
            <w:shd w:val="clear" w:color="000000" w:fill="9BC2E6"/>
            <w:noWrap/>
            <w:hideMark/>
          </w:tcPr>
          <w:p w:rsidR="00557572" w:rsidRDefault="00557572" w:rsidP="005F1CCA">
            <w:pPr>
              <w:ind w:firstLineChars="100" w:firstLine="201"/>
              <w:jc w:val="right"/>
              <w:rPr>
                <w:rFonts w:ascii="Garamond" w:hAnsi="Garamond" w:cs="Calibri"/>
                <w:b/>
                <w:bCs/>
                <w:sz w:val="20"/>
                <w:szCs w:val="20"/>
              </w:rPr>
            </w:pPr>
            <w:r>
              <w:rPr>
                <w:rFonts w:ascii="Garamond" w:hAnsi="Garamond" w:cs="Calibri"/>
                <w:b/>
                <w:bCs/>
                <w:sz w:val="20"/>
                <w:szCs w:val="20"/>
              </w:rPr>
              <w:t>0.2</w:t>
            </w:r>
          </w:p>
        </w:tc>
        <w:tc>
          <w:tcPr>
            <w:tcW w:w="1377"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0.2</w:t>
            </w:r>
          </w:p>
        </w:tc>
        <w:tc>
          <w:tcPr>
            <w:tcW w:w="962"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0.2</w:t>
            </w:r>
          </w:p>
        </w:tc>
        <w:tc>
          <w:tcPr>
            <w:tcW w:w="962"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0.1</w:t>
            </w:r>
          </w:p>
        </w:tc>
        <w:tc>
          <w:tcPr>
            <w:tcW w:w="965"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0.1</w:t>
            </w:r>
          </w:p>
        </w:tc>
      </w:tr>
    </w:tbl>
    <w:p w:rsidR="00557572" w:rsidRPr="00A01675" w:rsidRDefault="00557572" w:rsidP="00557572">
      <w:pPr>
        <w:spacing w:line="23" w:lineRule="atLeast"/>
        <w:jc w:val="both"/>
        <w:outlineLvl w:val="0"/>
        <w:rPr>
          <w:rFonts w:ascii="Palatino Linotype" w:hAnsi="Palatino Linotype"/>
          <w:bCs/>
          <w:sz w:val="18"/>
          <w:szCs w:val="18"/>
        </w:rPr>
      </w:pPr>
      <w:r w:rsidRPr="00A01675">
        <w:rPr>
          <w:rFonts w:ascii="Palatino Linotype" w:hAnsi="Palatino Linotype"/>
          <w:bCs/>
          <w:sz w:val="18"/>
          <w:szCs w:val="18"/>
        </w:rPr>
        <w:t>Source: Refinitiv</w:t>
      </w:r>
    </w:p>
    <w:p w:rsidR="00557572" w:rsidRPr="00A01675" w:rsidRDefault="00557572" w:rsidP="00557572">
      <w:pPr>
        <w:spacing w:line="276" w:lineRule="auto"/>
        <w:ind w:left="360"/>
        <w:contextualSpacing/>
        <w:jc w:val="both"/>
        <w:rPr>
          <w:rFonts w:ascii="Palatino Linotype" w:eastAsia="Times New Roman" w:hAnsi="Palatino Linotype"/>
          <w:b/>
          <w:sz w:val="22"/>
          <w:szCs w:val="22"/>
          <w:u w:val="single"/>
          <w:lang w:val="en-US"/>
        </w:rPr>
      </w:pPr>
    </w:p>
    <w:p w:rsidR="00557572" w:rsidRPr="00A01675" w:rsidRDefault="00557572" w:rsidP="00557572">
      <w:pPr>
        <w:spacing w:line="276" w:lineRule="auto"/>
        <w:ind w:left="360"/>
        <w:contextualSpacing/>
        <w:jc w:val="both"/>
        <w:rPr>
          <w:rFonts w:ascii="Palatino Linotype" w:eastAsia="Times New Roman" w:hAnsi="Palatino Linotype"/>
          <w:b/>
          <w:sz w:val="22"/>
          <w:szCs w:val="22"/>
          <w:lang w:val="en-US" w:eastAsia="en-GB"/>
        </w:rPr>
      </w:pPr>
      <w:r w:rsidRPr="00A01675">
        <w:rPr>
          <w:rFonts w:ascii="Palatino Linotype" w:eastAsia="Times New Roman" w:hAnsi="Palatino Linotype"/>
          <w:b/>
          <w:sz w:val="22"/>
          <w:szCs w:val="22"/>
          <w:u w:val="single"/>
          <w:lang w:val="en-US"/>
        </w:rPr>
        <w:t xml:space="preserve">Derivatives </w:t>
      </w:r>
      <w:r>
        <w:rPr>
          <w:rFonts w:ascii="Palatino Linotype" w:eastAsia="Times New Roman" w:hAnsi="Palatino Linotype"/>
          <w:b/>
          <w:sz w:val="22"/>
          <w:szCs w:val="22"/>
          <w:lang w:val="en-US" w:eastAsia="en-GB"/>
        </w:rPr>
        <w:t xml:space="preserve"> </w:t>
      </w:r>
    </w:p>
    <w:p w:rsidR="00557572" w:rsidRPr="00A01675" w:rsidRDefault="00557572" w:rsidP="00557572">
      <w:pPr>
        <w:spacing w:line="276" w:lineRule="auto"/>
        <w:ind w:left="360"/>
        <w:contextualSpacing/>
        <w:jc w:val="both"/>
        <w:rPr>
          <w:rFonts w:ascii="Palatino Linotype" w:eastAsia="Times New Roman" w:hAnsi="Palatino Linotype"/>
          <w:b/>
          <w:sz w:val="22"/>
          <w:szCs w:val="22"/>
          <w:lang w:val="en-US" w:eastAsia="en-GB"/>
        </w:rPr>
      </w:pPr>
    </w:p>
    <w:p w:rsidR="00557572" w:rsidRPr="00720D8B" w:rsidRDefault="00557572" w:rsidP="00557572">
      <w:pPr>
        <w:numPr>
          <w:ilvl w:val="0"/>
          <w:numId w:val="10"/>
        </w:numPr>
        <w:spacing w:line="276" w:lineRule="auto"/>
        <w:jc w:val="both"/>
        <w:rPr>
          <w:rFonts w:ascii="Palatino Linotype" w:eastAsia="Times New Roman" w:hAnsi="Palatino Linotype"/>
          <w:bCs/>
          <w:sz w:val="22"/>
          <w:szCs w:val="22"/>
          <w:lang w:val="en-US" w:eastAsia="en-GB"/>
        </w:rPr>
      </w:pPr>
      <w:r w:rsidRPr="00720D8B">
        <w:rPr>
          <w:rFonts w:ascii="Palatino Linotype" w:eastAsia="Times New Roman" w:hAnsi="Palatino Linotype"/>
          <w:bCs/>
          <w:sz w:val="22"/>
          <w:szCs w:val="22"/>
          <w:lang w:val="en-US" w:eastAsia="en-GB"/>
        </w:rPr>
        <w:t>Among select exchanges</w:t>
      </w:r>
      <w:r w:rsidR="007F63CB">
        <w:rPr>
          <w:rFonts w:ascii="Palatino Linotype" w:eastAsia="Times New Roman" w:hAnsi="Palatino Linotype"/>
          <w:bCs/>
          <w:sz w:val="22"/>
          <w:szCs w:val="22"/>
          <w:lang w:val="en-US" w:eastAsia="en-GB"/>
        </w:rPr>
        <w:t xml:space="preserve"> in the world</w:t>
      </w:r>
      <w:r w:rsidRPr="00720D8B">
        <w:rPr>
          <w:rFonts w:ascii="Palatino Linotype" w:eastAsia="Times New Roman" w:hAnsi="Palatino Linotype"/>
          <w:bCs/>
          <w:sz w:val="22"/>
          <w:szCs w:val="22"/>
          <w:lang w:val="en-US" w:eastAsia="en-GB"/>
        </w:rPr>
        <w:t xml:space="preserve"> during </w:t>
      </w:r>
      <w:r>
        <w:rPr>
          <w:rFonts w:ascii="Palatino Linotype" w:eastAsia="Times New Roman" w:hAnsi="Palatino Linotype"/>
          <w:bCs/>
          <w:sz w:val="22"/>
          <w:szCs w:val="22"/>
          <w:lang w:val="en-US" w:eastAsia="en-GB"/>
        </w:rPr>
        <w:t>March</w:t>
      </w:r>
      <w:r w:rsidRPr="00720D8B">
        <w:rPr>
          <w:rFonts w:ascii="Palatino Linotype" w:eastAsia="Times New Roman" w:hAnsi="Palatino Linotype"/>
          <w:bCs/>
          <w:sz w:val="22"/>
          <w:szCs w:val="22"/>
          <w:lang w:val="en-US" w:eastAsia="en-GB"/>
        </w:rPr>
        <w:t xml:space="preserve"> 2022, CME Group recorded highest number of contracts traded in interest rate futures</w:t>
      </w:r>
      <w:r>
        <w:rPr>
          <w:rFonts w:ascii="Palatino Linotype" w:eastAsia="Times New Roman" w:hAnsi="Palatino Linotype"/>
          <w:bCs/>
          <w:sz w:val="22"/>
          <w:szCs w:val="22"/>
          <w:lang w:val="en-US" w:eastAsia="en-GB"/>
        </w:rPr>
        <w:t xml:space="preserve">, </w:t>
      </w:r>
      <w:r w:rsidRPr="00720D8B">
        <w:rPr>
          <w:rFonts w:ascii="Palatino Linotype" w:eastAsia="Times New Roman" w:hAnsi="Palatino Linotype"/>
          <w:bCs/>
          <w:sz w:val="22"/>
          <w:szCs w:val="22"/>
          <w:lang w:val="en-US" w:eastAsia="en-GB"/>
        </w:rPr>
        <w:t>interest rate options</w:t>
      </w:r>
      <w:r>
        <w:rPr>
          <w:rFonts w:ascii="Palatino Linotype" w:eastAsia="Times New Roman" w:hAnsi="Palatino Linotype"/>
          <w:bCs/>
          <w:sz w:val="22"/>
          <w:szCs w:val="22"/>
          <w:lang w:val="en-US" w:eastAsia="en-GB"/>
        </w:rPr>
        <w:t xml:space="preserve"> and commodity options</w:t>
      </w:r>
      <w:r w:rsidRPr="00720D8B">
        <w:rPr>
          <w:rFonts w:ascii="Palatino Linotype" w:eastAsia="Times New Roman" w:hAnsi="Palatino Linotype"/>
          <w:bCs/>
          <w:sz w:val="22"/>
          <w:szCs w:val="22"/>
          <w:lang w:val="en-US" w:eastAsia="en-GB"/>
        </w:rPr>
        <w:t xml:space="preserve"> segment.</w:t>
      </w:r>
    </w:p>
    <w:p w:rsidR="00557572" w:rsidRPr="007F63CB" w:rsidRDefault="00557572" w:rsidP="00D42F8D">
      <w:pPr>
        <w:numPr>
          <w:ilvl w:val="0"/>
          <w:numId w:val="10"/>
        </w:numPr>
        <w:spacing w:line="276" w:lineRule="auto"/>
        <w:jc w:val="both"/>
        <w:rPr>
          <w:rFonts w:ascii="Palatino Linotype" w:hAnsi="Palatino Linotype"/>
          <w:b/>
          <w:bCs/>
          <w:szCs w:val="22"/>
        </w:rPr>
      </w:pPr>
      <w:r w:rsidRPr="00720D8B">
        <w:rPr>
          <w:rFonts w:ascii="Palatino Linotype" w:eastAsia="Times New Roman" w:hAnsi="Palatino Linotype"/>
          <w:bCs/>
          <w:sz w:val="22"/>
          <w:szCs w:val="22"/>
          <w:lang w:val="en-US" w:eastAsia="en-GB"/>
        </w:rPr>
        <w:t>While, NSE recorded highest number of contracts traded in index options</w:t>
      </w:r>
      <w:r>
        <w:rPr>
          <w:rFonts w:ascii="Palatino Linotype" w:eastAsia="Times New Roman" w:hAnsi="Palatino Linotype"/>
          <w:bCs/>
          <w:sz w:val="22"/>
          <w:szCs w:val="22"/>
          <w:lang w:val="en-US" w:eastAsia="en-GB"/>
        </w:rPr>
        <w:t>,</w:t>
      </w:r>
      <w:r w:rsidRPr="00720D8B">
        <w:rPr>
          <w:rFonts w:ascii="Palatino Linotype" w:eastAsia="Times New Roman" w:hAnsi="Palatino Linotype"/>
          <w:bCs/>
          <w:sz w:val="22"/>
          <w:szCs w:val="22"/>
          <w:lang w:val="en-US" w:eastAsia="en-GB"/>
        </w:rPr>
        <w:t xml:space="preserve"> currency futures</w:t>
      </w:r>
      <w:r>
        <w:rPr>
          <w:rFonts w:ascii="Palatino Linotype" w:eastAsia="Times New Roman" w:hAnsi="Palatino Linotype"/>
          <w:bCs/>
          <w:sz w:val="22"/>
          <w:szCs w:val="22"/>
          <w:lang w:val="en-US" w:eastAsia="en-GB"/>
        </w:rPr>
        <w:t xml:space="preserve"> and currency options</w:t>
      </w:r>
      <w:r w:rsidRPr="00720D8B">
        <w:rPr>
          <w:rFonts w:ascii="Palatino Linotype" w:eastAsia="Times New Roman" w:hAnsi="Palatino Linotype"/>
          <w:bCs/>
          <w:sz w:val="22"/>
          <w:szCs w:val="22"/>
          <w:lang w:val="en-US" w:eastAsia="en-GB"/>
        </w:rPr>
        <w:t xml:space="preserve"> segment. </w:t>
      </w:r>
    </w:p>
    <w:p w:rsidR="00557572" w:rsidRDefault="00557572" w:rsidP="00557572">
      <w:pPr>
        <w:spacing w:line="276" w:lineRule="auto"/>
        <w:ind w:left="360"/>
        <w:jc w:val="both"/>
        <w:rPr>
          <w:rFonts w:ascii="Palatino Linotype" w:eastAsia="Times New Roman" w:hAnsi="Palatino Linotype"/>
          <w:bCs/>
          <w:sz w:val="22"/>
          <w:szCs w:val="22"/>
          <w:highlight w:val="yellow"/>
          <w:lang w:val="en-US" w:eastAsia="en-GB"/>
        </w:rPr>
      </w:pPr>
      <w:r>
        <w:rPr>
          <w:rFonts w:ascii="Palatino Linotype" w:hAnsi="Palatino Linotype"/>
          <w:b/>
          <w:bCs/>
          <w:szCs w:val="22"/>
        </w:rPr>
        <w:t>Figure 2</w:t>
      </w:r>
      <w:r w:rsidRPr="00A01675">
        <w:rPr>
          <w:rFonts w:ascii="Palatino Linotype" w:hAnsi="Palatino Linotype"/>
          <w:b/>
          <w:bCs/>
          <w:szCs w:val="22"/>
        </w:rPr>
        <w:t xml:space="preserve">: </w:t>
      </w:r>
      <w:r>
        <w:rPr>
          <w:rFonts w:ascii="Palatino Linotype" w:hAnsi="Palatino Linotype"/>
          <w:b/>
          <w:bCs/>
          <w:szCs w:val="22"/>
        </w:rPr>
        <w:t xml:space="preserve">Number of </w:t>
      </w:r>
      <w:r w:rsidRPr="00B34D98">
        <w:rPr>
          <w:rFonts w:ascii="Palatino Linotype" w:hAnsi="Palatino Linotype"/>
          <w:b/>
          <w:bCs/>
          <w:szCs w:val="22"/>
        </w:rPr>
        <w:t>contracts traded at major</w:t>
      </w:r>
      <w:r>
        <w:rPr>
          <w:rFonts w:ascii="Palatino Linotype" w:hAnsi="Palatino Linotype"/>
          <w:b/>
          <w:bCs/>
          <w:szCs w:val="22"/>
        </w:rPr>
        <w:t xml:space="preserve"> exchanges* in different derivatives segment in April 2022</w:t>
      </w:r>
    </w:p>
    <w:p w:rsidR="00557572" w:rsidRDefault="00557572" w:rsidP="00557572">
      <w:pPr>
        <w:spacing w:line="276" w:lineRule="auto"/>
        <w:ind w:left="360"/>
        <w:jc w:val="both"/>
      </w:pPr>
      <w:r w:rsidRPr="00193B75">
        <w:rPr>
          <w:noProof/>
          <w:lang w:val="en-US" w:bidi="hi-IN"/>
        </w:rPr>
        <w:drawing>
          <wp:inline distT="0" distB="0" distL="0" distR="0" wp14:anchorId="47A5DFC8" wp14:editId="4186E920">
            <wp:extent cx="4933950" cy="3820795"/>
            <wp:effectExtent l="0" t="0" r="0" b="8255"/>
            <wp:docPr id="21" name="Picture 21" descr="D:\vimal backup\SEBI WORK 3- DEPA1\2022-23\DEPA1 Bulletin -GMR\2022 06 GMR\GMR_Chart-A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mal backup\SEBI WORK 3- DEPA1\2022-23\DEPA1 Bulletin -GMR\2022 06 GMR\GMR_Chart-Apr.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33950" cy="3820795"/>
                    </a:xfrm>
                    <a:prstGeom prst="rect">
                      <a:avLst/>
                    </a:prstGeom>
                    <a:noFill/>
                    <a:ln>
                      <a:noFill/>
                    </a:ln>
                  </pic:spPr>
                </pic:pic>
              </a:graphicData>
            </a:graphic>
          </wp:inline>
        </w:drawing>
      </w:r>
    </w:p>
    <w:p w:rsidR="00557572" w:rsidRPr="001324D8" w:rsidRDefault="00557572" w:rsidP="00557572">
      <w:pPr>
        <w:spacing w:line="23" w:lineRule="atLeast"/>
        <w:ind w:left="360"/>
        <w:rPr>
          <w:rFonts w:ascii="Palatino Linotype" w:hAnsi="Palatino Linotype"/>
          <w:bCs/>
          <w:sz w:val="18"/>
          <w:szCs w:val="18"/>
        </w:rPr>
      </w:pPr>
      <w:r w:rsidRPr="001324D8">
        <w:rPr>
          <w:rFonts w:ascii="Palatino Linotype" w:hAnsi="Palatino Linotype"/>
          <w:bCs/>
          <w:sz w:val="18"/>
          <w:szCs w:val="18"/>
        </w:rPr>
        <w:t xml:space="preserve">Note: </w:t>
      </w:r>
      <w:r>
        <w:rPr>
          <w:rFonts w:ascii="Palatino Linotype" w:hAnsi="Palatino Linotype"/>
          <w:bCs/>
          <w:sz w:val="18"/>
          <w:szCs w:val="18"/>
        </w:rPr>
        <w:t xml:space="preserve">1. *Major Exchanges: </w:t>
      </w:r>
      <w:r w:rsidRPr="001324D8">
        <w:rPr>
          <w:rFonts w:ascii="Palatino Linotype" w:hAnsi="Palatino Linotype"/>
          <w:bCs/>
          <w:sz w:val="18"/>
          <w:szCs w:val="18"/>
        </w:rPr>
        <w:t>For each derivatives segment</w:t>
      </w:r>
      <w:r>
        <w:rPr>
          <w:rFonts w:ascii="Palatino Linotype" w:hAnsi="Palatino Linotype"/>
          <w:bCs/>
          <w:sz w:val="18"/>
          <w:szCs w:val="18"/>
        </w:rPr>
        <w:t>,</w:t>
      </w:r>
      <w:r w:rsidRPr="001324D8">
        <w:rPr>
          <w:rFonts w:ascii="Palatino Linotype" w:hAnsi="Palatino Linotype"/>
          <w:bCs/>
          <w:sz w:val="18"/>
          <w:szCs w:val="18"/>
        </w:rPr>
        <w:t xml:space="preserve"> exchange with highest no. of contracts traded (in that segment) among select exchanges (as </w:t>
      </w:r>
      <w:r>
        <w:rPr>
          <w:rFonts w:ascii="Palatino Linotype" w:hAnsi="Palatino Linotype"/>
          <w:bCs/>
          <w:sz w:val="18"/>
          <w:szCs w:val="18"/>
        </w:rPr>
        <w:t>given at Table A1) and for which data is available as on June 20, 2022 is considered as top exchange for the segment.</w:t>
      </w:r>
    </w:p>
    <w:p w:rsidR="00557572" w:rsidRPr="00A01675" w:rsidRDefault="00557572" w:rsidP="00557572">
      <w:pPr>
        <w:spacing w:line="23" w:lineRule="atLeast"/>
        <w:ind w:left="360"/>
        <w:rPr>
          <w:rFonts w:ascii="Palatino Linotype" w:hAnsi="Palatino Linotype"/>
          <w:bCs/>
          <w:sz w:val="18"/>
          <w:szCs w:val="18"/>
        </w:rPr>
      </w:pPr>
      <w:r w:rsidRPr="00A01675">
        <w:rPr>
          <w:rFonts w:ascii="Palatino Linotype" w:hAnsi="Palatino Linotype"/>
          <w:bCs/>
          <w:sz w:val="18"/>
          <w:szCs w:val="18"/>
        </w:rPr>
        <w:t>Source: World Federation of Exchanges</w:t>
      </w:r>
    </w:p>
    <w:p w:rsidR="00557572" w:rsidRPr="008A117E" w:rsidRDefault="00557572" w:rsidP="00557572">
      <w:pPr>
        <w:spacing w:line="276" w:lineRule="auto"/>
        <w:ind w:left="360"/>
        <w:jc w:val="both"/>
        <w:rPr>
          <w:rFonts w:ascii="Palatino Linotype" w:eastAsia="Times New Roman" w:hAnsi="Palatino Linotype"/>
          <w:bCs/>
          <w:sz w:val="22"/>
          <w:szCs w:val="22"/>
          <w:highlight w:val="yellow"/>
          <w:lang w:val="en-US" w:eastAsia="en-GB"/>
        </w:rPr>
      </w:pPr>
    </w:p>
    <w:p w:rsidR="00557572" w:rsidRPr="00A01675" w:rsidRDefault="00557572" w:rsidP="00557572">
      <w:pPr>
        <w:spacing w:line="276" w:lineRule="auto"/>
        <w:outlineLvl w:val="0"/>
        <w:rPr>
          <w:rFonts w:ascii="Palatino Linotype" w:eastAsia="Times New Roman" w:hAnsi="Palatino Linotype"/>
          <w:b/>
          <w:sz w:val="22"/>
          <w:szCs w:val="22"/>
          <w:lang w:eastAsia="en-GB"/>
        </w:rPr>
      </w:pPr>
      <w:r>
        <w:rPr>
          <w:rFonts w:ascii="Palatino Linotype" w:eastAsia="Times New Roman" w:hAnsi="Palatino Linotype"/>
          <w:b/>
          <w:sz w:val="22"/>
          <w:szCs w:val="22"/>
          <w:u w:val="single"/>
        </w:rPr>
        <w:t>Currency Market</w:t>
      </w:r>
      <w:r w:rsidRPr="00A01675">
        <w:rPr>
          <w:rFonts w:ascii="Palatino Linotype" w:eastAsia="Times New Roman" w:hAnsi="Palatino Linotype"/>
          <w:b/>
          <w:sz w:val="22"/>
          <w:szCs w:val="22"/>
          <w:u w:val="single"/>
        </w:rPr>
        <w:t xml:space="preserve"> </w:t>
      </w:r>
    </w:p>
    <w:p w:rsidR="00557572" w:rsidRPr="008575BF" w:rsidRDefault="00557572" w:rsidP="00557572">
      <w:pPr>
        <w:spacing w:line="276" w:lineRule="auto"/>
        <w:jc w:val="both"/>
        <w:rPr>
          <w:rFonts w:ascii="Palatino Linotype" w:hAnsi="Palatino Linotype"/>
          <w:bCs/>
          <w:sz w:val="22"/>
          <w:szCs w:val="22"/>
          <w:highlight w:val="yellow"/>
          <w:lang w:val="en-US"/>
        </w:rPr>
      </w:pPr>
    </w:p>
    <w:p w:rsidR="00557572" w:rsidRPr="008854DC" w:rsidRDefault="00557572" w:rsidP="00557572">
      <w:pPr>
        <w:numPr>
          <w:ilvl w:val="0"/>
          <w:numId w:val="10"/>
        </w:numPr>
        <w:spacing w:line="276" w:lineRule="auto"/>
        <w:jc w:val="both"/>
        <w:rPr>
          <w:rFonts w:ascii="Palatino Linotype" w:hAnsi="Palatino Linotype"/>
          <w:bCs/>
          <w:sz w:val="22"/>
          <w:szCs w:val="22"/>
          <w:lang w:val="en-US"/>
        </w:rPr>
      </w:pPr>
      <w:r w:rsidRPr="002D4AE9">
        <w:rPr>
          <w:rFonts w:ascii="Palatino Linotype" w:eastAsia="Times New Roman" w:hAnsi="Palatino Linotype"/>
          <w:bCs/>
          <w:sz w:val="22"/>
          <w:szCs w:val="22"/>
          <w:lang w:val="en-US" w:eastAsia="en-GB"/>
        </w:rPr>
        <w:t xml:space="preserve">During </w:t>
      </w:r>
      <w:r>
        <w:rPr>
          <w:rFonts w:ascii="Palatino Linotype" w:eastAsia="Times New Roman" w:hAnsi="Palatino Linotype"/>
          <w:bCs/>
          <w:sz w:val="22"/>
          <w:szCs w:val="22"/>
          <w:lang w:val="en-US" w:eastAsia="en-GB"/>
        </w:rPr>
        <w:t>May</w:t>
      </w:r>
      <w:r w:rsidRPr="005048C2">
        <w:rPr>
          <w:rFonts w:ascii="Palatino Linotype" w:eastAsia="Times New Roman" w:hAnsi="Palatino Linotype"/>
          <w:bCs/>
          <w:sz w:val="22"/>
          <w:szCs w:val="22"/>
          <w:lang w:val="en-US" w:eastAsia="en-GB"/>
        </w:rPr>
        <w:t xml:space="preserve"> </w:t>
      </w:r>
      <w:r w:rsidRPr="002D4AE9">
        <w:rPr>
          <w:rFonts w:ascii="Palatino Linotype" w:eastAsia="Times New Roman" w:hAnsi="Palatino Linotype"/>
          <w:bCs/>
          <w:sz w:val="22"/>
          <w:szCs w:val="22"/>
          <w:lang w:val="en-US" w:eastAsia="en-GB"/>
        </w:rPr>
        <w:t>202</w:t>
      </w:r>
      <w:r>
        <w:rPr>
          <w:rFonts w:ascii="Palatino Linotype" w:eastAsia="Times New Roman" w:hAnsi="Palatino Linotype"/>
          <w:bCs/>
          <w:sz w:val="22"/>
          <w:szCs w:val="22"/>
          <w:lang w:val="en-US" w:eastAsia="en-GB"/>
        </w:rPr>
        <w:t>2</w:t>
      </w:r>
      <w:r w:rsidRPr="002D4AE9">
        <w:rPr>
          <w:rFonts w:ascii="Palatino Linotype" w:eastAsia="Times New Roman" w:hAnsi="Palatino Linotype"/>
          <w:bCs/>
          <w:sz w:val="22"/>
          <w:szCs w:val="22"/>
          <w:lang w:val="en-US" w:eastAsia="en-GB"/>
        </w:rPr>
        <w:t>, among BRICS nations,</w:t>
      </w:r>
      <w:r>
        <w:rPr>
          <w:rFonts w:ascii="Palatino Linotype" w:eastAsia="Times New Roman" w:hAnsi="Palatino Linotype"/>
          <w:bCs/>
          <w:sz w:val="22"/>
          <w:szCs w:val="22"/>
          <w:lang w:val="en-US" w:eastAsia="en-GB"/>
        </w:rPr>
        <w:t xml:space="preserve"> Rouble (Russia), Real (Brazil),</w:t>
      </w:r>
      <w:r w:rsidRPr="00CE0354">
        <w:rPr>
          <w:rFonts w:ascii="Palatino Linotype" w:eastAsia="Times New Roman" w:hAnsi="Palatino Linotype"/>
          <w:bCs/>
          <w:sz w:val="22"/>
          <w:szCs w:val="22"/>
          <w:lang w:val="en-US" w:eastAsia="en-GB"/>
        </w:rPr>
        <w:t xml:space="preserve"> </w:t>
      </w:r>
      <w:r>
        <w:rPr>
          <w:rFonts w:ascii="Palatino Linotype" w:eastAsia="Times New Roman" w:hAnsi="Palatino Linotype"/>
          <w:bCs/>
          <w:sz w:val="22"/>
          <w:szCs w:val="22"/>
          <w:lang w:val="en-US" w:eastAsia="en-GB"/>
        </w:rPr>
        <w:t xml:space="preserve">Rand (S. Africa), appreciated against USD by 14.2 per cent, 4.8 per cent and 1.2 per cent, respectively, while, </w:t>
      </w:r>
      <w:r w:rsidRPr="00CE0354">
        <w:rPr>
          <w:rFonts w:ascii="Palatino Linotype" w:eastAsia="Times New Roman" w:hAnsi="Palatino Linotype"/>
          <w:bCs/>
          <w:sz w:val="22"/>
          <w:szCs w:val="22"/>
          <w:lang w:val="en-US" w:eastAsia="en-GB"/>
        </w:rPr>
        <w:t>Rupee (India) and Renminbi (China)</w:t>
      </w:r>
      <w:r>
        <w:rPr>
          <w:rFonts w:ascii="Palatino Linotype" w:eastAsia="Times New Roman" w:hAnsi="Palatino Linotype"/>
          <w:bCs/>
          <w:sz w:val="22"/>
          <w:szCs w:val="22"/>
          <w:lang w:val="en-US" w:eastAsia="en-GB"/>
        </w:rPr>
        <w:t xml:space="preserve"> depreciated by 1.4 per cent and 1.0 per cent, respectively, during the month.</w:t>
      </w:r>
    </w:p>
    <w:p w:rsidR="00557572" w:rsidRPr="009B7ABC" w:rsidRDefault="00557572" w:rsidP="00557572">
      <w:pPr>
        <w:numPr>
          <w:ilvl w:val="0"/>
          <w:numId w:val="10"/>
        </w:numPr>
        <w:spacing w:line="276" w:lineRule="auto"/>
        <w:jc w:val="both"/>
        <w:rPr>
          <w:rFonts w:ascii="Palatino Linotype" w:hAnsi="Palatino Linotype"/>
          <w:bCs/>
          <w:sz w:val="22"/>
          <w:szCs w:val="22"/>
          <w:lang w:val="en-US"/>
        </w:rPr>
      </w:pPr>
      <w:r w:rsidRPr="002D4AE9">
        <w:rPr>
          <w:rFonts w:ascii="Palatino Linotype" w:eastAsia="Times New Roman" w:hAnsi="Palatino Linotype"/>
          <w:bCs/>
          <w:sz w:val="22"/>
          <w:szCs w:val="22"/>
          <w:lang w:val="en-US" w:eastAsia="en-GB"/>
        </w:rPr>
        <w:t>Among develo</w:t>
      </w:r>
      <w:r>
        <w:rPr>
          <w:rFonts w:ascii="Palatino Linotype" w:eastAsia="Times New Roman" w:hAnsi="Palatino Linotype"/>
          <w:bCs/>
          <w:sz w:val="22"/>
          <w:szCs w:val="22"/>
          <w:lang w:val="en-US" w:eastAsia="en-GB"/>
        </w:rPr>
        <w:t>ped market, major currencies viz., Euro, Franc, Yen and Pound app</w:t>
      </w:r>
      <w:r w:rsidRPr="002D4AE9">
        <w:rPr>
          <w:rFonts w:ascii="Palatino Linotype" w:eastAsia="Times New Roman" w:hAnsi="Palatino Linotype"/>
          <w:bCs/>
          <w:sz w:val="22"/>
          <w:szCs w:val="22"/>
          <w:lang w:val="en-US" w:eastAsia="en-GB"/>
        </w:rPr>
        <w:t>reciated against USD by</w:t>
      </w:r>
      <w:r>
        <w:rPr>
          <w:rFonts w:ascii="Palatino Linotype" w:eastAsia="Times New Roman" w:hAnsi="Palatino Linotype"/>
          <w:bCs/>
          <w:sz w:val="22"/>
          <w:szCs w:val="22"/>
          <w:lang w:val="en-US" w:eastAsia="en-GB"/>
        </w:rPr>
        <w:t xml:space="preserve"> 1.8 per cent, 1.5 per cent, 0.9 per cent and 0.2 per cent</w:t>
      </w:r>
      <w:r w:rsidRPr="002D4AE9">
        <w:rPr>
          <w:rFonts w:ascii="Palatino Linotype" w:eastAsia="Times New Roman" w:hAnsi="Palatino Linotype"/>
          <w:bCs/>
          <w:sz w:val="22"/>
          <w:szCs w:val="22"/>
          <w:lang w:val="en-US" w:eastAsia="en-GB"/>
        </w:rPr>
        <w:t>, respectively</w:t>
      </w:r>
      <w:r>
        <w:rPr>
          <w:rFonts w:ascii="Palatino Linotype" w:eastAsia="Times New Roman" w:hAnsi="Palatino Linotype"/>
          <w:bCs/>
          <w:sz w:val="22"/>
          <w:szCs w:val="22"/>
          <w:lang w:val="en-US" w:eastAsia="en-GB"/>
        </w:rPr>
        <w:t>, during the month</w:t>
      </w:r>
      <w:r w:rsidRPr="002D4AE9">
        <w:rPr>
          <w:rFonts w:ascii="Palatino Linotype" w:eastAsia="Times New Roman" w:hAnsi="Palatino Linotype"/>
          <w:bCs/>
          <w:sz w:val="22"/>
          <w:szCs w:val="22"/>
          <w:lang w:val="en-US" w:eastAsia="en-GB"/>
        </w:rPr>
        <w:t>.</w:t>
      </w:r>
      <w:r>
        <w:rPr>
          <w:rFonts w:ascii="Palatino Linotype" w:eastAsia="Times New Roman" w:hAnsi="Palatino Linotype"/>
          <w:bCs/>
          <w:sz w:val="22"/>
          <w:szCs w:val="22"/>
          <w:lang w:val="en-US" w:eastAsia="en-GB"/>
        </w:rPr>
        <w:t xml:space="preserve"> </w:t>
      </w:r>
    </w:p>
    <w:p w:rsidR="009B7ABC" w:rsidRPr="002D4AE9" w:rsidRDefault="009B7ABC" w:rsidP="009B7ABC">
      <w:pPr>
        <w:spacing w:line="276" w:lineRule="auto"/>
        <w:ind w:left="360"/>
        <w:jc w:val="both"/>
        <w:rPr>
          <w:rFonts w:ascii="Palatino Linotype" w:hAnsi="Palatino Linotype"/>
          <w:bCs/>
          <w:sz w:val="22"/>
          <w:szCs w:val="22"/>
          <w:lang w:val="en-US"/>
        </w:rPr>
      </w:pPr>
    </w:p>
    <w:p w:rsidR="00E97406" w:rsidRDefault="00E97406" w:rsidP="009B7ABC">
      <w:pPr>
        <w:spacing w:line="276" w:lineRule="auto"/>
        <w:outlineLvl w:val="0"/>
        <w:rPr>
          <w:rFonts w:ascii="Palatino Linotype" w:hAnsi="Palatino Linotype"/>
          <w:b/>
          <w:bCs/>
          <w:szCs w:val="22"/>
        </w:rPr>
      </w:pPr>
    </w:p>
    <w:p w:rsidR="00557572" w:rsidRPr="00A01675" w:rsidRDefault="00557572" w:rsidP="009B7ABC">
      <w:pPr>
        <w:spacing w:line="276" w:lineRule="auto"/>
        <w:outlineLvl w:val="0"/>
        <w:rPr>
          <w:rFonts w:ascii="Palatino Linotype" w:hAnsi="Palatino Linotype"/>
          <w:bCs/>
          <w:sz w:val="18"/>
          <w:szCs w:val="18"/>
        </w:rPr>
      </w:pPr>
      <w:r>
        <w:rPr>
          <w:rFonts w:ascii="Palatino Linotype" w:hAnsi="Palatino Linotype"/>
          <w:b/>
          <w:bCs/>
          <w:szCs w:val="22"/>
        </w:rPr>
        <w:lastRenderedPageBreak/>
        <w:t>Table 3</w:t>
      </w:r>
      <w:r w:rsidRPr="00A01675">
        <w:rPr>
          <w:rFonts w:ascii="Palatino Linotype" w:hAnsi="Palatino Linotype"/>
          <w:b/>
          <w:bCs/>
          <w:szCs w:val="22"/>
        </w:rPr>
        <w:t xml:space="preserve">: </w:t>
      </w:r>
      <w:r>
        <w:rPr>
          <w:rFonts w:ascii="Palatino Linotype" w:hAnsi="Palatino Linotype"/>
          <w:b/>
          <w:bCs/>
          <w:szCs w:val="22"/>
        </w:rPr>
        <w:t>Movement in Major Currencies across developing and developed markets</w:t>
      </w:r>
    </w:p>
    <w:tbl>
      <w:tblPr>
        <w:tblW w:w="8554" w:type="dxa"/>
        <w:tblInd w:w="108" w:type="dxa"/>
        <w:tblLook w:val="04A0" w:firstRow="1" w:lastRow="0" w:firstColumn="1" w:lastColumn="0" w:noHBand="0" w:noVBand="1"/>
      </w:tblPr>
      <w:tblGrid>
        <w:gridCol w:w="1317"/>
        <w:gridCol w:w="1280"/>
        <w:gridCol w:w="1354"/>
        <w:gridCol w:w="1374"/>
        <w:gridCol w:w="1024"/>
        <w:gridCol w:w="1170"/>
        <w:gridCol w:w="1024"/>
        <w:gridCol w:w="11"/>
      </w:tblGrid>
      <w:tr w:rsidR="00557572" w:rsidRPr="00E768E1" w:rsidTr="005F1CCA">
        <w:trPr>
          <w:gridAfter w:val="1"/>
          <w:wAfter w:w="11" w:type="dxa"/>
          <w:trHeight w:val="478"/>
        </w:trPr>
        <w:tc>
          <w:tcPr>
            <w:tcW w:w="1317"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Country</w:t>
            </w:r>
          </w:p>
        </w:tc>
        <w:tc>
          <w:tcPr>
            <w:tcW w:w="1280" w:type="dxa"/>
            <w:tcBorders>
              <w:top w:val="single" w:sz="8" w:space="0" w:color="auto"/>
              <w:left w:val="nil"/>
              <w:bottom w:val="nil"/>
              <w:right w:val="single" w:sz="8" w:space="0" w:color="auto"/>
            </w:tcBorders>
            <w:shd w:val="clear" w:color="000000" w:fill="B4C6E7"/>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Currency</w:t>
            </w:r>
          </w:p>
        </w:tc>
        <w:tc>
          <w:tcPr>
            <w:tcW w:w="1354" w:type="dxa"/>
            <w:tcBorders>
              <w:top w:val="single" w:sz="8" w:space="0" w:color="auto"/>
              <w:left w:val="nil"/>
              <w:bottom w:val="nil"/>
              <w:right w:val="single" w:sz="8" w:space="0" w:color="auto"/>
            </w:tcBorders>
            <w:shd w:val="clear" w:color="000000" w:fill="B4C6E7"/>
            <w:noWrap/>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Index as on</w:t>
            </w:r>
          </w:p>
        </w:tc>
        <w:tc>
          <w:tcPr>
            <w:tcW w:w="4592" w:type="dxa"/>
            <w:gridSpan w:val="4"/>
            <w:tcBorders>
              <w:top w:val="single" w:sz="8" w:space="0" w:color="auto"/>
              <w:left w:val="nil"/>
              <w:bottom w:val="single" w:sz="8" w:space="0" w:color="auto"/>
              <w:right w:val="single" w:sz="8" w:space="0" w:color="000000"/>
            </w:tcBorders>
            <w:shd w:val="clear" w:color="000000" w:fill="B4C6E7"/>
            <w:hideMark/>
          </w:tcPr>
          <w:p w:rsidR="00557572" w:rsidRPr="00E768E1" w:rsidRDefault="00557572" w:rsidP="005F1CCA">
            <w:pPr>
              <w:jc w:val="center"/>
              <w:rPr>
                <w:rFonts w:ascii="Garamond" w:eastAsia="Times New Roman" w:hAnsi="Garamond" w:cs="Calibri"/>
                <w:b/>
                <w:bCs/>
                <w:sz w:val="20"/>
                <w:szCs w:val="20"/>
                <w:lang w:val="en-IN" w:eastAsia="en-IN" w:bidi="hi-IN"/>
              </w:rPr>
            </w:pPr>
            <w:r>
              <w:rPr>
                <w:rFonts w:ascii="Garamond" w:eastAsia="Times New Roman" w:hAnsi="Garamond" w:cs="Calibri"/>
                <w:b/>
                <w:bCs/>
                <w:sz w:val="20"/>
                <w:szCs w:val="20"/>
                <w:lang w:val="en-IN" w:eastAsia="en-IN" w:bidi="hi-IN"/>
              </w:rPr>
              <w:t>Percent</w:t>
            </w:r>
            <w:r w:rsidRPr="00E768E1">
              <w:rPr>
                <w:rFonts w:ascii="Garamond" w:eastAsia="Times New Roman" w:hAnsi="Garamond" w:cs="Calibri"/>
                <w:b/>
                <w:bCs/>
                <w:sz w:val="20"/>
                <w:szCs w:val="20"/>
                <w:lang w:val="en-IN" w:eastAsia="en-IN" w:bidi="hi-IN"/>
              </w:rPr>
              <w:t>age change in Currency Index over period</w:t>
            </w:r>
          </w:p>
        </w:tc>
      </w:tr>
      <w:tr w:rsidR="00557572" w:rsidRPr="00E768E1" w:rsidTr="005F1CCA">
        <w:trPr>
          <w:gridAfter w:val="1"/>
          <w:wAfter w:w="11" w:type="dxa"/>
          <w:trHeight w:val="264"/>
        </w:trPr>
        <w:tc>
          <w:tcPr>
            <w:tcW w:w="1317" w:type="dxa"/>
            <w:vMerge/>
            <w:tcBorders>
              <w:top w:val="single" w:sz="8" w:space="0" w:color="auto"/>
              <w:left w:val="single" w:sz="8" w:space="0" w:color="auto"/>
              <w:bottom w:val="single" w:sz="8" w:space="0" w:color="000000"/>
              <w:right w:val="single" w:sz="8" w:space="0" w:color="auto"/>
            </w:tcBorders>
            <w:vAlign w:val="center"/>
            <w:hideMark/>
          </w:tcPr>
          <w:p w:rsidR="00557572" w:rsidRPr="00E768E1" w:rsidRDefault="00557572" w:rsidP="005F1CCA">
            <w:pPr>
              <w:rPr>
                <w:rFonts w:ascii="Garamond" w:eastAsia="Times New Roman" w:hAnsi="Garamond" w:cs="Calibri"/>
                <w:b/>
                <w:bCs/>
                <w:sz w:val="20"/>
                <w:szCs w:val="20"/>
                <w:lang w:val="en-IN" w:eastAsia="en-IN" w:bidi="hi-IN"/>
              </w:rPr>
            </w:pPr>
          </w:p>
        </w:tc>
        <w:tc>
          <w:tcPr>
            <w:tcW w:w="1280" w:type="dxa"/>
            <w:tcBorders>
              <w:top w:val="nil"/>
              <w:left w:val="nil"/>
              <w:bottom w:val="single" w:sz="8" w:space="0" w:color="auto"/>
              <w:right w:val="single" w:sz="8" w:space="0" w:color="auto"/>
            </w:tcBorders>
            <w:shd w:val="clear" w:color="000000" w:fill="B4C6E7"/>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 </w:t>
            </w:r>
          </w:p>
        </w:tc>
        <w:tc>
          <w:tcPr>
            <w:tcW w:w="1354" w:type="dxa"/>
            <w:tcBorders>
              <w:top w:val="nil"/>
              <w:left w:val="nil"/>
              <w:bottom w:val="single" w:sz="8" w:space="0" w:color="auto"/>
              <w:right w:val="single" w:sz="8" w:space="0" w:color="auto"/>
            </w:tcBorders>
            <w:shd w:val="clear" w:color="000000" w:fill="B4C6E7"/>
            <w:noWrap/>
            <w:hideMark/>
          </w:tcPr>
          <w:p w:rsidR="00557572" w:rsidRPr="00E768E1" w:rsidRDefault="00557572" w:rsidP="005F1CCA">
            <w:pPr>
              <w:jc w:val="center"/>
              <w:rPr>
                <w:rFonts w:ascii="Garamond" w:eastAsia="Times New Roman" w:hAnsi="Garamond" w:cs="Calibri"/>
                <w:b/>
                <w:bCs/>
                <w:sz w:val="20"/>
                <w:szCs w:val="20"/>
                <w:lang w:val="en-IN" w:eastAsia="en-IN" w:bidi="hi-IN"/>
              </w:rPr>
            </w:pPr>
            <w:r>
              <w:rPr>
                <w:rFonts w:ascii="Palatino Linotype" w:eastAsia="Times New Roman" w:hAnsi="Palatino Linotype" w:cs="Calibri"/>
                <w:b/>
                <w:bCs/>
                <w:color w:val="000000"/>
                <w:sz w:val="18"/>
                <w:szCs w:val="18"/>
                <w:lang w:val="en-IN" w:eastAsia="en-IN" w:bidi="hi-IN"/>
              </w:rPr>
              <w:t>31-May</w:t>
            </w:r>
            <w:r w:rsidRPr="00395D65">
              <w:rPr>
                <w:rFonts w:ascii="Palatino Linotype" w:eastAsia="Times New Roman" w:hAnsi="Palatino Linotype" w:cs="Calibri"/>
                <w:b/>
                <w:bCs/>
                <w:color w:val="000000"/>
                <w:sz w:val="18"/>
                <w:szCs w:val="18"/>
                <w:lang w:val="en-IN" w:eastAsia="en-IN" w:bidi="hi-IN"/>
              </w:rPr>
              <w:t>-2</w:t>
            </w:r>
            <w:r>
              <w:rPr>
                <w:rFonts w:ascii="Palatino Linotype" w:eastAsia="Times New Roman" w:hAnsi="Palatino Linotype" w:cs="Calibri"/>
                <w:b/>
                <w:bCs/>
                <w:color w:val="000000"/>
                <w:sz w:val="18"/>
                <w:szCs w:val="18"/>
                <w:lang w:val="en-IN" w:eastAsia="en-IN" w:bidi="hi-IN"/>
              </w:rPr>
              <w:t>2</w:t>
            </w:r>
          </w:p>
        </w:tc>
        <w:tc>
          <w:tcPr>
            <w:tcW w:w="1374" w:type="dxa"/>
            <w:tcBorders>
              <w:top w:val="nil"/>
              <w:left w:val="nil"/>
              <w:bottom w:val="single" w:sz="8" w:space="0" w:color="auto"/>
              <w:right w:val="single" w:sz="8" w:space="0" w:color="auto"/>
            </w:tcBorders>
            <w:shd w:val="clear" w:color="000000" w:fill="B4C6E7"/>
            <w:noWrap/>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1-Month</w:t>
            </w:r>
          </w:p>
        </w:tc>
        <w:tc>
          <w:tcPr>
            <w:tcW w:w="1024" w:type="dxa"/>
            <w:tcBorders>
              <w:top w:val="nil"/>
              <w:left w:val="nil"/>
              <w:bottom w:val="single" w:sz="8" w:space="0" w:color="auto"/>
              <w:right w:val="single" w:sz="8" w:space="0" w:color="auto"/>
            </w:tcBorders>
            <w:shd w:val="clear" w:color="000000" w:fill="B4C6E7"/>
            <w:noWrap/>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3-Month</w:t>
            </w:r>
          </w:p>
        </w:tc>
        <w:tc>
          <w:tcPr>
            <w:tcW w:w="1170" w:type="dxa"/>
            <w:tcBorders>
              <w:top w:val="nil"/>
              <w:left w:val="nil"/>
              <w:bottom w:val="single" w:sz="8" w:space="0" w:color="auto"/>
              <w:right w:val="single" w:sz="8" w:space="0" w:color="auto"/>
            </w:tcBorders>
            <w:shd w:val="clear" w:color="000000" w:fill="B4C6E7"/>
            <w:noWrap/>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6-Month</w:t>
            </w:r>
          </w:p>
        </w:tc>
        <w:tc>
          <w:tcPr>
            <w:tcW w:w="1024" w:type="dxa"/>
            <w:tcBorders>
              <w:top w:val="nil"/>
              <w:left w:val="nil"/>
              <w:bottom w:val="single" w:sz="8" w:space="0" w:color="auto"/>
              <w:right w:val="single" w:sz="8" w:space="0" w:color="auto"/>
            </w:tcBorders>
            <w:shd w:val="clear" w:color="000000" w:fill="B4C6E7"/>
            <w:noWrap/>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1-Year</w:t>
            </w:r>
          </w:p>
        </w:tc>
      </w:tr>
      <w:tr w:rsidR="00557572" w:rsidRPr="00E768E1" w:rsidTr="005F1CCA">
        <w:trPr>
          <w:trHeight w:val="264"/>
        </w:trPr>
        <w:tc>
          <w:tcPr>
            <w:tcW w:w="8554" w:type="dxa"/>
            <w:gridSpan w:val="8"/>
            <w:tcBorders>
              <w:top w:val="single" w:sz="8" w:space="0" w:color="auto"/>
              <w:left w:val="single" w:sz="8" w:space="0" w:color="auto"/>
              <w:bottom w:val="single" w:sz="8" w:space="0" w:color="auto"/>
              <w:right w:val="single" w:sz="8" w:space="0" w:color="000000"/>
            </w:tcBorders>
            <w:shd w:val="clear" w:color="000000" w:fill="D9E1F2"/>
            <w:noWrap/>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BRICS Nations</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Brazil</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Real</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eastAsia="Times New Roman" w:hAnsi="Garamond" w:cs="Calibri"/>
                <w:sz w:val="20"/>
                <w:szCs w:val="20"/>
                <w:lang w:val="en-IN" w:bidi="hi-IN"/>
              </w:rPr>
            </w:pPr>
            <w:r>
              <w:rPr>
                <w:rFonts w:ascii="Garamond" w:hAnsi="Garamond" w:cs="Calibri"/>
                <w:sz w:val="20"/>
                <w:szCs w:val="20"/>
              </w:rPr>
              <w:t>4.7</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-4.8</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-8.3</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-15.9</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-9.3</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Russia</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Rouble</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60.3</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-14.2</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-40.4</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-18.4</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-17.7</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India</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Rupee</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77.6</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1.4</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2.7</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3.3</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7.0</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China</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Renminbi</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6.7</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1.0</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5.8</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4.8</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4.8</w:t>
            </w:r>
          </w:p>
        </w:tc>
      </w:tr>
      <w:tr w:rsidR="00557572" w:rsidRPr="00E768E1" w:rsidTr="005F1CCA">
        <w:trPr>
          <w:gridAfter w:val="1"/>
          <w:wAfter w:w="11" w:type="dxa"/>
          <w:trHeight w:val="264"/>
        </w:trPr>
        <w:tc>
          <w:tcPr>
            <w:tcW w:w="1317" w:type="dxa"/>
            <w:tcBorders>
              <w:top w:val="nil"/>
              <w:left w:val="single" w:sz="8" w:space="0" w:color="auto"/>
              <w:bottom w:val="single" w:sz="8" w:space="0" w:color="auto"/>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S. Africa</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Rand</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15.6</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-1.2</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1.7</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-1.6</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13.9</w:t>
            </w:r>
          </w:p>
        </w:tc>
      </w:tr>
      <w:tr w:rsidR="00557572" w:rsidRPr="00E768E1" w:rsidTr="005F1CCA">
        <w:trPr>
          <w:trHeight w:val="264"/>
        </w:trPr>
        <w:tc>
          <w:tcPr>
            <w:tcW w:w="8554" w:type="dxa"/>
            <w:gridSpan w:val="8"/>
            <w:tcBorders>
              <w:top w:val="single" w:sz="8" w:space="0" w:color="auto"/>
              <w:left w:val="single" w:sz="8" w:space="0" w:color="auto"/>
              <w:bottom w:val="single" w:sz="8" w:space="0" w:color="auto"/>
              <w:right w:val="single" w:sz="8" w:space="0" w:color="000000"/>
            </w:tcBorders>
            <w:shd w:val="clear" w:color="000000" w:fill="D9E1F2"/>
            <w:hideMark/>
          </w:tcPr>
          <w:p w:rsidR="00557572" w:rsidRPr="00E768E1" w:rsidRDefault="00557572" w:rsidP="005F1CCA">
            <w:pPr>
              <w:jc w:val="center"/>
              <w:rPr>
                <w:rFonts w:ascii="Garamond" w:eastAsia="Times New Roman" w:hAnsi="Garamond" w:cs="Calibri"/>
                <w:b/>
                <w:bCs/>
                <w:sz w:val="20"/>
                <w:szCs w:val="20"/>
                <w:lang w:val="en-IN" w:eastAsia="en-IN" w:bidi="hi-IN"/>
              </w:rPr>
            </w:pPr>
            <w:r w:rsidRPr="00E768E1">
              <w:rPr>
                <w:rFonts w:ascii="Garamond" w:eastAsia="Times New Roman" w:hAnsi="Garamond" w:cs="Calibri"/>
                <w:b/>
                <w:bCs/>
                <w:sz w:val="20"/>
                <w:szCs w:val="20"/>
                <w:lang w:val="en-IN" w:eastAsia="en-IN" w:bidi="hi-IN"/>
              </w:rPr>
              <w:t>Developed Markets</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UK</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Pound</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eastAsia="Times New Roman" w:hAnsi="Garamond" w:cs="Calibri"/>
                <w:sz w:val="20"/>
                <w:szCs w:val="20"/>
                <w:lang w:val="en-IN" w:bidi="hi-IN"/>
              </w:rPr>
            </w:pPr>
            <w:r>
              <w:rPr>
                <w:rFonts w:ascii="Garamond" w:hAnsi="Garamond" w:cs="Calibri"/>
                <w:sz w:val="20"/>
                <w:szCs w:val="20"/>
              </w:rPr>
              <w:t>0.8</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-0.2</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6.5</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5.5</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12.8</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Europe</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Euro</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0.9</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-1.8</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4.5</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5.6</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13.9</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Japan</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Yen</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128.7</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-0.9</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11.9</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13.7</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17.5</w:t>
            </w:r>
          </w:p>
        </w:tc>
      </w:tr>
      <w:tr w:rsidR="00557572" w:rsidRPr="00E768E1" w:rsidTr="005F1CCA">
        <w:trPr>
          <w:gridAfter w:val="1"/>
          <w:wAfter w:w="11" w:type="dxa"/>
          <w:trHeight w:val="251"/>
        </w:trPr>
        <w:tc>
          <w:tcPr>
            <w:tcW w:w="1317" w:type="dxa"/>
            <w:tcBorders>
              <w:top w:val="nil"/>
              <w:left w:val="single" w:sz="8" w:space="0" w:color="auto"/>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France</w:t>
            </w:r>
          </w:p>
        </w:tc>
        <w:tc>
          <w:tcPr>
            <w:tcW w:w="1280" w:type="dxa"/>
            <w:tcBorders>
              <w:top w:val="nil"/>
              <w:left w:val="nil"/>
              <w:bottom w:val="nil"/>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Franc</w:t>
            </w:r>
          </w:p>
        </w:tc>
        <w:tc>
          <w:tcPr>
            <w:tcW w:w="1354" w:type="dxa"/>
            <w:tcBorders>
              <w:top w:val="nil"/>
              <w:left w:val="nil"/>
              <w:bottom w:val="nil"/>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1.0</w:t>
            </w:r>
          </w:p>
        </w:tc>
        <w:tc>
          <w:tcPr>
            <w:tcW w:w="137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-1.5</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4.6</w:t>
            </w:r>
          </w:p>
        </w:tc>
        <w:tc>
          <w:tcPr>
            <w:tcW w:w="1170"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4.4</w:t>
            </w:r>
          </w:p>
        </w:tc>
        <w:tc>
          <w:tcPr>
            <w:tcW w:w="1024" w:type="dxa"/>
            <w:tcBorders>
              <w:top w:val="nil"/>
              <w:left w:val="nil"/>
              <w:bottom w:val="nil"/>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6.7</w:t>
            </w:r>
          </w:p>
        </w:tc>
      </w:tr>
      <w:tr w:rsidR="00557572" w:rsidRPr="00E768E1" w:rsidTr="005F1CCA">
        <w:trPr>
          <w:gridAfter w:val="1"/>
          <w:wAfter w:w="11" w:type="dxa"/>
          <w:trHeight w:val="264"/>
        </w:trPr>
        <w:tc>
          <w:tcPr>
            <w:tcW w:w="1317" w:type="dxa"/>
            <w:tcBorders>
              <w:top w:val="nil"/>
              <w:left w:val="single" w:sz="8" w:space="0" w:color="auto"/>
              <w:bottom w:val="single" w:sz="8" w:space="0" w:color="auto"/>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US</w:t>
            </w:r>
          </w:p>
        </w:tc>
        <w:tc>
          <w:tcPr>
            <w:tcW w:w="1280" w:type="dxa"/>
            <w:tcBorders>
              <w:top w:val="nil"/>
              <w:left w:val="nil"/>
              <w:bottom w:val="single" w:sz="8" w:space="0" w:color="auto"/>
              <w:right w:val="single" w:sz="8" w:space="0" w:color="auto"/>
            </w:tcBorders>
            <w:shd w:val="clear" w:color="000000" w:fill="D9E1F2"/>
            <w:noWrap/>
            <w:hideMark/>
          </w:tcPr>
          <w:p w:rsidR="00557572" w:rsidRPr="00E768E1" w:rsidRDefault="00557572" w:rsidP="005F1CCA">
            <w:pPr>
              <w:rPr>
                <w:rFonts w:ascii="Garamond" w:eastAsia="Times New Roman" w:hAnsi="Garamond" w:cs="Calibri"/>
                <w:sz w:val="20"/>
                <w:szCs w:val="20"/>
                <w:lang w:val="en-IN" w:eastAsia="en-IN" w:bidi="hi-IN"/>
              </w:rPr>
            </w:pPr>
            <w:r w:rsidRPr="00E768E1">
              <w:rPr>
                <w:rFonts w:ascii="Garamond" w:eastAsia="Times New Roman" w:hAnsi="Garamond" w:cs="Calibri"/>
                <w:sz w:val="20"/>
                <w:szCs w:val="20"/>
                <w:lang w:val="en-IN" w:eastAsia="en-IN" w:bidi="hi-IN"/>
              </w:rPr>
              <w:t>Dollar Index</w:t>
            </w:r>
          </w:p>
        </w:tc>
        <w:tc>
          <w:tcPr>
            <w:tcW w:w="1354" w:type="dxa"/>
            <w:tcBorders>
              <w:top w:val="nil"/>
              <w:left w:val="nil"/>
              <w:bottom w:val="single" w:sz="8" w:space="0" w:color="auto"/>
              <w:right w:val="single" w:sz="8" w:space="0" w:color="auto"/>
            </w:tcBorders>
            <w:shd w:val="clear" w:color="000000" w:fill="9BC2E6"/>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101.8</w:t>
            </w:r>
          </w:p>
        </w:tc>
        <w:tc>
          <w:tcPr>
            <w:tcW w:w="1374"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-1.2</w:t>
            </w:r>
          </w:p>
        </w:tc>
        <w:tc>
          <w:tcPr>
            <w:tcW w:w="1024"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5.2</w:t>
            </w:r>
          </w:p>
        </w:tc>
        <w:tc>
          <w:tcPr>
            <w:tcW w:w="1170"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6.0</w:t>
            </w:r>
          </w:p>
        </w:tc>
        <w:tc>
          <w:tcPr>
            <w:tcW w:w="1024" w:type="dxa"/>
            <w:tcBorders>
              <w:top w:val="nil"/>
              <w:left w:val="nil"/>
              <w:bottom w:val="single" w:sz="8" w:space="0" w:color="auto"/>
              <w:right w:val="single" w:sz="8" w:space="0" w:color="auto"/>
            </w:tcBorders>
            <w:shd w:val="clear" w:color="auto" w:fill="auto"/>
            <w:noWrap/>
            <w:hideMark/>
          </w:tcPr>
          <w:p w:rsidR="00557572" w:rsidRDefault="00557572" w:rsidP="005F1CCA">
            <w:pPr>
              <w:ind w:firstLineChars="100" w:firstLine="200"/>
              <w:jc w:val="right"/>
              <w:rPr>
                <w:rFonts w:ascii="Garamond" w:hAnsi="Garamond" w:cs="Calibri"/>
                <w:sz w:val="20"/>
                <w:szCs w:val="20"/>
              </w:rPr>
            </w:pPr>
            <w:r>
              <w:rPr>
                <w:rFonts w:ascii="Garamond" w:hAnsi="Garamond" w:cs="Calibri"/>
                <w:sz w:val="20"/>
                <w:szCs w:val="20"/>
              </w:rPr>
              <w:t>13.0</w:t>
            </w:r>
          </w:p>
        </w:tc>
      </w:tr>
    </w:tbl>
    <w:p w:rsidR="00557572" w:rsidRDefault="00557572" w:rsidP="00557572">
      <w:pPr>
        <w:spacing w:line="23" w:lineRule="atLeast"/>
        <w:jc w:val="both"/>
        <w:rPr>
          <w:rFonts w:ascii="Palatino Linotype" w:hAnsi="Palatino Linotype"/>
          <w:bCs/>
          <w:sz w:val="18"/>
          <w:szCs w:val="18"/>
        </w:rPr>
      </w:pPr>
    </w:p>
    <w:p w:rsidR="00557572" w:rsidRDefault="00557572" w:rsidP="00557572">
      <w:pPr>
        <w:spacing w:line="23" w:lineRule="atLeast"/>
        <w:jc w:val="both"/>
        <w:rPr>
          <w:rFonts w:ascii="Palatino Linotype" w:hAnsi="Palatino Linotype"/>
          <w:bCs/>
          <w:sz w:val="18"/>
          <w:szCs w:val="18"/>
        </w:rPr>
      </w:pPr>
      <w:r w:rsidRPr="00A01675">
        <w:rPr>
          <w:rFonts w:ascii="Palatino Linotype" w:hAnsi="Palatino Linotype"/>
          <w:bCs/>
          <w:sz w:val="18"/>
          <w:szCs w:val="18"/>
        </w:rPr>
        <w:t xml:space="preserve">Note: </w:t>
      </w:r>
      <w:r>
        <w:rPr>
          <w:rFonts w:ascii="Palatino Linotype" w:hAnsi="Palatino Linotype"/>
          <w:bCs/>
          <w:sz w:val="18"/>
          <w:szCs w:val="18"/>
        </w:rPr>
        <w:t xml:space="preserve">1. </w:t>
      </w:r>
      <w:r w:rsidRPr="00E768E1">
        <w:rPr>
          <w:rFonts w:ascii="Palatino Linotype" w:hAnsi="Palatino Linotype"/>
          <w:bCs/>
          <w:sz w:val="18"/>
          <w:szCs w:val="18"/>
        </w:rPr>
        <w:t xml:space="preserve">All </w:t>
      </w:r>
      <w:r w:rsidR="007F63CB">
        <w:rPr>
          <w:rFonts w:ascii="Palatino Linotype" w:hAnsi="Palatino Linotype"/>
          <w:bCs/>
          <w:sz w:val="18"/>
          <w:szCs w:val="18"/>
        </w:rPr>
        <w:t>c</w:t>
      </w:r>
      <w:r w:rsidR="007F63CB" w:rsidRPr="00E768E1">
        <w:rPr>
          <w:rFonts w:ascii="Palatino Linotype" w:hAnsi="Palatino Linotype"/>
          <w:bCs/>
          <w:sz w:val="18"/>
          <w:szCs w:val="18"/>
        </w:rPr>
        <w:t xml:space="preserve">urrency </w:t>
      </w:r>
      <w:r w:rsidRPr="00E768E1">
        <w:rPr>
          <w:rFonts w:ascii="Palatino Linotype" w:hAnsi="Palatino Linotype"/>
          <w:bCs/>
          <w:sz w:val="18"/>
          <w:szCs w:val="18"/>
        </w:rPr>
        <w:t>rates are against USD (excluding USD Index)</w:t>
      </w:r>
    </w:p>
    <w:p w:rsidR="00557572" w:rsidRDefault="00557572" w:rsidP="00557572">
      <w:pPr>
        <w:spacing w:line="23" w:lineRule="atLeast"/>
        <w:jc w:val="both"/>
        <w:rPr>
          <w:rFonts w:ascii="Palatino Linotype" w:hAnsi="Palatino Linotype"/>
          <w:bCs/>
          <w:sz w:val="18"/>
          <w:szCs w:val="18"/>
        </w:rPr>
      </w:pPr>
      <w:r>
        <w:rPr>
          <w:rFonts w:ascii="Palatino Linotype" w:hAnsi="Palatino Linotype"/>
          <w:bCs/>
          <w:sz w:val="18"/>
          <w:szCs w:val="18"/>
        </w:rPr>
        <w:t>2. Negative sign (in percentage change figures) indicates appreciation of quote currency against the base currency (USD)</w:t>
      </w:r>
    </w:p>
    <w:p w:rsidR="00557572" w:rsidRPr="00A01675" w:rsidRDefault="00557572" w:rsidP="00557572">
      <w:pPr>
        <w:spacing w:line="23" w:lineRule="atLeast"/>
        <w:jc w:val="both"/>
        <w:rPr>
          <w:rFonts w:ascii="Palatino Linotype" w:hAnsi="Palatino Linotype"/>
          <w:bCs/>
          <w:sz w:val="18"/>
          <w:szCs w:val="18"/>
        </w:rPr>
      </w:pPr>
      <w:r>
        <w:rPr>
          <w:rFonts w:ascii="Palatino Linotype" w:hAnsi="Palatino Linotype"/>
          <w:bCs/>
          <w:sz w:val="18"/>
          <w:szCs w:val="18"/>
        </w:rPr>
        <w:t>S</w:t>
      </w:r>
      <w:r w:rsidRPr="00A01675">
        <w:rPr>
          <w:rFonts w:ascii="Palatino Linotype" w:hAnsi="Palatino Linotype"/>
          <w:bCs/>
          <w:sz w:val="18"/>
          <w:szCs w:val="18"/>
        </w:rPr>
        <w:t>ource: Refinitiv</w:t>
      </w:r>
    </w:p>
    <w:p w:rsidR="00557572" w:rsidRPr="00A01675" w:rsidRDefault="00557572" w:rsidP="00557572">
      <w:pPr>
        <w:rPr>
          <w:rFonts w:ascii="Palatino Linotype" w:hAnsi="Palatino Linotype"/>
          <w:b/>
          <w:bCs/>
          <w:szCs w:val="22"/>
        </w:rPr>
      </w:pPr>
    </w:p>
    <w:p w:rsidR="00557572" w:rsidRPr="00A01675" w:rsidRDefault="00557572" w:rsidP="009B7ABC">
      <w:pPr>
        <w:rPr>
          <w:rFonts w:ascii="Palatino Linotype" w:hAnsi="Palatino Linotype"/>
          <w:bCs/>
          <w:sz w:val="22"/>
          <w:szCs w:val="22"/>
        </w:rPr>
      </w:pPr>
      <w:r>
        <w:rPr>
          <w:rFonts w:ascii="Palatino Linotype" w:hAnsi="Palatino Linotype"/>
          <w:b/>
          <w:bCs/>
          <w:szCs w:val="22"/>
        </w:rPr>
        <w:t>Figure 3</w:t>
      </w:r>
      <w:r w:rsidRPr="00A01675">
        <w:rPr>
          <w:rFonts w:ascii="Palatino Linotype" w:hAnsi="Palatino Linotype"/>
          <w:b/>
          <w:bCs/>
          <w:szCs w:val="22"/>
        </w:rPr>
        <w:t xml:space="preserve">: Movement of the </w:t>
      </w:r>
      <w:r>
        <w:rPr>
          <w:rFonts w:ascii="Palatino Linotype" w:hAnsi="Palatino Linotype"/>
          <w:b/>
          <w:bCs/>
          <w:szCs w:val="22"/>
        </w:rPr>
        <w:t xml:space="preserve">USD-INR Index, </w:t>
      </w:r>
      <w:r w:rsidRPr="00A01675">
        <w:rPr>
          <w:rFonts w:ascii="Palatino Linotype" w:hAnsi="Palatino Linotype"/>
          <w:b/>
          <w:bCs/>
          <w:szCs w:val="22"/>
        </w:rPr>
        <w:t>US Dollar Index and MSCI EM Currency Index</w:t>
      </w:r>
    </w:p>
    <w:p w:rsidR="00557572" w:rsidRPr="00A01675" w:rsidRDefault="00557572" w:rsidP="009B7ABC">
      <w:pPr>
        <w:spacing w:line="23" w:lineRule="atLeast"/>
        <w:ind w:left="720"/>
        <w:outlineLvl w:val="0"/>
        <w:rPr>
          <w:rFonts w:ascii="Palatino Linotype" w:hAnsi="Palatino Linotype"/>
          <w:bCs/>
          <w:sz w:val="22"/>
          <w:szCs w:val="22"/>
        </w:rPr>
      </w:pPr>
      <w:r>
        <w:rPr>
          <w:noProof/>
          <w:lang w:val="en-US" w:bidi="hi-IN"/>
        </w:rPr>
        <w:drawing>
          <wp:inline distT="0" distB="0" distL="0" distR="0" wp14:anchorId="6FAA58EC" wp14:editId="75224FF1">
            <wp:extent cx="4572000" cy="2695575"/>
            <wp:effectExtent l="0" t="0" r="0" b="9525"/>
            <wp:docPr id="22" name="Chart 2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57572" w:rsidRPr="00A01675" w:rsidRDefault="00557572" w:rsidP="00557572">
      <w:pPr>
        <w:tabs>
          <w:tab w:val="left" w:pos="3760"/>
        </w:tabs>
        <w:spacing w:line="23" w:lineRule="atLeast"/>
        <w:rPr>
          <w:rFonts w:ascii="Palatino Linotype" w:hAnsi="Palatino Linotype"/>
          <w:bCs/>
          <w:sz w:val="18"/>
          <w:szCs w:val="18"/>
        </w:rPr>
      </w:pPr>
      <w:r w:rsidRPr="00A01675">
        <w:rPr>
          <w:rFonts w:ascii="Palatino Linotype" w:hAnsi="Palatino Linotype"/>
          <w:bCs/>
          <w:sz w:val="18"/>
          <w:szCs w:val="18"/>
        </w:rPr>
        <w:t>Note:</w:t>
      </w:r>
    </w:p>
    <w:p w:rsidR="00557572" w:rsidRPr="00A01675" w:rsidRDefault="00557572" w:rsidP="00557572">
      <w:pPr>
        <w:widowControl w:val="0"/>
        <w:numPr>
          <w:ilvl w:val="0"/>
          <w:numId w:val="26"/>
        </w:numPr>
        <w:autoSpaceDE w:val="0"/>
        <w:autoSpaceDN w:val="0"/>
        <w:adjustRightInd w:val="0"/>
        <w:spacing w:line="23" w:lineRule="atLeast"/>
        <w:ind w:right="1788"/>
        <w:jc w:val="both"/>
        <w:rPr>
          <w:rFonts w:ascii="Palatino Linotype" w:eastAsia="Times New Roman" w:hAnsi="Palatino Linotype"/>
          <w:bCs/>
          <w:sz w:val="18"/>
          <w:szCs w:val="18"/>
        </w:rPr>
      </w:pPr>
      <w:r w:rsidRPr="00A01675">
        <w:rPr>
          <w:rFonts w:ascii="Palatino Linotype" w:eastAsia="Times New Roman" w:hAnsi="Palatino Linotype"/>
          <w:bCs/>
          <w:sz w:val="18"/>
          <w:szCs w:val="18"/>
        </w:rPr>
        <w:t xml:space="preserve">All indices have been normalised to 100 on </w:t>
      </w:r>
      <w:r>
        <w:rPr>
          <w:rFonts w:ascii="Palatino Linotype" w:eastAsia="Times New Roman" w:hAnsi="Palatino Linotype"/>
          <w:bCs/>
          <w:sz w:val="18"/>
          <w:szCs w:val="18"/>
        </w:rPr>
        <w:t>31 May</w:t>
      </w:r>
      <w:r w:rsidRPr="00A01675">
        <w:rPr>
          <w:rFonts w:ascii="Palatino Linotype" w:eastAsia="Times New Roman" w:hAnsi="Palatino Linotype"/>
          <w:bCs/>
          <w:sz w:val="18"/>
          <w:szCs w:val="18"/>
        </w:rPr>
        <w:t xml:space="preserve"> 202</w:t>
      </w:r>
      <w:r>
        <w:rPr>
          <w:rFonts w:ascii="Palatino Linotype" w:eastAsia="Times New Roman" w:hAnsi="Palatino Linotype"/>
          <w:bCs/>
          <w:sz w:val="18"/>
          <w:szCs w:val="18"/>
        </w:rPr>
        <w:t>1</w:t>
      </w:r>
      <w:r w:rsidRPr="00A01675">
        <w:rPr>
          <w:rFonts w:ascii="Palatino Linotype" w:eastAsia="Times New Roman" w:hAnsi="Palatino Linotype"/>
          <w:bCs/>
          <w:sz w:val="18"/>
          <w:szCs w:val="18"/>
        </w:rPr>
        <w:t>.</w:t>
      </w:r>
    </w:p>
    <w:p w:rsidR="00557572" w:rsidRPr="00A01675" w:rsidRDefault="00557572" w:rsidP="00557572">
      <w:pPr>
        <w:widowControl w:val="0"/>
        <w:numPr>
          <w:ilvl w:val="0"/>
          <w:numId w:val="26"/>
        </w:numPr>
        <w:autoSpaceDE w:val="0"/>
        <w:autoSpaceDN w:val="0"/>
        <w:adjustRightInd w:val="0"/>
        <w:spacing w:line="23" w:lineRule="atLeast"/>
        <w:ind w:right="1788"/>
        <w:jc w:val="both"/>
        <w:rPr>
          <w:rFonts w:ascii="Palatino Linotype" w:eastAsia="Times New Roman" w:hAnsi="Palatino Linotype"/>
          <w:bCs/>
          <w:sz w:val="18"/>
          <w:szCs w:val="18"/>
        </w:rPr>
      </w:pPr>
      <w:r w:rsidRPr="00A01675">
        <w:rPr>
          <w:rFonts w:ascii="Palatino Linotype" w:eastAsia="Times New Roman" w:hAnsi="Palatino Linotype"/>
          <w:bCs/>
          <w:sz w:val="18"/>
          <w:szCs w:val="18"/>
        </w:rPr>
        <w:t>The U.S. Dollar Index is an index of the value of the United States dollar relative to a basket of foreign currencies. The Index goes up when the U.S. dollar gains value compared to other currencies. The index is maintained and published by Intercontinental Exchange. It is a weighted geometric mean of the dollar's value relative to following select currencies: Euro, Japanese yen, Pound sterling, Canadian dollar, Swedish krona, Swiss franc.</w:t>
      </w:r>
    </w:p>
    <w:p w:rsidR="00557572" w:rsidRPr="00A01675" w:rsidRDefault="00557572" w:rsidP="00557572">
      <w:pPr>
        <w:widowControl w:val="0"/>
        <w:numPr>
          <w:ilvl w:val="0"/>
          <w:numId w:val="26"/>
        </w:numPr>
        <w:autoSpaceDE w:val="0"/>
        <w:autoSpaceDN w:val="0"/>
        <w:adjustRightInd w:val="0"/>
        <w:spacing w:line="23" w:lineRule="atLeast"/>
        <w:ind w:right="1788"/>
        <w:jc w:val="both"/>
        <w:rPr>
          <w:rFonts w:ascii="Palatino Linotype" w:eastAsia="Times New Roman" w:hAnsi="Palatino Linotype"/>
          <w:bCs/>
          <w:sz w:val="18"/>
          <w:szCs w:val="18"/>
        </w:rPr>
      </w:pPr>
      <w:r w:rsidRPr="00A01675">
        <w:rPr>
          <w:rFonts w:ascii="Palatino Linotype" w:eastAsia="Times New Roman" w:hAnsi="Palatino Linotype"/>
          <w:bCs/>
          <w:sz w:val="18"/>
          <w:szCs w:val="18"/>
        </w:rPr>
        <w:t>The MSCI Emerging Markets (EM) Currency Index tracks the performance of twenty-five emerging-market currencies relative to the US Dollar.</w:t>
      </w:r>
    </w:p>
    <w:p w:rsidR="00557572" w:rsidRPr="00A01675" w:rsidRDefault="00557572" w:rsidP="00557572">
      <w:pPr>
        <w:spacing w:line="23" w:lineRule="atLeast"/>
        <w:outlineLvl w:val="0"/>
        <w:rPr>
          <w:rFonts w:ascii="Palatino Linotype" w:hAnsi="Palatino Linotype"/>
          <w:bCs/>
          <w:sz w:val="18"/>
          <w:szCs w:val="18"/>
        </w:rPr>
      </w:pPr>
      <w:r w:rsidRPr="00A01675">
        <w:rPr>
          <w:rFonts w:ascii="Palatino Linotype" w:hAnsi="Palatino Linotype"/>
          <w:bCs/>
          <w:sz w:val="18"/>
          <w:szCs w:val="18"/>
        </w:rPr>
        <w:t>Source: Refinitiv</w:t>
      </w:r>
    </w:p>
    <w:p w:rsidR="00557572" w:rsidRPr="00A01675" w:rsidRDefault="00557572" w:rsidP="00557572">
      <w:pPr>
        <w:spacing w:after="240" w:line="23" w:lineRule="atLeast"/>
        <w:jc w:val="both"/>
        <w:rPr>
          <w:rFonts w:ascii="Palatino Linotype" w:eastAsia="Times New Roman" w:hAnsi="Palatino Linotype"/>
          <w:bCs/>
          <w:sz w:val="18"/>
          <w:szCs w:val="18"/>
          <w:lang w:eastAsia="en-GB"/>
        </w:rPr>
      </w:pPr>
    </w:p>
    <w:p w:rsidR="00557572" w:rsidRPr="00A01675" w:rsidRDefault="00557572" w:rsidP="00557572">
      <w:pPr>
        <w:spacing w:line="276" w:lineRule="auto"/>
        <w:outlineLvl w:val="0"/>
        <w:rPr>
          <w:rFonts w:ascii="Palatino Linotype" w:eastAsia="Times New Roman" w:hAnsi="Palatino Linotype"/>
          <w:b/>
          <w:sz w:val="22"/>
          <w:szCs w:val="22"/>
          <w:lang w:eastAsia="en-GB"/>
        </w:rPr>
      </w:pPr>
      <w:r>
        <w:rPr>
          <w:rFonts w:ascii="Palatino Linotype" w:eastAsia="Times New Roman" w:hAnsi="Palatino Linotype"/>
          <w:b/>
          <w:sz w:val="22"/>
          <w:szCs w:val="22"/>
          <w:u w:val="single"/>
        </w:rPr>
        <w:br w:type="page"/>
      </w:r>
      <w:r w:rsidRPr="00A01675">
        <w:rPr>
          <w:rFonts w:ascii="Palatino Linotype" w:eastAsia="Times New Roman" w:hAnsi="Palatino Linotype"/>
          <w:b/>
          <w:sz w:val="22"/>
          <w:szCs w:val="22"/>
          <w:u w:val="single"/>
        </w:rPr>
        <w:lastRenderedPageBreak/>
        <w:t xml:space="preserve">US </w:t>
      </w:r>
      <w:r>
        <w:rPr>
          <w:rFonts w:ascii="Palatino Linotype" w:eastAsia="Times New Roman" w:hAnsi="Palatino Linotype"/>
          <w:b/>
          <w:sz w:val="22"/>
          <w:szCs w:val="22"/>
          <w:u w:val="single"/>
        </w:rPr>
        <w:t>Treasury Securities- Foreign holdings</w:t>
      </w:r>
    </w:p>
    <w:p w:rsidR="00557572" w:rsidRPr="00A01675" w:rsidRDefault="00557572" w:rsidP="00557572">
      <w:pPr>
        <w:spacing w:line="276" w:lineRule="auto"/>
        <w:outlineLvl w:val="0"/>
        <w:rPr>
          <w:rFonts w:ascii="Palatino Linotype" w:hAnsi="Palatino Linotype"/>
          <w:bCs/>
          <w:sz w:val="22"/>
          <w:szCs w:val="22"/>
        </w:rPr>
      </w:pPr>
    </w:p>
    <w:p w:rsidR="00557572" w:rsidRPr="00DB20E8" w:rsidRDefault="00557572" w:rsidP="00557572">
      <w:pPr>
        <w:numPr>
          <w:ilvl w:val="0"/>
          <w:numId w:val="10"/>
        </w:numPr>
        <w:spacing w:line="276" w:lineRule="auto"/>
        <w:jc w:val="both"/>
        <w:rPr>
          <w:rFonts w:ascii="Palatino Linotype" w:eastAsia="Times New Roman" w:hAnsi="Palatino Linotype"/>
          <w:bCs/>
          <w:sz w:val="22"/>
          <w:szCs w:val="22"/>
          <w:lang w:val="en-US" w:eastAsia="en-GB"/>
        </w:rPr>
      </w:pPr>
      <w:r w:rsidRPr="00DB20E8">
        <w:rPr>
          <w:rFonts w:ascii="Palatino Linotype" w:eastAsia="Times New Roman" w:hAnsi="Palatino Linotype"/>
          <w:bCs/>
          <w:sz w:val="22"/>
          <w:szCs w:val="22"/>
          <w:lang w:val="en-US" w:eastAsia="en-GB"/>
        </w:rPr>
        <w:t xml:space="preserve">At the end of </w:t>
      </w:r>
      <w:r>
        <w:rPr>
          <w:rFonts w:ascii="Palatino Linotype" w:eastAsia="Times New Roman" w:hAnsi="Palatino Linotype"/>
          <w:bCs/>
          <w:sz w:val="22"/>
          <w:szCs w:val="22"/>
          <w:lang w:val="en-US" w:eastAsia="en-GB"/>
        </w:rPr>
        <w:t>April</w:t>
      </w:r>
      <w:r w:rsidRPr="00DB20E8">
        <w:rPr>
          <w:rFonts w:ascii="Palatino Linotype" w:eastAsia="Times New Roman" w:hAnsi="Palatino Linotype"/>
          <w:bCs/>
          <w:sz w:val="22"/>
          <w:szCs w:val="22"/>
          <w:lang w:val="en-US" w:eastAsia="en-GB"/>
        </w:rPr>
        <w:t xml:space="preserve"> 2022, Japan was the biggest foreign holder of US Treasury Securities, holding 1</w:t>
      </w:r>
      <w:r>
        <w:rPr>
          <w:rFonts w:ascii="Palatino Linotype" w:eastAsia="Times New Roman" w:hAnsi="Palatino Linotype"/>
          <w:bCs/>
          <w:sz w:val="22"/>
          <w:szCs w:val="22"/>
          <w:lang w:val="en-US" w:eastAsia="en-GB"/>
        </w:rPr>
        <w:t>6.3</w:t>
      </w:r>
      <w:r w:rsidRPr="00DB20E8">
        <w:rPr>
          <w:rFonts w:ascii="Palatino Linotype" w:eastAsia="Times New Roman" w:hAnsi="Palatino Linotype"/>
          <w:bCs/>
          <w:sz w:val="22"/>
          <w:szCs w:val="22"/>
          <w:lang w:val="en-US" w:eastAsia="en-GB"/>
        </w:rPr>
        <w:t xml:space="preserve"> per cent of the total US </w:t>
      </w:r>
      <w:r w:rsidR="007F63CB">
        <w:rPr>
          <w:rFonts w:ascii="Palatino Linotype" w:eastAsia="Times New Roman" w:hAnsi="Palatino Linotype"/>
          <w:bCs/>
          <w:sz w:val="22"/>
          <w:szCs w:val="22"/>
          <w:lang w:val="en-US" w:eastAsia="en-GB"/>
        </w:rPr>
        <w:t>T</w:t>
      </w:r>
      <w:r w:rsidR="007F63CB" w:rsidRPr="00DB20E8">
        <w:rPr>
          <w:rFonts w:ascii="Palatino Linotype" w:eastAsia="Times New Roman" w:hAnsi="Palatino Linotype"/>
          <w:bCs/>
          <w:sz w:val="22"/>
          <w:szCs w:val="22"/>
          <w:lang w:val="en-US" w:eastAsia="en-GB"/>
        </w:rPr>
        <w:t xml:space="preserve">reasury </w:t>
      </w:r>
      <w:r w:rsidRPr="00DB20E8">
        <w:rPr>
          <w:rFonts w:ascii="Palatino Linotype" w:eastAsia="Times New Roman" w:hAnsi="Palatino Linotype"/>
          <w:bCs/>
          <w:sz w:val="22"/>
          <w:szCs w:val="22"/>
          <w:lang w:val="en-US" w:eastAsia="en-GB"/>
        </w:rPr>
        <w:t>Securities, followed by China (13.</w:t>
      </w:r>
      <w:r>
        <w:rPr>
          <w:rFonts w:ascii="Palatino Linotype" w:eastAsia="Times New Roman" w:hAnsi="Palatino Linotype"/>
          <w:bCs/>
          <w:sz w:val="22"/>
          <w:szCs w:val="22"/>
          <w:lang w:val="en-US" w:eastAsia="en-GB"/>
        </w:rPr>
        <w:t>5</w:t>
      </w:r>
      <w:r w:rsidRPr="00DB20E8">
        <w:rPr>
          <w:rFonts w:ascii="Palatino Linotype" w:eastAsia="Times New Roman" w:hAnsi="Palatino Linotype"/>
          <w:bCs/>
          <w:sz w:val="22"/>
          <w:szCs w:val="22"/>
          <w:lang w:val="en-US" w:eastAsia="en-GB"/>
        </w:rPr>
        <w:t xml:space="preserve"> per cent). The total foreign holding of US Treasury Securities at the end of </w:t>
      </w:r>
      <w:r>
        <w:rPr>
          <w:rFonts w:ascii="Palatino Linotype" w:eastAsia="Times New Roman" w:hAnsi="Palatino Linotype"/>
          <w:bCs/>
          <w:sz w:val="22"/>
          <w:szCs w:val="22"/>
          <w:lang w:val="en-US" w:eastAsia="en-GB"/>
        </w:rPr>
        <w:t>April</w:t>
      </w:r>
      <w:r w:rsidRPr="00DB20E8">
        <w:rPr>
          <w:rFonts w:ascii="Palatino Linotype" w:eastAsia="Times New Roman" w:hAnsi="Palatino Linotype"/>
          <w:bCs/>
          <w:sz w:val="22"/>
          <w:szCs w:val="22"/>
          <w:lang w:val="en-US" w:eastAsia="en-GB"/>
        </w:rPr>
        <w:t xml:space="preserve"> 2022 was USD 7,</w:t>
      </w:r>
      <w:r>
        <w:rPr>
          <w:rFonts w:ascii="Palatino Linotype" w:eastAsia="Times New Roman" w:hAnsi="Palatino Linotype"/>
          <w:bCs/>
          <w:sz w:val="22"/>
          <w:szCs w:val="22"/>
          <w:lang w:val="en-US" w:eastAsia="en-GB"/>
        </w:rPr>
        <w:t>455</w:t>
      </w:r>
      <w:r w:rsidRPr="00DB20E8">
        <w:rPr>
          <w:rFonts w:ascii="Palatino Linotype" w:eastAsia="Times New Roman" w:hAnsi="Palatino Linotype"/>
          <w:bCs/>
          <w:sz w:val="22"/>
          <w:szCs w:val="22"/>
          <w:lang w:val="en-US" w:eastAsia="en-GB"/>
        </w:rPr>
        <w:t xml:space="preserve"> billion. The holdings of US Treasury Securities by India stood at 2.</w:t>
      </w:r>
      <w:r>
        <w:rPr>
          <w:rFonts w:ascii="Palatino Linotype" w:eastAsia="Times New Roman" w:hAnsi="Palatino Linotype"/>
          <w:bCs/>
          <w:sz w:val="22"/>
          <w:szCs w:val="22"/>
          <w:lang w:val="en-US" w:eastAsia="en-GB"/>
        </w:rPr>
        <w:t>7</w:t>
      </w:r>
      <w:r w:rsidRPr="00DB20E8">
        <w:rPr>
          <w:rFonts w:ascii="Palatino Linotype" w:eastAsia="Times New Roman" w:hAnsi="Palatino Linotype"/>
          <w:bCs/>
          <w:sz w:val="22"/>
          <w:szCs w:val="22"/>
          <w:lang w:val="en-US" w:eastAsia="en-GB"/>
        </w:rPr>
        <w:t xml:space="preserve"> per cent (USD </w:t>
      </w:r>
      <w:r>
        <w:rPr>
          <w:rFonts w:ascii="Palatino Linotype" w:eastAsia="Times New Roman" w:hAnsi="Palatino Linotype"/>
          <w:bCs/>
          <w:sz w:val="22"/>
          <w:szCs w:val="22"/>
          <w:lang w:val="en-US" w:eastAsia="en-GB"/>
        </w:rPr>
        <w:t>199</w:t>
      </w:r>
      <w:r w:rsidRPr="00DB20E8">
        <w:rPr>
          <w:rFonts w:ascii="Palatino Linotype" w:eastAsia="Times New Roman" w:hAnsi="Palatino Linotype"/>
          <w:bCs/>
          <w:sz w:val="22"/>
          <w:szCs w:val="22"/>
          <w:lang w:val="en-US" w:eastAsia="en-GB"/>
        </w:rPr>
        <w:t xml:space="preserve"> billion) of the total US treasury Securities, as at the end of </w:t>
      </w:r>
      <w:r>
        <w:rPr>
          <w:rFonts w:ascii="Palatino Linotype" w:eastAsia="Times New Roman" w:hAnsi="Palatino Linotype"/>
          <w:bCs/>
          <w:sz w:val="22"/>
          <w:szCs w:val="22"/>
          <w:lang w:val="en-US" w:eastAsia="en-GB"/>
        </w:rPr>
        <w:t>April</w:t>
      </w:r>
      <w:r w:rsidRPr="00DB20E8">
        <w:rPr>
          <w:rFonts w:ascii="Palatino Linotype" w:eastAsia="Times New Roman" w:hAnsi="Palatino Linotype"/>
          <w:bCs/>
          <w:sz w:val="22"/>
          <w:szCs w:val="22"/>
          <w:lang w:val="en-US" w:eastAsia="en-GB"/>
        </w:rPr>
        <w:t xml:space="preserve"> 2022. </w:t>
      </w:r>
    </w:p>
    <w:p w:rsidR="00557572" w:rsidRPr="00DB20E8" w:rsidRDefault="00557572" w:rsidP="00557572">
      <w:pPr>
        <w:spacing w:line="276" w:lineRule="auto"/>
        <w:ind w:left="360"/>
        <w:jc w:val="both"/>
        <w:rPr>
          <w:rFonts w:ascii="Palatino Linotype" w:eastAsia="Times New Roman" w:hAnsi="Palatino Linotype"/>
          <w:bCs/>
          <w:sz w:val="22"/>
          <w:szCs w:val="22"/>
          <w:lang w:val="en-US" w:eastAsia="en-GB"/>
        </w:rPr>
      </w:pPr>
    </w:p>
    <w:p w:rsidR="00557572" w:rsidRPr="007F63CB" w:rsidRDefault="00557572" w:rsidP="00D42F8D">
      <w:pPr>
        <w:numPr>
          <w:ilvl w:val="0"/>
          <w:numId w:val="10"/>
        </w:numPr>
        <w:spacing w:line="276" w:lineRule="auto"/>
        <w:jc w:val="both"/>
        <w:rPr>
          <w:rFonts w:ascii="Palatino Linotype" w:hAnsi="Palatino Linotype"/>
          <w:b/>
          <w:bCs/>
          <w:szCs w:val="22"/>
        </w:rPr>
      </w:pPr>
      <w:r w:rsidRPr="00DB20E8">
        <w:rPr>
          <w:rFonts w:ascii="Palatino Linotype" w:eastAsia="Times New Roman" w:hAnsi="Palatino Linotype"/>
          <w:bCs/>
          <w:sz w:val="22"/>
          <w:szCs w:val="22"/>
          <w:lang w:val="en-US" w:eastAsia="en-GB"/>
        </w:rPr>
        <w:t xml:space="preserve">As compared to previous month, India’s holding of US Treasury Securities </w:t>
      </w:r>
      <w:r>
        <w:rPr>
          <w:rFonts w:ascii="Palatino Linotype" w:eastAsia="Times New Roman" w:hAnsi="Palatino Linotype"/>
          <w:bCs/>
          <w:sz w:val="22"/>
          <w:szCs w:val="22"/>
          <w:lang w:val="en-US" w:eastAsia="en-GB"/>
        </w:rPr>
        <w:t xml:space="preserve">declined by 0.4 per cent and was lower 4.6 per cent (Y-o-Y), </w:t>
      </w:r>
      <w:r w:rsidRPr="00DB20E8">
        <w:rPr>
          <w:rFonts w:ascii="Palatino Linotype" w:eastAsia="Times New Roman" w:hAnsi="Palatino Linotype"/>
          <w:bCs/>
          <w:sz w:val="22"/>
          <w:szCs w:val="22"/>
          <w:lang w:val="en-US" w:eastAsia="en-GB"/>
        </w:rPr>
        <w:t xml:space="preserve">as at end of </w:t>
      </w:r>
      <w:r>
        <w:rPr>
          <w:rFonts w:ascii="Palatino Linotype" w:eastAsia="Times New Roman" w:hAnsi="Palatino Linotype"/>
          <w:bCs/>
          <w:sz w:val="22"/>
          <w:szCs w:val="22"/>
          <w:lang w:val="en-US" w:eastAsia="en-GB"/>
        </w:rPr>
        <w:t xml:space="preserve">April </w:t>
      </w:r>
      <w:r w:rsidRPr="00DB20E8">
        <w:rPr>
          <w:rFonts w:ascii="Palatino Linotype" w:eastAsia="Times New Roman" w:hAnsi="Palatino Linotype"/>
          <w:bCs/>
          <w:sz w:val="22"/>
          <w:szCs w:val="22"/>
          <w:lang w:val="en-US" w:eastAsia="en-GB"/>
        </w:rPr>
        <w:t>2022</w:t>
      </w:r>
      <w:r w:rsidR="007F63CB">
        <w:rPr>
          <w:rFonts w:ascii="Palatino Linotype" w:hAnsi="Palatino Linotype"/>
          <w:b/>
          <w:bCs/>
          <w:szCs w:val="22"/>
        </w:rPr>
        <w:t>.</w:t>
      </w:r>
    </w:p>
    <w:p w:rsidR="00557572" w:rsidRPr="00A01675" w:rsidRDefault="00557572" w:rsidP="00557572">
      <w:pPr>
        <w:spacing w:line="23" w:lineRule="atLeast"/>
        <w:jc w:val="both"/>
        <w:rPr>
          <w:rFonts w:ascii="Palatino Linotype" w:hAnsi="Palatino Linotype"/>
          <w:b/>
          <w:bCs/>
          <w:szCs w:val="22"/>
        </w:rPr>
      </w:pPr>
      <w:r>
        <w:rPr>
          <w:rFonts w:ascii="Palatino Linotype" w:hAnsi="Palatino Linotype"/>
          <w:b/>
          <w:bCs/>
          <w:szCs w:val="22"/>
        </w:rPr>
        <w:t>Table 4</w:t>
      </w:r>
      <w:r w:rsidRPr="00DB20E8">
        <w:rPr>
          <w:rFonts w:ascii="Palatino Linotype" w:hAnsi="Palatino Linotype"/>
          <w:b/>
          <w:bCs/>
          <w:szCs w:val="22"/>
        </w:rPr>
        <w:t>: Major Foreign Holders of US Treasury Securities</w:t>
      </w:r>
      <w:r w:rsidRPr="000E0DC1">
        <w:rPr>
          <w:rFonts w:ascii="Palatino Linotype" w:hAnsi="Palatino Linotype"/>
          <w:b/>
          <w:bCs/>
          <w:szCs w:val="22"/>
        </w:rPr>
        <w:t xml:space="preserve"> (USD billion)</w:t>
      </w:r>
    </w:p>
    <w:tbl>
      <w:tblPr>
        <w:tblW w:w="9760" w:type="dxa"/>
        <w:tblInd w:w="108" w:type="dxa"/>
        <w:tblLook w:val="04A0" w:firstRow="1" w:lastRow="0" w:firstColumn="1" w:lastColumn="0" w:noHBand="0" w:noVBand="1"/>
      </w:tblPr>
      <w:tblGrid>
        <w:gridCol w:w="1790"/>
        <w:gridCol w:w="1258"/>
        <w:gridCol w:w="1231"/>
        <w:gridCol w:w="1132"/>
        <w:gridCol w:w="1515"/>
        <w:gridCol w:w="865"/>
        <w:gridCol w:w="1106"/>
        <w:gridCol w:w="863"/>
      </w:tblGrid>
      <w:tr w:rsidR="007F63CB" w:rsidRPr="009936B3" w:rsidTr="00CC2002">
        <w:trPr>
          <w:trHeight w:val="226"/>
        </w:trPr>
        <w:tc>
          <w:tcPr>
            <w:tcW w:w="1790" w:type="dxa"/>
            <w:vMerge w:val="restart"/>
            <w:tcBorders>
              <w:top w:val="single" w:sz="8" w:space="0" w:color="auto"/>
              <w:left w:val="single" w:sz="8" w:space="0" w:color="auto"/>
              <w:bottom w:val="nil"/>
              <w:right w:val="nil"/>
            </w:tcBorders>
            <w:shd w:val="clear" w:color="auto" w:fill="BDD6EE" w:themeFill="accent1" w:themeFillTint="66"/>
            <w:noWrap/>
            <w:vAlign w:val="center"/>
            <w:hideMark/>
          </w:tcPr>
          <w:p w:rsidR="007F63CB" w:rsidRPr="009936B3" w:rsidRDefault="007F63CB" w:rsidP="007F63CB">
            <w:pP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Country</w:t>
            </w:r>
          </w:p>
        </w:tc>
        <w:tc>
          <w:tcPr>
            <w:tcW w:w="1258" w:type="dxa"/>
            <w:vMerge w:val="restart"/>
            <w:tcBorders>
              <w:top w:val="single" w:sz="8" w:space="0" w:color="auto"/>
              <w:left w:val="single" w:sz="8" w:space="0" w:color="auto"/>
              <w:bottom w:val="nil"/>
              <w:right w:val="single" w:sz="8" w:space="0" w:color="auto"/>
            </w:tcBorders>
            <w:shd w:val="clear" w:color="auto" w:fill="BDD6EE" w:themeFill="accent1" w:themeFillTint="66"/>
            <w:noWrap/>
            <w:vAlign w:val="center"/>
            <w:hideMark/>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Apr-22</w:t>
            </w:r>
          </w:p>
        </w:tc>
        <w:tc>
          <w:tcPr>
            <w:tcW w:w="2363" w:type="dxa"/>
            <w:gridSpan w:val="2"/>
            <w:tcBorders>
              <w:top w:val="single" w:sz="8" w:space="0" w:color="auto"/>
              <w:left w:val="nil"/>
              <w:bottom w:val="single" w:sz="8" w:space="0" w:color="auto"/>
              <w:right w:val="single" w:sz="8" w:space="0" w:color="000000"/>
            </w:tcBorders>
            <w:shd w:val="clear" w:color="auto" w:fill="BDD6EE" w:themeFill="accent1" w:themeFillTint="66"/>
            <w:noWrap/>
            <w:vAlign w:val="center"/>
            <w:hideMark/>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Percentage change over Period</w:t>
            </w:r>
          </w:p>
        </w:tc>
        <w:tc>
          <w:tcPr>
            <w:tcW w:w="1515" w:type="dxa"/>
            <w:tcBorders>
              <w:top w:val="single" w:sz="8" w:space="0" w:color="auto"/>
              <w:left w:val="nil"/>
              <w:bottom w:val="single" w:sz="8" w:space="0" w:color="auto"/>
              <w:right w:val="nil"/>
            </w:tcBorders>
            <w:shd w:val="clear" w:color="auto" w:fill="BDD6EE" w:themeFill="accent1" w:themeFillTint="66"/>
            <w:vAlign w:val="center"/>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Country</w:t>
            </w:r>
          </w:p>
        </w:tc>
        <w:tc>
          <w:tcPr>
            <w:tcW w:w="865" w:type="dxa"/>
            <w:tcBorders>
              <w:top w:val="single" w:sz="8" w:space="0" w:color="auto"/>
              <w:left w:val="nil"/>
              <w:bottom w:val="single" w:sz="8" w:space="0" w:color="auto"/>
              <w:right w:val="nil"/>
            </w:tcBorders>
            <w:shd w:val="clear" w:color="auto" w:fill="BDD6EE" w:themeFill="accent1" w:themeFillTint="66"/>
            <w:vAlign w:val="center"/>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Apr-22</w:t>
            </w:r>
          </w:p>
        </w:tc>
        <w:tc>
          <w:tcPr>
            <w:tcW w:w="1969"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Percentage change over Period</w:t>
            </w:r>
          </w:p>
        </w:tc>
      </w:tr>
      <w:tr w:rsidR="007F63CB" w:rsidRPr="009936B3" w:rsidTr="00D42F8D">
        <w:trPr>
          <w:trHeight w:val="226"/>
        </w:trPr>
        <w:tc>
          <w:tcPr>
            <w:tcW w:w="1790" w:type="dxa"/>
            <w:vMerge/>
            <w:tcBorders>
              <w:top w:val="single" w:sz="8" w:space="0" w:color="auto"/>
              <w:left w:val="single" w:sz="8" w:space="0" w:color="auto"/>
              <w:bottom w:val="nil"/>
              <w:right w:val="nil"/>
            </w:tcBorders>
            <w:shd w:val="clear" w:color="auto" w:fill="BDD6EE" w:themeFill="accent1" w:themeFillTint="66"/>
            <w:vAlign w:val="center"/>
            <w:hideMark/>
          </w:tcPr>
          <w:p w:rsidR="007F63CB" w:rsidRPr="009936B3" w:rsidRDefault="007F63CB" w:rsidP="007F63CB">
            <w:pPr>
              <w:rPr>
                <w:rFonts w:ascii="Palatino Linotype" w:eastAsia="Times New Roman" w:hAnsi="Palatino Linotype" w:cs="Calibri"/>
                <w:b/>
                <w:bCs/>
                <w:color w:val="000000"/>
                <w:sz w:val="18"/>
                <w:szCs w:val="18"/>
                <w:lang w:val="en-IN" w:eastAsia="en-IN" w:bidi="hi-IN"/>
              </w:rPr>
            </w:pPr>
          </w:p>
        </w:tc>
        <w:tc>
          <w:tcPr>
            <w:tcW w:w="1258" w:type="dxa"/>
            <w:vMerge/>
            <w:tcBorders>
              <w:top w:val="single" w:sz="8" w:space="0" w:color="auto"/>
              <w:left w:val="single" w:sz="8" w:space="0" w:color="auto"/>
              <w:bottom w:val="nil"/>
              <w:right w:val="single" w:sz="8" w:space="0" w:color="auto"/>
            </w:tcBorders>
            <w:shd w:val="clear" w:color="auto" w:fill="BDD6EE" w:themeFill="accent1" w:themeFillTint="66"/>
            <w:vAlign w:val="center"/>
            <w:hideMark/>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p>
        </w:tc>
        <w:tc>
          <w:tcPr>
            <w:tcW w:w="1231" w:type="dxa"/>
            <w:tcBorders>
              <w:top w:val="nil"/>
              <w:left w:val="nil"/>
              <w:bottom w:val="single" w:sz="8" w:space="0" w:color="auto"/>
              <w:right w:val="nil"/>
            </w:tcBorders>
            <w:shd w:val="clear" w:color="auto" w:fill="BDD6EE" w:themeFill="accent1" w:themeFillTint="66"/>
            <w:noWrap/>
            <w:vAlign w:val="center"/>
            <w:hideMark/>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1-Month</w:t>
            </w:r>
          </w:p>
        </w:tc>
        <w:tc>
          <w:tcPr>
            <w:tcW w:w="1132" w:type="dxa"/>
            <w:tcBorders>
              <w:top w:val="nil"/>
              <w:left w:val="single" w:sz="8" w:space="0" w:color="auto"/>
              <w:bottom w:val="single" w:sz="8" w:space="0" w:color="auto"/>
              <w:right w:val="single" w:sz="8" w:space="0" w:color="auto"/>
            </w:tcBorders>
            <w:shd w:val="clear" w:color="auto" w:fill="BDD6EE" w:themeFill="accent1" w:themeFillTint="66"/>
            <w:noWrap/>
            <w:vAlign w:val="center"/>
            <w:hideMark/>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p>
        </w:tc>
        <w:tc>
          <w:tcPr>
            <w:tcW w:w="1515" w:type="dxa"/>
            <w:tcBorders>
              <w:top w:val="nil"/>
              <w:left w:val="single" w:sz="8" w:space="0" w:color="auto"/>
              <w:bottom w:val="single" w:sz="8" w:space="0" w:color="auto"/>
              <w:right w:val="single" w:sz="8" w:space="0" w:color="auto"/>
            </w:tcBorders>
            <w:shd w:val="clear" w:color="auto" w:fill="BDD6EE" w:themeFill="accent1" w:themeFillTint="66"/>
            <w:vAlign w:val="center"/>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p>
        </w:tc>
        <w:tc>
          <w:tcPr>
            <w:tcW w:w="865" w:type="dxa"/>
            <w:tcBorders>
              <w:top w:val="nil"/>
              <w:left w:val="single" w:sz="8" w:space="0" w:color="auto"/>
              <w:bottom w:val="single" w:sz="8" w:space="0" w:color="auto"/>
              <w:right w:val="single" w:sz="8" w:space="0" w:color="auto"/>
            </w:tcBorders>
            <w:shd w:val="clear" w:color="auto" w:fill="BDD6EE" w:themeFill="accent1" w:themeFillTint="66"/>
            <w:vAlign w:val="center"/>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p>
        </w:tc>
        <w:tc>
          <w:tcPr>
            <w:tcW w:w="1106" w:type="dxa"/>
            <w:tcBorders>
              <w:top w:val="nil"/>
              <w:left w:val="single" w:sz="8" w:space="0" w:color="auto"/>
              <w:bottom w:val="single" w:sz="8" w:space="0" w:color="auto"/>
              <w:right w:val="single" w:sz="8" w:space="0" w:color="auto"/>
            </w:tcBorders>
            <w:shd w:val="clear" w:color="auto" w:fill="BDD6EE" w:themeFill="accent1" w:themeFillTint="66"/>
            <w:vAlign w:val="center"/>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1-Month</w:t>
            </w:r>
          </w:p>
        </w:tc>
        <w:tc>
          <w:tcPr>
            <w:tcW w:w="863" w:type="dxa"/>
            <w:tcBorders>
              <w:top w:val="nil"/>
              <w:left w:val="single" w:sz="8" w:space="0" w:color="auto"/>
              <w:bottom w:val="single" w:sz="8" w:space="0" w:color="auto"/>
              <w:right w:val="single" w:sz="8" w:space="0" w:color="auto"/>
            </w:tcBorders>
            <w:shd w:val="clear" w:color="auto" w:fill="BDD6EE" w:themeFill="accent1" w:themeFillTint="66"/>
          </w:tcPr>
          <w:p w:rsidR="007F63CB" w:rsidRPr="009936B3" w:rsidRDefault="007F63CB" w:rsidP="007F63CB">
            <w:pPr>
              <w:jc w:val="center"/>
              <w:rPr>
                <w:rFonts w:ascii="Palatino Linotype" w:eastAsia="Times New Roman" w:hAnsi="Palatino Linotype" w:cs="Calibri"/>
                <w:b/>
                <w:bCs/>
                <w:color w:val="000000"/>
                <w:sz w:val="18"/>
                <w:szCs w:val="18"/>
                <w:lang w:val="en-IN" w:eastAsia="en-IN" w:bidi="hi-IN"/>
              </w:rPr>
            </w:pPr>
            <w:r w:rsidRPr="009936B3">
              <w:rPr>
                <w:rFonts w:ascii="Palatino Linotype" w:eastAsia="Times New Roman" w:hAnsi="Palatino Linotype" w:cs="Calibri"/>
                <w:b/>
                <w:bCs/>
                <w:color w:val="000000"/>
                <w:sz w:val="18"/>
                <w:szCs w:val="18"/>
                <w:lang w:val="en-IN" w:eastAsia="en-IN" w:bidi="hi-IN"/>
              </w:rPr>
              <w:t>1-Year</w:t>
            </w:r>
          </w:p>
        </w:tc>
      </w:tr>
      <w:tr w:rsidR="007F63CB" w:rsidRPr="009936B3" w:rsidTr="00D42F8D">
        <w:trPr>
          <w:trHeight w:val="215"/>
        </w:trPr>
        <w:tc>
          <w:tcPr>
            <w:tcW w:w="1790" w:type="dxa"/>
            <w:tcBorders>
              <w:top w:val="single" w:sz="8" w:space="0" w:color="auto"/>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eastAsia="Times New Roman" w:hAnsi="Palatino Linotype" w:cs="Calibri"/>
                <w:color w:val="000000"/>
                <w:sz w:val="18"/>
                <w:szCs w:val="18"/>
                <w:lang w:val="en-IN" w:bidi="hi-IN"/>
              </w:rPr>
            </w:pPr>
            <w:r w:rsidRPr="009936B3">
              <w:rPr>
                <w:rFonts w:ascii="Palatino Linotype" w:hAnsi="Palatino Linotype" w:cs="Calibri"/>
                <w:color w:val="000000"/>
                <w:sz w:val="18"/>
                <w:szCs w:val="18"/>
              </w:rPr>
              <w:t>Japan</w:t>
            </w:r>
          </w:p>
        </w:tc>
        <w:tc>
          <w:tcPr>
            <w:tcW w:w="1258" w:type="dxa"/>
            <w:tcBorders>
              <w:top w:val="single" w:sz="8" w:space="0" w:color="auto"/>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1,219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-1.1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-4.6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Germany</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93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-1.1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19.3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China, Mainland</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1,003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-3.5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-8.5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Bermuda</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75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3.2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11.3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United Kingdom</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613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-3.5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41.9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Netherlands</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62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-3.0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-4.8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Ireland</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310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-2.0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0.8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Thailand</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58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-10.1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-3.3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Luxembourg</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294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-2.3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1.2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Australia</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57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2.0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33.8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Cayman Islands</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292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-0.5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28.8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Israel</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52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-12.6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-15.3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Switzerland</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272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-0.9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4.1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Philippines</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51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-3.0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0.4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Belgium</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256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-3.4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8.9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Mexico</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47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-0.8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-2.3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France</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244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-1.3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127.4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Sweden</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47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-0.2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12.8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Brazil</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233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-1.6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-8.6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Kuwait</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46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-1.5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0.7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Taiwan</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228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-4.2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-2.4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Italy</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43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-3.6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13.3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Canada</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220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-0.6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89.8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United Arab Emirates</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42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-8.6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-4.6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b/>
                <w:bCs/>
                <w:color w:val="000000"/>
                <w:sz w:val="18"/>
                <w:szCs w:val="18"/>
              </w:rPr>
              <w:t>India</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b/>
                <w:bCs/>
                <w:color w:val="000000"/>
                <w:sz w:val="18"/>
                <w:szCs w:val="18"/>
              </w:rPr>
              <w:t xml:space="preserve">        199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b/>
                <w:bCs/>
                <w:color w:val="000000"/>
                <w:sz w:val="18"/>
                <w:szCs w:val="18"/>
              </w:rPr>
              <w:t xml:space="preserve">       -0.4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b/>
                <w:bCs/>
                <w:color w:val="000000"/>
                <w:sz w:val="18"/>
                <w:szCs w:val="18"/>
              </w:rPr>
              <w:t xml:space="preserve">       -4.6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color w:val="000000"/>
                <w:sz w:val="18"/>
                <w:szCs w:val="18"/>
              </w:rPr>
              <w:t>Vietnam</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color w:val="000000"/>
                <w:sz w:val="18"/>
                <w:szCs w:val="18"/>
              </w:rPr>
              <w:t xml:space="preserve">          40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color w:val="000000"/>
                <w:sz w:val="18"/>
                <w:szCs w:val="18"/>
              </w:rPr>
              <w:t xml:space="preserve">       -1.5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b/>
                <w:bCs/>
                <w:color w:val="000000"/>
                <w:sz w:val="18"/>
                <w:szCs w:val="18"/>
              </w:rPr>
            </w:pPr>
            <w:r w:rsidRPr="009936B3">
              <w:rPr>
                <w:rFonts w:ascii="Palatino Linotype" w:hAnsi="Palatino Linotype" w:cs="Calibri"/>
                <w:color w:val="000000"/>
                <w:sz w:val="18"/>
                <w:szCs w:val="18"/>
              </w:rPr>
              <w:t xml:space="preserve">         7.5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Hong Kong</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195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-6.1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-9.5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Bahamas</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40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9.4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433.8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Singapore</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183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-4.5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7.0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Poland</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37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-5.6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-29.5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Korea</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118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-1.3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-2.1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Chile</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37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-2.4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-2.6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Saudi Arabia</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116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0.2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-11.2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Colombia</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35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2.6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0.9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Norway</w:t>
            </w:r>
          </w:p>
        </w:tc>
        <w:tc>
          <w:tcPr>
            <w:tcW w:w="1258" w:type="dxa"/>
            <w:tcBorders>
              <w:top w:val="nil"/>
              <w:left w:val="nil"/>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115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-0.8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5.4 </w:t>
            </w:r>
          </w:p>
        </w:tc>
        <w:tc>
          <w:tcPr>
            <w:tcW w:w="151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Peru</w:t>
            </w:r>
          </w:p>
        </w:tc>
        <w:tc>
          <w:tcPr>
            <w:tcW w:w="865"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30 </w:t>
            </w:r>
          </w:p>
        </w:tc>
        <w:tc>
          <w:tcPr>
            <w:tcW w:w="1106"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1.3 </w:t>
            </w:r>
          </w:p>
        </w:tc>
        <w:tc>
          <w:tcPr>
            <w:tcW w:w="863" w:type="dxa"/>
            <w:tcBorders>
              <w:top w:val="nil"/>
              <w:left w:val="single" w:sz="8" w:space="0" w:color="auto"/>
              <w:bottom w:val="nil"/>
              <w:right w:val="single" w:sz="8" w:space="0" w:color="auto"/>
            </w:tcBorders>
            <w:vAlign w:val="center"/>
          </w:tcPr>
          <w:p w:rsidR="007F63CB" w:rsidRPr="009936B3" w:rsidRDefault="007F63CB" w:rsidP="007F63CB">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5.6 </w:t>
            </w: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p>
        </w:tc>
        <w:tc>
          <w:tcPr>
            <w:tcW w:w="1258" w:type="dxa"/>
            <w:tcBorders>
              <w:top w:val="nil"/>
              <w:left w:val="nil"/>
              <w:bottom w:val="nil"/>
              <w:right w:val="nil"/>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p>
        </w:tc>
        <w:tc>
          <w:tcPr>
            <w:tcW w:w="1231" w:type="dxa"/>
            <w:tcBorders>
              <w:top w:val="nil"/>
              <w:left w:val="single" w:sz="8" w:space="0" w:color="auto"/>
              <w:bottom w:val="nil"/>
              <w:right w:val="nil"/>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p>
        </w:tc>
        <w:tc>
          <w:tcPr>
            <w:tcW w:w="1132" w:type="dxa"/>
            <w:tcBorders>
              <w:top w:val="nil"/>
              <w:left w:val="single" w:sz="8" w:space="0" w:color="auto"/>
              <w:bottom w:val="nil"/>
              <w:right w:val="single" w:sz="8" w:space="0" w:color="auto"/>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p>
        </w:tc>
        <w:tc>
          <w:tcPr>
            <w:tcW w:w="151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All Other</w:t>
            </w:r>
          </w:p>
        </w:tc>
        <w:tc>
          <w:tcPr>
            <w:tcW w:w="1258" w:type="dxa"/>
            <w:tcBorders>
              <w:top w:val="nil"/>
              <w:left w:val="nil"/>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455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0.8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2.1 </w:t>
            </w:r>
          </w:p>
        </w:tc>
        <w:tc>
          <w:tcPr>
            <w:tcW w:w="151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BFBFBF" w:themeFill="background1" w:themeFillShade="BF"/>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Grand Total</w:t>
            </w:r>
          </w:p>
        </w:tc>
        <w:tc>
          <w:tcPr>
            <w:tcW w:w="1258" w:type="dxa"/>
            <w:tcBorders>
              <w:top w:val="nil"/>
              <w:left w:val="nil"/>
              <w:bottom w:val="nil"/>
              <w:right w:val="nil"/>
            </w:tcBorders>
            <w:shd w:val="clear" w:color="auto" w:fill="BFBFBF" w:themeFill="background1" w:themeFillShade="BF"/>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7,455 </w:t>
            </w:r>
          </w:p>
        </w:tc>
        <w:tc>
          <w:tcPr>
            <w:tcW w:w="1231" w:type="dxa"/>
            <w:tcBorders>
              <w:top w:val="nil"/>
              <w:left w:val="single" w:sz="8" w:space="0" w:color="auto"/>
              <w:bottom w:val="nil"/>
              <w:right w:val="nil"/>
            </w:tcBorders>
            <w:shd w:val="clear" w:color="auto" w:fill="BFBFBF" w:themeFill="background1" w:themeFillShade="BF"/>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-2.1 </w:t>
            </w:r>
          </w:p>
        </w:tc>
        <w:tc>
          <w:tcPr>
            <w:tcW w:w="1132" w:type="dxa"/>
            <w:tcBorders>
              <w:top w:val="nil"/>
              <w:left w:val="single" w:sz="8" w:space="0" w:color="auto"/>
              <w:bottom w:val="nil"/>
              <w:right w:val="single" w:sz="8" w:space="0" w:color="auto"/>
            </w:tcBorders>
            <w:shd w:val="clear" w:color="auto" w:fill="BFBFBF" w:themeFill="background1" w:themeFillShade="BF"/>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5.3 </w:t>
            </w:r>
          </w:p>
        </w:tc>
        <w:tc>
          <w:tcPr>
            <w:tcW w:w="1515" w:type="dxa"/>
            <w:tcBorders>
              <w:top w:val="nil"/>
              <w:left w:val="single" w:sz="8" w:space="0" w:color="auto"/>
              <w:bottom w:val="nil"/>
              <w:right w:val="single" w:sz="8" w:space="0" w:color="auto"/>
            </w:tcBorders>
            <w:shd w:val="clear" w:color="auto" w:fill="BFBFBF" w:themeFill="background1" w:themeFillShade="BF"/>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nil"/>
              <w:right w:val="single" w:sz="8" w:space="0" w:color="auto"/>
            </w:tcBorders>
            <w:shd w:val="clear" w:color="auto" w:fill="BFBFBF" w:themeFill="background1" w:themeFillShade="BF"/>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nil"/>
              <w:right w:val="single" w:sz="8" w:space="0" w:color="auto"/>
            </w:tcBorders>
            <w:shd w:val="clear" w:color="auto" w:fill="BFBFBF" w:themeFill="background1" w:themeFillShade="BF"/>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nil"/>
              <w:right w:val="single" w:sz="8" w:space="0" w:color="auto"/>
            </w:tcBorders>
            <w:shd w:val="clear" w:color="auto" w:fill="BFBFBF" w:themeFill="background1" w:themeFillShade="BF"/>
          </w:tcPr>
          <w:p w:rsidR="007F63CB" w:rsidRPr="009936B3" w:rsidRDefault="007F63CB" w:rsidP="005F1CCA">
            <w:pPr>
              <w:rPr>
                <w:rFonts w:ascii="Palatino Linotype" w:hAnsi="Palatino Linotype" w:cs="Calibri"/>
                <w:color w:val="000000"/>
                <w:sz w:val="18"/>
                <w:szCs w:val="18"/>
              </w:rPr>
            </w:pP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w:t>
            </w:r>
          </w:p>
        </w:tc>
        <w:tc>
          <w:tcPr>
            <w:tcW w:w="1258" w:type="dxa"/>
            <w:tcBorders>
              <w:top w:val="nil"/>
              <w:left w:val="nil"/>
              <w:bottom w:val="nil"/>
              <w:right w:val="nil"/>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p>
        </w:tc>
        <w:tc>
          <w:tcPr>
            <w:tcW w:w="1231" w:type="dxa"/>
            <w:tcBorders>
              <w:top w:val="nil"/>
              <w:left w:val="single" w:sz="8" w:space="0" w:color="auto"/>
              <w:bottom w:val="nil"/>
              <w:right w:val="nil"/>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w:t>
            </w:r>
          </w:p>
        </w:tc>
        <w:tc>
          <w:tcPr>
            <w:tcW w:w="1132" w:type="dxa"/>
            <w:tcBorders>
              <w:top w:val="nil"/>
              <w:left w:val="single" w:sz="8" w:space="0" w:color="auto"/>
              <w:bottom w:val="nil"/>
              <w:right w:val="single" w:sz="8" w:space="0" w:color="auto"/>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w:t>
            </w:r>
          </w:p>
        </w:tc>
        <w:tc>
          <w:tcPr>
            <w:tcW w:w="151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Of which:</w:t>
            </w:r>
          </w:p>
        </w:tc>
        <w:tc>
          <w:tcPr>
            <w:tcW w:w="1258" w:type="dxa"/>
            <w:tcBorders>
              <w:top w:val="nil"/>
              <w:left w:val="nil"/>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w:t>
            </w:r>
          </w:p>
        </w:tc>
        <w:tc>
          <w:tcPr>
            <w:tcW w:w="151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For. Official</w:t>
            </w:r>
          </w:p>
        </w:tc>
        <w:tc>
          <w:tcPr>
            <w:tcW w:w="1258" w:type="dxa"/>
            <w:tcBorders>
              <w:top w:val="nil"/>
              <w:left w:val="nil"/>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3,951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-2.9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-6.0 </w:t>
            </w:r>
          </w:p>
        </w:tc>
        <w:tc>
          <w:tcPr>
            <w:tcW w:w="151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r>
      <w:tr w:rsidR="007F63CB" w:rsidRPr="009936B3" w:rsidTr="00D42F8D">
        <w:trPr>
          <w:trHeight w:val="215"/>
        </w:trPr>
        <w:tc>
          <w:tcPr>
            <w:tcW w:w="1790"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eastAsia="Times New Roman" w:hAnsi="Palatino Linotype" w:cs="Calibri"/>
                <w:color w:val="000000"/>
                <w:sz w:val="18"/>
                <w:szCs w:val="18"/>
                <w:lang w:val="en-IN" w:bidi="hi-IN"/>
              </w:rPr>
            </w:pPr>
            <w:r w:rsidRPr="009936B3">
              <w:rPr>
                <w:rFonts w:ascii="Palatino Linotype" w:hAnsi="Palatino Linotype" w:cs="Calibri"/>
                <w:color w:val="000000"/>
                <w:sz w:val="18"/>
                <w:szCs w:val="18"/>
              </w:rPr>
              <w:t>Treasury Bills</w:t>
            </w:r>
          </w:p>
        </w:tc>
        <w:tc>
          <w:tcPr>
            <w:tcW w:w="1258" w:type="dxa"/>
            <w:tcBorders>
              <w:top w:val="nil"/>
              <w:left w:val="nil"/>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257 </w:t>
            </w:r>
          </w:p>
        </w:tc>
        <w:tc>
          <w:tcPr>
            <w:tcW w:w="1231" w:type="dxa"/>
            <w:tcBorders>
              <w:top w:val="nil"/>
              <w:left w:val="single" w:sz="8" w:space="0" w:color="auto"/>
              <w:bottom w:val="nil"/>
              <w:right w:val="nil"/>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-1.2 </w:t>
            </w:r>
          </w:p>
        </w:tc>
        <w:tc>
          <w:tcPr>
            <w:tcW w:w="1132" w:type="dxa"/>
            <w:tcBorders>
              <w:top w:val="nil"/>
              <w:left w:val="single" w:sz="8" w:space="0" w:color="auto"/>
              <w:bottom w:val="nil"/>
              <w:right w:val="single" w:sz="8" w:space="0" w:color="auto"/>
            </w:tcBorders>
            <w:shd w:val="clear" w:color="auto" w:fill="auto"/>
            <w:noWrap/>
            <w:vAlign w:val="center"/>
            <w:hideMark/>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-19.9 </w:t>
            </w:r>
          </w:p>
        </w:tc>
        <w:tc>
          <w:tcPr>
            <w:tcW w:w="151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nil"/>
              <w:right w:val="single" w:sz="8" w:space="0" w:color="auto"/>
            </w:tcBorders>
          </w:tcPr>
          <w:p w:rsidR="007F63CB" w:rsidRPr="009936B3" w:rsidRDefault="007F63CB" w:rsidP="005F1CCA">
            <w:pPr>
              <w:rPr>
                <w:rFonts w:ascii="Palatino Linotype" w:hAnsi="Palatino Linotype" w:cs="Calibri"/>
                <w:color w:val="000000"/>
                <w:sz w:val="18"/>
                <w:szCs w:val="18"/>
              </w:rPr>
            </w:pPr>
          </w:p>
        </w:tc>
      </w:tr>
      <w:tr w:rsidR="007F63CB" w:rsidRPr="009936B3" w:rsidTr="00D42F8D">
        <w:trPr>
          <w:trHeight w:val="215"/>
        </w:trPr>
        <w:tc>
          <w:tcPr>
            <w:tcW w:w="1790" w:type="dxa"/>
            <w:tcBorders>
              <w:top w:val="nil"/>
              <w:left w:val="single" w:sz="8" w:space="0" w:color="auto"/>
              <w:bottom w:val="single" w:sz="4" w:space="0" w:color="auto"/>
              <w:right w:val="single" w:sz="8" w:space="0" w:color="auto"/>
            </w:tcBorders>
            <w:shd w:val="clear" w:color="auto" w:fill="auto"/>
            <w:noWrap/>
            <w:vAlign w:val="center"/>
          </w:tcPr>
          <w:p w:rsidR="007F63CB" w:rsidRPr="009936B3" w:rsidRDefault="007F63CB" w:rsidP="005F1CCA">
            <w:pPr>
              <w:rPr>
                <w:rFonts w:ascii="Palatino Linotype" w:eastAsia="Times New Roman" w:hAnsi="Palatino Linotype" w:cs="Calibri"/>
                <w:color w:val="000000"/>
                <w:sz w:val="18"/>
                <w:szCs w:val="18"/>
                <w:lang w:val="en-IN" w:bidi="hi-IN"/>
              </w:rPr>
            </w:pPr>
            <w:r w:rsidRPr="009936B3">
              <w:rPr>
                <w:rFonts w:ascii="Palatino Linotype" w:hAnsi="Palatino Linotype" w:cs="Calibri"/>
                <w:color w:val="000000"/>
                <w:sz w:val="18"/>
                <w:szCs w:val="18"/>
              </w:rPr>
              <w:t>T-Bonds &amp; Notes</w:t>
            </w:r>
          </w:p>
        </w:tc>
        <w:tc>
          <w:tcPr>
            <w:tcW w:w="1258" w:type="dxa"/>
            <w:tcBorders>
              <w:top w:val="nil"/>
              <w:left w:val="nil"/>
              <w:bottom w:val="single" w:sz="4" w:space="0" w:color="auto"/>
              <w:right w:val="nil"/>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3,694 </w:t>
            </w:r>
          </w:p>
        </w:tc>
        <w:tc>
          <w:tcPr>
            <w:tcW w:w="1231" w:type="dxa"/>
            <w:tcBorders>
              <w:top w:val="nil"/>
              <w:left w:val="single" w:sz="8" w:space="0" w:color="auto"/>
              <w:bottom w:val="single" w:sz="4" w:space="0" w:color="auto"/>
              <w:right w:val="nil"/>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-3.0 </w:t>
            </w:r>
          </w:p>
        </w:tc>
        <w:tc>
          <w:tcPr>
            <w:tcW w:w="1132" w:type="dxa"/>
            <w:tcBorders>
              <w:top w:val="nil"/>
              <w:left w:val="single" w:sz="8" w:space="0" w:color="auto"/>
              <w:bottom w:val="single" w:sz="4" w:space="0" w:color="auto"/>
              <w:right w:val="single" w:sz="8" w:space="0" w:color="auto"/>
            </w:tcBorders>
            <w:shd w:val="clear" w:color="auto" w:fill="auto"/>
            <w:noWrap/>
            <w:vAlign w:val="center"/>
          </w:tcPr>
          <w:p w:rsidR="007F63CB" w:rsidRPr="009936B3" w:rsidRDefault="007F63CB" w:rsidP="005F1CCA">
            <w:pPr>
              <w:rPr>
                <w:rFonts w:ascii="Palatino Linotype" w:hAnsi="Palatino Linotype" w:cs="Calibri"/>
                <w:color w:val="000000"/>
                <w:sz w:val="18"/>
                <w:szCs w:val="18"/>
              </w:rPr>
            </w:pPr>
            <w:r w:rsidRPr="009936B3">
              <w:rPr>
                <w:rFonts w:ascii="Palatino Linotype" w:hAnsi="Palatino Linotype" w:cs="Calibri"/>
                <w:color w:val="000000"/>
                <w:sz w:val="18"/>
                <w:szCs w:val="18"/>
              </w:rPr>
              <w:t xml:space="preserve">       -4.8 </w:t>
            </w:r>
          </w:p>
        </w:tc>
        <w:tc>
          <w:tcPr>
            <w:tcW w:w="1515" w:type="dxa"/>
            <w:tcBorders>
              <w:top w:val="nil"/>
              <w:left w:val="single" w:sz="8" w:space="0" w:color="auto"/>
              <w:bottom w:val="single" w:sz="4" w:space="0" w:color="auto"/>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5" w:type="dxa"/>
            <w:tcBorders>
              <w:top w:val="nil"/>
              <w:left w:val="single" w:sz="8" w:space="0" w:color="auto"/>
              <w:bottom w:val="single" w:sz="4" w:space="0" w:color="auto"/>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1106" w:type="dxa"/>
            <w:tcBorders>
              <w:top w:val="nil"/>
              <w:left w:val="single" w:sz="8" w:space="0" w:color="auto"/>
              <w:bottom w:val="single" w:sz="4" w:space="0" w:color="auto"/>
              <w:right w:val="single" w:sz="8" w:space="0" w:color="auto"/>
            </w:tcBorders>
          </w:tcPr>
          <w:p w:rsidR="007F63CB" w:rsidRPr="009936B3" w:rsidRDefault="007F63CB" w:rsidP="005F1CCA">
            <w:pPr>
              <w:rPr>
                <w:rFonts w:ascii="Palatino Linotype" w:hAnsi="Palatino Linotype" w:cs="Calibri"/>
                <w:color w:val="000000"/>
                <w:sz w:val="18"/>
                <w:szCs w:val="18"/>
              </w:rPr>
            </w:pPr>
          </w:p>
        </w:tc>
        <w:tc>
          <w:tcPr>
            <w:tcW w:w="863" w:type="dxa"/>
            <w:tcBorders>
              <w:top w:val="nil"/>
              <w:left w:val="single" w:sz="8" w:space="0" w:color="auto"/>
              <w:bottom w:val="single" w:sz="4" w:space="0" w:color="auto"/>
              <w:right w:val="single" w:sz="8" w:space="0" w:color="auto"/>
            </w:tcBorders>
          </w:tcPr>
          <w:p w:rsidR="007F63CB" w:rsidRPr="009936B3" w:rsidRDefault="007F63CB" w:rsidP="005F1CCA">
            <w:pPr>
              <w:rPr>
                <w:rFonts w:ascii="Palatino Linotype" w:hAnsi="Palatino Linotype" w:cs="Calibri"/>
                <w:color w:val="000000"/>
                <w:sz w:val="18"/>
                <w:szCs w:val="18"/>
              </w:rPr>
            </w:pPr>
          </w:p>
        </w:tc>
      </w:tr>
    </w:tbl>
    <w:p w:rsidR="00557572" w:rsidRDefault="00557572" w:rsidP="00557572">
      <w:pPr>
        <w:spacing w:line="23" w:lineRule="atLeast"/>
        <w:rPr>
          <w:rFonts w:ascii="Palatino Linotype" w:hAnsi="Palatino Linotype"/>
          <w:bCs/>
          <w:sz w:val="18"/>
          <w:szCs w:val="18"/>
        </w:rPr>
      </w:pPr>
    </w:p>
    <w:p w:rsidR="00557572" w:rsidRPr="00A01675" w:rsidRDefault="00557572" w:rsidP="00557572">
      <w:pPr>
        <w:spacing w:line="23" w:lineRule="atLeast"/>
        <w:rPr>
          <w:rFonts w:ascii="Palatino Linotype" w:hAnsi="Palatino Linotype"/>
          <w:bCs/>
          <w:sz w:val="18"/>
          <w:szCs w:val="18"/>
        </w:rPr>
      </w:pPr>
      <w:r w:rsidRPr="00A01675">
        <w:rPr>
          <w:rFonts w:ascii="Palatino Linotype" w:hAnsi="Palatino Linotype"/>
          <w:bCs/>
          <w:sz w:val="18"/>
          <w:szCs w:val="18"/>
        </w:rPr>
        <w:t xml:space="preserve"> </w:t>
      </w:r>
      <w:r w:rsidRPr="00724A6D">
        <w:rPr>
          <w:rFonts w:ascii="Palatino Linotype" w:hAnsi="Palatino Linotype"/>
          <w:b/>
          <w:sz w:val="18"/>
          <w:szCs w:val="18"/>
        </w:rPr>
        <w:t>Note</w:t>
      </w:r>
      <w:r w:rsidRPr="00A01675">
        <w:rPr>
          <w:rFonts w:ascii="Palatino Linotype" w:hAnsi="Palatino Linotype"/>
          <w:bCs/>
          <w:sz w:val="18"/>
          <w:szCs w:val="18"/>
        </w:rPr>
        <w:t xml:space="preserve">: </w:t>
      </w:r>
    </w:p>
    <w:p w:rsidR="00557572" w:rsidRPr="00A01675" w:rsidRDefault="00557572" w:rsidP="00557572">
      <w:pPr>
        <w:numPr>
          <w:ilvl w:val="0"/>
          <w:numId w:val="21"/>
        </w:numPr>
        <w:spacing w:line="23" w:lineRule="atLeast"/>
        <w:ind w:left="360"/>
        <w:contextualSpacing/>
        <w:jc w:val="both"/>
        <w:rPr>
          <w:rFonts w:ascii="Palatino Linotype" w:hAnsi="Palatino Linotype"/>
          <w:bCs/>
          <w:sz w:val="18"/>
          <w:szCs w:val="18"/>
          <w:lang w:val="en-US"/>
        </w:rPr>
      </w:pPr>
      <w:r w:rsidRPr="00A01675">
        <w:rPr>
          <w:rFonts w:ascii="Palatino Linotype" w:hAnsi="Palatino Linotype"/>
          <w:bCs/>
          <w:sz w:val="18"/>
          <w:szCs w:val="18"/>
          <w:lang w:val="en-US"/>
        </w:rPr>
        <w:t xml:space="preserve">Data available as </w:t>
      </w:r>
      <w:r w:rsidRPr="00725753">
        <w:rPr>
          <w:rFonts w:ascii="Palatino Linotype" w:hAnsi="Palatino Linotype"/>
          <w:bCs/>
          <w:sz w:val="18"/>
          <w:szCs w:val="18"/>
          <w:lang w:val="en-US"/>
        </w:rPr>
        <w:t xml:space="preserve">on </w:t>
      </w:r>
      <w:r>
        <w:rPr>
          <w:rFonts w:ascii="Palatino Linotype" w:hAnsi="Palatino Linotype"/>
          <w:bCs/>
          <w:sz w:val="18"/>
          <w:szCs w:val="18"/>
          <w:lang w:val="en-US"/>
        </w:rPr>
        <w:t xml:space="preserve">June </w:t>
      </w:r>
      <w:r w:rsidRPr="00725753">
        <w:rPr>
          <w:rFonts w:ascii="Palatino Linotype" w:hAnsi="Palatino Linotype"/>
          <w:bCs/>
          <w:sz w:val="18"/>
          <w:szCs w:val="18"/>
          <w:lang w:val="en-US"/>
        </w:rPr>
        <w:t>1</w:t>
      </w:r>
      <w:r>
        <w:rPr>
          <w:rFonts w:ascii="Palatino Linotype" w:hAnsi="Palatino Linotype"/>
          <w:bCs/>
          <w:sz w:val="18"/>
          <w:szCs w:val="18"/>
          <w:lang w:val="en-US"/>
        </w:rPr>
        <w:t>5</w:t>
      </w:r>
      <w:r w:rsidRPr="00725753">
        <w:rPr>
          <w:rFonts w:ascii="Palatino Linotype" w:hAnsi="Palatino Linotype"/>
          <w:bCs/>
          <w:sz w:val="18"/>
          <w:szCs w:val="18"/>
          <w:lang w:val="en-US"/>
        </w:rPr>
        <w:t>, 2022</w:t>
      </w:r>
    </w:p>
    <w:p w:rsidR="00557572" w:rsidRPr="00A01675" w:rsidRDefault="00557572" w:rsidP="00557572">
      <w:pPr>
        <w:numPr>
          <w:ilvl w:val="0"/>
          <w:numId w:val="21"/>
        </w:numPr>
        <w:spacing w:line="23" w:lineRule="atLeast"/>
        <w:ind w:left="360"/>
        <w:contextualSpacing/>
        <w:jc w:val="both"/>
        <w:rPr>
          <w:rFonts w:ascii="Palatino Linotype" w:hAnsi="Palatino Linotype"/>
          <w:bCs/>
          <w:sz w:val="18"/>
          <w:szCs w:val="18"/>
          <w:lang w:val="en-US"/>
        </w:rPr>
      </w:pPr>
      <w:r w:rsidRPr="00A01675">
        <w:rPr>
          <w:rFonts w:ascii="Palatino Linotype" w:hAnsi="Palatino Linotype"/>
          <w:bCs/>
          <w:sz w:val="18"/>
          <w:szCs w:val="18"/>
          <w:lang w:val="en-US"/>
        </w:rPr>
        <w:t>The data in this table are collected primarily from U.S.-based custodians and broker-dealers. Since U.S. securities held in overseas custody accounts may not be attributed to the actual owners, the data may not provide a precise accounting of individual country ownership of Treasury securities (see TIC FAQ #7 at: http://www.treasury.gov/resource-center/data-chart-center/tic/Pages/ticfaq1.aspx)</w:t>
      </w:r>
    </w:p>
    <w:p w:rsidR="00557572" w:rsidRPr="00A01675" w:rsidRDefault="00557572" w:rsidP="00557572">
      <w:pPr>
        <w:numPr>
          <w:ilvl w:val="0"/>
          <w:numId w:val="21"/>
        </w:numPr>
        <w:spacing w:line="23" w:lineRule="atLeast"/>
        <w:ind w:left="360"/>
        <w:contextualSpacing/>
        <w:jc w:val="both"/>
        <w:rPr>
          <w:rFonts w:ascii="Palatino Linotype" w:hAnsi="Palatino Linotype"/>
          <w:bCs/>
          <w:sz w:val="18"/>
          <w:szCs w:val="18"/>
          <w:lang w:val="en-US"/>
        </w:rPr>
      </w:pPr>
      <w:r w:rsidRPr="00A01675">
        <w:rPr>
          <w:rFonts w:ascii="Palatino Linotype" w:hAnsi="Palatino Linotype"/>
          <w:bCs/>
          <w:sz w:val="18"/>
          <w:szCs w:val="18"/>
          <w:lang w:val="en-US"/>
        </w:rPr>
        <w:t>Estimated foreign holdings of U.S. Treasury marketable and non-marketable bills, bonds, and notes reported under the Treasury International Capital (TIC) reporting system are based on monthly data on holdin</w:t>
      </w:r>
      <w:r>
        <w:rPr>
          <w:rFonts w:ascii="Palatino Linotype" w:hAnsi="Palatino Linotype"/>
          <w:bCs/>
          <w:sz w:val="18"/>
          <w:szCs w:val="18"/>
          <w:lang w:val="en-US"/>
        </w:rPr>
        <w:t xml:space="preserve">gs of Treasury bonds and notes </w:t>
      </w:r>
      <w:r w:rsidRPr="00A01675">
        <w:rPr>
          <w:rFonts w:ascii="Palatino Linotype" w:hAnsi="Palatino Linotype"/>
          <w:bCs/>
          <w:sz w:val="18"/>
          <w:szCs w:val="18"/>
          <w:lang w:val="en-US"/>
        </w:rPr>
        <w:t>as reported on TIC Form SLT, Aggregate Holdings of Long-Term Securities</w:t>
      </w:r>
      <w:r>
        <w:rPr>
          <w:rFonts w:ascii="Palatino Linotype" w:hAnsi="Palatino Linotype"/>
          <w:bCs/>
          <w:sz w:val="18"/>
          <w:szCs w:val="18"/>
          <w:lang w:val="en-US"/>
        </w:rPr>
        <w:t xml:space="preserve"> by U.S. and Foreign Residents </w:t>
      </w:r>
      <w:r w:rsidRPr="00A01675">
        <w:rPr>
          <w:rFonts w:ascii="Palatino Linotype" w:hAnsi="Palatino Linotype"/>
          <w:bCs/>
          <w:sz w:val="18"/>
          <w:szCs w:val="18"/>
          <w:lang w:val="en-US"/>
        </w:rPr>
        <w:t>and on TIC Form BL2, Report of Customers' U.S. Dollar Liabilities to Foreign Residents.</w:t>
      </w:r>
    </w:p>
    <w:p w:rsidR="00557572" w:rsidRDefault="00557572" w:rsidP="00557572">
      <w:pPr>
        <w:spacing w:line="23" w:lineRule="atLeast"/>
        <w:rPr>
          <w:rFonts w:ascii="Palatino Linotype" w:hAnsi="Palatino Linotype"/>
          <w:bCs/>
          <w:sz w:val="18"/>
          <w:szCs w:val="18"/>
        </w:rPr>
      </w:pPr>
      <w:r w:rsidRPr="00724A6D">
        <w:rPr>
          <w:rFonts w:ascii="Palatino Linotype" w:hAnsi="Palatino Linotype"/>
          <w:b/>
          <w:sz w:val="18"/>
          <w:szCs w:val="18"/>
        </w:rPr>
        <w:t>Source</w:t>
      </w:r>
      <w:r w:rsidRPr="00A01675">
        <w:rPr>
          <w:rFonts w:ascii="Palatino Linotype" w:hAnsi="Palatino Linotype"/>
          <w:bCs/>
          <w:sz w:val="18"/>
          <w:szCs w:val="18"/>
        </w:rPr>
        <w:t xml:space="preserve">: </w:t>
      </w:r>
      <w:r>
        <w:rPr>
          <w:rFonts w:ascii="Palatino Linotype" w:hAnsi="Palatino Linotype"/>
          <w:bCs/>
          <w:sz w:val="18"/>
          <w:szCs w:val="18"/>
        </w:rPr>
        <w:t>U.S. Department of the Treasury</w:t>
      </w:r>
    </w:p>
    <w:p w:rsidR="00557572" w:rsidRDefault="00557572" w:rsidP="00557572">
      <w:pPr>
        <w:spacing w:line="23" w:lineRule="atLeast"/>
        <w:rPr>
          <w:rFonts w:ascii="Palatino Linotype" w:hAnsi="Palatino Linotype"/>
          <w:bCs/>
          <w:sz w:val="18"/>
          <w:szCs w:val="18"/>
        </w:rPr>
      </w:pPr>
    </w:p>
    <w:p w:rsidR="000F236F" w:rsidRPr="00D0385D" w:rsidRDefault="000F236F" w:rsidP="007F63CB">
      <w:pPr>
        <w:spacing w:line="23" w:lineRule="atLeast"/>
        <w:jc w:val="center"/>
        <w:rPr>
          <w:rFonts w:ascii="Palatino Linotype" w:hAnsi="Palatino Linotype" w:cs="Calibri"/>
          <w:b/>
          <w:color w:val="1F4E79" w:themeColor="accent1" w:themeShade="80"/>
          <w:sz w:val="28"/>
          <w:szCs w:val="28"/>
        </w:rPr>
      </w:pPr>
      <w:r w:rsidRPr="00D0385D">
        <w:rPr>
          <w:rFonts w:ascii="Palatino Linotype" w:hAnsi="Palatino Linotype" w:cs="Calibri"/>
          <w:b/>
          <w:color w:val="1F4E79" w:themeColor="accent1" w:themeShade="80"/>
          <w:sz w:val="28"/>
          <w:szCs w:val="28"/>
        </w:rPr>
        <w:t>HIGHLIGHTS OF DEVELOPMENTS IN</w:t>
      </w:r>
    </w:p>
    <w:p w:rsidR="000F236F" w:rsidRPr="00D0385D" w:rsidRDefault="000F236F" w:rsidP="007F63CB">
      <w:pPr>
        <w:jc w:val="center"/>
        <w:rPr>
          <w:rFonts w:ascii="Palatino Linotype" w:hAnsi="Palatino Linotype" w:cs="Calibri"/>
          <w:b/>
          <w:color w:val="1F4E79" w:themeColor="accent1" w:themeShade="80"/>
          <w:sz w:val="28"/>
          <w:szCs w:val="28"/>
        </w:rPr>
      </w:pPr>
      <w:r w:rsidRPr="00D0385D">
        <w:rPr>
          <w:rFonts w:ascii="Palatino Linotype" w:hAnsi="Palatino Linotype" w:cs="Calibri"/>
          <w:b/>
          <w:color w:val="1F4E79" w:themeColor="accent1" w:themeShade="80"/>
          <w:sz w:val="28"/>
          <w:szCs w:val="28"/>
        </w:rPr>
        <w:t>INTERNATIONAL SECURITIES MARKET</w:t>
      </w:r>
    </w:p>
    <w:p w:rsidR="000F236F" w:rsidRDefault="000F236F" w:rsidP="000F236F">
      <w:pPr>
        <w:tabs>
          <w:tab w:val="left" w:pos="8160"/>
        </w:tabs>
        <w:jc w:val="both"/>
        <w:rPr>
          <w:rFonts w:ascii="Palatino Linotype" w:hAnsi="Palatino Linotype"/>
          <w:b/>
          <w:sz w:val="22"/>
          <w:szCs w:val="22"/>
        </w:rPr>
      </w:pPr>
    </w:p>
    <w:p w:rsidR="000F236F" w:rsidRDefault="000F236F" w:rsidP="000F236F">
      <w:pPr>
        <w:pStyle w:val="NormalWeb"/>
        <w:shd w:val="clear" w:color="auto" w:fill="FFFFFF"/>
        <w:spacing w:before="0" w:beforeAutospacing="0" w:after="0" w:afterAutospacing="0"/>
        <w:textAlignment w:val="baseline"/>
        <w:rPr>
          <w:rFonts w:ascii="Palatino Linotype" w:hAnsi="Palatino Linotype" w:cs="Arial"/>
          <w:b/>
          <w:bCs/>
          <w:sz w:val="22"/>
          <w:szCs w:val="22"/>
          <w:bdr w:val="none" w:sz="0" w:space="0" w:color="auto" w:frame="1"/>
        </w:rPr>
      </w:pPr>
    </w:p>
    <w:p w:rsidR="001F31C2" w:rsidRPr="00F35D61" w:rsidRDefault="001F31C2" w:rsidP="001F31C2">
      <w:pPr>
        <w:numPr>
          <w:ilvl w:val="3"/>
          <w:numId w:val="21"/>
        </w:numPr>
        <w:ind w:left="360"/>
        <w:contextualSpacing/>
        <w:jc w:val="both"/>
        <w:rPr>
          <w:rFonts w:ascii="Garamond" w:eastAsia="Calibri" w:hAnsi="Garamond" w:cs="Vrinda"/>
          <w:b/>
          <w:bCs/>
          <w:lang w:val="en-US"/>
        </w:rPr>
      </w:pPr>
      <w:r w:rsidRPr="00F35D61">
        <w:rPr>
          <w:rFonts w:ascii="Garamond" w:eastAsia="Calibri" w:hAnsi="Garamond" w:cs="Vrinda"/>
          <w:b/>
          <w:bCs/>
          <w:lang w:val="en-US"/>
        </w:rPr>
        <w:t>SEC, USA</w:t>
      </w:r>
    </w:p>
    <w:p w:rsidR="001F31C2" w:rsidRPr="00F35D61" w:rsidRDefault="001F31C2" w:rsidP="001F31C2">
      <w:pPr>
        <w:ind w:left="360"/>
        <w:contextualSpacing/>
        <w:jc w:val="both"/>
        <w:rPr>
          <w:rFonts w:ascii="Garamond" w:eastAsia="Calibri" w:hAnsi="Garamond" w:cs="Vrinda"/>
          <w:b/>
          <w:bCs/>
          <w:lang w:val="en-US"/>
        </w:rPr>
      </w:pPr>
    </w:p>
    <w:p w:rsidR="005540C3" w:rsidRDefault="001F31C2" w:rsidP="00D42F8D">
      <w:pPr>
        <w:rPr>
          <w:rFonts w:ascii="Garamond" w:eastAsia="Calibri" w:hAnsi="Garamond" w:cs="Vrinda"/>
          <w:lang w:val="en-US"/>
        </w:rPr>
      </w:pPr>
      <w:r w:rsidRPr="00F35D61">
        <w:rPr>
          <w:rFonts w:ascii="Garamond" w:eastAsia="Calibri" w:hAnsi="Garamond" w:cs="Vrinda"/>
          <w:lang w:val="en-US"/>
        </w:rPr>
        <w:t xml:space="preserve">In May 2022, SEC proposed </w:t>
      </w:r>
      <w:r w:rsidR="005540C3">
        <w:rPr>
          <w:rFonts w:ascii="Garamond" w:eastAsia="Calibri" w:hAnsi="Garamond" w:cs="Vrinda"/>
          <w:lang w:val="en-US"/>
        </w:rPr>
        <w:t>the following:</w:t>
      </w:r>
    </w:p>
    <w:p w:rsidR="00E97406" w:rsidRPr="00E97406" w:rsidRDefault="001F31C2" w:rsidP="0013643D">
      <w:pPr>
        <w:pStyle w:val="ListParagraph"/>
        <w:numPr>
          <w:ilvl w:val="0"/>
          <w:numId w:val="18"/>
        </w:numPr>
        <w:jc w:val="both"/>
        <w:rPr>
          <w:rFonts w:ascii="Garamond" w:hAnsi="Garamond" w:cs="Vrinda"/>
          <w:sz w:val="24"/>
          <w:szCs w:val="24"/>
        </w:rPr>
      </w:pPr>
      <w:r w:rsidRPr="00E97406">
        <w:rPr>
          <w:rFonts w:ascii="Garamond" w:hAnsi="Garamond" w:cs="Vrinda"/>
          <w:sz w:val="24"/>
          <w:szCs w:val="24"/>
        </w:rPr>
        <w:t>“Names Rule”</w:t>
      </w:r>
      <w:r w:rsidR="005540C3" w:rsidRPr="00E97406">
        <w:rPr>
          <w:rFonts w:ascii="Garamond" w:hAnsi="Garamond" w:cs="Vrinda"/>
          <w:sz w:val="24"/>
          <w:szCs w:val="24"/>
        </w:rPr>
        <w:t xml:space="preserve"> </w:t>
      </w:r>
      <w:r w:rsidR="0013643D" w:rsidRPr="00E97406">
        <w:rPr>
          <w:rFonts w:ascii="Garamond" w:hAnsi="Garamond" w:cs="Vrinda"/>
          <w:sz w:val="24"/>
          <w:szCs w:val="24"/>
        </w:rPr>
        <w:t>to</w:t>
      </w:r>
      <w:r w:rsidRPr="00E97406">
        <w:rPr>
          <w:rFonts w:ascii="Garamond" w:hAnsi="Garamond" w:cs="Vrinda"/>
          <w:sz w:val="24"/>
          <w:szCs w:val="24"/>
        </w:rPr>
        <w:t xml:space="preserve"> address changes in the fund industry and compliance practices. The new </w:t>
      </w:r>
      <w:r w:rsidR="005540C3" w:rsidRPr="00E97406">
        <w:rPr>
          <w:rFonts w:ascii="Garamond" w:hAnsi="Garamond" w:cs="Vrinda"/>
          <w:sz w:val="24"/>
          <w:szCs w:val="24"/>
        </w:rPr>
        <w:t>r</w:t>
      </w:r>
      <w:r w:rsidRPr="00E97406">
        <w:rPr>
          <w:rFonts w:ascii="Garamond" w:hAnsi="Garamond" w:cs="Vrinda"/>
          <w:sz w:val="24"/>
          <w:szCs w:val="24"/>
        </w:rPr>
        <w:t xml:space="preserve">ule addresses fund names that are likely to mislead investors about a fund’s investments and risks. The proposed amendments would enhance compliance with the “80 per cent investment policy”, which requires that an investment company whose name suggests focus on particular type of investment should invest at least 80 per cent of the value of their assets in those investments. </w:t>
      </w:r>
    </w:p>
    <w:p w:rsidR="0013643D" w:rsidRPr="00E97406" w:rsidRDefault="005540C3" w:rsidP="0013643D">
      <w:pPr>
        <w:pStyle w:val="ListParagraph"/>
        <w:numPr>
          <w:ilvl w:val="0"/>
          <w:numId w:val="18"/>
        </w:numPr>
        <w:jc w:val="both"/>
        <w:rPr>
          <w:rFonts w:ascii="Garamond" w:hAnsi="Garamond" w:cs="Vrinda"/>
          <w:sz w:val="24"/>
          <w:szCs w:val="24"/>
        </w:rPr>
      </w:pPr>
      <w:r w:rsidRPr="00E97406">
        <w:rPr>
          <w:rFonts w:ascii="Garamond" w:hAnsi="Garamond" w:cs="Vrinda"/>
          <w:sz w:val="24"/>
          <w:szCs w:val="24"/>
        </w:rPr>
        <w:t>Amendments to rules and reporting forms to promote consistent, comparable, and reliable information for investors concerning funds’ and advisers’ incorporation of environmental, social, and governance (ESG) factors. The proposed changes would apply to certain registered investment advisers, advisers exempt from registration, registered investment companies, and business development companies.</w:t>
      </w:r>
      <w:r w:rsidRPr="00E97406" w:rsidDel="005540C3">
        <w:rPr>
          <w:rFonts w:ascii="Garamond" w:hAnsi="Garamond" w:cs="Vrinda"/>
          <w:sz w:val="24"/>
          <w:szCs w:val="24"/>
        </w:rPr>
        <w:t xml:space="preserve"> </w:t>
      </w:r>
    </w:p>
    <w:p w:rsidR="001F31C2" w:rsidRPr="00D42F8D" w:rsidRDefault="001F31C2" w:rsidP="0013643D">
      <w:pPr>
        <w:jc w:val="both"/>
        <w:rPr>
          <w:rFonts w:ascii="Garamond" w:eastAsia="Calibri" w:hAnsi="Garamond" w:cs="Vrinda"/>
        </w:rPr>
      </w:pPr>
    </w:p>
    <w:p w:rsidR="001F31C2" w:rsidRPr="00F35D61" w:rsidRDefault="001F31C2" w:rsidP="001F31C2">
      <w:pPr>
        <w:numPr>
          <w:ilvl w:val="3"/>
          <w:numId w:val="21"/>
        </w:numPr>
        <w:ind w:left="360"/>
        <w:contextualSpacing/>
        <w:jc w:val="both"/>
        <w:rPr>
          <w:rFonts w:ascii="Garamond" w:eastAsia="Calibri" w:hAnsi="Garamond" w:cs="Vrinda"/>
          <w:b/>
          <w:bCs/>
          <w:lang w:val="en-US"/>
        </w:rPr>
      </w:pPr>
      <w:r w:rsidRPr="00F35D61">
        <w:rPr>
          <w:rFonts w:ascii="Garamond" w:eastAsia="Calibri" w:hAnsi="Garamond" w:cs="Vrinda"/>
          <w:b/>
          <w:bCs/>
          <w:lang w:val="en-US"/>
        </w:rPr>
        <w:t>FCA, UK</w:t>
      </w:r>
    </w:p>
    <w:p w:rsidR="001F31C2" w:rsidRPr="00F35D61" w:rsidRDefault="001F31C2" w:rsidP="001F31C2">
      <w:pPr>
        <w:ind w:left="360"/>
        <w:contextualSpacing/>
        <w:jc w:val="both"/>
        <w:rPr>
          <w:rFonts w:ascii="Garamond" w:eastAsia="Calibri" w:hAnsi="Garamond" w:cs="Vrinda"/>
          <w:b/>
          <w:bCs/>
          <w:lang w:val="en-US"/>
        </w:rPr>
      </w:pPr>
    </w:p>
    <w:p w:rsidR="001F31C2" w:rsidRPr="00F35D61" w:rsidRDefault="001F31C2" w:rsidP="001F31C2">
      <w:pPr>
        <w:jc w:val="both"/>
        <w:rPr>
          <w:rFonts w:ascii="Garamond" w:eastAsia="Calibri" w:hAnsi="Garamond" w:cs="Vrinda"/>
        </w:rPr>
      </w:pPr>
      <w:r w:rsidRPr="00F35D61">
        <w:rPr>
          <w:rFonts w:ascii="Garamond" w:eastAsia="Calibri" w:hAnsi="Garamond" w:cs="Vrinda"/>
        </w:rPr>
        <w:t xml:space="preserve">In May 2022, UK FCA took a step forward in their ambitious vision for for potential reform to the way companies list in the UK that aims to attract more high quality, growth companies and give investors greater opportunities. </w:t>
      </w:r>
    </w:p>
    <w:p w:rsidR="001F31C2" w:rsidRDefault="001F31C2" w:rsidP="001F31C2">
      <w:pPr>
        <w:jc w:val="both"/>
        <w:rPr>
          <w:rFonts w:ascii="Garamond" w:eastAsia="Calibri" w:hAnsi="Garamond" w:cs="Vrinda"/>
        </w:rPr>
      </w:pPr>
    </w:p>
    <w:p w:rsidR="001F31C2" w:rsidRPr="00F35D61" w:rsidRDefault="001F31C2" w:rsidP="001F31C2">
      <w:pPr>
        <w:jc w:val="both"/>
        <w:rPr>
          <w:rFonts w:ascii="Garamond" w:eastAsia="Calibri" w:hAnsi="Garamond" w:cs="Vrinda"/>
        </w:rPr>
      </w:pPr>
      <w:r w:rsidRPr="00F35D61">
        <w:rPr>
          <w:rFonts w:ascii="Garamond" w:eastAsia="Calibri" w:hAnsi="Garamond" w:cs="Vrinda"/>
        </w:rPr>
        <w:t xml:space="preserve">Under one of the FCA’s suggestions, companies wishing to list in the UK would no longer have to choose between two different segments (i.e. standard listing segment and premium listing segment) with different branding and standards. </w:t>
      </w:r>
    </w:p>
    <w:p w:rsidR="001F31C2" w:rsidRDefault="001F31C2" w:rsidP="001F31C2">
      <w:pPr>
        <w:jc w:val="both"/>
        <w:rPr>
          <w:rFonts w:ascii="Garamond" w:eastAsia="Calibri" w:hAnsi="Garamond" w:cs="Vrinda"/>
        </w:rPr>
      </w:pPr>
    </w:p>
    <w:p w:rsidR="001F31C2" w:rsidRPr="00F35D61" w:rsidRDefault="001F31C2" w:rsidP="001F31C2">
      <w:pPr>
        <w:jc w:val="both"/>
        <w:rPr>
          <w:rFonts w:ascii="Garamond" w:eastAsia="Calibri" w:hAnsi="Garamond" w:cs="Vrinda"/>
        </w:rPr>
      </w:pPr>
      <w:r w:rsidRPr="00F35D61">
        <w:rPr>
          <w:rFonts w:ascii="Garamond" w:eastAsia="Calibri" w:hAnsi="Garamond" w:cs="Vrinda"/>
        </w:rPr>
        <w:t>Instead, all listed companies would need to meet one set of criteria and could then choose to opt into a further set of obligations. These would be focussed on enhancing shareholder engagement and be overseen by the FCA.</w:t>
      </w:r>
    </w:p>
    <w:p w:rsidR="001F31C2" w:rsidRDefault="001F31C2" w:rsidP="001F31C2">
      <w:pPr>
        <w:jc w:val="both"/>
        <w:rPr>
          <w:rFonts w:ascii="Garamond" w:eastAsia="Calibri" w:hAnsi="Garamond" w:cs="Vrinda"/>
        </w:rPr>
      </w:pPr>
    </w:p>
    <w:p w:rsidR="001F31C2" w:rsidRPr="00F35D61" w:rsidRDefault="001F31C2" w:rsidP="001F31C2">
      <w:pPr>
        <w:jc w:val="both"/>
        <w:rPr>
          <w:rFonts w:ascii="Garamond" w:eastAsia="Calibri" w:hAnsi="Garamond" w:cs="Vrinda"/>
        </w:rPr>
      </w:pPr>
      <w:r w:rsidRPr="00F35D61">
        <w:rPr>
          <w:rFonts w:ascii="Garamond" w:eastAsia="Calibri" w:hAnsi="Garamond" w:cs="Vrinda"/>
        </w:rPr>
        <w:t>The above subject of segmentation in the structure was also part of the larger discussion on the primary markets effectiveness review.</w:t>
      </w:r>
    </w:p>
    <w:p w:rsidR="001F31C2" w:rsidRPr="00F35D61" w:rsidRDefault="001F31C2" w:rsidP="001F31C2">
      <w:pPr>
        <w:jc w:val="both"/>
        <w:rPr>
          <w:rFonts w:ascii="Garamond" w:eastAsia="Calibri" w:hAnsi="Garamond" w:cs="Vrinda"/>
          <w:lang w:val="en-US"/>
        </w:rPr>
      </w:pPr>
    </w:p>
    <w:p w:rsidR="001F31C2" w:rsidRPr="00F35D61" w:rsidRDefault="001F31C2" w:rsidP="001F31C2">
      <w:pPr>
        <w:jc w:val="both"/>
        <w:rPr>
          <w:rFonts w:ascii="Garamond" w:eastAsia="Calibri" w:hAnsi="Garamond" w:cs="Vrinda"/>
          <w:lang w:val="en-US"/>
        </w:rPr>
      </w:pPr>
    </w:p>
    <w:p w:rsidR="001F31C2" w:rsidRPr="00F35D61" w:rsidRDefault="001F31C2" w:rsidP="001F31C2">
      <w:pPr>
        <w:jc w:val="both"/>
        <w:rPr>
          <w:rFonts w:ascii="Palatino Linotype" w:eastAsia="Calibri" w:hAnsi="Palatino Linotype"/>
          <w:b/>
          <w:bCs/>
          <w:lang w:val="en-US"/>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461079" w:rsidRDefault="00461079" w:rsidP="00013BA3">
      <w:pPr>
        <w:jc w:val="both"/>
        <w:rPr>
          <w:rFonts w:ascii="Palatino Linotype" w:hAnsi="Palatino Linotype"/>
          <w:b/>
          <w:bCs/>
          <w:lang w:val="en-US" w:bidi="hi-IN"/>
        </w:rPr>
      </w:pPr>
    </w:p>
    <w:p w:rsidR="00940001" w:rsidRDefault="00940001" w:rsidP="001D1888">
      <w:pPr>
        <w:rPr>
          <w:rFonts w:ascii="Palatino Linotype" w:hAnsi="Palatino Linotype"/>
          <w:b/>
          <w:bCs/>
          <w:lang w:val="en-US" w:bidi="hi-IN"/>
        </w:rPr>
      </w:pPr>
    </w:p>
    <w:p w:rsidR="003B6ECB" w:rsidRDefault="003B6ECB" w:rsidP="001D1888">
      <w:pPr>
        <w:rPr>
          <w:rFonts w:ascii="Palatino Linotype" w:hAnsi="Palatino Linotype" w:cs="Calibri"/>
          <w:b/>
          <w:sz w:val="28"/>
          <w:szCs w:val="28"/>
        </w:rPr>
      </w:pPr>
    </w:p>
    <w:p w:rsidR="005969E2" w:rsidRDefault="005969E2" w:rsidP="001D1888">
      <w:pPr>
        <w:rPr>
          <w:rFonts w:ascii="Palatino Linotype" w:hAnsi="Palatino Linotype" w:cs="Calibri"/>
          <w:b/>
          <w:sz w:val="28"/>
          <w:szCs w:val="28"/>
        </w:rPr>
      </w:pPr>
    </w:p>
    <w:p w:rsidR="005969E2" w:rsidRDefault="005969E2" w:rsidP="001D1888">
      <w:pPr>
        <w:rPr>
          <w:rFonts w:ascii="Palatino Linotype" w:hAnsi="Palatino Linotype" w:cs="Calibri"/>
          <w:b/>
          <w:sz w:val="28"/>
          <w:szCs w:val="28"/>
        </w:rPr>
      </w:pPr>
    </w:p>
    <w:p w:rsidR="005969E2" w:rsidRDefault="005969E2" w:rsidP="001D1888">
      <w:pPr>
        <w:rPr>
          <w:rFonts w:ascii="Palatino Linotype" w:hAnsi="Palatino Linotype" w:cs="Calibri"/>
          <w:b/>
          <w:sz w:val="28"/>
          <w:szCs w:val="28"/>
        </w:rPr>
      </w:pPr>
    </w:p>
    <w:p w:rsidR="00B03F79" w:rsidRDefault="00B03F79" w:rsidP="00623B25">
      <w:pPr>
        <w:jc w:val="center"/>
        <w:rPr>
          <w:rFonts w:ascii="Garamond" w:hAnsi="Garamond" w:cs="Calibri"/>
          <w:b/>
          <w:color w:val="1F4E79" w:themeColor="accent1" w:themeShade="80"/>
          <w:sz w:val="28"/>
          <w:szCs w:val="28"/>
        </w:rPr>
      </w:pPr>
    </w:p>
    <w:p w:rsidR="00B5431D" w:rsidRDefault="00272724" w:rsidP="00623B25">
      <w:pPr>
        <w:jc w:val="center"/>
        <w:rPr>
          <w:rFonts w:ascii="Garamond" w:hAnsi="Garamond" w:cs="Calibri"/>
          <w:b/>
          <w:color w:val="1F4E79" w:themeColor="accent1" w:themeShade="80"/>
          <w:sz w:val="28"/>
          <w:szCs w:val="28"/>
        </w:rPr>
      </w:pPr>
      <w:r w:rsidRPr="00C4512E">
        <w:rPr>
          <w:rFonts w:ascii="Garamond" w:hAnsi="Garamond" w:cs="Calibri"/>
          <w:b/>
          <w:color w:val="1F4E79" w:themeColor="accent1" w:themeShade="80"/>
          <w:sz w:val="28"/>
          <w:szCs w:val="28"/>
        </w:rPr>
        <w:t xml:space="preserve">POLICY DEVELOPMENTS </w:t>
      </w:r>
      <w:r w:rsidR="00B522A6" w:rsidRPr="00C4512E">
        <w:rPr>
          <w:rFonts w:ascii="Garamond" w:hAnsi="Garamond" w:cs="Calibri"/>
          <w:b/>
          <w:color w:val="1F4E79" w:themeColor="accent1" w:themeShade="80"/>
          <w:sz w:val="28"/>
          <w:szCs w:val="28"/>
        </w:rPr>
        <w:t>IN INDIAN SECURITIES MARKET</w:t>
      </w:r>
    </w:p>
    <w:p w:rsidR="00260E65" w:rsidRDefault="00260E65" w:rsidP="00623B25">
      <w:pPr>
        <w:jc w:val="center"/>
        <w:rPr>
          <w:rFonts w:ascii="Garamond" w:hAnsi="Garamond" w:cs="Calibri"/>
          <w:b/>
          <w:color w:val="1F4E79" w:themeColor="accent1" w:themeShade="80"/>
          <w:sz w:val="28"/>
          <w:szCs w:val="28"/>
        </w:rPr>
      </w:pPr>
    </w:p>
    <w:p w:rsidR="00D35A3B" w:rsidRDefault="00D35A3B" w:rsidP="003D24AF">
      <w:pPr>
        <w:jc w:val="both"/>
        <w:rPr>
          <w:rFonts w:ascii="Garamond" w:hAnsi="Garamond"/>
          <w:b/>
          <w:bCs/>
        </w:rPr>
      </w:pPr>
    </w:p>
    <w:p w:rsidR="002E59F7" w:rsidRPr="00170953" w:rsidRDefault="002E59F7" w:rsidP="002E59F7">
      <w:pPr>
        <w:numPr>
          <w:ilvl w:val="0"/>
          <w:numId w:val="25"/>
        </w:numPr>
        <w:spacing w:after="160" w:line="259" w:lineRule="auto"/>
        <w:jc w:val="both"/>
        <w:rPr>
          <w:rFonts w:ascii="Garamond" w:eastAsia="Calibri" w:hAnsi="Garamond" w:cs="Mangal"/>
          <w:b/>
          <w:bCs/>
          <w:lang w:val="en-US" w:bidi="hi-IN"/>
        </w:rPr>
      </w:pPr>
      <w:r w:rsidRPr="00170953">
        <w:rPr>
          <w:rFonts w:ascii="Garamond" w:eastAsia="Calibri" w:hAnsi="Garamond" w:cs="Mangal"/>
          <w:b/>
          <w:bCs/>
          <w:lang w:val="en-US" w:bidi="hi-IN"/>
        </w:rPr>
        <w:t>System and Network Audit of Market Infrastructure Institutions (MIIs)</w:t>
      </w:r>
    </w:p>
    <w:p w:rsidR="002E59F7" w:rsidRDefault="002E59F7" w:rsidP="002E59F7">
      <w:pPr>
        <w:spacing w:after="160" w:line="259" w:lineRule="auto"/>
        <w:ind w:left="928"/>
        <w:jc w:val="both"/>
        <w:rPr>
          <w:rFonts w:ascii="Garamond" w:eastAsia="Calibri" w:hAnsi="Garamond" w:cs="Mangal"/>
          <w:lang w:val="en-IN" w:bidi="hi-IN"/>
        </w:rPr>
      </w:pPr>
      <w:r w:rsidRPr="00170953">
        <w:rPr>
          <w:rFonts w:ascii="Garamond" w:eastAsia="Calibri" w:hAnsi="Garamond" w:cs="Mangal"/>
          <w:lang w:val="en-US" w:bidi="hi-IN"/>
        </w:rPr>
        <w:t xml:space="preserve">Based on discussions with MIIs and recommendations of Technical Advisory Committee of SEBI, the existing </w:t>
      </w:r>
      <w:r w:rsidR="0013643D" w:rsidRPr="00170953">
        <w:rPr>
          <w:rFonts w:ascii="Garamond" w:eastAsia="Calibri" w:hAnsi="Garamond" w:cs="Mangal"/>
          <w:lang w:val="en-US" w:bidi="hi-IN"/>
        </w:rPr>
        <w:t xml:space="preserve">system audit framework </w:t>
      </w:r>
      <w:r w:rsidRPr="00170953">
        <w:rPr>
          <w:rFonts w:ascii="Garamond" w:eastAsia="Calibri" w:hAnsi="Garamond" w:cs="Mangal"/>
          <w:lang w:val="en-US" w:bidi="hi-IN"/>
        </w:rPr>
        <w:t xml:space="preserve">has been reviewed. MIIs are now required to(a) conduct </w:t>
      </w:r>
      <w:r w:rsidR="0013643D" w:rsidRPr="00170953">
        <w:rPr>
          <w:rFonts w:ascii="Garamond" w:eastAsia="Calibri" w:hAnsi="Garamond" w:cs="Mangal"/>
          <w:lang w:val="en-US" w:bidi="hi-IN"/>
        </w:rPr>
        <w:t xml:space="preserve">system and network audit </w:t>
      </w:r>
      <w:r w:rsidRPr="00170953">
        <w:rPr>
          <w:rFonts w:ascii="Garamond" w:eastAsia="Calibri" w:hAnsi="Garamond" w:cs="Mangal"/>
          <w:lang w:val="en-US" w:bidi="hi-IN"/>
        </w:rPr>
        <w:t xml:space="preserve">as per the new framework, (b) maintain a list of all the relevant SEBI circulars/ directions/ advices, etc.  pertaining to technology and compliance and (c) submit information with regard to exceptional major </w:t>
      </w:r>
      <w:r w:rsidR="0013643D" w:rsidRPr="00170953">
        <w:rPr>
          <w:rFonts w:ascii="Garamond" w:eastAsia="Calibri" w:hAnsi="Garamond" w:cs="Mangal"/>
          <w:lang w:val="en-US" w:bidi="hi-IN"/>
        </w:rPr>
        <w:t xml:space="preserve">non-compliances </w:t>
      </w:r>
      <w:r w:rsidRPr="00170953">
        <w:rPr>
          <w:rFonts w:ascii="Garamond" w:eastAsia="Calibri" w:hAnsi="Garamond" w:cs="Mangal"/>
          <w:lang w:val="en-US" w:bidi="hi-IN"/>
        </w:rPr>
        <w:t xml:space="preserve">(NCs)/ minor NCs observed </w:t>
      </w:r>
      <w:r w:rsidRPr="00170953">
        <w:rPr>
          <w:rFonts w:ascii="Garamond" w:eastAsia="Calibri" w:hAnsi="Garamond" w:cs="Mangal"/>
          <w:lang w:val="en-IN" w:bidi="hi-IN"/>
        </w:rPr>
        <w:t xml:space="preserve">in the </w:t>
      </w:r>
      <w:r w:rsidR="0013643D" w:rsidRPr="00170953">
        <w:rPr>
          <w:rFonts w:ascii="Garamond" w:eastAsia="Calibri" w:hAnsi="Garamond" w:cs="Mangal"/>
          <w:lang w:val="en-IN" w:bidi="hi-IN"/>
        </w:rPr>
        <w:t>system and network audit</w:t>
      </w:r>
      <w:r w:rsidRPr="00170953">
        <w:rPr>
          <w:rFonts w:ascii="Garamond" w:eastAsia="Calibri" w:hAnsi="Garamond" w:cs="Mangal"/>
          <w:lang w:val="en-IN" w:bidi="hi-IN"/>
        </w:rPr>
        <w:t>.</w:t>
      </w:r>
    </w:p>
    <w:p w:rsidR="002E59F7" w:rsidRPr="00170953" w:rsidRDefault="002E59F7" w:rsidP="002E59F7">
      <w:pPr>
        <w:spacing w:after="160" w:line="259" w:lineRule="auto"/>
        <w:ind w:left="208" w:firstLine="720"/>
        <w:jc w:val="both"/>
        <w:rPr>
          <w:rFonts w:ascii="Garamond" w:eastAsia="Calibri" w:hAnsi="Garamond" w:cs="Mangal"/>
          <w:i/>
          <w:iCs/>
          <w:lang w:val="en-US" w:bidi="hi-IN"/>
        </w:rPr>
      </w:pPr>
      <w:r w:rsidRPr="00170953">
        <w:rPr>
          <w:rFonts w:ascii="Garamond" w:eastAsia="Calibri" w:hAnsi="Garamond" w:cs="Mangal"/>
          <w:i/>
          <w:iCs/>
          <w:lang w:val="en-IN" w:bidi="hi-IN"/>
        </w:rPr>
        <w:t xml:space="preserve">SEBI/HO/MRD1/MRD1_DTCS/P/CIR/2022/58 </w:t>
      </w:r>
      <w:r w:rsidRPr="00170953">
        <w:rPr>
          <w:rFonts w:ascii="Garamond" w:eastAsia="Calibri" w:hAnsi="Garamond" w:cs="Mangal"/>
          <w:i/>
          <w:iCs/>
          <w:lang w:val="en-US" w:bidi="hi-IN"/>
        </w:rPr>
        <w:t>dated May 02, 2022.</w:t>
      </w:r>
    </w:p>
    <w:p w:rsidR="0013643D" w:rsidRPr="00D42F8D" w:rsidRDefault="0013643D" w:rsidP="00D42F8D">
      <w:pPr>
        <w:pStyle w:val="ListParagraph"/>
        <w:numPr>
          <w:ilvl w:val="0"/>
          <w:numId w:val="25"/>
        </w:numPr>
        <w:spacing w:after="160" w:line="259" w:lineRule="auto"/>
        <w:jc w:val="both"/>
        <w:rPr>
          <w:rFonts w:ascii="Garamond" w:hAnsi="Garamond"/>
          <w:b/>
          <w:bCs/>
          <w:sz w:val="24"/>
          <w:szCs w:val="24"/>
        </w:rPr>
      </w:pPr>
      <w:r w:rsidRPr="00D42F8D">
        <w:rPr>
          <w:rFonts w:ascii="Garamond" w:hAnsi="Garamond"/>
          <w:b/>
          <w:bCs/>
          <w:sz w:val="24"/>
          <w:szCs w:val="24"/>
        </w:rPr>
        <w:t>Changes to the Framework to Enable Verification of Upfront Collection of Margins from Clients in Cash and Derivatives segments</w:t>
      </w:r>
    </w:p>
    <w:p w:rsidR="007E112B" w:rsidRPr="00D42F8D" w:rsidRDefault="007E112B" w:rsidP="00D42F8D">
      <w:pPr>
        <w:pStyle w:val="ListParagraph"/>
        <w:shd w:val="clear" w:color="auto" w:fill="FFFFFF"/>
        <w:ind w:left="928"/>
        <w:rPr>
          <w:rFonts w:ascii="Garamond" w:eastAsiaTheme="minorHAnsi" w:hAnsi="Garamond"/>
          <w:sz w:val="24"/>
          <w:szCs w:val="24"/>
        </w:rPr>
      </w:pPr>
      <w:r w:rsidRPr="00D42F8D">
        <w:rPr>
          <w:rFonts w:ascii="Garamond" w:eastAsiaTheme="minorHAnsi" w:hAnsi="Garamond"/>
          <w:sz w:val="24"/>
          <w:szCs w:val="24"/>
        </w:rPr>
        <w:t>It has been decided that the margin requirements to be considered for the intra-day snapshots, in derivatives segments (including commodity derivatives), shall be calculated based on the fixed Beginning of Day (BOD) margin parameters. This would be applicable for the purpose of verification of upfront collection of margins from clients. The margin parameters applicable for collection of margin obligation by Clearing Corporations shall continue to be updated intra-day, as per the extant provisions.</w:t>
      </w:r>
    </w:p>
    <w:p w:rsidR="0013643D" w:rsidRPr="00D42F8D" w:rsidRDefault="0013643D" w:rsidP="00D42F8D">
      <w:pPr>
        <w:pStyle w:val="ListParagraph"/>
        <w:spacing w:after="160" w:line="259" w:lineRule="auto"/>
        <w:ind w:left="928"/>
        <w:jc w:val="both"/>
        <w:rPr>
          <w:rFonts w:ascii="Garamond" w:hAnsi="Garamond"/>
          <w:sz w:val="24"/>
          <w:szCs w:val="24"/>
        </w:rPr>
      </w:pPr>
    </w:p>
    <w:p w:rsidR="002E59F7" w:rsidRPr="00170953" w:rsidRDefault="002E59F7" w:rsidP="002E59F7">
      <w:pPr>
        <w:pStyle w:val="ListParagraph"/>
        <w:numPr>
          <w:ilvl w:val="0"/>
          <w:numId w:val="25"/>
        </w:numPr>
        <w:spacing w:after="160" w:line="259" w:lineRule="auto"/>
        <w:jc w:val="both"/>
        <w:rPr>
          <w:rFonts w:ascii="Garamond" w:hAnsi="Garamond"/>
          <w:sz w:val="24"/>
          <w:szCs w:val="24"/>
        </w:rPr>
      </w:pPr>
      <w:r w:rsidRPr="00170953">
        <w:rPr>
          <w:rFonts w:ascii="Garamond" w:hAnsi="Garamond"/>
          <w:b/>
          <w:bCs/>
          <w:sz w:val="24"/>
          <w:szCs w:val="24"/>
        </w:rPr>
        <w:t>Relaxation from compliance with certain provisions of the SEBI (Listing Obligations and Disclosure Requirements) Regulations, 2015</w:t>
      </w:r>
    </w:p>
    <w:p w:rsidR="002E59F7" w:rsidRDefault="002E59F7" w:rsidP="002E59F7">
      <w:pPr>
        <w:ind w:left="928"/>
        <w:jc w:val="both"/>
        <w:rPr>
          <w:rFonts w:ascii="Garamond" w:hAnsi="Garamond"/>
          <w:lang w:val="en-US"/>
        </w:rPr>
      </w:pPr>
      <w:r>
        <w:rPr>
          <w:rFonts w:ascii="Garamond" w:hAnsi="Garamond"/>
          <w:lang w:val="en-US"/>
        </w:rPr>
        <w:t>I</w:t>
      </w:r>
      <w:r w:rsidRPr="00AD6FD3">
        <w:rPr>
          <w:rFonts w:ascii="Garamond" w:hAnsi="Garamond"/>
          <w:lang w:val="en-US"/>
        </w:rPr>
        <w:t>t  has  been  decided  to provide  relaxation</w:t>
      </w:r>
      <w:r>
        <w:rPr>
          <w:rFonts w:ascii="Garamond" w:hAnsi="Garamond"/>
          <w:lang w:val="en-US"/>
        </w:rPr>
        <w:t xml:space="preserve"> </w:t>
      </w:r>
      <w:r w:rsidRPr="00AD6FD3">
        <w:rPr>
          <w:rFonts w:ascii="Garamond" w:hAnsi="Garamond"/>
          <w:lang w:val="en-US"/>
        </w:rPr>
        <w:t>up</w:t>
      </w:r>
      <w:r>
        <w:rPr>
          <w:rFonts w:ascii="Garamond" w:hAnsi="Garamond"/>
          <w:lang w:val="en-US"/>
        </w:rPr>
        <w:t xml:space="preserve"> to </w:t>
      </w:r>
      <w:r w:rsidRPr="00AD6FD3">
        <w:rPr>
          <w:rFonts w:ascii="Garamond" w:hAnsi="Garamond"/>
          <w:lang w:val="en-US"/>
        </w:rPr>
        <w:t xml:space="preserve">December  31,  </w:t>
      </w:r>
      <w:r>
        <w:rPr>
          <w:rFonts w:ascii="Garamond" w:hAnsi="Garamond"/>
          <w:lang w:val="en-US"/>
        </w:rPr>
        <w:t xml:space="preserve">2022, from Regulation 36(1)(b)  of LODR Regulations, 2015 </w:t>
      </w:r>
      <w:r w:rsidRPr="00AD6FD3">
        <w:rPr>
          <w:rFonts w:ascii="Garamond" w:hAnsi="Garamond"/>
          <w:lang w:val="en-US"/>
        </w:rPr>
        <w:t>which requires sending</w:t>
      </w:r>
      <w:r>
        <w:rPr>
          <w:rFonts w:ascii="Garamond" w:hAnsi="Garamond"/>
          <w:lang w:val="en-US"/>
        </w:rPr>
        <w:t xml:space="preserve"> hard copy of annual report </w:t>
      </w:r>
      <w:r w:rsidRPr="00AD6FD3">
        <w:rPr>
          <w:rFonts w:ascii="Garamond" w:hAnsi="Garamond"/>
          <w:lang w:val="en-US"/>
        </w:rPr>
        <w:t>containing salient features of all the documents prescribed in Section 136 of the Companies Act,  2013 to  the  shareholders  who  have  not  registered  their  email  addresses.</w:t>
      </w:r>
    </w:p>
    <w:p w:rsidR="002E59F7" w:rsidRDefault="002E59F7" w:rsidP="002E59F7">
      <w:pPr>
        <w:ind w:left="928"/>
        <w:jc w:val="both"/>
        <w:rPr>
          <w:rFonts w:ascii="Garamond" w:hAnsi="Garamond"/>
          <w:lang w:val="en-US"/>
        </w:rPr>
      </w:pPr>
    </w:p>
    <w:p w:rsidR="002E59F7" w:rsidRDefault="002E59F7" w:rsidP="002E59F7">
      <w:pPr>
        <w:ind w:left="208" w:firstLine="720"/>
        <w:jc w:val="both"/>
        <w:rPr>
          <w:rFonts w:ascii="Garamond" w:hAnsi="Garamond"/>
          <w:i/>
          <w:iCs/>
          <w:lang w:val="en-US"/>
        </w:rPr>
      </w:pPr>
      <w:r>
        <w:rPr>
          <w:rFonts w:ascii="Garamond" w:hAnsi="Garamond"/>
          <w:i/>
          <w:iCs/>
          <w:lang w:val="en-US"/>
        </w:rPr>
        <w:t xml:space="preserve">Source: </w:t>
      </w:r>
      <w:r w:rsidRPr="00527141">
        <w:rPr>
          <w:rFonts w:ascii="Garamond" w:hAnsi="Garamond"/>
          <w:i/>
          <w:iCs/>
          <w:lang w:val="en-US"/>
        </w:rPr>
        <w:t>SEBI/HO/CFD/CMD2/CIR/P/2022/62</w:t>
      </w:r>
      <w:r>
        <w:rPr>
          <w:rFonts w:ascii="Garamond" w:hAnsi="Garamond"/>
          <w:i/>
          <w:iCs/>
          <w:lang w:val="en-US"/>
        </w:rPr>
        <w:t xml:space="preserve"> dated May 13, 2022.</w:t>
      </w:r>
    </w:p>
    <w:p w:rsidR="002E59F7" w:rsidRDefault="002E59F7" w:rsidP="002E59F7">
      <w:pPr>
        <w:jc w:val="both"/>
        <w:rPr>
          <w:rFonts w:ascii="Garamond" w:hAnsi="Garamond"/>
          <w:i/>
          <w:iCs/>
          <w:lang w:val="en-US"/>
        </w:rPr>
      </w:pPr>
    </w:p>
    <w:p w:rsidR="002E59F7" w:rsidRDefault="002E59F7" w:rsidP="002E59F7">
      <w:pPr>
        <w:pStyle w:val="ListParagraph"/>
        <w:numPr>
          <w:ilvl w:val="0"/>
          <w:numId w:val="25"/>
        </w:numPr>
        <w:jc w:val="both"/>
        <w:rPr>
          <w:rFonts w:ascii="Garamond" w:hAnsi="Garamond" w:cs="Mangal"/>
          <w:b/>
          <w:bCs/>
          <w:sz w:val="24"/>
          <w:szCs w:val="24"/>
          <w:lang w:val="en-IN" w:bidi="hi-IN"/>
        </w:rPr>
      </w:pPr>
      <w:r w:rsidRPr="00170953">
        <w:rPr>
          <w:rFonts w:ascii="Garamond" w:hAnsi="Garamond" w:cs="Mangal"/>
          <w:b/>
          <w:bCs/>
          <w:sz w:val="24"/>
          <w:szCs w:val="24"/>
          <w:lang w:val="en-IN" w:bidi="hi-IN"/>
        </w:rPr>
        <w:t xml:space="preserve">Relaxation from compliance with certain provisions of the SEBI (Listing Obligations and Disclosure Requirements) Regulations, 2015 – for entities with listed non-convertible </w:t>
      </w:r>
    </w:p>
    <w:p w:rsidR="002E59F7" w:rsidRDefault="002E59F7" w:rsidP="002E59F7">
      <w:pPr>
        <w:pStyle w:val="ListParagraph"/>
        <w:ind w:firstLine="208"/>
        <w:jc w:val="both"/>
        <w:rPr>
          <w:rFonts w:ascii="Garamond" w:hAnsi="Garamond" w:cs="Mangal"/>
          <w:b/>
          <w:bCs/>
          <w:sz w:val="24"/>
          <w:szCs w:val="24"/>
          <w:lang w:val="en-IN" w:bidi="hi-IN"/>
        </w:rPr>
      </w:pPr>
      <w:r w:rsidRPr="00170953">
        <w:rPr>
          <w:rFonts w:ascii="Garamond" w:hAnsi="Garamond" w:cs="Mangal"/>
          <w:b/>
          <w:bCs/>
          <w:sz w:val="24"/>
          <w:szCs w:val="24"/>
          <w:lang w:val="en-IN" w:bidi="hi-IN"/>
        </w:rPr>
        <w:t>Securities</w:t>
      </w:r>
    </w:p>
    <w:p w:rsidR="002E59F7" w:rsidRDefault="002E59F7" w:rsidP="002E59F7">
      <w:pPr>
        <w:ind w:left="928"/>
        <w:jc w:val="both"/>
        <w:rPr>
          <w:rFonts w:ascii="Garamond" w:hAnsi="Garamond"/>
          <w:lang w:val="en-US"/>
        </w:rPr>
      </w:pPr>
      <w:r>
        <w:rPr>
          <w:rFonts w:ascii="Garamond" w:hAnsi="Garamond"/>
          <w:lang w:val="en-US"/>
        </w:rPr>
        <w:t>I</w:t>
      </w:r>
      <w:r w:rsidRPr="007D69A9">
        <w:rPr>
          <w:rFonts w:ascii="Garamond" w:hAnsi="Garamond"/>
          <w:lang w:val="en-US"/>
        </w:rPr>
        <w:t>t has been decided to provide relaxation up to December 31, 2022, from the requirements of Regulation 58 (1)(b) of the Listing Regulations which prescribes that an entity with listed non-convertible securities shall send a hard  copy  of  statement  containing  the  salient  features  of  all  the  documents,  as specified  in  Section  136 of  Companies Act, 2013 and  rules  made thereunder  to those  holders  of  non-convertible  securities  who  have  not  registered their  email address(es) either with the listed entity or with any depository.</w:t>
      </w:r>
    </w:p>
    <w:p w:rsidR="002E59F7" w:rsidRDefault="002E59F7" w:rsidP="002E59F7">
      <w:pPr>
        <w:ind w:left="928"/>
        <w:jc w:val="both"/>
        <w:rPr>
          <w:rFonts w:ascii="Garamond" w:hAnsi="Garamond"/>
          <w:lang w:val="en-US"/>
        </w:rPr>
      </w:pPr>
    </w:p>
    <w:p w:rsidR="002E59F7" w:rsidRDefault="002E59F7" w:rsidP="002E59F7">
      <w:pPr>
        <w:ind w:left="208" w:firstLine="720"/>
        <w:jc w:val="both"/>
        <w:rPr>
          <w:rFonts w:ascii="Garamond" w:hAnsi="Garamond"/>
          <w:i/>
          <w:iCs/>
          <w:lang w:val="en-US"/>
        </w:rPr>
      </w:pPr>
      <w:r>
        <w:rPr>
          <w:rFonts w:ascii="Garamond" w:hAnsi="Garamond"/>
          <w:i/>
          <w:iCs/>
          <w:lang w:val="en-US"/>
        </w:rPr>
        <w:t xml:space="preserve">Source: </w:t>
      </w:r>
      <w:r w:rsidRPr="007B6F2D">
        <w:rPr>
          <w:rFonts w:ascii="Garamond" w:hAnsi="Garamond"/>
          <w:i/>
          <w:iCs/>
          <w:lang w:val="en-US"/>
        </w:rPr>
        <w:t>SEBI/HO/DDHS/P/CIR/2022/0063 dated May 13, 2022</w:t>
      </w:r>
    </w:p>
    <w:p w:rsidR="00E97406" w:rsidRDefault="00E97406" w:rsidP="002E59F7">
      <w:pPr>
        <w:ind w:left="208" w:firstLine="720"/>
        <w:jc w:val="both"/>
        <w:rPr>
          <w:rFonts w:ascii="Garamond" w:hAnsi="Garamond" w:cs="Mangal"/>
          <w:b/>
          <w:bCs/>
          <w:lang w:val="en-IN" w:bidi="hi-IN"/>
        </w:rPr>
      </w:pPr>
    </w:p>
    <w:p w:rsidR="002E59F7" w:rsidRPr="00170953" w:rsidRDefault="002E59F7" w:rsidP="002E59F7">
      <w:pPr>
        <w:jc w:val="both"/>
        <w:rPr>
          <w:rFonts w:ascii="Garamond" w:hAnsi="Garamond" w:cs="Mangal"/>
          <w:b/>
          <w:bCs/>
          <w:lang w:val="en-IN" w:bidi="hi-IN"/>
        </w:rPr>
      </w:pPr>
    </w:p>
    <w:p w:rsidR="002E59F7" w:rsidRDefault="002E59F7" w:rsidP="002E59F7">
      <w:pPr>
        <w:pStyle w:val="ListParagraph"/>
        <w:numPr>
          <w:ilvl w:val="0"/>
          <w:numId w:val="25"/>
        </w:numPr>
        <w:jc w:val="both"/>
        <w:rPr>
          <w:rFonts w:ascii="Garamond" w:hAnsi="Garamond" w:cs="Mangal"/>
          <w:b/>
          <w:bCs/>
          <w:sz w:val="24"/>
          <w:szCs w:val="24"/>
          <w:lang w:val="en-IN" w:bidi="hi-IN"/>
        </w:rPr>
      </w:pPr>
      <w:r w:rsidRPr="00F35D85">
        <w:rPr>
          <w:rFonts w:ascii="Garamond" w:hAnsi="Garamond" w:cs="Mangal"/>
          <w:b/>
          <w:bCs/>
          <w:sz w:val="24"/>
          <w:szCs w:val="24"/>
          <w:lang w:val="en-IN" w:bidi="hi-IN"/>
        </w:rPr>
        <w:lastRenderedPageBreak/>
        <w:t>Guidelines for seeking NOC by Stock Brokers / Clearing Members for setting up Wholly Owned Subsidiaries, Step Down Subsidiaries, Joint Ventures in GIFT IFSC</w:t>
      </w:r>
    </w:p>
    <w:p w:rsidR="002E59F7" w:rsidRDefault="002E59F7" w:rsidP="002E59F7">
      <w:pPr>
        <w:ind w:left="928"/>
        <w:jc w:val="both"/>
        <w:rPr>
          <w:rFonts w:ascii="Garamond" w:hAnsi="Garamond"/>
          <w:lang w:val="en-US"/>
        </w:rPr>
      </w:pPr>
      <w:r w:rsidRPr="00D3043E">
        <w:rPr>
          <w:rFonts w:ascii="Garamond" w:hAnsi="Garamond"/>
          <w:lang w:val="en-US"/>
        </w:rPr>
        <w:t>With an endeavour to rationalise and streamline the process</w:t>
      </w:r>
      <w:r>
        <w:rPr>
          <w:rFonts w:ascii="Garamond" w:hAnsi="Garamond"/>
          <w:lang w:val="en-US"/>
        </w:rPr>
        <w:t xml:space="preserve"> </w:t>
      </w:r>
      <w:r w:rsidRPr="00D3043E">
        <w:rPr>
          <w:rFonts w:ascii="Garamond" w:hAnsi="Garamond"/>
          <w:lang w:val="en-US"/>
        </w:rPr>
        <w:t>of appli</w:t>
      </w:r>
      <w:r>
        <w:rPr>
          <w:rFonts w:ascii="Garamond" w:hAnsi="Garamond"/>
          <w:lang w:val="en-US"/>
        </w:rPr>
        <w:t xml:space="preserve">cation received from </w:t>
      </w:r>
      <w:r w:rsidR="007E112B" w:rsidRPr="00180D1E">
        <w:rPr>
          <w:rFonts w:ascii="Garamond" w:hAnsi="Garamond"/>
          <w:lang w:val="en-US"/>
        </w:rPr>
        <w:t>stock brokers/ clearing members</w:t>
      </w:r>
      <w:r w:rsidRPr="00180D1E">
        <w:rPr>
          <w:rFonts w:ascii="Garamond" w:hAnsi="Garamond"/>
          <w:lang w:val="en-US"/>
        </w:rPr>
        <w:t xml:space="preserve"> for granting NOCs for setting up </w:t>
      </w:r>
      <w:r w:rsidR="007E112B" w:rsidRPr="00180D1E">
        <w:rPr>
          <w:rFonts w:ascii="Garamond" w:hAnsi="Garamond"/>
          <w:lang w:val="en-US"/>
        </w:rPr>
        <w:t>wholly owned subsidiaries, step down subsidiaries, joint ventures, etc</w:t>
      </w:r>
      <w:r w:rsidRPr="00180D1E">
        <w:rPr>
          <w:rFonts w:ascii="Garamond" w:hAnsi="Garamond"/>
          <w:lang w:val="en-US"/>
        </w:rPr>
        <w:t>.in GIFT IFSC</w:t>
      </w:r>
      <w:r>
        <w:rPr>
          <w:rFonts w:ascii="Garamond" w:hAnsi="Garamond"/>
          <w:lang w:val="en-US"/>
        </w:rPr>
        <w:t xml:space="preserve">, new guidelines </w:t>
      </w:r>
      <w:r w:rsidR="007E112B">
        <w:rPr>
          <w:rFonts w:ascii="Garamond" w:hAnsi="Garamond"/>
          <w:lang w:val="en-US"/>
        </w:rPr>
        <w:t xml:space="preserve">were </w:t>
      </w:r>
      <w:r>
        <w:rPr>
          <w:rFonts w:ascii="Garamond" w:hAnsi="Garamond"/>
          <w:lang w:val="en-US"/>
        </w:rPr>
        <w:t>issued.</w:t>
      </w:r>
    </w:p>
    <w:p w:rsidR="002E59F7" w:rsidRDefault="002E59F7" w:rsidP="002E59F7">
      <w:pPr>
        <w:ind w:left="928"/>
        <w:jc w:val="both"/>
        <w:rPr>
          <w:rFonts w:ascii="Garamond" w:hAnsi="Garamond"/>
          <w:lang w:val="en-US"/>
        </w:rPr>
      </w:pPr>
    </w:p>
    <w:p w:rsidR="002E59F7" w:rsidRDefault="002E59F7" w:rsidP="002E59F7">
      <w:pPr>
        <w:ind w:left="208" w:firstLine="720"/>
        <w:jc w:val="both"/>
        <w:rPr>
          <w:rFonts w:ascii="Garamond" w:hAnsi="Garamond" w:cs="Mangal"/>
          <w:b/>
          <w:bCs/>
          <w:lang w:val="en-IN" w:bidi="hi-IN"/>
        </w:rPr>
      </w:pPr>
      <w:r>
        <w:rPr>
          <w:rFonts w:ascii="Garamond" w:hAnsi="Garamond"/>
          <w:i/>
          <w:iCs/>
          <w:lang w:val="en-US"/>
        </w:rPr>
        <w:t xml:space="preserve">Source: </w:t>
      </w:r>
      <w:r w:rsidRPr="00F0419E">
        <w:rPr>
          <w:rFonts w:ascii="Garamond" w:hAnsi="Garamond"/>
          <w:i/>
          <w:iCs/>
          <w:lang w:val="en-US"/>
        </w:rPr>
        <w:t xml:space="preserve">SEBI/HO/MIRSD/DoR/P/CIR/2022/61 </w:t>
      </w:r>
      <w:r w:rsidRPr="007B6F2D">
        <w:rPr>
          <w:rFonts w:ascii="Garamond" w:hAnsi="Garamond"/>
          <w:i/>
          <w:iCs/>
          <w:lang w:val="en-US"/>
        </w:rPr>
        <w:t>dated May 13, 2022</w:t>
      </w:r>
    </w:p>
    <w:p w:rsidR="002E59F7" w:rsidRDefault="002E59F7" w:rsidP="002E59F7">
      <w:pPr>
        <w:rPr>
          <w:rFonts w:ascii="Garamond" w:hAnsi="Garamond" w:cs="Mangal"/>
          <w:b/>
          <w:bCs/>
          <w:lang w:val="en-IN" w:bidi="hi-IN"/>
        </w:rPr>
      </w:pPr>
    </w:p>
    <w:p w:rsidR="002E59F7" w:rsidRPr="00D42F8D" w:rsidRDefault="002E59F7" w:rsidP="00D42F8D">
      <w:pPr>
        <w:pStyle w:val="ListParagraph"/>
        <w:numPr>
          <w:ilvl w:val="0"/>
          <w:numId w:val="25"/>
        </w:numPr>
        <w:jc w:val="both"/>
        <w:rPr>
          <w:rFonts w:ascii="Garamond" w:hAnsi="Garamond" w:cs="Mangal"/>
          <w:b/>
          <w:bCs/>
          <w:lang w:val="en-IN" w:bidi="hi-IN"/>
        </w:rPr>
      </w:pPr>
      <w:r w:rsidRPr="00E97406">
        <w:rPr>
          <w:rFonts w:ascii="Garamond" w:hAnsi="Garamond" w:cs="Mangal"/>
          <w:b/>
          <w:bCs/>
          <w:sz w:val="24"/>
          <w:szCs w:val="24"/>
          <w:lang w:val="en-IN" w:bidi="hi-IN"/>
        </w:rPr>
        <w:t xml:space="preserve">Simplification of Procedure and Standardization of formats of documents for transmission of securities </w:t>
      </w:r>
    </w:p>
    <w:p w:rsidR="002E59F7" w:rsidRPr="00D42F8D" w:rsidRDefault="007E112B" w:rsidP="002E59F7">
      <w:pPr>
        <w:ind w:left="928" w:firstLine="11"/>
        <w:jc w:val="both"/>
        <w:rPr>
          <w:rFonts w:ascii="Garamond" w:eastAsia="Times New Roman" w:hAnsi="Garamond"/>
          <w:lang w:val="en-US"/>
        </w:rPr>
      </w:pPr>
      <w:r w:rsidRPr="00D42F8D">
        <w:rPr>
          <w:rFonts w:ascii="Garamond" w:eastAsia="Times New Roman" w:hAnsi="Garamond"/>
          <w:lang w:val="en-US"/>
        </w:rPr>
        <w:t xml:space="preserve">As an on-going measure to enhance ease of dealing in securities markets and with a view to make the transmission process more efficient and investor friendly, the procedure for transmission of securities has been further simplified vide </w:t>
      </w:r>
      <w:r w:rsidR="00285C48" w:rsidRPr="00D42F8D">
        <w:rPr>
          <w:rFonts w:ascii="Garamond" w:eastAsia="Times New Roman" w:hAnsi="Garamond"/>
          <w:lang w:val="en-US"/>
        </w:rPr>
        <w:t>LODR Amendment Regulations.</w:t>
      </w:r>
    </w:p>
    <w:p w:rsidR="002E59F7" w:rsidRDefault="002E59F7" w:rsidP="002E59F7">
      <w:pPr>
        <w:pStyle w:val="ListParagraph"/>
        <w:ind w:left="0" w:firstLine="11"/>
        <w:rPr>
          <w:rFonts w:ascii="Garamond" w:hAnsi="Garamond"/>
          <w:i/>
          <w:iCs/>
          <w:sz w:val="24"/>
          <w:szCs w:val="24"/>
        </w:rPr>
      </w:pPr>
    </w:p>
    <w:p w:rsidR="002E59F7" w:rsidRDefault="002E59F7" w:rsidP="002E59F7">
      <w:pPr>
        <w:pStyle w:val="ListParagraph"/>
        <w:ind w:left="208" w:firstLine="720"/>
        <w:rPr>
          <w:rFonts w:ascii="Garamond" w:hAnsi="Garamond"/>
          <w:i/>
          <w:iCs/>
          <w:sz w:val="24"/>
          <w:szCs w:val="24"/>
        </w:rPr>
      </w:pPr>
      <w:r w:rsidRPr="00457C5C">
        <w:rPr>
          <w:rFonts w:ascii="Garamond" w:hAnsi="Garamond"/>
          <w:i/>
          <w:iCs/>
          <w:sz w:val="24"/>
          <w:szCs w:val="24"/>
        </w:rPr>
        <w:t>Source: SEBI/HO/MIRSD/MIRSD_RTMB/P/CIR/2022/65</w:t>
      </w:r>
      <w:r>
        <w:rPr>
          <w:rFonts w:ascii="Garamond" w:hAnsi="Garamond"/>
          <w:i/>
          <w:iCs/>
          <w:sz w:val="24"/>
          <w:szCs w:val="24"/>
        </w:rPr>
        <w:t xml:space="preserve"> dated May 18, 2022.</w:t>
      </w:r>
    </w:p>
    <w:p w:rsidR="002E59F7" w:rsidRDefault="002E59F7" w:rsidP="002E59F7">
      <w:pPr>
        <w:pStyle w:val="ListParagraph"/>
        <w:ind w:left="0" w:firstLine="11"/>
        <w:rPr>
          <w:rFonts w:ascii="Garamond" w:hAnsi="Garamond"/>
          <w:b/>
          <w:bCs/>
          <w:sz w:val="24"/>
          <w:szCs w:val="24"/>
        </w:rPr>
      </w:pPr>
    </w:p>
    <w:p w:rsidR="002E59F7" w:rsidRPr="00EB24B6" w:rsidRDefault="002E59F7" w:rsidP="002E59F7">
      <w:pPr>
        <w:pStyle w:val="ListParagraph"/>
        <w:numPr>
          <w:ilvl w:val="0"/>
          <w:numId w:val="25"/>
        </w:numPr>
        <w:rPr>
          <w:rFonts w:ascii="Garamond" w:hAnsi="Garamond" w:cs="Mangal"/>
          <w:b/>
          <w:bCs/>
          <w:sz w:val="24"/>
          <w:szCs w:val="24"/>
          <w:lang w:val="en-IN" w:bidi="hi-IN"/>
        </w:rPr>
      </w:pPr>
      <w:r w:rsidRPr="00EB24B6">
        <w:rPr>
          <w:rFonts w:ascii="Garamond" w:hAnsi="Garamond" w:cs="Mangal"/>
          <w:b/>
          <w:bCs/>
          <w:sz w:val="24"/>
          <w:szCs w:val="24"/>
          <w:lang w:val="en-IN" w:bidi="hi-IN"/>
        </w:rPr>
        <w:t>Streamlining the Process of Rights Issue</w:t>
      </w:r>
    </w:p>
    <w:p w:rsidR="002E59F7" w:rsidRDefault="002E59F7" w:rsidP="002E59F7">
      <w:pPr>
        <w:shd w:val="clear" w:color="auto" w:fill="FFFFFF"/>
        <w:ind w:left="928"/>
        <w:jc w:val="both"/>
        <w:rPr>
          <w:rFonts w:ascii="Garamond" w:eastAsia="Times New Roman" w:hAnsi="Garamond"/>
          <w:lang w:val="en-US"/>
        </w:rPr>
      </w:pPr>
      <w:r w:rsidRPr="00EB24B6">
        <w:rPr>
          <w:rFonts w:ascii="Garamond" w:eastAsia="Times New Roman" w:hAnsi="Garamond"/>
          <w:lang w:val="en-US"/>
        </w:rPr>
        <w:t xml:space="preserve">In order to streamline the </w:t>
      </w:r>
      <w:r w:rsidR="00285C48" w:rsidRPr="00EB24B6">
        <w:rPr>
          <w:rFonts w:ascii="Garamond" w:eastAsia="Times New Roman" w:hAnsi="Garamond"/>
          <w:lang w:val="en-US"/>
        </w:rPr>
        <w:t xml:space="preserve">rights issue </w:t>
      </w:r>
      <w:r w:rsidRPr="00EB24B6">
        <w:rPr>
          <w:rFonts w:ascii="Garamond" w:eastAsia="Times New Roman" w:hAnsi="Garamond"/>
          <w:lang w:val="en-US"/>
        </w:rPr>
        <w:t xml:space="preserve">process, the minimum period required for closure of trading in Right Entitlements on the stock exchange platform has been revised from four days prior to closure of the rights issue to at least three workings prior to closure of the issue. </w:t>
      </w:r>
    </w:p>
    <w:p w:rsidR="002E59F7" w:rsidRPr="00EB24B6" w:rsidRDefault="002E59F7" w:rsidP="002E59F7">
      <w:pPr>
        <w:shd w:val="clear" w:color="auto" w:fill="FFFFFF"/>
        <w:ind w:left="928"/>
        <w:jc w:val="both"/>
        <w:rPr>
          <w:rFonts w:ascii="Garamond" w:eastAsia="Times New Roman" w:hAnsi="Garamond"/>
          <w:lang w:val="en-US"/>
        </w:rPr>
      </w:pPr>
    </w:p>
    <w:p w:rsidR="002E59F7" w:rsidRPr="00EB24B6" w:rsidRDefault="002E59F7" w:rsidP="002E59F7">
      <w:pPr>
        <w:shd w:val="clear" w:color="auto" w:fill="FFFFFF"/>
        <w:ind w:left="208" w:firstLine="720"/>
        <w:jc w:val="both"/>
        <w:rPr>
          <w:rFonts w:ascii="Garamond" w:hAnsi="Garamond"/>
          <w:i/>
          <w:iCs/>
          <w:lang w:val="en-US"/>
        </w:rPr>
      </w:pPr>
      <w:r w:rsidRPr="00EB24B6">
        <w:rPr>
          <w:rFonts w:ascii="Garamond" w:hAnsi="Garamond"/>
          <w:i/>
          <w:iCs/>
          <w:lang w:val="en-US"/>
        </w:rPr>
        <w:t>Source: SEBI/HO/CFD/SSEP/CIR/P/2022/66 dated May 19, 2022.</w:t>
      </w:r>
    </w:p>
    <w:p w:rsidR="002E59F7" w:rsidRDefault="002E59F7" w:rsidP="002E59F7">
      <w:pPr>
        <w:rPr>
          <w:rFonts w:ascii="Garamond" w:hAnsi="Garamond" w:cs="Mangal"/>
          <w:b/>
          <w:bCs/>
          <w:lang w:val="en-IN" w:bidi="hi-IN"/>
        </w:rPr>
      </w:pPr>
    </w:p>
    <w:p w:rsidR="002E59F7" w:rsidRPr="00EB24B6" w:rsidRDefault="002E59F7" w:rsidP="002E59F7">
      <w:pPr>
        <w:pStyle w:val="ListParagraph"/>
        <w:numPr>
          <w:ilvl w:val="0"/>
          <w:numId w:val="25"/>
        </w:numPr>
        <w:jc w:val="both"/>
        <w:rPr>
          <w:rFonts w:ascii="Garamond" w:hAnsi="Garamond"/>
          <w:b/>
          <w:bCs/>
          <w:sz w:val="24"/>
          <w:szCs w:val="24"/>
        </w:rPr>
      </w:pPr>
      <w:r w:rsidRPr="00EB24B6">
        <w:rPr>
          <w:rFonts w:ascii="Garamond" w:hAnsi="Garamond"/>
          <w:b/>
          <w:bCs/>
          <w:sz w:val="24"/>
          <w:szCs w:val="24"/>
        </w:rPr>
        <w:t>Revised format of security cover certificate, monitoring, and revision in timelines</w:t>
      </w:r>
    </w:p>
    <w:p w:rsidR="002E59F7" w:rsidRPr="00D42F8D" w:rsidRDefault="002E59F7" w:rsidP="00523F7B">
      <w:pPr>
        <w:shd w:val="clear" w:color="auto" w:fill="FFFFFF"/>
        <w:ind w:left="928"/>
        <w:jc w:val="both"/>
        <w:rPr>
          <w:rFonts w:ascii="Garamond" w:eastAsia="Times New Roman" w:hAnsi="Garamond"/>
          <w:lang w:val="en-US"/>
        </w:rPr>
      </w:pPr>
      <w:r w:rsidRPr="00D42F8D">
        <w:rPr>
          <w:rFonts w:ascii="Garamond" w:eastAsia="Times New Roman" w:hAnsi="Garamond"/>
          <w:lang w:val="en-US"/>
        </w:rPr>
        <w:t>Based on the recommendation of the Working Group</w:t>
      </w:r>
      <w:r w:rsidR="00523F7B" w:rsidRPr="00D42F8D">
        <w:rPr>
          <w:rFonts w:ascii="Garamond" w:eastAsia="Times New Roman" w:hAnsi="Garamond"/>
          <w:lang w:val="en-US"/>
        </w:rPr>
        <w:t xml:space="preserve"> </w:t>
      </w:r>
      <w:r w:rsidR="00523F7B" w:rsidRPr="00523F7B">
        <w:rPr>
          <w:rFonts w:ascii="Garamond" w:eastAsia="Times New Roman" w:hAnsi="Garamond"/>
          <w:lang w:val="en-US"/>
        </w:rPr>
        <w:t xml:space="preserve">on </w:t>
      </w:r>
      <w:r w:rsidR="00523F7B">
        <w:rPr>
          <w:rFonts w:ascii="Garamond" w:eastAsia="Times New Roman" w:hAnsi="Garamond"/>
          <w:lang w:val="en-US"/>
        </w:rPr>
        <w:t>“</w:t>
      </w:r>
      <w:r w:rsidR="00523F7B" w:rsidRPr="00D42F8D">
        <w:rPr>
          <w:rFonts w:ascii="Garamond" w:eastAsia="Times New Roman" w:hAnsi="Garamond"/>
          <w:lang w:val="en-US"/>
        </w:rPr>
        <w:t>Unique Identification Code - Securities &amp; Covenant Monitoring System”</w:t>
      </w:r>
      <w:r w:rsidRPr="00D42F8D">
        <w:rPr>
          <w:rFonts w:ascii="Garamond" w:eastAsia="Times New Roman" w:hAnsi="Garamond"/>
          <w:lang w:val="en-US"/>
        </w:rPr>
        <w:t xml:space="preserve">, the security cover format to be disclosed by listed entities to stock exchanges and debenture trustees has been revised   The revised format has been prepared to provide a holistic picture of all the borrowings and the status of encumbrance on the assets of the listed entity. </w:t>
      </w:r>
    </w:p>
    <w:p w:rsidR="002E59F7" w:rsidRPr="00EB24B6" w:rsidRDefault="002E59F7" w:rsidP="002E59F7">
      <w:pPr>
        <w:shd w:val="clear" w:color="auto" w:fill="FFFFFF"/>
        <w:ind w:left="928"/>
        <w:jc w:val="both"/>
        <w:rPr>
          <w:rFonts w:ascii="Garamond" w:eastAsia="Times New Roman" w:hAnsi="Garamond"/>
        </w:rPr>
      </w:pPr>
    </w:p>
    <w:p w:rsidR="002E59F7" w:rsidRPr="00EB24B6" w:rsidRDefault="002E59F7" w:rsidP="002E59F7">
      <w:pPr>
        <w:ind w:left="208" w:firstLine="720"/>
        <w:rPr>
          <w:rFonts w:ascii="Garamond" w:hAnsi="Garamond"/>
          <w:i/>
          <w:iCs/>
          <w:lang w:val="en-US"/>
        </w:rPr>
      </w:pPr>
      <w:r w:rsidRPr="00EB24B6">
        <w:rPr>
          <w:rFonts w:ascii="Garamond" w:hAnsi="Garamond"/>
          <w:i/>
          <w:iCs/>
          <w:lang w:val="en-US"/>
        </w:rPr>
        <w:t>Source: SEBI/HO/MIRSD/MIRSD_CRADT/CIR/P/2022/67 dated May 19, 2022.</w:t>
      </w:r>
    </w:p>
    <w:p w:rsidR="002E59F7" w:rsidRDefault="002E59F7" w:rsidP="002E59F7">
      <w:pPr>
        <w:pStyle w:val="ListParagraph"/>
        <w:rPr>
          <w:rFonts w:ascii="Garamond" w:hAnsi="Garamond" w:cs="Mangal"/>
          <w:b/>
          <w:bCs/>
          <w:lang w:val="en-IN" w:bidi="hi-IN"/>
        </w:rPr>
      </w:pPr>
    </w:p>
    <w:p w:rsidR="002E59F7" w:rsidRPr="00EB24B6" w:rsidRDefault="002E59F7" w:rsidP="002E59F7">
      <w:pPr>
        <w:pStyle w:val="ListParagraph"/>
        <w:numPr>
          <w:ilvl w:val="0"/>
          <w:numId w:val="25"/>
        </w:numPr>
        <w:jc w:val="both"/>
        <w:rPr>
          <w:rFonts w:ascii="Garamond" w:hAnsi="Garamond"/>
          <w:b/>
          <w:bCs/>
          <w:sz w:val="24"/>
          <w:szCs w:val="24"/>
        </w:rPr>
      </w:pPr>
      <w:r w:rsidRPr="00EB24B6">
        <w:rPr>
          <w:rFonts w:ascii="Garamond" w:hAnsi="Garamond"/>
          <w:b/>
          <w:bCs/>
          <w:sz w:val="24"/>
          <w:szCs w:val="24"/>
        </w:rPr>
        <w:t xml:space="preserve">Modification in Cyber Security and Cyber Resilience framework of </w:t>
      </w:r>
      <w:r w:rsidR="00B34494">
        <w:rPr>
          <w:rFonts w:ascii="Garamond" w:hAnsi="Garamond"/>
          <w:b/>
          <w:bCs/>
          <w:sz w:val="24"/>
          <w:szCs w:val="24"/>
        </w:rPr>
        <w:t>MIIs</w:t>
      </w:r>
    </w:p>
    <w:p w:rsidR="002E59F7" w:rsidRDefault="002E59F7" w:rsidP="002E59F7">
      <w:pPr>
        <w:shd w:val="clear" w:color="auto" w:fill="FFFFFF"/>
        <w:ind w:left="928"/>
        <w:jc w:val="both"/>
        <w:rPr>
          <w:rFonts w:ascii="Garamond" w:eastAsia="Times New Roman" w:hAnsi="Garamond"/>
        </w:rPr>
      </w:pPr>
      <w:r w:rsidRPr="00911402">
        <w:rPr>
          <w:rFonts w:ascii="Garamond" w:eastAsia="Times New Roman" w:hAnsi="Garamond"/>
        </w:rPr>
        <w:t>Framework</w:t>
      </w:r>
      <w:r>
        <w:rPr>
          <w:rFonts w:ascii="Garamond" w:eastAsia="Times New Roman" w:hAnsi="Garamond"/>
        </w:rPr>
        <w:t xml:space="preserve"> </w:t>
      </w:r>
      <w:r w:rsidRPr="00911402">
        <w:rPr>
          <w:rFonts w:ascii="Garamond" w:eastAsia="Times New Roman" w:hAnsi="Garamond"/>
        </w:rPr>
        <w:t xml:space="preserve">for </w:t>
      </w:r>
      <w:r w:rsidR="00B34494" w:rsidRPr="00911402">
        <w:rPr>
          <w:rFonts w:ascii="Garamond" w:eastAsia="Times New Roman" w:hAnsi="Garamond"/>
        </w:rPr>
        <w:t>cyber security</w:t>
      </w:r>
      <w:r w:rsidR="00B34494">
        <w:rPr>
          <w:rFonts w:ascii="Garamond" w:eastAsia="Times New Roman" w:hAnsi="Garamond"/>
        </w:rPr>
        <w:t xml:space="preserve"> </w:t>
      </w:r>
      <w:r w:rsidR="00B34494" w:rsidRPr="00911402">
        <w:rPr>
          <w:rFonts w:ascii="Garamond" w:eastAsia="Times New Roman" w:hAnsi="Garamond"/>
        </w:rPr>
        <w:t>and cyber resilience</w:t>
      </w:r>
      <w:r w:rsidR="00B34494">
        <w:rPr>
          <w:rFonts w:ascii="Garamond" w:eastAsia="Times New Roman" w:hAnsi="Garamond"/>
        </w:rPr>
        <w:t xml:space="preserve"> </w:t>
      </w:r>
      <w:r w:rsidRPr="00911402">
        <w:rPr>
          <w:rFonts w:ascii="Garamond" w:eastAsia="Times New Roman" w:hAnsi="Garamond"/>
        </w:rPr>
        <w:t xml:space="preserve">for </w:t>
      </w:r>
      <w:r w:rsidR="00523F7B">
        <w:rPr>
          <w:rFonts w:ascii="Garamond" w:eastAsia="Times New Roman" w:hAnsi="Garamond"/>
        </w:rPr>
        <w:t>MIIs</w:t>
      </w:r>
      <w:r>
        <w:rPr>
          <w:rFonts w:ascii="Garamond" w:eastAsia="Times New Roman" w:hAnsi="Garamond"/>
        </w:rPr>
        <w:t xml:space="preserve"> has been revised</w:t>
      </w:r>
      <w:r w:rsidRPr="00911402">
        <w:rPr>
          <w:rFonts w:ascii="Garamond" w:eastAsia="Times New Roman" w:hAnsi="Garamond"/>
        </w:rPr>
        <w:t xml:space="preserve">.  </w:t>
      </w:r>
      <w:r>
        <w:rPr>
          <w:rFonts w:ascii="Garamond" w:eastAsia="Times New Roman" w:hAnsi="Garamond"/>
        </w:rPr>
        <w:t xml:space="preserve">Along with other revisions, MIIs are also mandated to conduct a comprehensive cyber audit at least </w:t>
      </w:r>
      <w:r w:rsidR="00523F7B">
        <w:rPr>
          <w:rFonts w:ascii="Garamond" w:eastAsia="Times New Roman" w:hAnsi="Garamond"/>
        </w:rPr>
        <w:t xml:space="preserve">two </w:t>
      </w:r>
      <w:r>
        <w:rPr>
          <w:rFonts w:ascii="Garamond" w:eastAsia="Times New Roman" w:hAnsi="Garamond"/>
        </w:rPr>
        <w:t xml:space="preserve">times in a financial year. </w:t>
      </w:r>
    </w:p>
    <w:p w:rsidR="002E59F7" w:rsidRDefault="002E59F7" w:rsidP="002E59F7">
      <w:pPr>
        <w:shd w:val="clear" w:color="auto" w:fill="FFFFFF"/>
        <w:rPr>
          <w:rFonts w:ascii="Garamond" w:hAnsi="Garamond"/>
          <w:i/>
          <w:iCs/>
          <w:szCs w:val="26"/>
          <w:lang w:val="en-US"/>
        </w:rPr>
      </w:pPr>
    </w:p>
    <w:p w:rsidR="002E59F7" w:rsidRDefault="002E59F7" w:rsidP="002E59F7">
      <w:pPr>
        <w:shd w:val="clear" w:color="auto" w:fill="FFFFFF"/>
        <w:ind w:left="208" w:firstLine="720"/>
        <w:rPr>
          <w:rFonts w:ascii="Garamond" w:hAnsi="Garamond"/>
          <w:i/>
          <w:iCs/>
          <w:szCs w:val="26"/>
          <w:lang w:val="en-US"/>
        </w:rPr>
      </w:pPr>
      <w:r>
        <w:rPr>
          <w:rFonts w:ascii="Garamond" w:hAnsi="Garamond"/>
          <w:i/>
          <w:iCs/>
          <w:szCs w:val="26"/>
          <w:lang w:val="en-US"/>
        </w:rPr>
        <w:t xml:space="preserve">Source: </w:t>
      </w:r>
      <w:r w:rsidRPr="009C751B">
        <w:rPr>
          <w:rFonts w:ascii="Garamond" w:hAnsi="Garamond"/>
          <w:i/>
          <w:iCs/>
          <w:szCs w:val="26"/>
          <w:lang w:val="en-US"/>
        </w:rPr>
        <w:t>SEBI/HO/MRD1/MRD1_DTCS/P/CIR/2022/68</w:t>
      </w:r>
      <w:r>
        <w:rPr>
          <w:rFonts w:ascii="Garamond" w:hAnsi="Garamond"/>
          <w:i/>
          <w:iCs/>
          <w:szCs w:val="26"/>
          <w:lang w:val="en-US"/>
        </w:rPr>
        <w:t xml:space="preserve"> dated May 20, 2022.</w:t>
      </w:r>
    </w:p>
    <w:p w:rsidR="002E59F7" w:rsidRDefault="002E59F7" w:rsidP="002E59F7">
      <w:pPr>
        <w:shd w:val="clear" w:color="auto" w:fill="FFFFFF"/>
        <w:rPr>
          <w:rFonts w:ascii="Garamond" w:hAnsi="Garamond"/>
          <w:i/>
          <w:iCs/>
          <w:szCs w:val="26"/>
          <w:lang w:val="en-US"/>
        </w:rPr>
      </w:pPr>
    </w:p>
    <w:p w:rsidR="002E59F7" w:rsidRPr="00A33108" w:rsidRDefault="002E59F7" w:rsidP="002E59F7">
      <w:pPr>
        <w:pStyle w:val="ListParagraph"/>
        <w:numPr>
          <w:ilvl w:val="0"/>
          <w:numId w:val="25"/>
        </w:numPr>
        <w:spacing w:after="160" w:line="259" w:lineRule="auto"/>
        <w:rPr>
          <w:rFonts w:ascii="Garamond" w:hAnsi="Garamond"/>
          <w:b/>
          <w:bCs/>
          <w:sz w:val="24"/>
          <w:szCs w:val="24"/>
        </w:rPr>
      </w:pPr>
      <w:r w:rsidRPr="00A33108">
        <w:rPr>
          <w:rFonts w:ascii="Garamond" w:hAnsi="Garamond"/>
          <w:b/>
          <w:bCs/>
          <w:sz w:val="24"/>
          <w:szCs w:val="24"/>
        </w:rPr>
        <w:t>Circular on Development of Passive Funds</w:t>
      </w:r>
    </w:p>
    <w:p w:rsidR="002E59F7" w:rsidRPr="00A33108" w:rsidRDefault="008641A2" w:rsidP="002E59F7">
      <w:pPr>
        <w:ind w:left="928"/>
        <w:jc w:val="both"/>
        <w:rPr>
          <w:rFonts w:ascii="Garamond" w:hAnsi="Garamond"/>
        </w:rPr>
      </w:pPr>
      <w:r>
        <w:rPr>
          <w:rFonts w:ascii="Garamond" w:hAnsi="Garamond"/>
        </w:rPr>
        <w:t>As per the</w:t>
      </w:r>
      <w:r w:rsidRPr="00A33108">
        <w:rPr>
          <w:rFonts w:ascii="Garamond" w:hAnsi="Garamond"/>
        </w:rPr>
        <w:t xml:space="preserve"> </w:t>
      </w:r>
      <w:r w:rsidR="002E59F7" w:rsidRPr="00A33108">
        <w:rPr>
          <w:rFonts w:ascii="Garamond" w:hAnsi="Garamond"/>
        </w:rPr>
        <w:t xml:space="preserve">recommendations of the </w:t>
      </w:r>
      <w:r w:rsidR="00BA0033">
        <w:rPr>
          <w:rFonts w:ascii="Garamond" w:hAnsi="Garamond"/>
        </w:rPr>
        <w:t>Mutual Fund Advisory Committee</w:t>
      </w:r>
      <w:r>
        <w:rPr>
          <w:rFonts w:ascii="Garamond" w:hAnsi="Garamond"/>
        </w:rPr>
        <w:t>, norms have been specified for debt ETFs/index funds and market making framework for ETFs, investor education and awareness charges, direct transaction</w:t>
      </w:r>
      <w:r w:rsidR="00BA0033">
        <w:rPr>
          <w:rFonts w:ascii="Garamond" w:hAnsi="Garamond"/>
        </w:rPr>
        <w:t xml:space="preserve"> in ETFs through AMCs, tracking error and tracking difference, valuation by fund of funds investing in ETFs etc.</w:t>
      </w:r>
    </w:p>
    <w:p w:rsidR="002E59F7" w:rsidRDefault="002E59F7" w:rsidP="002E59F7">
      <w:pPr>
        <w:rPr>
          <w:rFonts w:ascii="Garamond" w:hAnsi="Garamond"/>
          <w:i/>
          <w:iCs/>
          <w:lang w:val="en-US"/>
        </w:rPr>
      </w:pPr>
    </w:p>
    <w:p w:rsidR="002E59F7" w:rsidRDefault="002E59F7" w:rsidP="002E59F7">
      <w:pPr>
        <w:ind w:left="208" w:firstLine="720"/>
        <w:rPr>
          <w:rFonts w:ascii="Garamond" w:hAnsi="Garamond"/>
          <w:i/>
          <w:iCs/>
          <w:lang w:val="en-US"/>
        </w:rPr>
      </w:pPr>
      <w:r w:rsidRPr="00525237">
        <w:rPr>
          <w:rFonts w:ascii="Garamond" w:hAnsi="Garamond"/>
          <w:i/>
          <w:iCs/>
          <w:lang w:val="en-US"/>
        </w:rPr>
        <w:t>Source: SEBI/HO/IMD/DOF2/P/CIR/2022/69 dated May 23, 2022.</w:t>
      </w:r>
    </w:p>
    <w:p w:rsidR="000F1508" w:rsidRDefault="000F1508" w:rsidP="002E59F7">
      <w:pPr>
        <w:ind w:left="208" w:firstLine="720"/>
        <w:rPr>
          <w:rFonts w:ascii="Garamond" w:hAnsi="Garamond"/>
          <w:i/>
          <w:iCs/>
          <w:lang w:val="en-US"/>
        </w:rPr>
      </w:pPr>
    </w:p>
    <w:p w:rsidR="002E59F7" w:rsidRDefault="002E59F7" w:rsidP="002E59F7">
      <w:pPr>
        <w:rPr>
          <w:rFonts w:ascii="Garamond" w:hAnsi="Garamond"/>
          <w:i/>
          <w:iCs/>
          <w:lang w:val="en-US"/>
        </w:rPr>
      </w:pPr>
    </w:p>
    <w:p w:rsidR="00BA0033" w:rsidRDefault="00BA0033" w:rsidP="002E59F7">
      <w:pPr>
        <w:rPr>
          <w:rFonts w:ascii="Garamond" w:hAnsi="Garamond"/>
          <w:i/>
          <w:iCs/>
          <w:lang w:val="en-US"/>
        </w:rPr>
      </w:pPr>
    </w:p>
    <w:p w:rsidR="002E59F7" w:rsidRPr="00A33108" w:rsidRDefault="002E59F7" w:rsidP="002E59F7">
      <w:pPr>
        <w:pStyle w:val="ListParagraph"/>
        <w:numPr>
          <w:ilvl w:val="0"/>
          <w:numId w:val="25"/>
        </w:numPr>
        <w:spacing w:after="160" w:line="259" w:lineRule="auto"/>
        <w:rPr>
          <w:rFonts w:ascii="Garamond" w:hAnsi="Garamond" w:cs="Mangal"/>
          <w:b/>
          <w:bCs/>
          <w:sz w:val="24"/>
          <w:szCs w:val="24"/>
          <w:lang w:bidi="hi-IN"/>
        </w:rPr>
      </w:pPr>
      <w:r w:rsidRPr="00A33108">
        <w:rPr>
          <w:rFonts w:ascii="Garamond" w:hAnsi="Garamond" w:cs="Mangal"/>
          <w:b/>
          <w:bCs/>
          <w:sz w:val="24"/>
          <w:szCs w:val="24"/>
          <w:lang w:bidi="hi-IN"/>
        </w:rPr>
        <w:t>Simplification of procedure and standardization of formats of documents for issuance of duplicate securities certificates</w:t>
      </w:r>
    </w:p>
    <w:p w:rsidR="002E59F7" w:rsidRDefault="002E59F7" w:rsidP="007635D1">
      <w:pPr>
        <w:ind w:left="928"/>
        <w:jc w:val="both"/>
        <w:rPr>
          <w:rFonts w:ascii="Garamond" w:hAnsi="Garamond"/>
        </w:rPr>
      </w:pPr>
      <w:r w:rsidRPr="007635D1">
        <w:rPr>
          <w:rFonts w:ascii="Garamond" w:hAnsi="Garamond"/>
        </w:rPr>
        <w:t xml:space="preserve">With  a  view  to make issuance  of  duplicate  securities  more  efficient  and  investor friendly,  the procedure and documentation requirements for issuance of duplicate securities has been further simplified.  </w:t>
      </w:r>
    </w:p>
    <w:p w:rsidR="007635D1" w:rsidRPr="007635D1" w:rsidRDefault="007635D1" w:rsidP="007635D1">
      <w:pPr>
        <w:ind w:left="928"/>
        <w:jc w:val="both"/>
        <w:rPr>
          <w:rFonts w:ascii="Garamond" w:hAnsi="Garamond"/>
        </w:rPr>
      </w:pPr>
    </w:p>
    <w:p w:rsidR="002E59F7" w:rsidRPr="007635D1" w:rsidRDefault="002E59F7" w:rsidP="007635D1">
      <w:pPr>
        <w:ind w:left="928"/>
        <w:jc w:val="both"/>
        <w:rPr>
          <w:rFonts w:ascii="Garamond" w:hAnsi="Garamond"/>
          <w:i/>
          <w:iCs/>
        </w:rPr>
      </w:pPr>
      <w:r w:rsidRPr="007635D1">
        <w:rPr>
          <w:rFonts w:ascii="Garamond" w:hAnsi="Garamond"/>
          <w:i/>
          <w:iCs/>
        </w:rPr>
        <w:t>Source: SEBI/HO/MIRSD/MIRSD_RTAMB/P/CIR/2022/70 dated May 25, 2022.</w:t>
      </w:r>
    </w:p>
    <w:p w:rsidR="007635D1" w:rsidRDefault="007635D1" w:rsidP="007635D1">
      <w:pPr>
        <w:ind w:left="928"/>
        <w:jc w:val="both"/>
        <w:rPr>
          <w:rFonts w:ascii="Garamond" w:hAnsi="Garamond"/>
        </w:rPr>
      </w:pPr>
    </w:p>
    <w:p w:rsidR="002E59F7" w:rsidRPr="00A33108" w:rsidRDefault="002E59F7" w:rsidP="002E59F7">
      <w:pPr>
        <w:pStyle w:val="ListParagraph"/>
        <w:numPr>
          <w:ilvl w:val="0"/>
          <w:numId w:val="25"/>
        </w:numPr>
        <w:rPr>
          <w:rFonts w:ascii="Garamond" w:hAnsi="Garamond"/>
          <w:b/>
          <w:bCs/>
          <w:sz w:val="24"/>
          <w:szCs w:val="32"/>
        </w:rPr>
      </w:pPr>
      <w:r w:rsidRPr="00A33108">
        <w:rPr>
          <w:rFonts w:ascii="Garamond" w:hAnsi="Garamond"/>
          <w:b/>
          <w:bCs/>
          <w:sz w:val="24"/>
          <w:szCs w:val="32"/>
        </w:rPr>
        <w:t>Modification to Standard Operating Procedure in the cases of Trading Member / Clearing Member leading to default</w:t>
      </w:r>
    </w:p>
    <w:p w:rsidR="002E59F7" w:rsidRDefault="00BA0033" w:rsidP="007635D1">
      <w:pPr>
        <w:ind w:left="928"/>
        <w:jc w:val="both"/>
        <w:rPr>
          <w:rFonts w:ascii="Garamond" w:hAnsi="Garamond"/>
        </w:rPr>
      </w:pPr>
      <w:r>
        <w:rPr>
          <w:rFonts w:ascii="Garamond" w:hAnsi="Garamond"/>
        </w:rPr>
        <w:t>I</w:t>
      </w:r>
      <w:r w:rsidR="002E59F7" w:rsidRPr="007635D1">
        <w:rPr>
          <w:rFonts w:ascii="Garamond" w:hAnsi="Garamond"/>
        </w:rPr>
        <w:t xml:space="preserve">n consultation with the Market Infrastructure Institutions, </w:t>
      </w:r>
      <w:r>
        <w:rPr>
          <w:rFonts w:ascii="Garamond" w:hAnsi="Garamond"/>
        </w:rPr>
        <w:t xml:space="preserve">it </w:t>
      </w:r>
      <w:r w:rsidR="002E59F7" w:rsidRPr="007635D1">
        <w:rPr>
          <w:rFonts w:ascii="Garamond" w:hAnsi="Garamond"/>
        </w:rPr>
        <w:t xml:space="preserve">has </w:t>
      </w:r>
      <w:r>
        <w:rPr>
          <w:rFonts w:ascii="Garamond" w:hAnsi="Garamond"/>
        </w:rPr>
        <w:t xml:space="preserve">been </w:t>
      </w:r>
      <w:r w:rsidR="002E59F7" w:rsidRPr="007635D1">
        <w:rPr>
          <w:rFonts w:ascii="Garamond" w:hAnsi="Garamond"/>
        </w:rPr>
        <w:t>decided to modify clause 4.25 of SEBI circular no. SEBI/HO/MIRSD/DPIEA/CIR/P/2020/115 dated July  1,  2020  in  order  to  provide  equitable  distribution  of  funds  amongst investors.</w:t>
      </w:r>
    </w:p>
    <w:p w:rsidR="007635D1" w:rsidRPr="007635D1" w:rsidRDefault="007635D1" w:rsidP="007635D1">
      <w:pPr>
        <w:ind w:left="928"/>
        <w:jc w:val="both"/>
        <w:rPr>
          <w:rFonts w:ascii="Garamond" w:hAnsi="Garamond"/>
        </w:rPr>
      </w:pPr>
    </w:p>
    <w:p w:rsidR="002E59F7" w:rsidRPr="007635D1" w:rsidRDefault="002E59F7" w:rsidP="007635D1">
      <w:pPr>
        <w:ind w:left="928"/>
        <w:jc w:val="both"/>
        <w:rPr>
          <w:rFonts w:ascii="Garamond" w:hAnsi="Garamond"/>
          <w:i/>
          <w:iCs/>
        </w:rPr>
      </w:pPr>
      <w:r w:rsidRPr="007635D1">
        <w:rPr>
          <w:rFonts w:ascii="Garamond" w:hAnsi="Garamond"/>
          <w:i/>
          <w:iCs/>
        </w:rPr>
        <w:t>Source: SEBI/HO/MIRSD/DPIEA/P/CIR/2022/72 dated May 27, 2022.</w:t>
      </w:r>
    </w:p>
    <w:p w:rsidR="002E59F7" w:rsidRPr="00A33108" w:rsidRDefault="002E59F7" w:rsidP="002E59F7">
      <w:pPr>
        <w:ind w:left="284"/>
        <w:rPr>
          <w:rFonts w:ascii="Garamond" w:hAnsi="Garamond"/>
          <w:szCs w:val="26"/>
        </w:rPr>
      </w:pPr>
    </w:p>
    <w:p w:rsidR="002E59F7" w:rsidRPr="00A33108" w:rsidRDefault="002E59F7" w:rsidP="002E59F7">
      <w:pPr>
        <w:pStyle w:val="ListParagraph"/>
        <w:numPr>
          <w:ilvl w:val="0"/>
          <w:numId w:val="25"/>
        </w:numPr>
        <w:shd w:val="clear" w:color="auto" w:fill="FFFFFF"/>
        <w:rPr>
          <w:rFonts w:ascii="Garamond" w:hAnsi="Garamond"/>
          <w:szCs w:val="26"/>
        </w:rPr>
      </w:pPr>
      <w:r w:rsidRPr="00DD2479">
        <w:rPr>
          <w:rFonts w:ascii="Garamond" w:hAnsi="Garamond"/>
          <w:b/>
          <w:bCs/>
          <w:sz w:val="24"/>
          <w:szCs w:val="24"/>
        </w:rPr>
        <w:t>Modification  in  Cyber  Security  and  Cyber  resilience  framework  of Qualified</w:t>
      </w:r>
      <w:r>
        <w:rPr>
          <w:rFonts w:ascii="Garamond" w:hAnsi="Garamond"/>
          <w:b/>
          <w:bCs/>
          <w:sz w:val="24"/>
          <w:szCs w:val="24"/>
        </w:rPr>
        <w:t xml:space="preserve"> </w:t>
      </w:r>
      <w:r w:rsidRPr="00DD2479">
        <w:rPr>
          <w:rFonts w:ascii="Garamond" w:hAnsi="Garamond"/>
          <w:b/>
          <w:bCs/>
          <w:sz w:val="24"/>
          <w:szCs w:val="24"/>
        </w:rPr>
        <w:t>Registrars to an Issue and Share Transfer Agents</w:t>
      </w:r>
    </w:p>
    <w:p w:rsidR="002E59F7" w:rsidRPr="007635D1" w:rsidRDefault="00BA0033" w:rsidP="007635D1">
      <w:pPr>
        <w:ind w:left="928"/>
        <w:jc w:val="both"/>
        <w:rPr>
          <w:rFonts w:ascii="Garamond" w:hAnsi="Garamond"/>
        </w:rPr>
      </w:pPr>
      <w:r w:rsidRPr="007635D1">
        <w:rPr>
          <w:rFonts w:ascii="Garamond" w:hAnsi="Garamond"/>
        </w:rPr>
        <w:t>Framework</w:t>
      </w:r>
      <w:r w:rsidR="002E59F7" w:rsidRPr="007635D1">
        <w:rPr>
          <w:rFonts w:ascii="Garamond" w:hAnsi="Garamond"/>
        </w:rPr>
        <w:t xml:space="preserve"> for </w:t>
      </w:r>
      <w:r w:rsidRPr="007635D1">
        <w:rPr>
          <w:rFonts w:ascii="Garamond" w:hAnsi="Garamond"/>
        </w:rPr>
        <w:t xml:space="preserve">cyber security and cyber resilience </w:t>
      </w:r>
      <w:r w:rsidR="002E59F7" w:rsidRPr="007635D1">
        <w:rPr>
          <w:rFonts w:ascii="Garamond" w:hAnsi="Garamond"/>
        </w:rPr>
        <w:t>for Qualified Registrars to an Issue and Share Transfer Agents</w:t>
      </w:r>
      <w:r>
        <w:rPr>
          <w:rFonts w:ascii="Garamond" w:hAnsi="Garamond"/>
        </w:rPr>
        <w:t xml:space="preserve"> has been modified</w:t>
      </w:r>
      <w:r w:rsidR="002E59F7" w:rsidRPr="007635D1">
        <w:rPr>
          <w:rFonts w:ascii="Garamond" w:hAnsi="Garamond"/>
        </w:rPr>
        <w:t xml:space="preserve">. </w:t>
      </w:r>
      <w:r>
        <w:rPr>
          <w:rFonts w:ascii="Garamond" w:hAnsi="Garamond"/>
        </w:rPr>
        <w:t>C</w:t>
      </w:r>
      <w:r w:rsidRPr="007635D1">
        <w:rPr>
          <w:rFonts w:ascii="Garamond" w:hAnsi="Garamond"/>
        </w:rPr>
        <w:t>omprehensive cyber audit</w:t>
      </w:r>
      <w:r>
        <w:rPr>
          <w:rFonts w:ascii="Garamond" w:hAnsi="Garamond"/>
        </w:rPr>
        <w:t>,</w:t>
      </w:r>
      <w:r w:rsidRPr="007635D1">
        <w:rPr>
          <w:rFonts w:ascii="Garamond" w:hAnsi="Garamond"/>
        </w:rPr>
        <w:t xml:space="preserve"> at least twice in a financial year </w:t>
      </w:r>
      <w:r>
        <w:rPr>
          <w:rFonts w:ascii="Garamond" w:hAnsi="Garamond"/>
        </w:rPr>
        <w:t>has been made</w:t>
      </w:r>
      <w:r w:rsidR="002E59F7" w:rsidRPr="007635D1">
        <w:rPr>
          <w:rFonts w:ascii="Garamond" w:hAnsi="Garamond"/>
        </w:rPr>
        <w:t xml:space="preserve"> mandatory for QRTAs.  </w:t>
      </w:r>
    </w:p>
    <w:p w:rsidR="007635D1" w:rsidRDefault="007635D1" w:rsidP="007635D1">
      <w:pPr>
        <w:ind w:left="928"/>
        <w:jc w:val="both"/>
        <w:rPr>
          <w:rFonts w:ascii="Garamond" w:hAnsi="Garamond"/>
        </w:rPr>
      </w:pPr>
    </w:p>
    <w:p w:rsidR="002E59F7" w:rsidRPr="007635D1" w:rsidRDefault="002E59F7" w:rsidP="007635D1">
      <w:pPr>
        <w:ind w:left="928"/>
        <w:jc w:val="both"/>
        <w:rPr>
          <w:rFonts w:ascii="Garamond" w:hAnsi="Garamond"/>
        </w:rPr>
      </w:pPr>
      <w:r w:rsidRPr="007635D1">
        <w:rPr>
          <w:rFonts w:ascii="Garamond" w:hAnsi="Garamond"/>
          <w:i/>
          <w:iCs/>
        </w:rPr>
        <w:t>Source: SEBI/HO/MIRSD/MIRSD_RTAMB/P/CIR/2022/73 dated May 27, 2022</w:t>
      </w:r>
      <w:r w:rsidRPr="007635D1">
        <w:rPr>
          <w:rFonts w:ascii="Garamond" w:hAnsi="Garamond"/>
        </w:rPr>
        <w:t>.</w:t>
      </w:r>
    </w:p>
    <w:p w:rsidR="002E59F7" w:rsidRDefault="002E59F7" w:rsidP="002E59F7">
      <w:pPr>
        <w:ind w:left="426"/>
        <w:rPr>
          <w:rFonts w:ascii="Garamond" w:hAnsi="Garamond"/>
          <w:i/>
          <w:iCs/>
          <w:lang w:val="en-US"/>
        </w:rPr>
      </w:pPr>
    </w:p>
    <w:p w:rsidR="002E59F7" w:rsidRPr="00D42F8D" w:rsidRDefault="002E59F7" w:rsidP="00D42F8D">
      <w:pPr>
        <w:pStyle w:val="ListParagraph"/>
        <w:numPr>
          <w:ilvl w:val="0"/>
          <w:numId w:val="25"/>
        </w:numPr>
        <w:shd w:val="clear" w:color="auto" w:fill="FFFFFF"/>
        <w:rPr>
          <w:rFonts w:ascii="Garamond" w:hAnsi="Garamond"/>
          <w:b/>
          <w:bCs/>
          <w:sz w:val="24"/>
          <w:szCs w:val="24"/>
        </w:rPr>
      </w:pPr>
      <w:r w:rsidRPr="00D42F8D">
        <w:rPr>
          <w:rFonts w:ascii="Garamond" w:hAnsi="Garamond"/>
          <w:b/>
          <w:bCs/>
          <w:sz w:val="24"/>
          <w:szCs w:val="24"/>
        </w:rPr>
        <w:t>Modification in Cyber Security and Cyber resilience framework of KYC Registration Agencies</w:t>
      </w:r>
    </w:p>
    <w:p w:rsidR="002E59F7" w:rsidRPr="007635D1" w:rsidRDefault="00BA0033" w:rsidP="007635D1">
      <w:pPr>
        <w:ind w:left="928"/>
        <w:jc w:val="both"/>
        <w:rPr>
          <w:rFonts w:ascii="Garamond" w:hAnsi="Garamond"/>
        </w:rPr>
      </w:pPr>
      <w:r>
        <w:rPr>
          <w:rFonts w:ascii="Garamond" w:hAnsi="Garamond"/>
        </w:rPr>
        <w:t>F</w:t>
      </w:r>
      <w:r w:rsidR="002E59F7" w:rsidRPr="007635D1">
        <w:rPr>
          <w:rFonts w:ascii="Garamond" w:hAnsi="Garamond"/>
        </w:rPr>
        <w:t>ramework for Cyber Security and Cyber Resilience for KYC Registration Agencies</w:t>
      </w:r>
      <w:r>
        <w:rPr>
          <w:rFonts w:ascii="Garamond" w:hAnsi="Garamond"/>
        </w:rPr>
        <w:t xml:space="preserve"> has been modified</w:t>
      </w:r>
      <w:r w:rsidR="002E59F7" w:rsidRPr="007635D1">
        <w:rPr>
          <w:rFonts w:ascii="Garamond" w:hAnsi="Garamond"/>
        </w:rPr>
        <w:t xml:space="preserve">. </w:t>
      </w:r>
      <w:r>
        <w:rPr>
          <w:rFonts w:ascii="Garamond" w:hAnsi="Garamond"/>
        </w:rPr>
        <w:t>C</w:t>
      </w:r>
      <w:r w:rsidRPr="007635D1">
        <w:rPr>
          <w:rFonts w:ascii="Garamond" w:hAnsi="Garamond"/>
        </w:rPr>
        <w:t>omprehensive cyber audit</w:t>
      </w:r>
      <w:r>
        <w:rPr>
          <w:rFonts w:ascii="Garamond" w:hAnsi="Garamond"/>
        </w:rPr>
        <w:t>,</w:t>
      </w:r>
      <w:r w:rsidRPr="007635D1">
        <w:rPr>
          <w:rFonts w:ascii="Garamond" w:hAnsi="Garamond"/>
        </w:rPr>
        <w:t xml:space="preserve"> at least twice in a financial year </w:t>
      </w:r>
      <w:r>
        <w:rPr>
          <w:rFonts w:ascii="Garamond" w:hAnsi="Garamond"/>
        </w:rPr>
        <w:t>has been made</w:t>
      </w:r>
      <w:r w:rsidRPr="007635D1">
        <w:rPr>
          <w:rFonts w:ascii="Garamond" w:hAnsi="Garamond"/>
        </w:rPr>
        <w:t xml:space="preserve"> mandatory for </w:t>
      </w:r>
      <w:r>
        <w:rPr>
          <w:rFonts w:ascii="Garamond" w:hAnsi="Garamond"/>
        </w:rPr>
        <w:t>KYC Registration Agencies</w:t>
      </w:r>
      <w:r w:rsidR="002E59F7" w:rsidRPr="007635D1">
        <w:rPr>
          <w:rFonts w:ascii="Garamond" w:hAnsi="Garamond"/>
        </w:rPr>
        <w:t xml:space="preserve">.  </w:t>
      </w:r>
    </w:p>
    <w:p w:rsidR="007635D1" w:rsidRDefault="007635D1" w:rsidP="007635D1">
      <w:pPr>
        <w:ind w:left="928"/>
        <w:jc w:val="both"/>
        <w:rPr>
          <w:rFonts w:ascii="Garamond" w:hAnsi="Garamond"/>
        </w:rPr>
      </w:pPr>
    </w:p>
    <w:p w:rsidR="002E59F7" w:rsidRPr="007635D1" w:rsidRDefault="002E59F7" w:rsidP="007635D1">
      <w:pPr>
        <w:ind w:left="928"/>
        <w:jc w:val="both"/>
        <w:rPr>
          <w:rFonts w:ascii="Garamond" w:hAnsi="Garamond"/>
          <w:i/>
          <w:iCs/>
        </w:rPr>
      </w:pPr>
      <w:r w:rsidRPr="007635D1">
        <w:rPr>
          <w:rFonts w:ascii="Garamond" w:hAnsi="Garamond"/>
          <w:i/>
          <w:iCs/>
        </w:rPr>
        <w:t>Source: SEBI/HO/MIRSD/DoP/P/CIR/2022/74 dated May 30, 2022.</w:t>
      </w:r>
    </w:p>
    <w:p w:rsidR="002E59F7" w:rsidRPr="00A33108" w:rsidRDefault="002E59F7" w:rsidP="002E59F7">
      <w:pPr>
        <w:ind w:left="426"/>
        <w:rPr>
          <w:rFonts w:ascii="Garamond" w:hAnsi="Garamond"/>
          <w:szCs w:val="26"/>
        </w:rPr>
      </w:pPr>
    </w:p>
    <w:p w:rsidR="002E59F7" w:rsidRPr="00A33108" w:rsidRDefault="002E59F7" w:rsidP="002E59F7">
      <w:pPr>
        <w:pStyle w:val="ListParagraph"/>
        <w:numPr>
          <w:ilvl w:val="0"/>
          <w:numId w:val="25"/>
        </w:numPr>
        <w:shd w:val="clear" w:color="auto" w:fill="FFFFFF"/>
        <w:rPr>
          <w:rFonts w:ascii="Garamond" w:hAnsi="Garamond"/>
          <w:szCs w:val="26"/>
        </w:rPr>
      </w:pPr>
      <w:r w:rsidRPr="00DD2479">
        <w:rPr>
          <w:rFonts w:ascii="Garamond" w:hAnsi="Garamond"/>
          <w:b/>
          <w:bCs/>
          <w:sz w:val="24"/>
          <w:szCs w:val="24"/>
        </w:rPr>
        <w:t>Processing  of  ASBA  applications  in Public  Issue  of  Equity  Shares and Convertibles</w:t>
      </w:r>
    </w:p>
    <w:p w:rsidR="002E59F7" w:rsidRDefault="002E59F7" w:rsidP="007635D1">
      <w:pPr>
        <w:ind w:left="928"/>
        <w:jc w:val="both"/>
        <w:rPr>
          <w:rFonts w:ascii="Garamond" w:hAnsi="Garamond"/>
        </w:rPr>
      </w:pPr>
      <w:r w:rsidRPr="007635D1">
        <w:rPr>
          <w:rFonts w:ascii="Garamond" w:hAnsi="Garamond"/>
        </w:rPr>
        <w:t xml:space="preserve">As  part of the continuing efforts to further streamline the bidding process and to ensure the orderly development of the securities market further, SEBI </w:t>
      </w:r>
      <w:r w:rsidR="00BF08CE">
        <w:rPr>
          <w:rFonts w:ascii="Garamond" w:hAnsi="Garamond"/>
        </w:rPr>
        <w:t>directed</w:t>
      </w:r>
      <w:r w:rsidR="008329C0" w:rsidRPr="007635D1">
        <w:rPr>
          <w:rFonts w:ascii="Garamond" w:hAnsi="Garamond"/>
        </w:rPr>
        <w:t xml:space="preserve"> </w:t>
      </w:r>
      <w:r w:rsidRPr="007635D1">
        <w:rPr>
          <w:rFonts w:ascii="Garamond" w:hAnsi="Garamond"/>
        </w:rPr>
        <w:t xml:space="preserve">that the stock exchanges shall accept the ASBA applications in their electronic book building platform only with a mandatory confirmation on the application monies blocked. </w:t>
      </w:r>
    </w:p>
    <w:p w:rsidR="007635D1" w:rsidRPr="007635D1" w:rsidRDefault="007635D1" w:rsidP="007635D1">
      <w:pPr>
        <w:ind w:left="928"/>
        <w:jc w:val="both"/>
        <w:rPr>
          <w:rFonts w:ascii="Garamond" w:hAnsi="Garamond"/>
        </w:rPr>
      </w:pPr>
    </w:p>
    <w:p w:rsidR="002E59F7" w:rsidRDefault="002E59F7" w:rsidP="007635D1">
      <w:pPr>
        <w:ind w:left="208" w:firstLine="720"/>
        <w:rPr>
          <w:rFonts w:ascii="Garamond" w:hAnsi="Garamond"/>
          <w:i/>
          <w:iCs/>
          <w:lang w:val="en-US"/>
        </w:rPr>
      </w:pPr>
      <w:r>
        <w:rPr>
          <w:rFonts w:ascii="Garamond" w:hAnsi="Garamond"/>
          <w:i/>
          <w:iCs/>
          <w:lang w:val="en-US"/>
        </w:rPr>
        <w:t xml:space="preserve">Source: </w:t>
      </w:r>
      <w:r w:rsidRPr="00DD2479">
        <w:rPr>
          <w:rFonts w:ascii="Garamond" w:hAnsi="Garamond"/>
          <w:i/>
          <w:iCs/>
          <w:lang w:val="en-US"/>
        </w:rPr>
        <w:t>SEBI/HO/CFD/DIL2/P/CIR/2022/75</w:t>
      </w:r>
      <w:r>
        <w:rPr>
          <w:rFonts w:ascii="Garamond" w:hAnsi="Garamond"/>
          <w:i/>
          <w:iCs/>
          <w:lang w:val="en-US"/>
        </w:rPr>
        <w:t xml:space="preserve"> dated May 30, 2022.</w:t>
      </w:r>
    </w:p>
    <w:p w:rsidR="002E59F7" w:rsidRDefault="002E59F7" w:rsidP="002E59F7">
      <w:pPr>
        <w:shd w:val="clear" w:color="auto" w:fill="FFFFFF"/>
        <w:ind w:left="568"/>
        <w:rPr>
          <w:rFonts w:ascii="Garamond" w:hAnsi="Garamond"/>
          <w:szCs w:val="26"/>
        </w:rPr>
      </w:pPr>
    </w:p>
    <w:p w:rsidR="002E59F7" w:rsidRDefault="002E59F7" w:rsidP="002E59F7">
      <w:pPr>
        <w:pStyle w:val="ListParagraph"/>
        <w:numPr>
          <w:ilvl w:val="0"/>
          <w:numId w:val="25"/>
        </w:numPr>
        <w:spacing w:after="160" w:line="259" w:lineRule="auto"/>
        <w:rPr>
          <w:rFonts w:ascii="Garamond" w:hAnsi="Garamond"/>
          <w:b/>
          <w:bCs/>
          <w:sz w:val="24"/>
          <w:szCs w:val="24"/>
        </w:rPr>
      </w:pPr>
      <w:r w:rsidRPr="00DD2479">
        <w:rPr>
          <w:rFonts w:ascii="Garamond" w:hAnsi="Garamond"/>
          <w:b/>
          <w:bCs/>
          <w:sz w:val="24"/>
          <w:szCs w:val="24"/>
        </w:rPr>
        <w:t>Standard  Operating  Procedures  (SOP)  for  dispute  resolution  under  the Stock  Exchange arbitration  mechanism  for  disputes  between  a Listed Company</w:t>
      </w:r>
      <w:r>
        <w:rPr>
          <w:rFonts w:ascii="Garamond" w:hAnsi="Garamond"/>
          <w:b/>
          <w:bCs/>
          <w:sz w:val="24"/>
          <w:szCs w:val="24"/>
        </w:rPr>
        <w:t xml:space="preserve"> </w:t>
      </w:r>
      <w:r w:rsidRPr="00DD2479">
        <w:rPr>
          <w:rFonts w:ascii="Garamond" w:hAnsi="Garamond"/>
          <w:b/>
          <w:bCs/>
          <w:sz w:val="24"/>
          <w:szCs w:val="24"/>
        </w:rPr>
        <w:t>and/or Registrars to an Issue and Share Transfer Agents (RTAs)and its Shareholder(s)/Investor(s)</w:t>
      </w:r>
    </w:p>
    <w:p w:rsidR="002E59F7" w:rsidRDefault="002E59F7" w:rsidP="007635D1">
      <w:pPr>
        <w:ind w:left="928"/>
        <w:jc w:val="both"/>
        <w:rPr>
          <w:rFonts w:ascii="Garamond" w:hAnsi="Garamond"/>
        </w:rPr>
      </w:pPr>
      <w:r w:rsidRPr="007635D1">
        <w:rPr>
          <w:rFonts w:ascii="Garamond" w:hAnsi="Garamond"/>
        </w:rPr>
        <w:lastRenderedPageBreak/>
        <w:t xml:space="preserve">The provisions of SOP for operationalizing the resolution of all disputes pertaining to or </w:t>
      </w:r>
      <w:r w:rsidR="002C0986" w:rsidRPr="007635D1">
        <w:rPr>
          <w:rFonts w:ascii="Garamond" w:hAnsi="Garamond"/>
        </w:rPr>
        <w:t>emanating from</w:t>
      </w:r>
      <w:r w:rsidRPr="007635D1">
        <w:rPr>
          <w:rFonts w:ascii="Garamond" w:hAnsi="Garamond"/>
        </w:rPr>
        <w:t xml:space="preserve">  investor  services  such  as transfer/ transmission  of shares, demat/remat,  issue of duplicate shares,  transposition of holders, etc. were further modified with regard to the parameters for resolving the dispute between a listed company and its shareholders under stock exchange arbitration mechanism, which were prescribed earlier vide SEBI </w:t>
      </w:r>
      <w:r w:rsidR="008329C0">
        <w:rPr>
          <w:rFonts w:ascii="Garamond" w:hAnsi="Garamond"/>
        </w:rPr>
        <w:t>c</w:t>
      </w:r>
      <w:r w:rsidR="008329C0" w:rsidRPr="007635D1">
        <w:rPr>
          <w:rFonts w:ascii="Garamond" w:hAnsi="Garamond"/>
        </w:rPr>
        <w:t xml:space="preserve">ircular </w:t>
      </w:r>
      <w:r w:rsidRPr="007635D1">
        <w:rPr>
          <w:rFonts w:ascii="Garamond" w:hAnsi="Garamond"/>
        </w:rPr>
        <w:t xml:space="preserve">dated April 08, 2022. </w:t>
      </w:r>
    </w:p>
    <w:p w:rsidR="002E59F7" w:rsidRDefault="002E59F7" w:rsidP="007635D1">
      <w:pPr>
        <w:shd w:val="clear" w:color="auto" w:fill="FFFFFF"/>
        <w:ind w:left="208" w:firstLine="720"/>
        <w:rPr>
          <w:rFonts w:ascii="Garamond" w:hAnsi="Garamond"/>
          <w:i/>
          <w:iCs/>
          <w:lang w:val="en-US"/>
        </w:rPr>
      </w:pPr>
      <w:r>
        <w:rPr>
          <w:rFonts w:ascii="Garamond" w:hAnsi="Garamond"/>
          <w:i/>
          <w:iCs/>
          <w:lang w:val="en-US"/>
        </w:rPr>
        <w:t xml:space="preserve">Source: </w:t>
      </w:r>
      <w:r w:rsidRPr="00DD2479">
        <w:rPr>
          <w:rFonts w:ascii="Garamond" w:hAnsi="Garamond"/>
          <w:i/>
          <w:iCs/>
          <w:lang w:val="en-US"/>
        </w:rPr>
        <w:t>SEBI/HO/MIRSD/MIRSD_RTAMB/P/CIR/2022/76</w:t>
      </w:r>
      <w:r>
        <w:rPr>
          <w:rFonts w:ascii="Garamond" w:hAnsi="Garamond"/>
          <w:i/>
          <w:iCs/>
          <w:lang w:val="en-US"/>
        </w:rPr>
        <w:t xml:space="preserve"> dated May 30, 2022.</w:t>
      </w:r>
    </w:p>
    <w:p w:rsidR="009B7ABC" w:rsidRPr="00A33108" w:rsidRDefault="009B7ABC" w:rsidP="007635D1">
      <w:pPr>
        <w:shd w:val="clear" w:color="auto" w:fill="FFFFFF"/>
        <w:ind w:left="208" w:firstLine="720"/>
        <w:rPr>
          <w:rFonts w:ascii="Garamond" w:hAnsi="Garamond"/>
          <w:szCs w:val="26"/>
        </w:rPr>
      </w:pPr>
    </w:p>
    <w:p w:rsidR="002E59F7" w:rsidRDefault="002E59F7" w:rsidP="002E59F7">
      <w:pPr>
        <w:spacing w:after="120"/>
        <w:jc w:val="both"/>
        <w:rPr>
          <w:rFonts w:ascii="Garamond" w:hAnsi="Garamond" w:cs="Arial"/>
          <w:i/>
        </w:rPr>
      </w:pPr>
      <w:r w:rsidRPr="00836FD4">
        <w:rPr>
          <w:rFonts w:ascii="Garamond" w:hAnsi="Garamond" w:cs="Arial"/>
          <w:i/>
        </w:rPr>
        <w:t>Disclaimer: The summary has been prepared for the convenience of readers. In case of any ambiguity, please refer to the original circular</w:t>
      </w:r>
      <w:r>
        <w:rPr>
          <w:rFonts w:ascii="Garamond" w:hAnsi="Garamond" w:cs="Arial"/>
          <w:i/>
        </w:rPr>
        <w:t xml:space="preserve"> from SEBI website</w:t>
      </w:r>
      <w:r w:rsidRPr="00836FD4">
        <w:rPr>
          <w:rFonts w:ascii="Garamond" w:hAnsi="Garamond" w:cs="Arial"/>
          <w:i/>
        </w:rPr>
        <w:t>.</w:t>
      </w: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8329C0" w:rsidRDefault="008329C0" w:rsidP="00B5431D">
      <w:pPr>
        <w:spacing w:after="120"/>
        <w:jc w:val="center"/>
        <w:rPr>
          <w:rFonts w:ascii="Garamond" w:hAnsi="Garamond"/>
          <w:b/>
          <w:color w:val="1F4E79" w:themeColor="accent1" w:themeShade="80"/>
          <w:sz w:val="28"/>
          <w:szCs w:val="28"/>
        </w:rPr>
      </w:pPr>
    </w:p>
    <w:p w:rsidR="00560064" w:rsidRDefault="00560064" w:rsidP="00E97406">
      <w:pPr>
        <w:spacing w:after="120"/>
        <w:rPr>
          <w:rFonts w:ascii="Garamond" w:hAnsi="Garamond"/>
          <w:b/>
          <w:color w:val="1F4E79" w:themeColor="accent1" w:themeShade="80"/>
          <w:sz w:val="28"/>
          <w:szCs w:val="28"/>
        </w:rPr>
      </w:pPr>
    </w:p>
    <w:p w:rsidR="00E97406" w:rsidRDefault="00E97406" w:rsidP="00E97406">
      <w:pPr>
        <w:spacing w:after="120"/>
        <w:rPr>
          <w:rFonts w:ascii="Garamond" w:hAnsi="Garamond"/>
          <w:b/>
          <w:color w:val="1F4E79" w:themeColor="accent1" w:themeShade="80"/>
          <w:sz w:val="28"/>
          <w:szCs w:val="28"/>
        </w:rPr>
      </w:pPr>
    </w:p>
    <w:p w:rsidR="00272724" w:rsidRPr="00C4512E" w:rsidRDefault="00272724" w:rsidP="00B5431D">
      <w:pPr>
        <w:spacing w:after="120"/>
        <w:jc w:val="center"/>
        <w:rPr>
          <w:rFonts w:ascii="Garamond" w:hAnsi="Garamond"/>
          <w:b/>
          <w:color w:val="1F4E79" w:themeColor="accent1" w:themeShade="80"/>
          <w:sz w:val="28"/>
          <w:szCs w:val="28"/>
        </w:rPr>
      </w:pPr>
      <w:r w:rsidRPr="00C4512E">
        <w:rPr>
          <w:rFonts w:ascii="Garamond" w:hAnsi="Garamond"/>
          <w:b/>
          <w:color w:val="1F4E79" w:themeColor="accent1" w:themeShade="80"/>
          <w:sz w:val="28"/>
          <w:szCs w:val="28"/>
        </w:rPr>
        <w:lastRenderedPageBreak/>
        <w:t>REGULATORY ACTIONS TAKEN BY SEBI</w:t>
      </w:r>
    </w:p>
    <w:p w:rsidR="00272724" w:rsidRPr="000F5A2B" w:rsidRDefault="00272724" w:rsidP="00272724">
      <w:pPr>
        <w:rPr>
          <w:rFonts w:ascii="Garamond" w:hAnsi="Garamond"/>
          <w:b/>
        </w:rPr>
      </w:pPr>
    </w:p>
    <w:p w:rsidR="00272724" w:rsidRPr="000F5A2B" w:rsidRDefault="00C4512E" w:rsidP="00C4512E">
      <w:pPr>
        <w:jc w:val="center"/>
        <w:rPr>
          <w:rFonts w:ascii="Garamond" w:hAnsi="Garamond"/>
          <w:b/>
          <w:color w:val="1F4E79" w:themeColor="accent1" w:themeShade="80"/>
        </w:rPr>
      </w:pPr>
      <w:r>
        <w:rPr>
          <w:rFonts w:ascii="Garamond" w:hAnsi="Garamond"/>
          <w:b/>
          <w:color w:val="1F4E79" w:themeColor="accent1" w:themeShade="80"/>
        </w:rPr>
        <w:t>(</w:t>
      </w:r>
      <w:r w:rsidR="00836FD4" w:rsidRPr="000F5A2B">
        <w:rPr>
          <w:rFonts w:ascii="Garamond" w:hAnsi="Garamond"/>
          <w:b/>
          <w:color w:val="1F4E79" w:themeColor="accent1" w:themeShade="80"/>
        </w:rPr>
        <w:t xml:space="preserve">Summary of </w:t>
      </w:r>
      <w:r w:rsidR="00272724" w:rsidRPr="000F5A2B">
        <w:rPr>
          <w:rFonts w:ascii="Garamond" w:hAnsi="Garamond"/>
          <w:b/>
          <w:color w:val="1F4E79" w:themeColor="accent1" w:themeShade="80"/>
        </w:rPr>
        <w:t>Orders passed by Whole Time Members</w:t>
      </w:r>
      <w:r w:rsidR="00F9747C" w:rsidRPr="000F5A2B">
        <w:rPr>
          <w:rFonts w:ascii="Garamond" w:hAnsi="Garamond"/>
          <w:b/>
          <w:color w:val="1F4E79" w:themeColor="accent1" w:themeShade="80"/>
        </w:rPr>
        <w:t xml:space="preserve"> / Adjudication Officers</w:t>
      </w:r>
      <w:r>
        <w:rPr>
          <w:rFonts w:ascii="Garamond" w:hAnsi="Garamond"/>
          <w:b/>
          <w:color w:val="1F4E79" w:themeColor="accent1" w:themeShade="80"/>
        </w:rPr>
        <w:t>)</w:t>
      </w:r>
    </w:p>
    <w:p w:rsidR="00A71EC8" w:rsidRDefault="00A71EC8" w:rsidP="00A71EC8">
      <w:pPr>
        <w:rPr>
          <w:rFonts w:ascii="Garamond" w:hAnsi="Garamond"/>
          <w:b/>
          <w:color w:val="1F4E79" w:themeColor="accent1" w:themeShade="80"/>
        </w:rPr>
      </w:pPr>
    </w:p>
    <w:tbl>
      <w:tblPr>
        <w:tblW w:w="10774" w:type="dxa"/>
        <w:tblLayout w:type="fixed"/>
        <w:tblLook w:val="04A0" w:firstRow="1" w:lastRow="0" w:firstColumn="1" w:lastColumn="0" w:noHBand="0" w:noVBand="1"/>
      </w:tblPr>
      <w:tblGrid>
        <w:gridCol w:w="568"/>
        <w:gridCol w:w="1418"/>
        <w:gridCol w:w="1701"/>
        <w:gridCol w:w="1275"/>
        <w:gridCol w:w="2127"/>
        <w:gridCol w:w="2268"/>
        <w:gridCol w:w="1417"/>
      </w:tblGrid>
      <w:tr w:rsidR="00A71EC8" w:rsidRPr="00B03F79" w:rsidTr="00E97406">
        <w:trPr>
          <w:trHeight w:val="300"/>
        </w:trPr>
        <w:tc>
          <w:tcPr>
            <w:tcW w:w="10774" w:type="dxa"/>
            <w:gridSpan w:val="7"/>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center"/>
              <w:rPr>
                <w:rFonts w:ascii="Garamond" w:hAnsi="Garamond" w:cs="Calibri"/>
                <w:b/>
                <w:bCs/>
                <w:color w:val="000000"/>
                <w:sz w:val="18"/>
                <w:szCs w:val="18"/>
                <w:lang w:val="en-IN" w:eastAsia="en-IN" w:bidi="hi-IN"/>
              </w:rPr>
            </w:pPr>
            <w:r w:rsidRPr="000F5A2B">
              <w:rPr>
                <w:rFonts w:ascii="Garamond" w:hAnsi="Garamond"/>
                <w:b/>
                <w:color w:val="1F4E79" w:themeColor="accent1" w:themeShade="80"/>
              </w:rPr>
              <w:t>Orders passed by Whole Time Members</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s="Calibri"/>
                <w:b/>
                <w:bCs/>
                <w:color w:val="000000"/>
                <w:sz w:val="18"/>
                <w:szCs w:val="18"/>
                <w:lang w:val="en-IN" w:eastAsia="en-IN" w:bidi="hi-IN"/>
              </w:rPr>
            </w:pPr>
            <w:r w:rsidRPr="00B03F79">
              <w:rPr>
                <w:rFonts w:ascii="Garamond" w:hAnsi="Garamond" w:cs="Calibri"/>
                <w:b/>
                <w:bCs/>
                <w:color w:val="000000"/>
                <w:sz w:val="18"/>
                <w:szCs w:val="18"/>
                <w:lang w:val="en-IN" w:eastAsia="en-IN" w:bidi="hi-IN"/>
              </w:rPr>
              <w:t>Sl.</w:t>
            </w:r>
          </w:p>
          <w:p w:rsidR="00A71EC8" w:rsidRPr="00B03F79" w:rsidRDefault="00A71EC8" w:rsidP="00A71EC8">
            <w:pPr>
              <w:jc w:val="both"/>
              <w:rPr>
                <w:rFonts w:ascii="Garamond" w:hAnsi="Garamond" w:cs="Calibri"/>
                <w:b/>
                <w:bCs/>
                <w:color w:val="000000"/>
                <w:sz w:val="18"/>
                <w:szCs w:val="18"/>
                <w:lang w:val="en-IN" w:eastAsia="en-IN" w:bidi="hi-IN"/>
              </w:rPr>
            </w:pPr>
            <w:r w:rsidRPr="00B03F79">
              <w:rPr>
                <w:rFonts w:ascii="Garamond" w:hAnsi="Garamond" w:cs="Calibri"/>
                <w:b/>
                <w:bCs/>
                <w:color w:val="000000"/>
                <w:sz w:val="18"/>
                <w:szCs w:val="18"/>
                <w:lang w:val="en-IN" w:eastAsia="en-IN" w:bidi="hi-IN"/>
              </w:rPr>
              <w:t>No.</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Pr="00B03F79" w:rsidRDefault="00A71EC8" w:rsidP="00A71EC8">
            <w:pPr>
              <w:jc w:val="center"/>
              <w:rPr>
                <w:rFonts w:ascii="Garamond" w:hAnsi="Garamond" w:cs="Calibri"/>
                <w:b/>
                <w:bCs/>
                <w:color w:val="000000"/>
                <w:sz w:val="18"/>
                <w:szCs w:val="18"/>
                <w:lang w:val="en-IN" w:eastAsia="en-IN" w:bidi="hi-IN"/>
              </w:rPr>
            </w:pPr>
            <w:r w:rsidRPr="00B03F79">
              <w:rPr>
                <w:rFonts w:ascii="Garamond" w:hAnsi="Garamond" w:cs="Calibri"/>
                <w:b/>
                <w:bCs/>
                <w:color w:val="000000"/>
                <w:sz w:val="18"/>
                <w:szCs w:val="18"/>
                <w:lang w:val="en-IN" w:eastAsia="en-IN" w:bidi="hi-IN"/>
              </w:rPr>
              <w:t>Date</w:t>
            </w:r>
          </w:p>
        </w:tc>
        <w:tc>
          <w:tcPr>
            <w:tcW w:w="1701" w:type="dxa"/>
            <w:tcBorders>
              <w:top w:val="single" w:sz="4" w:space="0" w:color="auto"/>
              <w:left w:val="nil"/>
              <w:bottom w:val="single" w:sz="4" w:space="0" w:color="auto"/>
              <w:right w:val="single" w:sz="4" w:space="0" w:color="auto"/>
            </w:tcBorders>
            <w:shd w:val="clear" w:color="auto" w:fill="auto"/>
            <w:noWrap/>
          </w:tcPr>
          <w:p w:rsidR="00A71EC8" w:rsidRPr="00B03F79" w:rsidRDefault="00A71EC8" w:rsidP="00A71EC8">
            <w:pPr>
              <w:jc w:val="center"/>
              <w:rPr>
                <w:rFonts w:ascii="Garamond" w:hAnsi="Garamond" w:cs="Calibri"/>
                <w:b/>
                <w:bCs/>
                <w:color w:val="000000"/>
                <w:sz w:val="18"/>
                <w:szCs w:val="18"/>
                <w:lang w:val="en-IN" w:eastAsia="en-IN" w:bidi="hi-IN"/>
              </w:rPr>
            </w:pPr>
            <w:r w:rsidRPr="00B03F79">
              <w:rPr>
                <w:rFonts w:ascii="Garamond" w:hAnsi="Garamond" w:cs="Calibri"/>
                <w:b/>
                <w:bCs/>
                <w:color w:val="000000"/>
                <w:sz w:val="18"/>
                <w:szCs w:val="18"/>
                <w:lang w:val="en-IN" w:eastAsia="en-IN" w:bidi="hi-IN"/>
              </w:rPr>
              <w:t>Case Name</w:t>
            </w:r>
          </w:p>
        </w:tc>
        <w:tc>
          <w:tcPr>
            <w:tcW w:w="1275" w:type="dxa"/>
            <w:tcBorders>
              <w:top w:val="single" w:sz="4" w:space="0" w:color="auto"/>
              <w:left w:val="nil"/>
              <w:bottom w:val="single" w:sz="4" w:space="0" w:color="auto"/>
              <w:right w:val="single" w:sz="4" w:space="0" w:color="auto"/>
            </w:tcBorders>
            <w:shd w:val="clear" w:color="auto" w:fill="auto"/>
            <w:noWrap/>
          </w:tcPr>
          <w:p w:rsidR="00A71EC8" w:rsidRPr="00B03F79" w:rsidRDefault="00A71EC8" w:rsidP="00A71EC8">
            <w:pPr>
              <w:jc w:val="center"/>
              <w:rPr>
                <w:rFonts w:ascii="Garamond" w:hAnsi="Garamond" w:cs="Calibri"/>
                <w:b/>
                <w:bCs/>
                <w:color w:val="000000"/>
                <w:sz w:val="18"/>
                <w:szCs w:val="18"/>
                <w:lang w:val="en-IN" w:eastAsia="en-IN" w:bidi="hi-IN"/>
              </w:rPr>
            </w:pPr>
            <w:r w:rsidRPr="00B03F79">
              <w:rPr>
                <w:rFonts w:ascii="Garamond" w:hAnsi="Garamond" w:cs="Calibri"/>
                <w:b/>
                <w:bCs/>
                <w:color w:val="000000"/>
                <w:sz w:val="18"/>
                <w:szCs w:val="18"/>
                <w:lang w:val="en-IN" w:eastAsia="en-IN" w:bidi="hi-IN"/>
              </w:rPr>
              <w:t>Action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Pr="00B03F79" w:rsidRDefault="00A71EC8" w:rsidP="00A71EC8">
            <w:pPr>
              <w:jc w:val="center"/>
              <w:rPr>
                <w:rFonts w:ascii="Garamond" w:hAnsi="Garamond" w:cs="Calibri"/>
                <w:b/>
                <w:bCs/>
                <w:color w:val="000000"/>
                <w:sz w:val="18"/>
                <w:szCs w:val="18"/>
                <w:lang w:val="en-IN" w:eastAsia="en-IN" w:bidi="hi-IN"/>
              </w:rPr>
            </w:pPr>
            <w:r w:rsidRPr="00B03F79">
              <w:rPr>
                <w:rFonts w:ascii="Garamond" w:hAnsi="Garamond" w:cs="Calibri"/>
                <w:b/>
                <w:bCs/>
                <w:color w:val="000000"/>
                <w:sz w:val="18"/>
                <w:szCs w:val="18"/>
                <w:lang w:val="en-IN" w:eastAsia="en-IN" w:bidi="hi-IN"/>
              </w:rPr>
              <w:t>Entity</w:t>
            </w:r>
          </w:p>
        </w:tc>
        <w:tc>
          <w:tcPr>
            <w:tcW w:w="2268" w:type="dxa"/>
            <w:tcBorders>
              <w:top w:val="single" w:sz="4" w:space="0" w:color="auto"/>
              <w:left w:val="nil"/>
              <w:bottom w:val="single" w:sz="4" w:space="0" w:color="auto"/>
              <w:right w:val="single" w:sz="4" w:space="0" w:color="auto"/>
            </w:tcBorders>
            <w:shd w:val="clear" w:color="auto" w:fill="auto"/>
            <w:noWrap/>
          </w:tcPr>
          <w:p w:rsidR="00A71EC8" w:rsidRPr="00B03F79" w:rsidRDefault="00A71EC8" w:rsidP="00A71EC8">
            <w:pPr>
              <w:jc w:val="center"/>
              <w:rPr>
                <w:rFonts w:ascii="Garamond" w:hAnsi="Garamond" w:cs="Calibri"/>
                <w:b/>
                <w:bCs/>
                <w:color w:val="000000"/>
                <w:sz w:val="18"/>
                <w:szCs w:val="18"/>
                <w:lang w:val="en-IN" w:eastAsia="en-IN" w:bidi="hi-IN"/>
              </w:rPr>
            </w:pPr>
            <w:r w:rsidRPr="00B03F79">
              <w:rPr>
                <w:rFonts w:ascii="Garamond" w:hAnsi="Garamond" w:cs="Calibri"/>
                <w:b/>
                <w:bCs/>
                <w:color w:val="000000"/>
                <w:sz w:val="18"/>
                <w:szCs w:val="18"/>
                <w:lang w:val="en-IN" w:eastAsia="en-IN" w:bidi="hi-IN"/>
              </w:rPr>
              <w:t>Violation</w:t>
            </w:r>
          </w:p>
        </w:tc>
        <w:tc>
          <w:tcPr>
            <w:tcW w:w="1417" w:type="dxa"/>
            <w:tcBorders>
              <w:top w:val="single" w:sz="4" w:space="0" w:color="auto"/>
              <w:left w:val="nil"/>
              <w:bottom w:val="single" w:sz="4" w:space="0" w:color="auto"/>
              <w:right w:val="single" w:sz="4" w:space="0" w:color="auto"/>
            </w:tcBorders>
            <w:shd w:val="clear" w:color="auto" w:fill="auto"/>
            <w:noWrap/>
          </w:tcPr>
          <w:p w:rsidR="00A71EC8" w:rsidRPr="00B03F79" w:rsidRDefault="00CC2002" w:rsidP="00A71EC8">
            <w:pPr>
              <w:jc w:val="center"/>
              <w:rPr>
                <w:rFonts w:ascii="Garamond" w:hAnsi="Garamond" w:cs="Calibri"/>
                <w:b/>
                <w:bCs/>
                <w:color w:val="000000"/>
                <w:sz w:val="18"/>
                <w:szCs w:val="18"/>
                <w:lang w:val="en-IN" w:eastAsia="en-IN" w:bidi="hi-IN"/>
              </w:rPr>
            </w:pPr>
            <w:r>
              <w:rPr>
                <w:rFonts w:ascii="Garamond" w:hAnsi="Garamond" w:cs="Calibri"/>
                <w:b/>
                <w:bCs/>
                <w:color w:val="000000"/>
                <w:sz w:val="18"/>
                <w:szCs w:val="18"/>
                <w:lang w:val="en-IN" w:eastAsia="en-IN" w:bidi="hi-IN"/>
              </w:rPr>
              <w:t>Penalty/Outcome</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06,2022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Unregistered Investment Adviser</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Fortunescript Services Private </w:t>
            </w:r>
            <w:r w:rsidR="008329C0">
              <w:rPr>
                <w:rFonts w:ascii="Garamond" w:hAnsi="Garamond" w:cs="Calibri"/>
                <w:sz w:val="18"/>
                <w:szCs w:val="18"/>
              </w:rPr>
              <w:t>Ltd.</w:t>
            </w:r>
            <w:r>
              <w:rPr>
                <w:rFonts w:ascii="Garamond" w:hAnsi="Garamond" w:cs="Calibri"/>
                <w:sz w:val="18"/>
                <w:szCs w:val="18"/>
              </w:rPr>
              <w:t>, Mr. Mithilesh Narayan, Mr. Shiba Shankar Das, Mr. Dilip Kumar Rajak</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Regulation 4(2)(k) of PFUTP Regulations, 2003. ; Regulation 3(1) of the IA Regulations, 2013</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F20872" w:rsidP="00DB09CF">
            <w:pPr>
              <w:rPr>
                <w:rFonts w:ascii="Garamond" w:hAnsi="Garamond" w:cs="Calibri"/>
                <w:sz w:val="18"/>
                <w:szCs w:val="18"/>
              </w:rPr>
            </w:pPr>
            <w:r>
              <w:rPr>
                <w:rFonts w:ascii="Garamond" w:hAnsi="Garamond" w:cs="Calibri"/>
                <w:sz w:val="18"/>
                <w:szCs w:val="18"/>
              </w:rPr>
              <w:t xml:space="preserve">Debarred for </w:t>
            </w:r>
            <w:r w:rsidR="003E2FCF">
              <w:rPr>
                <w:rFonts w:ascii="Garamond" w:hAnsi="Garamond" w:cs="Calibri"/>
                <w:sz w:val="18"/>
                <w:szCs w:val="18"/>
              </w:rPr>
              <w:t xml:space="preserve">the period of six </w:t>
            </w:r>
            <w:r>
              <w:rPr>
                <w:rFonts w:ascii="Garamond" w:hAnsi="Garamond" w:cs="Calibri"/>
                <w:sz w:val="18"/>
                <w:szCs w:val="18"/>
              </w:rPr>
              <w:t xml:space="preserve">months </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10,2022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Indian Commodity Exchange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Indian Commodity Exchange </w:t>
            </w:r>
            <w:r w:rsidR="008329C0">
              <w:rPr>
                <w:rFonts w:ascii="Garamond" w:hAnsi="Garamond" w:cs="Calibri"/>
                <w:sz w:val="18"/>
                <w:szCs w:val="18"/>
              </w:rPr>
              <w:t>Ltd.</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F20872" w:rsidP="00DB09CF">
            <w:pPr>
              <w:rPr>
                <w:rFonts w:ascii="Garamond" w:hAnsi="Garamond" w:cs="Calibri"/>
                <w:sz w:val="18"/>
                <w:szCs w:val="18"/>
              </w:rPr>
            </w:pPr>
            <w:r>
              <w:rPr>
                <w:rFonts w:ascii="Garamond" w:hAnsi="Garamond" w:cs="Calibri"/>
                <w:sz w:val="18"/>
                <w:szCs w:val="18"/>
              </w:rPr>
              <w:t>Section 5(1) of Securities Contracts (Regulation) Act, 1956</w:t>
            </w:r>
          </w:p>
        </w:tc>
        <w:tc>
          <w:tcPr>
            <w:tcW w:w="1417" w:type="dxa"/>
            <w:tcBorders>
              <w:top w:val="single" w:sz="4" w:space="0" w:color="auto"/>
              <w:left w:val="nil"/>
              <w:bottom w:val="single" w:sz="4" w:space="0" w:color="auto"/>
              <w:right w:val="single" w:sz="4" w:space="0" w:color="auto"/>
            </w:tcBorders>
            <w:shd w:val="clear" w:color="auto" w:fill="auto"/>
            <w:noWrap/>
          </w:tcPr>
          <w:p w:rsidR="00DB09CF" w:rsidRPr="00F20872" w:rsidRDefault="00F20872" w:rsidP="00CC2002">
            <w:pPr>
              <w:rPr>
                <w:rFonts w:ascii="Garamond" w:hAnsi="Garamond" w:cs="Calibri"/>
                <w:sz w:val="18"/>
                <w:szCs w:val="18"/>
              </w:rPr>
            </w:pPr>
            <w:r w:rsidRPr="00F20872">
              <w:rPr>
                <w:rFonts w:ascii="Garamond" w:hAnsi="Garamond" w:cs="Calibri"/>
                <w:sz w:val="18"/>
                <w:szCs w:val="18"/>
              </w:rPr>
              <w:t xml:space="preserve">Wtihdrawal of </w:t>
            </w:r>
            <w:r w:rsidR="00CC2002">
              <w:rPr>
                <w:rFonts w:ascii="Garamond" w:hAnsi="Garamond" w:cs="Calibri"/>
                <w:sz w:val="18"/>
                <w:szCs w:val="18"/>
              </w:rPr>
              <w:t>r</w:t>
            </w:r>
            <w:r w:rsidR="00CC2002" w:rsidRPr="00F20872">
              <w:rPr>
                <w:rFonts w:ascii="Garamond" w:hAnsi="Garamond" w:cs="Calibri"/>
                <w:sz w:val="18"/>
                <w:szCs w:val="18"/>
              </w:rPr>
              <w:t xml:space="preserve">ecognition </w:t>
            </w:r>
            <w:r w:rsidRPr="00F20872">
              <w:rPr>
                <w:rFonts w:ascii="Garamond" w:hAnsi="Garamond" w:cs="Calibri"/>
                <w:sz w:val="18"/>
                <w:szCs w:val="18"/>
              </w:rPr>
              <w:t>granted</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11,2022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M/s. Zoid Research (Prop. Tabrez Khan)</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M/s. Zoid Research (Prop. Tabrez Khan)</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Regulations 7(2), 15(9), 16 and Clauses 1, 2,5 and 6 of the Code of  Conduct  prescribed  under Third  Schedule  of  IA  Regulations</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562A3B" w:rsidP="003E2FCF">
            <w:pPr>
              <w:rPr>
                <w:rFonts w:ascii="Garamond" w:hAnsi="Garamond" w:cs="Calibri"/>
                <w:sz w:val="18"/>
                <w:szCs w:val="18"/>
              </w:rPr>
            </w:pPr>
            <w:r>
              <w:rPr>
                <w:rFonts w:ascii="Garamond" w:hAnsi="Garamond" w:cs="Calibri"/>
                <w:sz w:val="18"/>
                <w:szCs w:val="18"/>
              </w:rPr>
              <w:t xml:space="preserve">Suspension of the </w:t>
            </w:r>
            <w:r w:rsidR="00CC2002">
              <w:rPr>
                <w:rFonts w:ascii="Garamond" w:hAnsi="Garamond" w:cs="Calibri"/>
                <w:sz w:val="18"/>
                <w:szCs w:val="18"/>
              </w:rPr>
              <w:t xml:space="preserve">certificate </w:t>
            </w:r>
            <w:r>
              <w:rPr>
                <w:rFonts w:ascii="Garamond" w:hAnsi="Garamond" w:cs="Calibri"/>
                <w:sz w:val="18"/>
                <w:szCs w:val="18"/>
              </w:rPr>
              <w:t xml:space="preserve">of </w:t>
            </w:r>
            <w:r w:rsidR="00CC2002">
              <w:rPr>
                <w:rFonts w:ascii="Garamond" w:hAnsi="Garamond" w:cs="Calibri"/>
                <w:sz w:val="18"/>
                <w:szCs w:val="18"/>
              </w:rPr>
              <w:t xml:space="preserve">registration </w:t>
            </w:r>
            <w:r w:rsidR="003E2FCF">
              <w:rPr>
                <w:rFonts w:ascii="Garamond" w:hAnsi="Garamond" w:cs="Calibri"/>
                <w:sz w:val="18"/>
                <w:szCs w:val="18"/>
              </w:rPr>
              <w:t xml:space="preserve">to act as </w:t>
            </w:r>
            <w:r w:rsidR="00CC2002">
              <w:rPr>
                <w:rFonts w:ascii="Garamond" w:hAnsi="Garamond" w:cs="Calibri"/>
                <w:sz w:val="18"/>
                <w:szCs w:val="18"/>
              </w:rPr>
              <w:t>investment adviser</w:t>
            </w:r>
          </w:p>
          <w:p w:rsidR="00562A3B" w:rsidRDefault="00562A3B" w:rsidP="003E2FCF">
            <w:pPr>
              <w:rPr>
                <w:rFonts w:ascii="Garamond" w:hAnsi="Garamond" w:cs="Calibri"/>
                <w:sz w:val="18"/>
                <w:szCs w:val="18"/>
              </w:rPr>
            </w:pP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11,2022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Jalan Cement Works </w:t>
            </w:r>
            <w:r w:rsidR="008329C0">
              <w:rPr>
                <w:rFonts w:ascii="Garamond" w:hAnsi="Garamond" w:cs="Calibri"/>
                <w:sz w:val="18"/>
                <w:szCs w:val="18"/>
              </w:rPr>
              <w:t>Ltd.</w:t>
            </w:r>
            <w:r>
              <w:rPr>
                <w:rFonts w:ascii="Garamond" w:hAnsi="Garamond" w:cs="Calibri"/>
                <w:sz w:val="18"/>
                <w:szCs w:val="18"/>
              </w:rPr>
              <w:t xml:space="preserve">(now known as Aashrit Capital </w:t>
            </w:r>
            <w:r w:rsidR="008329C0">
              <w:rPr>
                <w:rFonts w:ascii="Garamond" w:hAnsi="Garamond" w:cs="Calibri"/>
                <w:sz w:val="18"/>
                <w:szCs w:val="18"/>
              </w:rPr>
              <w:t>Ltd.</w:t>
            </w:r>
            <w:r>
              <w:rPr>
                <w:rFonts w:ascii="Garamond" w:hAnsi="Garamond" w:cs="Calibri"/>
                <w:sz w:val="18"/>
                <w:szCs w:val="18"/>
              </w:rPr>
              <w:t>)</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Jalan Cement Works </w:t>
            </w:r>
            <w:r w:rsidR="008329C0">
              <w:rPr>
                <w:rFonts w:ascii="Garamond" w:hAnsi="Garamond" w:cs="Calibri"/>
                <w:sz w:val="18"/>
                <w:szCs w:val="18"/>
              </w:rPr>
              <w:t>Ltd.</w:t>
            </w:r>
            <w:r>
              <w:rPr>
                <w:rFonts w:ascii="Garamond" w:hAnsi="Garamond" w:cs="Calibri"/>
                <w:sz w:val="18"/>
                <w:szCs w:val="18"/>
              </w:rPr>
              <w:t xml:space="preserve"> (now known as Aashrit Capital </w:t>
            </w:r>
            <w:r w:rsidR="008329C0">
              <w:rPr>
                <w:rFonts w:ascii="Garamond" w:hAnsi="Garamond" w:cs="Calibri"/>
                <w:sz w:val="18"/>
                <w:szCs w:val="18"/>
              </w:rPr>
              <w:t>Ltd.</w:t>
            </w:r>
            <w:r>
              <w:rPr>
                <w:rFonts w:ascii="Garamond" w:hAnsi="Garamond" w:cs="Calibri"/>
                <w:sz w:val="18"/>
                <w:szCs w:val="18"/>
              </w:rPr>
              <w:t>), Mr. Prateek Arora, Mr. Nimish Arora, Ms. Roli Gupta &amp; 9 Others</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Regulations 4(2)(f)(ii)(6)  &amp;  (7)  and  4(2)(f)(iii)(2),  (3),  (6),(12) and33(2)(a) of the LODR Regulations, 2015.</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DB09CF" w:rsidP="003E2FCF">
            <w:pPr>
              <w:rPr>
                <w:rFonts w:ascii="Garamond" w:hAnsi="Garamond" w:cs="Calibri"/>
                <w:sz w:val="18"/>
                <w:szCs w:val="18"/>
              </w:rPr>
            </w:pPr>
            <w:r>
              <w:rPr>
                <w:rFonts w:ascii="Garamond" w:hAnsi="Garamond" w:cs="Calibri"/>
                <w:sz w:val="18"/>
                <w:szCs w:val="18"/>
              </w:rPr>
              <w:t xml:space="preserve">                         </w:t>
            </w:r>
            <w:r w:rsidR="00CC2002">
              <w:rPr>
                <w:rFonts w:ascii="Garamond" w:hAnsi="Garamond" w:cs="Calibri"/>
                <w:sz w:val="18"/>
                <w:szCs w:val="18"/>
              </w:rPr>
              <w:t>Rs.</w:t>
            </w:r>
            <w:r>
              <w:rPr>
                <w:rFonts w:ascii="Garamond" w:hAnsi="Garamond" w:cs="Calibri"/>
                <w:sz w:val="18"/>
                <w:szCs w:val="18"/>
              </w:rPr>
              <w:t>66</w:t>
            </w:r>
            <w:r w:rsidR="00562A3B">
              <w:rPr>
                <w:rFonts w:ascii="Garamond" w:hAnsi="Garamond" w:cs="Calibri"/>
                <w:sz w:val="18"/>
                <w:szCs w:val="18"/>
              </w:rPr>
              <w:t>,</w:t>
            </w:r>
            <w:r>
              <w:rPr>
                <w:rFonts w:ascii="Garamond" w:hAnsi="Garamond" w:cs="Calibri"/>
                <w:sz w:val="18"/>
                <w:szCs w:val="18"/>
              </w:rPr>
              <w:t>00,000</w:t>
            </w:r>
            <w:r w:rsidR="003E2FCF">
              <w:rPr>
                <w:rFonts w:ascii="Garamond" w:hAnsi="Garamond" w:cs="Calibri"/>
                <w:sz w:val="18"/>
                <w:szCs w:val="18"/>
              </w:rPr>
              <w:t xml:space="preserve"> and debarred for the period of six months </w:t>
            </w:r>
            <w:r>
              <w:rPr>
                <w:rFonts w:ascii="Garamond" w:hAnsi="Garamond" w:cs="Calibri"/>
                <w:sz w:val="18"/>
                <w:szCs w:val="18"/>
              </w:rPr>
              <w:t xml:space="preserve"> </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13,2022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Urja Global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Urja Global </w:t>
            </w:r>
            <w:r w:rsidR="008329C0">
              <w:rPr>
                <w:rFonts w:ascii="Garamond" w:hAnsi="Garamond" w:cs="Calibri"/>
                <w:sz w:val="18"/>
                <w:szCs w:val="18"/>
              </w:rPr>
              <w:t>Ltd.</w:t>
            </w:r>
            <w:r>
              <w:rPr>
                <w:rFonts w:ascii="Garamond" w:hAnsi="Garamond" w:cs="Calibri"/>
                <w:sz w:val="18"/>
                <w:szCs w:val="18"/>
              </w:rPr>
              <w:t>, Yogesh Kumar Goyal, Sunil Kumar Mittal, Aditya Venketesh &amp; 3 others</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Regulations 30(8) and 4(2)(f)(i)(2) of the LODR Regulations.</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3E2FCF" w:rsidP="00CC2002">
            <w:pPr>
              <w:rPr>
                <w:rFonts w:ascii="Garamond" w:hAnsi="Garamond" w:cs="Calibri"/>
                <w:sz w:val="18"/>
                <w:szCs w:val="18"/>
              </w:rPr>
            </w:pPr>
            <w:r>
              <w:rPr>
                <w:rFonts w:ascii="Garamond" w:hAnsi="Garamond" w:cs="Calibri"/>
                <w:sz w:val="18"/>
                <w:szCs w:val="18"/>
              </w:rPr>
              <w:t xml:space="preserve">Prohibited from being associated with </w:t>
            </w:r>
            <w:r w:rsidR="00CC2002">
              <w:rPr>
                <w:rFonts w:ascii="Garamond" w:hAnsi="Garamond" w:cs="Calibri"/>
                <w:sz w:val="18"/>
                <w:szCs w:val="18"/>
              </w:rPr>
              <w:t xml:space="preserve">securities market </w:t>
            </w:r>
            <w:r>
              <w:rPr>
                <w:rFonts w:ascii="Garamond" w:hAnsi="Garamond" w:cs="Calibri"/>
                <w:sz w:val="18"/>
                <w:szCs w:val="18"/>
              </w:rPr>
              <w:t>for two years</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27,2022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Unregistered portfolio   manager</w:t>
            </w:r>
            <w:r w:rsidR="003E2FCF">
              <w:rPr>
                <w:rFonts w:ascii="Garamond" w:hAnsi="Garamond" w:cs="Calibri"/>
                <w:sz w:val="18"/>
                <w:szCs w:val="18"/>
              </w:rPr>
              <w:t xml:space="preserve"> </w:t>
            </w:r>
            <w:r>
              <w:rPr>
                <w:rFonts w:ascii="Garamond" w:hAnsi="Garamond" w:cs="Calibri"/>
                <w:sz w:val="18"/>
                <w:szCs w:val="18"/>
              </w:rPr>
              <w:t xml:space="preserve">services   by Minance Technologies Private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Minance Technologies Private </w:t>
            </w:r>
            <w:r w:rsidR="008329C0">
              <w:rPr>
                <w:rFonts w:ascii="Garamond" w:hAnsi="Garamond" w:cs="Calibri"/>
                <w:sz w:val="18"/>
                <w:szCs w:val="18"/>
              </w:rPr>
              <w:t>Ltd.</w:t>
            </w:r>
            <w:r>
              <w:rPr>
                <w:rFonts w:ascii="Garamond" w:hAnsi="Garamond" w:cs="Calibri"/>
                <w:sz w:val="18"/>
                <w:szCs w:val="18"/>
              </w:rPr>
              <w:t>, Anurag Bhatia, Adhiraj Singh, Soham Soumya Sarkar</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DB09CF" w:rsidRDefault="00DB09CF" w:rsidP="00DB09CF">
            <w:pPr>
              <w:rPr>
                <w:rFonts w:ascii="Garamond" w:hAnsi="Garamond" w:cs="Calibri"/>
                <w:sz w:val="18"/>
                <w:szCs w:val="18"/>
              </w:rPr>
            </w:pPr>
            <w:r>
              <w:rPr>
                <w:rFonts w:ascii="Garamond" w:hAnsi="Garamond" w:cs="Calibri"/>
                <w:sz w:val="18"/>
                <w:szCs w:val="18"/>
              </w:rPr>
              <w:t>Section   12(1)   of  SEBI   Act,   1992   read  with   Regulation   3  of   the   PMS Regulations, 1993 and Regulation 42 of the PMS Regulations, 2020.</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3E2FCF" w:rsidP="003E2FCF">
            <w:pPr>
              <w:rPr>
                <w:rFonts w:ascii="Garamond" w:hAnsi="Garamond" w:cs="Calibri"/>
                <w:sz w:val="18"/>
                <w:szCs w:val="18"/>
              </w:rPr>
            </w:pPr>
            <w:r>
              <w:rPr>
                <w:rFonts w:ascii="Garamond" w:hAnsi="Garamond" w:cs="Calibri"/>
                <w:sz w:val="18"/>
                <w:szCs w:val="18"/>
              </w:rPr>
              <w:t xml:space="preserve">Debarred for the period of three years and one year respectively  </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27,2022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M/s Money Classic (Proprietor:</w:t>
            </w:r>
            <w:r w:rsidR="003E2FCF">
              <w:rPr>
                <w:rFonts w:ascii="Garamond" w:hAnsi="Garamond" w:cs="Calibri"/>
                <w:sz w:val="18"/>
                <w:szCs w:val="18"/>
              </w:rPr>
              <w:t xml:space="preserve"> </w:t>
            </w:r>
            <w:r>
              <w:rPr>
                <w:rFonts w:ascii="Garamond" w:hAnsi="Garamond" w:cs="Calibri"/>
                <w:sz w:val="18"/>
                <w:szCs w:val="18"/>
              </w:rPr>
              <w:t>Mr. Deepak Mishra)</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3E2FCF">
            <w:pPr>
              <w:rPr>
                <w:rFonts w:ascii="Garamond" w:hAnsi="Garamond" w:cs="Calibri"/>
                <w:sz w:val="18"/>
                <w:szCs w:val="18"/>
              </w:rPr>
            </w:pPr>
            <w:r>
              <w:rPr>
                <w:rFonts w:ascii="Garamond" w:hAnsi="Garamond" w:cs="Calibri"/>
                <w:sz w:val="18"/>
                <w:szCs w:val="18"/>
              </w:rPr>
              <w:t>M/s Money Classic (Proprietor</w:t>
            </w:r>
            <w:r w:rsidR="003E2FCF">
              <w:rPr>
                <w:rFonts w:ascii="Garamond" w:hAnsi="Garamond" w:cs="Calibri"/>
                <w:sz w:val="18"/>
                <w:szCs w:val="18"/>
              </w:rPr>
              <w:t xml:space="preserve"> </w:t>
            </w:r>
            <w:r>
              <w:rPr>
                <w:rFonts w:ascii="Garamond" w:hAnsi="Garamond" w:cs="Calibri"/>
                <w:sz w:val="18"/>
                <w:szCs w:val="18"/>
              </w:rPr>
              <w:t>Mr. Deepak Mishra)</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BF08CE" w:rsidP="003E2FCF">
            <w:pPr>
              <w:rPr>
                <w:rFonts w:ascii="Garamond" w:hAnsi="Garamond" w:cs="Calibri"/>
                <w:sz w:val="18"/>
                <w:szCs w:val="18"/>
              </w:rPr>
            </w:pPr>
            <w:r>
              <w:rPr>
                <w:rFonts w:ascii="Garamond" w:hAnsi="Garamond" w:cs="Calibri"/>
                <w:sz w:val="18"/>
                <w:szCs w:val="18"/>
              </w:rPr>
              <w:t xml:space="preserve">Refer interim </w:t>
            </w:r>
            <w:r w:rsidR="003E2FCF">
              <w:rPr>
                <w:rFonts w:ascii="Garamond" w:hAnsi="Garamond" w:cs="Calibri"/>
                <w:sz w:val="18"/>
                <w:szCs w:val="18"/>
              </w:rPr>
              <w:t xml:space="preserve"> Order dated December 27, 2019</w:t>
            </w:r>
          </w:p>
        </w:tc>
        <w:tc>
          <w:tcPr>
            <w:tcW w:w="1417" w:type="dxa"/>
            <w:tcBorders>
              <w:top w:val="single" w:sz="4" w:space="0" w:color="auto"/>
              <w:left w:val="nil"/>
              <w:bottom w:val="single" w:sz="4" w:space="0" w:color="auto"/>
              <w:right w:val="single" w:sz="4" w:space="0" w:color="auto"/>
            </w:tcBorders>
            <w:shd w:val="clear" w:color="auto" w:fill="auto"/>
            <w:noWrap/>
          </w:tcPr>
          <w:p w:rsidR="00DB09CF" w:rsidRPr="003E2FCF" w:rsidRDefault="003E2FCF" w:rsidP="003E2FCF">
            <w:pPr>
              <w:rPr>
                <w:rFonts w:ascii="Garamond" w:hAnsi="Garamond" w:cs="Calibri"/>
                <w:sz w:val="18"/>
                <w:szCs w:val="18"/>
              </w:rPr>
            </w:pPr>
            <w:r w:rsidRPr="003E2FCF">
              <w:rPr>
                <w:rFonts w:ascii="Garamond" w:hAnsi="Garamond" w:cs="Calibri"/>
                <w:sz w:val="18"/>
                <w:szCs w:val="18"/>
              </w:rPr>
              <w:t>Debarred till further orders</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27,2022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Insider trading in the scrip of Lux Industries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Udit Todi, Avani Todi, Sanjeev Bubna, Indi Stock Private </w:t>
            </w:r>
            <w:r w:rsidR="008329C0">
              <w:rPr>
                <w:rFonts w:ascii="Garamond" w:hAnsi="Garamond" w:cs="Calibri"/>
                <w:sz w:val="18"/>
                <w:szCs w:val="18"/>
              </w:rPr>
              <w:t>Ltd.</w:t>
            </w:r>
            <w:r>
              <w:rPr>
                <w:rFonts w:ascii="Garamond" w:hAnsi="Garamond" w:cs="Calibri"/>
                <w:sz w:val="18"/>
                <w:szCs w:val="18"/>
              </w:rPr>
              <w:t xml:space="preserve"> &amp; 10 others</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Section 12A(d) and (e) of the SEBI Act, 1992 and regulation 3(1) of the PIT Regulations, 2015</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05019E" w:rsidP="0005019E">
            <w:pPr>
              <w:rPr>
                <w:rFonts w:ascii="Garamond" w:hAnsi="Garamond" w:cs="Calibri"/>
                <w:sz w:val="18"/>
                <w:szCs w:val="18"/>
              </w:rPr>
            </w:pPr>
            <w:r w:rsidRPr="003E2FCF">
              <w:rPr>
                <w:rFonts w:ascii="Garamond" w:hAnsi="Garamond" w:cs="Calibri"/>
                <w:sz w:val="18"/>
                <w:szCs w:val="18"/>
              </w:rPr>
              <w:t>Debarred till further orders</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27,2022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Eprofitzone Fincap Consultant Private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 xml:space="preserve">Eprofitzone Fincap Consultant Private </w:t>
            </w:r>
            <w:r w:rsidR="008329C0">
              <w:rPr>
                <w:rFonts w:ascii="Garamond" w:hAnsi="Garamond" w:cs="Calibri"/>
                <w:sz w:val="18"/>
                <w:szCs w:val="18"/>
              </w:rPr>
              <w:t>Ltd.</w:t>
            </w:r>
            <w:r>
              <w:rPr>
                <w:rFonts w:ascii="Garamond" w:hAnsi="Garamond" w:cs="Calibri"/>
                <w:sz w:val="18"/>
                <w:szCs w:val="18"/>
              </w:rPr>
              <w:t>, Mr. Prakash Kumar, Mr. Ajit Kumar</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Section 12 (1) of the SEBI Act, 1992 read with regulation 3(1) of the SEBI Regulations, 2013</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05019E" w:rsidP="0005019E">
            <w:pPr>
              <w:rPr>
                <w:rFonts w:ascii="Garamond" w:hAnsi="Garamond" w:cs="Calibri"/>
                <w:sz w:val="18"/>
                <w:szCs w:val="18"/>
              </w:rPr>
            </w:pPr>
            <w:r>
              <w:rPr>
                <w:rFonts w:ascii="Garamond" w:hAnsi="Garamond" w:cs="Calibri"/>
                <w:sz w:val="18"/>
                <w:szCs w:val="18"/>
              </w:rPr>
              <w:t xml:space="preserve">Debarred for the period of two  years  </w:t>
            </w:r>
          </w:p>
        </w:tc>
      </w:tr>
      <w:tr w:rsidR="00DB09CF"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DB09CF" w:rsidRPr="00A71EC8" w:rsidRDefault="00DB09CF" w:rsidP="00DB09CF">
            <w:pPr>
              <w:jc w:val="both"/>
              <w:rPr>
                <w:rFonts w:ascii="Garamond" w:hAnsi="Garamond" w:cs="Calibri"/>
                <w:color w:val="000000"/>
                <w:sz w:val="18"/>
                <w:szCs w:val="18"/>
                <w:lang w:val="en-IN" w:eastAsia="en-IN" w:bidi="hi-IN"/>
              </w:rPr>
            </w:pPr>
            <w:r w:rsidRPr="00A71EC8">
              <w:rPr>
                <w:rFonts w:ascii="Garamond" w:hAnsi="Garamond" w:cs="Calibri"/>
                <w:color w:val="000000"/>
                <w:sz w:val="18"/>
                <w:szCs w:val="18"/>
                <w:lang w:val="en-IN" w:eastAsia="en-IN" w:bidi="hi-IN"/>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May 27,2022</w:t>
            </w:r>
          </w:p>
        </w:tc>
        <w:tc>
          <w:tcPr>
            <w:tcW w:w="1701"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M/s Money Streets Advisory Services LLP, Mr. Zulfiqar Ahmed, Mr. Ifteqaar</w:t>
            </w:r>
          </w:p>
        </w:tc>
        <w:tc>
          <w:tcPr>
            <w:tcW w:w="1275"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11B</w:t>
            </w:r>
          </w:p>
        </w:tc>
        <w:tc>
          <w:tcPr>
            <w:tcW w:w="2127"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M/s Money Streets Advisory Services LLP, Mr. Zulfiqar Ahmed, Mr. Ifteqaar</w:t>
            </w:r>
          </w:p>
        </w:tc>
        <w:tc>
          <w:tcPr>
            <w:tcW w:w="2268" w:type="dxa"/>
            <w:tcBorders>
              <w:top w:val="single" w:sz="4" w:space="0" w:color="auto"/>
              <w:left w:val="nil"/>
              <w:bottom w:val="single" w:sz="4" w:space="0" w:color="auto"/>
              <w:right w:val="single" w:sz="4" w:space="0" w:color="auto"/>
            </w:tcBorders>
            <w:shd w:val="clear" w:color="auto" w:fill="auto"/>
            <w:noWrap/>
          </w:tcPr>
          <w:p w:rsidR="00DB09CF" w:rsidRDefault="00DB09CF" w:rsidP="00DB09CF">
            <w:pPr>
              <w:rPr>
                <w:rFonts w:ascii="Garamond" w:hAnsi="Garamond" w:cs="Calibri"/>
                <w:sz w:val="18"/>
                <w:szCs w:val="18"/>
              </w:rPr>
            </w:pPr>
            <w:r>
              <w:rPr>
                <w:rFonts w:ascii="Garamond" w:hAnsi="Garamond" w:cs="Calibri"/>
                <w:sz w:val="18"/>
                <w:szCs w:val="18"/>
              </w:rPr>
              <w:t>Section 12(1) of SEBI Act, 1992read with regulation 3(1) of the IA Regulations, 2013.</w:t>
            </w:r>
          </w:p>
        </w:tc>
        <w:tc>
          <w:tcPr>
            <w:tcW w:w="1417" w:type="dxa"/>
            <w:tcBorders>
              <w:top w:val="single" w:sz="4" w:space="0" w:color="auto"/>
              <w:left w:val="nil"/>
              <w:bottom w:val="single" w:sz="4" w:space="0" w:color="auto"/>
              <w:right w:val="single" w:sz="4" w:space="0" w:color="auto"/>
            </w:tcBorders>
            <w:shd w:val="clear" w:color="auto" w:fill="auto"/>
            <w:noWrap/>
          </w:tcPr>
          <w:p w:rsidR="00DB09CF" w:rsidRDefault="0005019E" w:rsidP="0005019E">
            <w:pPr>
              <w:rPr>
                <w:rFonts w:ascii="Garamond" w:hAnsi="Garamond" w:cs="Calibri"/>
                <w:sz w:val="18"/>
                <w:szCs w:val="18"/>
              </w:rPr>
            </w:pPr>
            <w:r>
              <w:rPr>
                <w:rFonts w:ascii="Garamond" w:hAnsi="Garamond" w:cs="Calibri"/>
                <w:sz w:val="18"/>
                <w:szCs w:val="18"/>
              </w:rPr>
              <w:t xml:space="preserve">Debarred for the period of two  years  </w:t>
            </w:r>
          </w:p>
        </w:tc>
      </w:tr>
      <w:tr w:rsidR="00A71EC8" w:rsidRPr="00B03F79" w:rsidTr="00E97406">
        <w:trPr>
          <w:trHeight w:val="300"/>
        </w:trPr>
        <w:tc>
          <w:tcPr>
            <w:tcW w:w="10774" w:type="dxa"/>
            <w:gridSpan w:val="7"/>
            <w:tcBorders>
              <w:top w:val="single" w:sz="4" w:space="0" w:color="auto"/>
              <w:left w:val="single" w:sz="4" w:space="0" w:color="auto"/>
              <w:bottom w:val="single" w:sz="4" w:space="0" w:color="auto"/>
              <w:right w:val="single" w:sz="4" w:space="0" w:color="auto"/>
            </w:tcBorders>
          </w:tcPr>
          <w:p w:rsidR="00A71EC8" w:rsidRDefault="00A71EC8" w:rsidP="00A71EC8">
            <w:pPr>
              <w:jc w:val="center"/>
              <w:rPr>
                <w:rFonts w:ascii="Garamond" w:hAnsi="Garamond" w:cs="Calibri"/>
                <w:sz w:val="18"/>
                <w:szCs w:val="18"/>
              </w:rPr>
            </w:pPr>
            <w:r w:rsidRPr="00A71EC8">
              <w:rPr>
                <w:rFonts w:ascii="Garamond" w:hAnsi="Garamond"/>
                <w:b/>
                <w:color w:val="1F4E79" w:themeColor="accent1" w:themeShade="80"/>
              </w:rPr>
              <w:t xml:space="preserve">Adjudication </w:t>
            </w:r>
            <w:r>
              <w:rPr>
                <w:rFonts w:ascii="Garamond" w:hAnsi="Garamond"/>
                <w:b/>
                <w:color w:val="1F4E79" w:themeColor="accent1" w:themeShade="80"/>
              </w:rPr>
              <w:t>Orders</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04,2022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M/s. MPS Infotecnics Ltd. (Earlier known as Visesh Infotenics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Rajinder Singh</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12A(a), (b) and (c) of SEBI Act, 1992 read with Regulations 3(a), (b), (c) &amp; (d), 4(1) of SEBI PFUTP Regulations, 2003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20</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06,2022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Shantanu Sheorey Aquakult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Adamina Traders Pvt. Ltd., Anvita Real Estate Pvt. Ltd., Dizzystone Trading Pvt. Ltd., Magan Mercantile Pvt. Ltd. &amp; 9 others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3(a),  (b),  (c),  (d),  4(1), 4(2)(a) and (e) of PFUTP Regulations, 2003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20</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lastRenderedPageBreak/>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10,2022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Infosys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Prateek Sarawgi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12(d) and (e) of the SEBI Act read with regulation 4(1) of the PIT Regulations.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10,2022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Trading activities of certain entities in the scrip of Secunderabad Healthcare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M/s Adamina Traders Private Ltd.</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Regulations  3(a), 3(b), 3(c),  3(d),  4(1), 4(2)(a)and 4(2)(e) of  the  PFUTP Regulations.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10</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13,2022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Adhunik Industries Ltd.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Adhunik Industries Ltd. (Currently known as, “Incredible Industries </w:t>
            </w:r>
            <w:r w:rsidR="008329C0">
              <w:rPr>
                <w:rFonts w:ascii="Garamond" w:hAnsi="Garamond" w:cs="Calibri"/>
                <w:sz w:val="18"/>
                <w:szCs w:val="18"/>
              </w:rPr>
              <w:t>Ltd.</w:t>
            </w:r>
            <w:r>
              <w:rPr>
                <w:rFonts w:ascii="Garamond" w:hAnsi="Garamond" w:cs="Calibri"/>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Clauses 49(VII)(C) and 49(VII)(E) of the Listing Agreement and Regulations 23(1),   (2),   and  (4)   of   LODR   Regulations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7</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6</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18,2022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Trading in Illiquid Stock Options on BSE</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Rajendra Kumar Bubna HUF</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7</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18,2022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Fortis Healthcare </w:t>
            </w:r>
            <w:r w:rsidR="008329C0">
              <w:rPr>
                <w:rFonts w:ascii="Garamond" w:hAnsi="Garamond" w:cs="Calibri"/>
                <w:sz w:val="18"/>
                <w:szCs w:val="18"/>
              </w:rPr>
              <w:t>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Best Healthcare Private </w:t>
            </w:r>
            <w:r w:rsidR="008329C0">
              <w:rPr>
                <w:rFonts w:ascii="Garamond" w:hAnsi="Garamond" w:cs="Calibri"/>
                <w:sz w:val="18"/>
                <w:szCs w:val="18"/>
              </w:rPr>
              <w:t>Ltd.</w:t>
            </w:r>
            <w:r>
              <w:rPr>
                <w:rFonts w:ascii="Garamond" w:hAnsi="Garamond" w:cs="Calibri"/>
                <w:sz w:val="18"/>
                <w:szCs w:val="18"/>
              </w:rPr>
              <w:t xml:space="preserve">., Fern Healthcare Private </w:t>
            </w:r>
            <w:r w:rsidR="008329C0">
              <w:rPr>
                <w:rFonts w:ascii="Garamond" w:hAnsi="Garamond" w:cs="Calibri"/>
                <w:sz w:val="18"/>
                <w:szCs w:val="18"/>
              </w:rPr>
              <w:t>Ltd.</w:t>
            </w:r>
            <w:r>
              <w:rPr>
                <w:rFonts w:ascii="Garamond" w:hAnsi="Garamond" w:cs="Calibri"/>
                <w:sz w:val="18"/>
                <w:szCs w:val="18"/>
              </w:rPr>
              <w:t xml:space="preserve">., Modland Wears Private </w:t>
            </w:r>
            <w:r w:rsidR="008329C0">
              <w:rPr>
                <w:rFonts w:ascii="Garamond" w:hAnsi="Garamond" w:cs="Calibri"/>
                <w:sz w:val="18"/>
                <w:szCs w:val="18"/>
              </w:rPr>
              <w:t>Ltd.</w:t>
            </w:r>
            <w:r>
              <w:rPr>
                <w:rFonts w:ascii="Garamond" w:hAnsi="Garamond" w:cs="Calibri"/>
                <w:sz w:val="18"/>
                <w:szCs w:val="18"/>
              </w:rPr>
              <w:t xml:space="preserve">, Escorts Heart Institute and Research Centre </w:t>
            </w:r>
            <w:r w:rsidR="008329C0">
              <w:rPr>
                <w:rFonts w:ascii="Garamond" w:hAnsi="Garamond" w:cs="Calibri"/>
                <w:sz w:val="18"/>
                <w:szCs w:val="18"/>
              </w:rPr>
              <w:t>Ltd.</w:t>
            </w:r>
            <w:r>
              <w:rPr>
                <w:rFonts w:ascii="Garamond" w:hAnsi="Garamond" w:cs="Calibri"/>
                <w:sz w:val="18"/>
                <w:szCs w:val="18"/>
              </w:rPr>
              <w:t xml:space="preserve"> &amp; 35 others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 xml:space="preserve">Section 12A(a), (b) &amp; (c) of the SEBI Act, 1992 and Regulations  3(b),  (c)&amp;(d)  and 4(1)   of   the   SEBI   (PFUTP) Regulations, 2003 ; Clauses 49(II)(D)(1),(4),(5); 49(II)(E)(1)(2) of  the Listing Agreement, Clauses 49((III)(D)(1),(4),(5) &amp; (9); 49(III)(E)(1)(2);  49(V)(B)  of  the Listing Agreement {post amendment  dated  7/04/2014} read  with  Regulation  103  of  the SEBI (LODR) Regulations, 2015 and  Section  21  of  the SCRA, 1956; Regulation 18(3) read with Clauses  A (1), (4), (5),   (9); B(1),(2) under Part C of Schedule II and Regulations 24(2) of  the SEBI (LODR) Regulations, 2015. </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38</w:t>
            </w:r>
            <w:r w:rsidR="00BF08CE">
              <w:rPr>
                <w:rFonts w:ascii="Garamond" w:hAnsi="Garamond" w:cs="Calibri"/>
                <w:sz w:val="18"/>
                <w:szCs w:val="18"/>
              </w:rPr>
              <w:t>,</w:t>
            </w:r>
            <w:r>
              <w:rPr>
                <w:rFonts w:ascii="Garamond" w:hAnsi="Garamond" w:cs="Calibri"/>
                <w:sz w:val="18"/>
                <w:szCs w:val="18"/>
              </w:rPr>
              <w:t>75</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8</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19,2022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M/s.Ashok Kumar Kayan</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Shri. Ashok Kumar Kayan</w:t>
            </w:r>
          </w:p>
        </w:tc>
        <w:tc>
          <w:tcPr>
            <w:tcW w:w="2268" w:type="dxa"/>
            <w:tcBorders>
              <w:top w:val="nil"/>
              <w:left w:val="nil"/>
              <w:bottom w:val="single" w:sz="4" w:space="0" w:color="auto"/>
              <w:right w:val="single" w:sz="4" w:space="0" w:color="auto"/>
            </w:tcBorders>
            <w:shd w:val="clear" w:color="auto" w:fill="auto"/>
          </w:tcPr>
          <w:p w:rsidR="00A71EC8" w:rsidRDefault="00A71EC8" w:rsidP="002E59F7">
            <w:pPr>
              <w:rPr>
                <w:rFonts w:ascii="Garamond" w:hAnsi="Garamond" w:cs="Calibri"/>
                <w:sz w:val="18"/>
                <w:szCs w:val="18"/>
              </w:rPr>
            </w:pPr>
            <w:r>
              <w:rPr>
                <w:rFonts w:ascii="Garamond" w:hAnsi="Garamond" w:cs="Calibri"/>
                <w:sz w:val="18"/>
                <w:szCs w:val="18"/>
              </w:rPr>
              <w:t>Clauses  2,3,4,5  and  6  of  SEBI  circular  CIR/MIRSD/16/2011  dated  August  22, 2011; Clauses</w:t>
            </w:r>
            <w:r w:rsidR="002E59F7">
              <w:rPr>
                <w:rFonts w:ascii="Garamond" w:hAnsi="Garamond" w:cs="Calibri"/>
                <w:sz w:val="18"/>
                <w:szCs w:val="18"/>
              </w:rPr>
              <w:t xml:space="preserve"> </w:t>
            </w:r>
            <w:r>
              <w:rPr>
                <w:rFonts w:ascii="Garamond" w:hAnsi="Garamond" w:cs="Calibri"/>
                <w:sz w:val="18"/>
                <w:szCs w:val="18"/>
              </w:rPr>
              <w:t xml:space="preserve">A (2) and A (5) of Code of Conduct as specified in Schedule II read 9with Regulation 9(f)of </w:t>
            </w:r>
            <w:r w:rsidR="002E59F7">
              <w:rPr>
                <w:rFonts w:ascii="Garamond" w:hAnsi="Garamond" w:cs="Calibri"/>
                <w:sz w:val="18"/>
                <w:szCs w:val="18"/>
              </w:rPr>
              <w:t xml:space="preserve"> </w:t>
            </w:r>
            <w:r>
              <w:rPr>
                <w:rFonts w:ascii="Garamond" w:hAnsi="Garamond" w:cs="Calibri"/>
                <w:sz w:val="18"/>
                <w:szCs w:val="18"/>
              </w:rPr>
              <w:t>oker Regulations.</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350,000</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9</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India Infoline </w:t>
            </w:r>
            <w:r w:rsidR="008329C0">
              <w:rPr>
                <w:rFonts w:ascii="Garamond" w:hAnsi="Garamond" w:cs="Calibri"/>
                <w:sz w:val="18"/>
                <w:szCs w:val="18"/>
              </w:rPr>
              <w:t>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India Infoline </w:t>
            </w:r>
            <w:r w:rsidR="008329C0">
              <w:rPr>
                <w:rFonts w:ascii="Garamond" w:hAnsi="Garamond" w:cs="Calibri"/>
                <w:sz w:val="18"/>
                <w:szCs w:val="18"/>
              </w:rPr>
              <w:t>Ltd.</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Clauses 1(B), 1(C) and 1(D) of the SEBI 1993 Circular</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w:t>
            </w:r>
            <w:r w:rsidR="00BF08CE">
              <w:rPr>
                <w:rFonts w:ascii="Garamond" w:hAnsi="Garamond" w:cs="Calibri"/>
                <w:sz w:val="18"/>
                <w:szCs w:val="18"/>
              </w:rPr>
              <w:t>,</w:t>
            </w:r>
            <w:r>
              <w:rPr>
                <w:rFonts w:ascii="Garamond" w:hAnsi="Garamond" w:cs="Calibri"/>
                <w:sz w:val="18"/>
                <w:szCs w:val="18"/>
              </w:rPr>
              <w:t>00</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10</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Trading in Illiquid Stock Options on BSE</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Rajendra Kumar Chokhany HUF</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11</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Le Waterina Resorts and Hotels 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Mr. Sanjay Jalan, Ms. Anila Jalan, Ms. Rinku Jalan</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Sections  12A  (a),(b),(c)  of  SEBI Actread  with  Regulations  3  (a), (b), (c) and (d), 4 (1), 4 (2) (a),(d) and (g) of PFUTP Regulations</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20</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12</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23,2022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IPO Investigations</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Mr. Bhanuprasad Dipakkumar Trivedi</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Sections 12A(a), (b) &amp; (c ) of the SEBI Act and Regulations 3(a), (b), (c), (d) and 4 (1) of the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13</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24,2022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Allied Computers International (Asia) 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Ethan Constructions Private Ltd.</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 (a), (b), (c), (d), 4 (1), (2) (a) and (e) of SEBI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lastRenderedPageBreak/>
              <w:t>14</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25,2022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GDR Issue by Birla Cotsyn (India) 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Birla Cotsyn (India) Ltd., Mr. P.V.R. Murthy, Mr. Yashovardhan Birla, Mr. Y P Trivedi, Mr. Mohandas Adige</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12A  (a),  (b),  (c)  of SEBI Act, 1992 read with Regulations 3(a), (b), (c), (d) and 4(1) of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15</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26,2022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MPF Systems </w:t>
            </w:r>
            <w:r w:rsidR="008329C0">
              <w:rPr>
                <w:rFonts w:ascii="Garamond" w:hAnsi="Garamond" w:cs="Calibri"/>
                <w:sz w:val="18"/>
                <w:szCs w:val="18"/>
              </w:rPr>
              <w:t>Ltd.</w:t>
            </w:r>
            <w:r>
              <w:rPr>
                <w:rFonts w:ascii="Garamond" w:hAnsi="Garamond" w:cs="Calibri"/>
                <w:sz w:val="18"/>
                <w:szCs w:val="18"/>
              </w:rPr>
              <w:t xml:space="preserve"> Pursuant to SAT Order dated March 24, 2022 (Appeal No. 133 of 2021)</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MPF Systems </w:t>
            </w:r>
            <w:r w:rsidR="008329C0">
              <w:rPr>
                <w:rFonts w:ascii="Garamond" w:hAnsi="Garamond" w:cs="Calibri"/>
                <w:sz w:val="18"/>
                <w:szCs w:val="18"/>
              </w:rPr>
              <w:t>Ltd.</w:t>
            </w:r>
            <w:r>
              <w:rPr>
                <w:rFonts w:ascii="Garamond" w:hAnsi="Garamond" w:cs="Calibri"/>
                <w:sz w:val="18"/>
                <w:szCs w:val="18"/>
              </w:rPr>
              <w:t>, Ms Kirti Salvi, Anil Kothari, Aakesh Chopra, Ambrish Barsati Pal</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12(A)(a)(b)  and  (c)  of the SEBI  Act,  1992 and Regulation 3(b),(c)  and  (d)  and Regulation   4(1)   and 4(2)(f)  and  (i)  of the PFUTP Regulations, 2003 ; Regulation 4(1)(a),(b),(c),(e)  and (g), 4(2)(f) (i)(2), 4(2)(f)(2)(6)  and  (7), 4(3)(f)(iii)(1),(3),(6) and  (12),  Regulation 33(2) (a) of the LODR Regulations, Section 21 of the SCRA</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16</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26,2022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Disclosures by Southern Ispat and Energy Ltd. in respect of its GDR issue</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Southern Ispat and Energy Ltd, Mr. Vivek Agarwal, Ms. Anusuya Devi Agarwal, Ms. Richa Agarwal &amp; 4 others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 xml:space="preserve">Section 12A(a), (b), (c) of SEBI Act  read  with  Regulations 3(a),  (b),  (c), (d),   4(1),   4(2)   (f),   (k)   and   (r)   of   SEBI (PFUTP) Regulations, 2003 ; Section 21 of  SCRA  read  with  Clauses  36(7)  of  Listing Agreement  and Section 21 of SCRA read with Clauses 32 and 50 of the Listing Agreement. </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10,70,00,000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17</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27,2022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M/s. Sykes and Ray Equities (I) 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M/s. Sykes and Ray Equities (I) Ltd.</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Clause 1 of  Transactions  Regulations  Circular  and  clause  3  of Annexure  to  Enhanced Supervision Circular</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5,50,000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18</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27,2022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Broadcast Initiatives </w:t>
            </w:r>
            <w:r w:rsidR="008329C0">
              <w:rPr>
                <w:rFonts w:ascii="Garamond" w:hAnsi="Garamond" w:cs="Calibri"/>
                <w:sz w:val="18"/>
                <w:szCs w:val="18"/>
              </w:rPr>
              <w:t>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HDIL Infra Projects </w:t>
            </w:r>
            <w:r w:rsidR="008329C0">
              <w:rPr>
                <w:rFonts w:ascii="Garamond" w:hAnsi="Garamond" w:cs="Calibri"/>
                <w:sz w:val="18"/>
                <w:szCs w:val="18"/>
              </w:rPr>
              <w:t>Ltd.</w:t>
            </w:r>
            <w:r>
              <w:rPr>
                <w:rFonts w:ascii="Garamond" w:hAnsi="Garamond" w:cs="Calibri"/>
                <w:sz w:val="18"/>
                <w:szCs w:val="18"/>
              </w:rPr>
              <w:t>, Rakesh Wadhawan, Sarang  Wadhawan, Waryam Singh &amp; 3 others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13(3)  read  with  13(5)  of the PIT Regulations ; Regulation 8(3) of SAST Regulations 1997 ; Provisions  of 7(1A)  read  with  7(2)  of the SAST Regulations 1997 and 15A (b) of SEBI Act, 1992</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3,00,000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19</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27,2022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Ajay Chauhan, (Proprietor Drift Financial Services)</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Ajay Chauhan (Proprietor Drift Financial Services)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21(1)   read with  Regulation  28(f)  of IA Regulations ; Regulation  15(1)  of  the IA Regulations and Clauses  1  (honesty  and 20fairness),   2   (diligence) and  8  (compliance)  of the Code of Conduct as specified   in   the   Third Schedule read with Regulation  15(9)  of  IA Regulations  ; Regulations 3(a),(b),(c),(d)  and  4(1), 4(2)(a) and 4(2)(e) of the PFUTP Regulations, 2003 read with section 12A(a), (b) and (c) of the SEBI Act, 1992</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7,00,000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20</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27,2022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Tirupati Fincorp 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Tirupati Fincorp Ltd.</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 (a), (b), (c), (d) and 4 (1) and (2) (f) of the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21</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27,2022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Ponni Sugars (Erode) </w:t>
            </w:r>
            <w:r w:rsidR="008329C0">
              <w:rPr>
                <w:rFonts w:ascii="Garamond" w:hAnsi="Garamond" w:cs="Calibri"/>
                <w:sz w:val="18"/>
                <w:szCs w:val="18"/>
              </w:rPr>
              <w:t>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Gandiv Investment Pvt Ltd., Pat Financial Consultants Pvt. Ltd., Bharat J Patel</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3(a),  (b),  (c)  &amp;  (d)  &amp;  Regulation  4(1)  and  4(2)(a)and  (e)ofthe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22</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27,2022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Disclosures by Rainbow Papers Ltd. </w:t>
            </w:r>
            <w:r>
              <w:rPr>
                <w:rFonts w:ascii="Garamond" w:hAnsi="Garamond" w:cs="Calibri"/>
                <w:sz w:val="18"/>
                <w:szCs w:val="18"/>
              </w:rPr>
              <w:lastRenderedPageBreak/>
              <w:t>in respect of its GDR issue</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lastRenderedPageBreak/>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Rainbow Papers Ltd., Shri. Ajay Goenka, Shri. </w:t>
            </w:r>
            <w:r>
              <w:rPr>
                <w:rFonts w:ascii="Garamond" w:hAnsi="Garamond" w:cs="Calibri"/>
                <w:sz w:val="18"/>
                <w:szCs w:val="18"/>
              </w:rPr>
              <w:lastRenderedPageBreak/>
              <w:t>Radheshyam Goenka, Ms. Sangeeta Goenka &amp; 2 others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lastRenderedPageBreak/>
              <w:t xml:space="preserve">Section 12A (a), (b), (c) of SEBI Act, 1992 read  with  </w:t>
            </w:r>
            <w:r>
              <w:rPr>
                <w:rFonts w:ascii="Garamond" w:hAnsi="Garamond" w:cs="Calibri"/>
                <w:sz w:val="18"/>
                <w:szCs w:val="18"/>
              </w:rPr>
              <w:lastRenderedPageBreak/>
              <w:t xml:space="preserve">Regulations 3(a),  (b),  (c),  (d)  and 4(1) of PFUTP Regulations, 2003 </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lastRenderedPageBreak/>
              <w:t xml:space="preserve"> 60,00,000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lastRenderedPageBreak/>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30,2022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Ram Minerals and Chemicals 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Ram Minerals and Chemicals Ltd.</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4(1) (c), (d), (e), Regulation 31 read with Regulation 31A, Regulation 46 of SEBI LODR Regulations</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24</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India Infoline </w:t>
            </w:r>
            <w:r w:rsidR="008329C0">
              <w:rPr>
                <w:rFonts w:ascii="Garamond" w:hAnsi="Garamond" w:cs="Calibri"/>
                <w:sz w:val="18"/>
                <w:szCs w:val="18"/>
              </w:rPr>
              <w:t>Ltd.</w:t>
            </w:r>
            <w:r>
              <w:rPr>
                <w:rFonts w:ascii="Garamond" w:hAnsi="Garamond" w:cs="Calibri"/>
                <w:sz w:val="18"/>
                <w:szCs w:val="18"/>
              </w:rPr>
              <w:t xml:space="preserve"> (Now known as IIFL Securities 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India Infoline </w:t>
            </w:r>
            <w:r w:rsidR="008329C0">
              <w:rPr>
                <w:rFonts w:ascii="Garamond" w:hAnsi="Garamond" w:cs="Calibri"/>
                <w:sz w:val="18"/>
                <w:szCs w:val="18"/>
              </w:rPr>
              <w:t>Ltd.</w:t>
            </w:r>
            <w:r>
              <w:rPr>
                <w:rFonts w:ascii="Garamond" w:hAnsi="Garamond" w:cs="Calibri"/>
                <w:sz w:val="18"/>
                <w:szCs w:val="18"/>
              </w:rPr>
              <w:t xml:space="preserve"> (Now known as IIFL Securities Ltd.)</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23D of SCRA and Regulation 26(xiii), (xv) and (xvi) of the Broker Regulations</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1,00,00,000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25</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Nidhi Granites </w:t>
            </w:r>
            <w:r w:rsidR="008329C0">
              <w:rPr>
                <w:rFonts w:ascii="Garamond" w:hAnsi="Garamond" w:cs="Calibri"/>
                <w:sz w:val="18"/>
                <w:szCs w:val="18"/>
              </w:rPr>
              <w:t>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Nidhi Abhinav Aggarwal, Pushpa Rajkumar Thard, Rajkumar Manmal Thard, Anil Ratanlal Saraf &amp; 3 others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29(2) read with 29(3) of the SAST Regulations</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26</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Acewin Agriteck </w:t>
            </w:r>
            <w:r w:rsidR="008329C0">
              <w:rPr>
                <w:rFonts w:ascii="Garamond" w:hAnsi="Garamond" w:cs="Calibri"/>
                <w:sz w:val="18"/>
                <w:szCs w:val="18"/>
              </w:rPr>
              <w:t>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Jesudas Premkumar Sebastian</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29(2) read with 29(3) of the SAST Regulations.</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27</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NSE Co-Location</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Share India Securities </w:t>
            </w:r>
            <w:r w:rsidR="008329C0">
              <w:rPr>
                <w:rFonts w:ascii="Garamond" w:hAnsi="Garamond" w:cs="Calibri"/>
                <w:sz w:val="18"/>
                <w:szCs w:val="18"/>
              </w:rPr>
              <w:t>Ltd.</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9(f) of the Stock Broker Regulations and Clause A(2) of the Code of Conduct  specified  under  Schedule  II  read  with  regulation  9(f)  of  the  Stock Broker Regulations.</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3,00,000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28</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Trading in Illiquid Stock Options on BSE</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Rajesh Agarwal</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 xml:space="preserve">Regulations 3(a), (b), (c), (d),  4(1)  and  4(2)(a)  of PFUTP    Regulations, 2003 </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29</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30,2022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Trading in Illiquid Stock Options on BSE</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Rajendra Kumar Pugalia HUF</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3(a), (b), (c), (d),  4(1)  and  4(2)(a)  of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30</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Global Securities </w:t>
            </w:r>
            <w:r w:rsidR="008329C0">
              <w:rPr>
                <w:rFonts w:ascii="Garamond" w:hAnsi="Garamond" w:cs="Calibri"/>
                <w:sz w:val="18"/>
                <w:szCs w:val="18"/>
              </w:rPr>
              <w:t>Ltd.</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Global Securities </w:t>
            </w:r>
            <w:r w:rsidR="008329C0">
              <w:rPr>
                <w:rFonts w:ascii="Garamond" w:hAnsi="Garamond" w:cs="Calibri"/>
                <w:sz w:val="18"/>
                <w:szCs w:val="18"/>
              </w:rPr>
              <w:t>Ltd.</w:t>
            </w:r>
            <w:r>
              <w:rPr>
                <w:rFonts w:ascii="Garamond" w:hAnsi="Garamond" w:cs="Calibri"/>
                <w:sz w:val="18"/>
                <w:szCs w:val="18"/>
              </w:rPr>
              <w:t>, Arvind Goyal Babulal, Devesh Upadhyay, Pankaj Jayantilal Dave &amp; 16 others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3(a),   (b), (c),  (d),  and  4(1),  4(2) (a)  and  4(2)  (e)  of  the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36,00,000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31</w:t>
            </w:r>
          </w:p>
        </w:tc>
        <w:tc>
          <w:tcPr>
            <w:tcW w:w="1418" w:type="dxa"/>
            <w:tcBorders>
              <w:top w:val="nil"/>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GDR Issue of Edserv Softsystems </w:t>
            </w:r>
            <w:r w:rsidR="008329C0">
              <w:rPr>
                <w:rFonts w:ascii="Garamond" w:hAnsi="Garamond" w:cs="Calibri"/>
                <w:sz w:val="18"/>
                <w:szCs w:val="18"/>
              </w:rPr>
              <w:t>Ltd.</w:t>
            </w:r>
            <w:r>
              <w:rPr>
                <w:rFonts w:ascii="Garamond" w:hAnsi="Garamond" w:cs="Calibri"/>
                <w:sz w:val="18"/>
                <w:szCs w:val="18"/>
              </w:rPr>
              <w:t>.</w:t>
            </w:r>
          </w:p>
        </w:tc>
        <w:tc>
          <w:tcPr>
            <w:tcW w:w="1275"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nil"/>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Shri S. Giridharan, Ms. G. Gita, Shri T.S. Ravichandran, Shri S. Arvind &amp; 2 others</w:t>
            </w:r>
          </w:p>
        </w:tc>
        <w:tc>
          <w:tcPr>
            <w:tcW w:w="2268" w:type="dxa"/>
            <w:tcBorders>
              <w:top w:val="nil"/>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12A (a), (b), (c) of SEBI  Act,  1992  read  with  Regulations 3(a),  (b),  (c),  (d)  and  4(1)  of  PFUTP Regulations, 2003</w:t>
            </w:r>
          </w:p>
        </w:tc>
        <w:tc>
          <w:tcPr>
            <w:tcW w:w="1417" w:type="dxa"/>
            <w:tcBorders>
              <w:top w:val="nil"/>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60,00,000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Commex Technology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M/s. Commex Technology </w:t>
            </w:r>
            <w:r w:rsidR="008329C0">
              <w:rPr>
                <w:rFonts w:ascii="Garamond" w:hAnsi="Garamond" w:cs="Calibri"/>
                <w:sz w:val="18"/>
                <w:szCs w:val="18"/>
              </w:rPr>
              <w:t>Ltd.</w:t>
            </w:r>
            <w:r>
              <w:rPr>
                <w:rFonts w:ascii="Garamond" w:hAnsi="Garamond" w:cs="Calibri"/>
                <w:sz w:val="18"/>
                <w:szCs w:val="18"/>
              </w:rPr>
              <w:t>, Mr. Adi Cooper, Mr. Kishore Hegde</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Sections 12A(a),12A(b) and 12A(c) of SEBI Act, 1992 r/w Regulations 3(a), 3(b), 3(c), 3(d) and Regulations 4(1), 4(2)(f), 4(2)(k), 4(2)(r)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10,35,00,000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Beejay  Investment  &amp;  Financial Consultants Private Ltd and Ors.</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Beejay  Investment  &amp;  Financial Consultants Pvt Ltd, Shri Sudhir Jain Director - Beejay Investment &amp; Financial Consultants Pvt Ltd, Ms. Rashmi Jain Director - Beejay Investment &amp; Financial Consultants Pvt Ltd, M/s Eversight Tradecomm Private </w:t>
            </w:r>
            <w:r w:rsidR="008329C0">
              <w:rPr>
                <w:rFonts w:ascii="Garamond" w:hAnsi="Garamond" w:cs="Calibri"/>
                <w:sz w:val="18"/>
                <w:szCs w:val="18"/>
              </w:rPr>
              <w:t>Ltd.</w:t>
            </w:r>
            <w:r>
              <w:rPr>
                <w:rFonts w:ascii="Garamond" w:hAnsi="Garamond" w:cs="Calibri"/>
                <w:sz w:val="18"/>
                <w:szCs w:val="18"/>
              </w:rPr>
              <w:t xml:space="preserve"> &amp; 16 others</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SEBI Orders dated January 19, 2010 &amp; January 25, 2010.</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Midvalley Entertainment 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Midvalley Entertainment </w:t>
            </w:r>
            <w:r w:rsidR="008329C0">
              <w:rPr>
                <w:rFonts w:ascii="Garamond" w:hAnsi="Garamond" w:cs="Calibri"/>
                <w:sz w:val="18"/>
                <w:szCs w:val="18"/>
              </w:rPr>
              <w:t>Ltd.</w:t>
            </w:r>
            <w:r>
              <w:rPr>
                <w:rFonts w:ascii="Garamond" w:hAnsi="Garamond" w:cs="Calibri"/>
                <w:sz w:val="18"/>
                <w:szCs w:val="18"/>
              </w:rPr>
              <w:t>, Datuk K Ketheeswaran, R Chandrasegaran, Sudhir Kumar Jena &amp; 28 others</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3(a), (b), (c),  (d),  4(1),  4(2)  (a),  (d),  (e),  (f),  (k)  and  (r)  of  PFUTP  Regulations , 2003 r/w Section 12A (a), (b)  and  (c)  of  SEBI  Act.; Section 11C(2) and 11C(3) of the SEBI Act</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2,34,00,000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lastRenderedPageBreak/>
              <w:t>35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Dealing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Amish Chinubhai Shah</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3(a), 4(1) and 4(2) (a) of the PFUTP Regulations,2003</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Dealing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Anand Jain HUF</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3(a), 4(1) and 4(2) (a) of the PFUTP Regulations,2003</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Dealing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Abhishek Nidhi - Trust</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3(a), 4(1) and 4(2) (a) of the PFUTP Regulations,2003</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M/s. Camson Bio Technologies 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Mr.Dhirendra Kumar, Mr. Akbal Narayan Singh, Veerendra Kumar Singh, Mr.  Karan  Singh &amp; 4 others</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12A(a), (b) and (c)  of SEBI  Act,  1992 r/w   Regulation   3(a), (b). (c), (d), 4 (1) of the PFUTP  Regulations, 2003 ; Regulation   13(4)   r/w 13(5) of PIT Regulations, 1992  r/w Regulation  12(2)  of PIT Regulations, 2015 ; Clause  13.1.2.3  (b)  of SEBI (DIP) Guidelines,  2000  r/w Regulation 111 of ICDR Regulations, 2009 for non-receipt of consideration .Clause  13.1C  of  DIP Guidelines,  2000  r/w Regulation 111 of ICDR Regulations, 2009.</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ind w:firstLineChars="100" w:firstLine="180"/>
              <w:jc w:val="right"/>
              <w:rPr>
                <w:rFonts w:ascii="Garamond" w:hAnsi="Garamond" w:cs="Calibri"/>
                <w:sz w:val="18"/>
                <w:szCs w:val="18"/>
              </w:rPr>
            </w:pPr>
            <w:r>
              <w:rPr>
                <w:rFonts w:ascii="Garamond" w:hAnsi="Garamond" w:cs="Calibri"/>
                <w:sz w:val="18"/>
                <w:szCs w:val="18"/>
              </w:rPr>
              <w:t xml:space="preserve"> 31,00,000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39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Front–Running by Manish Chaturvedi &amp; Others</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Ms. Madhu   Chanda, Mr. Anandilal  Chanda, Anandilal  Chanda  HUF</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12A (a), (b), (c) of SEBI  Act,  1992  read  with  Regulations 3(a),  (b),  (c),  (d)  and  4(1)  of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Front–Running by Manish Chaturvedi &amp; Others</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Mr. Manish Chaturvedi, Ms. Laxmi  Chaturvedi, Mr. Manohar Chaturvedi </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12A(a), (b)   and   (c)   of SEBI  Act,  1992 r/w   Regulation 3(a), (b). (c), (d), 4    (1)    of    the PFUTP Regulations, 2003 ; Section    11C(2) and   11C(3)   of the SEBI Act, 1992</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32,00,000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Sharon Bio-Medicine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Mr.  Madhav  Sapre, Mr. Harish Palecanda, Ms. Nivedita Patil, Mr.    V    N    Badoni </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Clause 49(D)(1),(2),(4),(5),(6),(7), and (8), Clause 49(E) (1)and (2) of Listing Agreementread with Section 21 and 23 of SCRA, 1956</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4,00,000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SREI EquipmentFinance 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SREI EquipmentFinance </w:t>
            </w:r>
            <w:r w:rsidR="008329C0">
              <w:rPr>
                <w:rFonts w:ascii="Garamond" w:hAnsi="Garamond" w:cs="Calibri"/>
                <w:sz w:val="18"/>
                <w:szCs w:val="18"/>
              </w:rPr>
              <w:t>Ltd.</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51 (2) of LODR Regulations, 2015</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Art Nirman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Mr. Ashokkumar Raghuram Thakkar, Mrs. Dharmisthaben Ashokkumar Thakkar, Mr.Piyushkumar Chandrakantbhai Thakkar, Raghurambhai Varsambhai Thakkar &amp; 9 others</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 xml:space="preserve">15H(ii), 15A (b) of SEBI Act, 1992 </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20</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Coral Hub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Coral Hub </w:t>
            </w:r>
            <w:r w:rsidR="008329C0">
              <w:rPr>
                <w:rFonts w:ascii="Garamond" w:hAnsi="Garamond" w:cs="Calibri"/>
                <w:sz w:val="18"/>
                <w:szCs w:val="18"/>
              </w:rPr>
              <w:t>Ltd.</w:t>
            </w:r>
            <w:r>
              <w:rPr>
                <w:rFonts w:ascii="Garamond" w:hAnsi="Garamond" w:cs="Calibri"/>
                <w:sz w:val="18"/>
                <w:szCs w:val="18"/>
              </w:rPr>
              <w:t>, Mr. G.S. Chandrashekar, Mr. Dilip C Parekh, Mr. G.S. Vishwanatham, Tutis Technologies Ltd</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 xml:space="preserve">15HA and 15A(a)of SEBI Act, 1992 </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28,00,000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GDR Issue of Teledata Technology Solutions 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Teledata Technology Solutions Ltd., Mr.N.Sakthivel, Mr.M.S.Ramakrishnan &amp; 4 others</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23E of the SCRA and 15HA of SEBI Act, 1992</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10,90,00,000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Dealing in illiquid stock options at BSE</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Anil Kumar Gadodia HUF</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 3(a), 4(1) and 4(2) (a) of the PFUTP Regulations.</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5,00,000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lastRenderedPageBreak/>
              <w:t>47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Shree Global Tradefin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Mr. Arif Gulam Mustufa Shaikh, Mr.Mahesh Somabhai Desai, Mr.Miteshgiri Chandangiri Goswami, Dhirenkumar Dharamdas Agarwal–HUF &amp; 5 others</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Section 12A(a), (b) and (c) of SEBI Act, 1992  r/w Regulation  3(a),  (b).  (c),  (d),  4  (1),  4(2)(b)  &amp;  (e)  of  the  PFUTP  Regulations, 2003</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16,00,000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Sudar Industries </w:t>
            </w:r>
            <w:r w:rsidR="008329C0">
              <w:rPr>
                <w:rFonts w:ascii="Garamond" w:hAnsi="Garamond" w:cs="Calibri"/>
                <w:sz w:val="18"/>
                <w:szCs w:val="18"/>
              </w:rPr>
              <w:t>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 xml:space="preserve"> Deepak Shenoy, Gopi Chellappan Nair, Shridhar Shetty, Venkatraman Gopal Nadar &amp; 14 others</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Regulations 3(b), (c), (d) and 4(1) of the PFUTP Regulations read with section 12A(a), (b) and (c) of the SEBI Act.</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22</w:t>
            </w:r>
            <w:r w:rsidR="00BF08CE">
              <w:rPr>
                <w:rFonts w:ascii="Garamond" w:hAnsi="Garamond" w:cs="Calibri"/>
                <w:sz w:val="18"/>
                <w:szCs w:val="18"/>
              </w:rPr>
              <w:t>,</w:t>
            </w:r>
            <w:r>
              <w:rPr>
                <w:rFonts w:ascii="Garamond" w:hAnsi="Garamond" w:cs="Calibri"/>
                <w:sz w:val="18"/>
                <w:szCs w:val="18"/>
              </w:rPr>
              <w:t xml:space="preserve">00,000 </w:t>
            </w:r>
          </w:p>
        </w:tc>
      </w:tr>
      <w:tr w:rsidR="00A71EC8" w:rsidRPr="00B03F79" w:rsidTr="00E97406">
        <w:trPr>
          <w:trHeight w:val="300"/>
        </w:trPr>
        <w:tc>
          <w:tcPr>
            <w:tcW w:w="568" w:type="dxa"/>
            <w:tcBorders>
              <w:top w:val="single" w:sz="4" w:space="0" w:color="auto"/>
              <w:left w:val="single" w:sz="4" w:space="0" w:color="auto"/>
              <w:bottom w:val="single" w:sz="4" w:space="0" w:color="auto"/>
              <w:right w:val="single" w:sz="4" w:space="0" w:color="auto"/>
            </w:tcBorders>
          </w:tcPr>
          <w:p w:rsidR="00A71EC8" w:rsidRPr="00B03F79" w:rsidRDefault="00A71EC8" w:rsidP="00A71EC8">
            <w:pPr>
              <w:jc w:val="both"/>
              <w:rPr>
                <w:rFonts w:ascii="Garamond" w:hAnsi="Garamond"/>
                <w:color w:val="000000"/>
                <w:sz w:val="18"/>
                <w:szCs w:val="18"/>
                <w:lang w:val="en-IN" w:eastAsia="en-IN" w:bidi="hi-IN"/>
              </w:rPr>
            </w:pPr>
            <w:r>
              <w:rPr>
                <w:rFonts w:ascii="Garamond" w:hAnsi="Garamond"/>
                <w:color w:val="000000"/>
                <w:sz w:val="18"/>
                <w:szCs w:val="18"/>
                <w:lang w:val="en-IN" w:eastAsia="en-IN" w:bidi="hi-IN"/>
              </w:rPr>
              <w:t>49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May 31,2022</w:t>
            </w:r>
          </w:p>
        </w:tc>
        <w:tc>
          <w:tcPr>
            <w:tcW w:w="1701"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Ganpati Multi Commodity Business (India) Pvt. Ltd.</w:t>
            </w:r>
          </w:p>
        </w:tc>
        <w:tc>
          <w:tcPr>
            <w:tcW w:w="1275"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Adjudication</w:t>
            </w:r>
          </w:p>
        </w:tc>
        <w:tc>
          <w:tcPr>
            <w:tcW w:w="212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rPr>
                <w:rFonts w:ascii="Garamond" w:hAnsi="Garamond" w:cs="Calibri"/>
                <w:sz w:val="18"/>
                <w:szCs w:val="18"/>
              </w:rPr>
            </w:pPr>
            <w:r>
              <w:rPr>
                <w:rFonts w:ascii="Garamond" w:hAnsi="Garamond" w:cs="Calibri"/>
                <w:sz w:val="18"/>
                <w:szCs w:val="18"/>
              </w:rPr>
              <w:t>Ganpati Multi Commodity Business (India) Pvt. Ltd.</w:t>
            </w:r>
          </w:p>
        </w:tc>
        <w:tc>
          <w:tcPr>
            <w:tcW w:w="2268" w:type="dxa"/>
            <w:tcBorders>
              <w:top w:val="single" w:sz="4" w:space="0" w:color="auto"/>
              <w:left w:val="nil"/>
              <w:bottom w:val="single" w:sz="4" w:space="0" w:color="auto"/>
              <w:right w:val="single" w:sz="4" w:space="0" w:color="auto"/>
            </w:tcBorders>
            <w:shd w:val="clear" w:color="auto" w:fill="auto"/>
          </w:tcPr>
          <w:p w:rsidR="00A71EC8" w:rsidRDefault="00A71EC8" w:rsidP="00A71EC8">
            <w:pPr>
              <w:rPr>
                <w:rFonts w:ascii="Garamond" w:hAnsi="Garamond" w:cs="Calibri"/>
                <w:sz w:val="18"/>
                <w:szCs w:val="18"/>
              </w:rPr>
            </w:pPr>
            <w:r>
              <w:rPr>
                <w:rFonts w:ascii="Garamond" w:hAnsi="Garamond" w:cs="Calibri"/>
                <w:sz w:val="18"/>
                <w:szCs w:val="18"/>
              </w:rPr>
              <w:t>Clause6.1.1(j) of Annexure of SEBI Circular SEBI/HO/MIRSD/CIR/P/2016/95 dated September 26, 2016  read with Clause A(2)of Code of Conduct, read with Regulation 9(f)  of the SEBI(Stock Brokers) Regulations, 1992.</w:t>
            </w:r>
          </w:p>
        </w:tc>
        <w:tc>
          <w:tcPr>
            <w:tcW w:w="1417" w:type="dxa"/>
            <w:tcBorders>
              <w:top w:val="single" w:sz="4" w:space="0" w:color="auto"/>
              <w:left w:val="nil"/>
              <w:bottom w:val="single" w:sz="4" w:space="0" w:color="auto"/>
              <w:right w:val="single" w:sz="4" w:space="0" w:color="auto"/>
            </w:tcBorders>
            <w:shd w:val="clear" w:color="auto" w:fill="auto"/>
            <w:noWrap/>
          </w:tcPr>
          <w:p w:rsidR="00A71EC8" w:rsidRDefault="00A71EC8" w:rsidP="00A71EC8">
            <w:pPr>
              <w:jc w:val="right"/>
              <w:rPr>
                <w:rFonts w:ascii="Garamond" w:hAnsi="Garamond" w:cs="Calibri"/>
                <w:sz w:val="18"/>
                <w:szCs w:val="18"/>
              </w:rPr>
            </w:pPr>
            <w:r>
              <w:rPr>
                <w:rFonts w:ascii="Garamond" w:hAnsi="Garamond" w:cs="Calibri"/>
                <w:sz w:val="18"/>
                <w:szCs w:val="18"/>
              </w:rPr>
              <w:t xml:space="preserve"> 20,00,000 </w:t>
            </w:r>
          </w:p>
        </w:tc>
      </w:tr>
    </w:tbl>
    <w:p w:rsidR="009B4A70" w:rsidRDefault="00272724" w:rsidP="005A614C">
      <w:pPr>
        <w:spacing w:after="120"/>
        <w:ind w:left="-709"/>
        <w:rPr>
          <w:rFonts w:ascii="Garamond" w:hAnsi="Garamond" w:cs="Arial"/>
          <w:i/>
          <w:sz w:val="22"/>
          <w:szCs w:val="22"/>
        </w:rPr>
      </w:pPr>
      <w:r w:rsidRPr="001D1888">
        <w:rPr>
          <w:rFonts w:ascii="Garamond" w:hAnsi="Garamond" w:cs="Arial"/>
          <w:i/>
          <w:sz w:val="22"/>
          <w:szCs w:val="22"/>
        </w:rPr>
        <w:t xml:space="preserve">Disclaimer: </w:t>
      </w:r>
      <w:r w:rsidR="00D22F0B" w:rsidRPr="001D1888">
        <w:rPr>
          <w:rFonts w:ascii="Garamond" w:hAnsi="Garamond" w:cs="Arial"/>
          <w:i/>
          <w:sz w:val="22"/>
          <w:szCs w:val="22"/>
        </w:rPr>
        <w:t xml:space="preserve">Regulatory actions consist of orders passed by Whole Time Member/Adjudication Officer.  Please refer SEBI website for exhaustive list.  </w:t>
      </w:r>
      <w:r w:rsidRPr="001D1888">
        <w:rPr>
          <w:rFonts w:ascii="Garamond" w:hAnsi="Garamond" w:cs="Arial"/>
          <w:i/>
          <w:sz w:val="22"/>
          <w:szCs w:val="22"/>
        </w:rPr>
        <w:t>The summary has been prepared for the convenience of readers. In case of any ambiguity, please refer to the original order.</w:t>
      </w:r>
    </w:p>
    <w:p w:rsidR="003D24AF" w:rsidRDefault="003D24AF" w:rsidP="005A614C">
      <w:pPr>
        <w:spacing w:after="120"/>
        <w:ind w:left="-709"/>
        <w:rPr>
          <w:rFonts w:ascii="Garamond" w:hAnsi="Garamond" w:cs="Arial"/>
          <w:i/>
          <w:sz w:val="22"/>
          <w:szCs w:val="22"/>
        </w:rPr>
      </w:pPr>
    </w:p>
    <w:p w:rsidR="003D24AF" w:rsidRDefault="003D24AF" w:rsidP="005A614C">
      <w:pPr>
        <w:spacing w:after="120"/>
        <w:ind w:left="-709"/>
        <w:rPr>
          <w:rFonts w:ascii="Garamond" w:hAnsi="Garamond" w:cs="Arial"/>
          <w:i/>
          <w:sz w:val="22"/>
          <w:szCs w:val="22"/>
        </w:rPr>
      </w:pPr>
    </w:p>
    <w:p w:rsidR="003D24AF" w:rsidRDefault="003D24AF" w:rsidP="005A614C">
      <w:pPr>
        <w:spacing w:after="120"/>
        <w:ind w:left="-709"/>
        <w:rPr>
          <w:rFonts w:ascii="Garamond" w:hAnsi="Garamond" w:cs="Arial"/>
          <w:i/>
          <w:sz w:val="22"/>
          <w:szCs w:val="22"/>
        </w:rPr>
      </w:pPr>
    </w:p>
    <w:p w:rsidR="003D24AF" w:rsidRDefault="003D24AF" w:rsidP="005A614C">
      <w:pPr>
        <w:spacing w:after="120"/>
        <w:ind w:left="-709"/>
        <w:rPr>
          <w:rFonts w:ascii="Garamond" w:hAnsi="Garamond" w:cs="Arial"/>
          <w:i/>
          <w:sz w:val="22"/>
          <w:szCs w:val="22"/>
        </w:rPr>
      </w:pPr>
    </w:p>
    <w:p w:rsidR="009B7ABC" w:rsidRDefault="009B7ABC">
      <w:pPr>
        <w:rPr>
          <w:rFonts w:ascii="Garamond" w:hAnsi="Garamond" w:cs="Arial"/>
          <w:i/>
          <w:sz w:val="22"/>
          <w:szCs w:val="22"/>
        </w:rPr>
      </w:pPr>
      <w:r>
        <w:rPr>
          <w:rFonts w:ascii="Garamond" w:hAnsi="Garamond" w:cs="Arial"/>
          <w:i/>
          <w:sz w:val="22"/>
          <w:szCs w:val="22"/>
        </w:rPr>
        <w:br w:type="page"/>
      </w:r>
    </w:p>
    <w:p w:rsidR="003D24AF" w:rsidRDefault="003D24AF" w:rsidP="005A614C">
      <w:pPr>
        <w:spacing w:after="120"/>
        <w:ind w:left="-709"/>
        <w:rPr>
          <w:rFonts w:ascii="Garamond" w:hAnsi="Garamond" w:cs="Arial"/>
          <w:i/>
          <w:sz w:val="22"/>
          <w:szCs w:val="22"/>
        </w:rPr>
      </w:pPr>
    </w:p>
    <w:p w:rsidR="003D24AF" w:rsidRPr="005A614C" w:rsidRDefault="003D24AF" w:rsidP="005A614C">
      <w:pPr>
        <w:spacing w:after="120"/>
        <w:ind w:left="-709"/>
        <w:rPr>
          <w:rFonts w:ascii="Garamond" w:hAnsi="Garamond" w:cs="Arial"/>
          <w:i/>
          <w:sz w:val="22"/>
          <w:szCs w:val="22"/>
        </w:rPr>
      </w:pPr>
    </w:p>
    <w:p w:rsidR="001B2E66" w:rsidRDefault="001B2E66" w:rsidP="009B4A70">
      <w:pPr>
        <w:spacing w:after="120"/>
        <w:jc w:val="center"/>
        <w:rPr>
          <w:rFonts w:ascii="Garamond" w:hAnsi="Garamond"/>
          <w:b/>
          <w:bCs/>
          <w:color w:val="1F4E79" w:themeColor="accent1" w:themeShade="80"/>
          <w:sz w:val="28"/>
          <w:szCs w:val="28"/>
        </w:rPr>
      </w:pPr>
    </w:p>
    <w:p w:rsidR="001B2E66" w:rsidRDefault="001B2E66" w:rsidP="009B4A70">
      <w:pPr>
        <w:spacing w:after="120"/>
        <w:jc w:val="center"/>
        <w:rPr>
          <w:rFonts w:ascii="Garamond" w:hAnsi="Garamond"/>
          <w:b/>
          <w:bCs/>
          <w:color w:val="1F4E79" w:themeColor="accent1" w:themeShade="80"/>
          <w:sz w:val="28"/>
          <w:szCs w:val="28"/>
        </w:rPr>
      </w:pPr>
    </w:p>
    <w:p w:rsidR="00B03F79" w:rsidRDefault="00B03F79" w:rsidP="009B4A70">
      <w:pPr>
        <w:spacing w:after="120"/>
        <w:jc w:val="center"/>
        <w:rPr>
          <w:rFonts w:ascii="Garamond" w:hAnsi="Garamond"/>
          <w:b/>
          <w:bCs/>
          <w:color w:val="1F4E79" w:themeColor="accent1" w:themeShade="80"/>
          <w:sz w:val="28"/>
          <w:szCs w:val="28"/>
        </w:rPr>
      </w:pPr>
    </w:p>
    <w:p w:rsidR="00E77B3E" w:rsidRPr="00C4512E" w:rsidRDefault="00E77B3E" w:rsidP="009B4A70">
      <w:pPr>
        <w:spacing w:after="120"/>
        <w:jc w:val="center"/>
        <w:rPr>
          <w:rFonts w:ascii="Garamond" w:hAnsi="Garamond"/>
          <w:b/>
          <w:bCs/>
          <w:color w:val="1F4E79" w:themeColor="accent1" w:themeShade="80"/>
          <w:sz w:val="28"/>
          <w:szCs w:val="28"/>
        </w:rPr>
      </w:pPr>
      <w:r w:rsidRPr="00C4512E">
        <w:rPr>
          <w:rFonts w:ascii="Garamond" w:hAnsi="Garamond"/>
          <w:b/>
          <w:bCs/>
          <w:color w:val="1F4E79" w:themeColor="accent1" w:themeShade="80"/>
          <w:sz w:val="28"/>
          <w:szCs w:val="28"/>
        </w:rPr>
        <w:t>LATEST PUBLICATIONS</w:t>
      </w:r>
    </w:p>
    <w:p w:rsidR="00E77B3E" w:rsidRDefault="00E77B3E" w:rsidP="00E77B3E">
      <w:pPr>
        <w:spacing w:after="120"/>
        <w:ind w:left="-709"/>
        <w:jc w:val="center"/>
        <w:rPr>
          <w:rFonts w:ascii="Garamond" w:hAnsi="Garamond"/>
          <w:b/>
          <w:bCs/>
        </w:rPr>
      </w:pPr>
    </w:p>
    <w:p w:rsidR="00E77B3E" w:rsidRDefault="00E77B3E" w:rsidP="00E77B3E">
      <w:pPr>
        <w:spacing w:after="120"/>
        <w:ind w:left="-709"/>
        <w:jc w:val="center"/>
        <w:rPr>
          <w:rFonts w:ascii="Garamond" w:hAnsi="Garamond"/>
          <w:b/>
          <w:bCs/>
        </w:rPr>
      </w:pPr>
    </w:p>
    <w:p w:rsidR="009B7ABC" w:rsidRPr="00E77B3E" w:rsidRDefault="009B7ABC" w:rsidP="00E77B3E">
      <w:pPr>
        <w:spacing w:after="120"/>
        <w:ind w:left="-709"/>
        <w:jc w:val="center"/>
        <w:rPr>
          <w:rFonts w:ascii="Garamond" w:hAnsi="Garamond"/>
          <w:b/>
          <w:bCs/>
        </w:rPr>
      </w:pPr>
    </w:p>
    <w:p w:rsidR="00E77B3E" w:rsidRDefault="00E77B3E" w:rsidP="009B7ABC">
      <w:pPr>
        <w:spacing w:after="120"/>
        <w:ind w:left="1440"/>
        <w:rPr>
          <w:rFonts w:ascii="Garamond" w:hAnsi="Garamond"/>
        </w:rPr>
      </w:pPr>
      <w:r w:rsidRPr="00E77B3E">
        <w:rPr>
          <w:rFonts w:ascii="Garamond" w:hAnsi="Garamond"/>
        </w:rPr>
        <w:t xml:space="preserve"> </w:t>
      </w:r>
      <w:r w:rsidR="00B522A6">
        <w:rPr>
          <w:rFonts w:ascii="Garamond" w:hAnsi="Garamond"/>
        </w:rPr>
        <w:t xml:space="preserve">1. SEBI Annual Report: </w:t>
      </w:r>
      <w:r w:rsidRPr="00E77B3E">
        <w:rPr>
          <w:rFonts w:ascii="Garamond" w:hAnsi="Garamond"/>
        </w:rPr>
        <w:t>2020-21</w:t>
      </w:r>
    </w:p>
    <w:p w:rsidR="009B7ABC" w:rsidRPr="00E77B3E" w:rsidRDefault="009B7ABC" w:rsidP="009B7ABC">
      <w:pPr>
        <w:spacing w:after="120"/>
        <w:ind w:left="1440"/>
        <w:rPr>
          <w:rFonts w:ascii="Garamond" w:hAnsi="Garamond"/>
        </w:rPr>
      </w:pPr>
    </w:p>
    <w:p w:rsidR="00E77B3E" w:rsidRPr="00E77B3E" w:rsidRDefault="00E77B3E" w:rsidP="009B7ABC">
      <w:pPr>
        <w:spacing w:after="120"/>
        <w:ind w:left="1440"/>
        <w:rPr>
          <w:rFonts w:ascii="Garamond" w:hAnsi="Garamond"/>
        </w:rPr>
      </w:pPr>
      <w:r w:rsidRPr="00E77B3E">
        <w:rPr>
          <w:rFonts w:ascii="Garamond" w:hAnsi="Garamond"/>
        </w:rPr>
        <w:t xml:space="preserve"> 2. Handbook of Statistics</w:t>
      </w:r>
      <w:r>
        <w:rPr>
          <w:rFonts w:ascii="Garamond" w:hAnsi="Garamond"/>
        </w:rPr>
        <w:t xml:space="preserve"> on Indian Securities Market:</w:t>
      </w:r>
      <w:r w:rsidRPr="00E77B3E">
        <w:rPr>
          <w:rFonts w:ascii="Garamond" w:hAnsi="Garamond"/>
        </w:rPr>
        <w:t xml:space="preserve"> 2020</w:t>
      </w:r>
    </w:p>
    <w:p w:rsidR="00E77B3E" w:rsidRPr="00E77B3E" w:rsidRDefault="00E77B3E" w:rsidP="009B7ABC">
      <w:pPr>
        <w:spacing w:after="120"/>
        <w:ind w:left="1440"/>
        <w:rPr>
          <w:rFonts w:ascii="Garamond" w:hAnsi="Garamond"/>
        </w:rPr>
      </w:pPr>
    </w:p>
    <w:p w:rsidR="00B522A6" w:rsidRDefault="00E77B3E" w:rsidP="009B7ABC">
      <w:pPr>
        <w:spacing w:after="120"/>
        <w:ind w:left="1440"/>
        <w:rPr>
          <w:rFonts w:ascii="Garamond" w:hAnsi="Garamond"/>
        </w:rPr>
      </w:pPr>
      <w:r w:rsidRPr="00E77B3E">
        <w:rPr>
          <w:rFonts w:ascii="Garamond" w:hAnsi="Garamond"/>
        </w:rPr>
        <w:t xml:space="preserve"> Please visit </w:t>
      </w:r>
      <w:r w:rsidR="00B522A6">
        <w:rPr>
          <w:rFonts w:ascii="Garamond" w:hAnsi="Garamond"/>
        </w:rPr>
        <w:t xml:space="preserve">SEBI website at the </w:t>
      </w:r>
      <w:r w:rsidRPr="00E77B3E">
        <w:rPr>
          <w:rFonts w:ascii="Garamond" w:hAnsi="Garamond"/>
        </w:rPr>
        <w:t xml:space="preserve">following URL to </w:t>
      </w:r>
      <w:r w:rsidR="00B522A6">
        <w:rPr>
          <w:rFonts w:ascii="Garamond" w:hAnsi="Garamond"/>
        </w:rPr>
        <w:t>refer/download</w:t>
      </w:r>
      <w:r w:rsidRPr="00E77B3E">
        <w:rPr>
          <w:rFonts w:ascii="Garamond" w:hAnsi="Garamond"/>
        </w:rPr>
        <w:t xml:space="preserve"> </w:t>
      </w:r>
      <w:r w:rsidR="00B522A6">
        <w:rPr>
          <w:rFonts w:ascii="Garamond" w:hAnsi="Garamond"/>
        </w:rPr>
        <w:t>the publications.</w:t>
      </w:r>
    </w:p>
    <w:p w:rsidR="00E77B3E" w:rsidRDefault="00B522A6" w:rsidP="009B7ABC">
      <w:pPr>
        <w:spacing w:after="120"/>
        <w:ind w:left="1440"/>
        <w:rPr>
          <w:rFonts w:ascii="Palatino Linotype" w:hAnsi="Palatino Linotype"/>
          <w:bCs/>
          <w:sz w:val="22"/>
          <w:szCs w:val="22"/>
        </w:rPr>
      </w:pPr>
      <w:r>
        <w:rPr>
          <w:rFonts w:ascii="Garamond" w:hAnsi="Garamond"/>
        </w:rPr>
        <w:t xml:space="preserve"> </w:t>
      </w:r>
      <w:hyperlink r:id="rId36" w:history="1">
        <w:r w:rsidRPr="00385DA6">
          <w:rPr>
            <w:rStyle w:val="Hyperlink"/>
            <w:rFonts w:ascii="Palatino Linotype" w:hAnsi="Palatino Linotype"/>
            <w:bCs/>
            <w:sz w:val="22"/>
            <w:szCs w:val="22"/>
          </w:rPr>
          <w:t>https://www.sebi.gov.in/reports-and-statistics.html</w:t>
        </w:r>
      </w:hyperlink>
    </w:p>
    <w:p w:rsidR="00B522A6" w:rsidRPr="00E77B3E" w:rsidRDefault="00B522A6" w:rsidP="00E77B3E">
      <w:pPr>
        <w:spacing w:after="120"/>
        <w:ind w:left="-709"/>
        <w:rPr>
          <w:rFonts w:ascii="Garamond" w:hAnsi="Garamond"/>
        </w:rPr>
      </w:pPr>
    </w:p>
    <w:sectPr w:rsidR="00B522A6" w:rsidRPr="00E77B3E" w:rsidSect="00147C3C">
      <w:headerReference w:type="even" r:id="rId37"/>
      <w:headerReference w:type="default" r:id="rId38"/>
      <w:footerReference w:type="even" r:id="rId39"/>
      <w:footerReference w:type="default" r:id="rId40"/>
      <w:pgSz w:w="11906" w:h="16838" w:code="9"/>
      <w:pgMar w:top="0" w:right="1009" w:bottom="142" w:left="1009" w:header="113"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1A" w:rsidRDefault="004E451A" w:rsidP="00E07645">
      <w:r>
        <w:separator/>
      </w:r>
    </w:p>
  </w:endnote>
  <w:endnote w:type="continuationSeparator" w:id="0">
    <w:p w:rsidR="004E451A" w:rsidRDefault="004E451A" w:rsidP="00E0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1010600010101010101"/>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WCDV-Prakash">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81" w:rsidRDefault="007D4081">
    <w:pPr>
      <w:pStyle w:val="Footer"/>
    </w:pPr>
  </w:p>
  <w:p w:rsidR="007D4081" w:rsidRDefault="007D4081"/>
  <w:p w:rsidR="007D4081" w:rsidRDefault="007D4081"/>
  <w:p w:rsidR="007D4081" w:rsidRDefault="007D40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46548"/>
      <w:docPartObj>
        <w:docPartGallery w:val="Page Numbers (Bottom of Page)"/>
        <w:docPartUnique/>
      </w:docPartObj>
    </w:sdtPr>
    <w:sdtEndPr>
      <w:rPr>
        <w:color w:val="7F7F7F" w:themeColor="background1" w:themeShade="7F"/>
        <w:spacing w:val="60"/>
      </w:rPr>
    </w:sdtEndPr>
    <w:sdtContent>
      <w:p w:rsidR="007D4081" w:rsidRDefault="007D4081" w:rsidP="00A87248">
        <w:pPr>
          <w:pStyle w:val="Footer"/>
          <w:pBdr>
            <w:top w:val="single" w:sz="4" w:space="0" w:color="D9D9D9" w:themeColor="background1" w:themeShade="D9"/>
          </w:pBdr>
          <w:jc w:val="right"/>
        </w:pPr>
        <w:r>
          <w:fldChar w:fldCharType="begin"/>
        </w:r>
        <w:r>
          <w:instrText xml:space="preserve"> PAGE   \* MERGEFORMAT </w:instrText>
        </w:r>
        <w:r>
          <w:fldChar w:fldCharType="separate"/>
        </w:r>
        <w:r w:rsidR="00434704">
          <w:rPr>
            <w:noProof/>
          </w:rPr>
          <w:t>1</w:t>
        </w:r>
        <w:r>
          <w:rPr>
            <w:noProof/>
          </w:rPr>
          <w:fldChar w:fldCharType="end"/>
        </w:r>
        <w:r>
          <w:t xml:space="preserve"> | </w:t>
        </w:r>
        <w:r>
          <w:rPr>
            <w:color w:val="7F7F7F" w:themeColor="background1" w:themeShade="7F"/>
            <w:spacing w:val="60"/>
          </w:rPr>
          <w:t>Page</w:t>
        </w:r>
      </w:p>
    </w:sdtContent>
  </w:sdt>
  <w:p w:rsidR="007D4081" w:rsidRDefault="007D4081">
    <w:pPr>
      <w:pStyle w:val="Footer"/>
    </w:pPr>
  </w:p>
  <w:p w:rsidR="007D4081" w:rsidRDefault="007D4081"/>
  <w:p w:rsidR="007D4081" w:rsidRDefault="007D4081"/>
  <w:p w:rsidR="007D4081" w:rsidRDefault="007D40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1A" w:rsidRDefault="004E451A" w:rsidP="00E07645">
      <w:r>
        <w:separator/>
      </w:r>
    </w:p>
  </w:footnote>
  <w:footnote w:type="continuationSeparator" w:id="0">
    <w:p w:rsidR="004E451A" w:rsidRDefault="004E451A" w:rsidP="00E07645">
      <w:r>
        <w:continuationSeparator/>
      </w:r>
    </w:p>
  </w:footnote>
  <w:footnote w:id="1">
    <w:p w:rsidR="007D4081" w:rsidRPr="005B5517" w:rsidRDefault="007D4081" w:rsidP="00F64B9A">
      <w:pPr>
        <w:pStyle w:val="FootnoteText"/>
        <w:rPr>
          <w:rFonts w:ascii="Palatino Linotype" w:hAnsi="Palatino Linotype"/>
          <w:i/>
          <w:lang w:val="en-IN"/>
        </w:rPr>
      </w:pPr>
      <w:r w:rsidRPr="005B5517">
        <w:rPr>
          <w:rStyle w:val="FootnoteReference"/>
          <w:rFonts w:ascii="Palatino Linotype" w:hAnsi="Palatino Linotype"/>
          <w:i/>
        </w:rPr>
        <w:footnoteRef/>
      </w:r>
      <w:r w:rsidRPr="005B5517">
        <w:rPr>
          <w:rFonts w:ascii="Palatino Linotype" w:hAnsi="Palatino Linotype"/>
          <w:i/>
        </w:rPr>
        <w:t xml:space="preserve"> In case of close ended schemes, at the time of maturity, AMC repurchases </w:t>
      </w:r>
      <w:r>
        <w:rPr>
          <w:rFonts w:ascii="Palatino Linotype" w:hAnsi="Palatino Linotype"/>
          <w:i/>
        </w:rPr>
        <w:t>the</w:t>
      </w:r>
      <w:r w:rsidRPr="005B5517">
        <w:rPr>
          <w:rFonts w:ascii="Palatino Linotype" w:hAnsi="Palatino Linotype"/>
          <w:i/>
        </w:rPr>
        <w:t xml:space="preserve"> units.</w:t>
      </w:r>
    </w:p>
  </w:footnote>
  <w:footnote w:id="2">
    <w:p w:rsidR="007D4081" w:rsidRDefault="007D4081" w:rsidP="00557572">
      <w:pPr>
        <w:pStyle w:val="FootnoteText"/>
      </w:pPr>
      <w:r>
        <w:rPr>
          <w:rStyle w:val="FootnoteReference"/>
        </w:rPr>
        <w:footnoteRef/>
      </w:r>
      <w:r>
        <w:t xml:space="preserve"> </w:t>
      </w:r>
      <w:r w:rsidRPr="000D159E">
        <w:t>USA, USA, France, Germany, UK, Hong Kong</w:t>
      </w:r>
      <w:r>
        <w:t>, South Korea, Japan, Singapore and</w:t>
      </w:r>
      <w:r w:rsidRPr="000D159E">
        <w:t xml:space="preserve"> Taiwan</w:t>
      </w:r>
    </w:p>
  </w:footnote>
  <w:footnote w:id="3">
    <w:p w:rsidR="007D4081" w:rsidRDefault="007D4081" w:rsidP="00557572">
      <w:pPr>
        <w:pStyle w:val="FootnoteText"/>
      </w:pPr>
      <w:r>
        <w:rPr>
          <w:rStyle w:val="FootnoteReference"/>
        </w:rPr>
        <w:footnoteRef/>
      </w:r>
      <w:r>
        <w:t xml:space="preserve"> US, UK, Germany, Spain, Japan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81" w:rsidRDefault="007D4081">
    <w:pPr>
      <w:pStyle w:val="Header"/>
    </w:pPr>
  </w:p>
  <w:p w:rsidR="007D4081" w:rsidRDefault="007D4081"/>
  <w:p w:rsidR="007D4081" w:rsidRDefault="007D4081"/>
  <w:p w:rsidR="007D4081" w:rsidRDefault="007D40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81" w:rsidRDefault="007D4081">
    <w:pPr>
      <w:pStyle w:val="Header"/>
    </w:pPr>
  </w:p>
  <w:p w:rsidR="007D4081" w:rsidRDefault="007D4081"/>
  <w:p w:rsidR="007D4081" w:rsidRDefault="007D4081"/>
  <w:p w:rsidR="007D4081" w:rsidRDefault="007D40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hybridMultilevel"/>
    <w:tmpl w:val="61067A92"/>
    <w:lvl w:ilvl="0" w:tplc="A2BA30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9"/>
    <w:multiLevelType w:val="multilevel"/>
    <w:tmpl w:val="A5BE0796"/>
    <w:lvl w:ilvl="0">
      <w:start w:val="1"/>
      <w:numFmt w:val="decimal"/>
      <w:lvlText w:val="%1."/>
      <w:lvlJc w:val="left"/>
      <w:pPr>
        <w:ind w:left="644"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22"/>
    <w:multiLevelType w:val="multilevel"/>
    <w:tmpl w:val="4FE37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8064DE"/>
    <w:multiLevelType w:val="hybridMultilevel"/>
    <w:tmpl w:val="E1B0C9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151942"/>
    <w:multiLevelType w:val="hybridMultilevel"/>
    <w:tmpl w:val="6DCED50C"/>
    <w:lvl w:ilvl="0" w:tplc="C2801978">
      <w:start w:val="1"/>
      <w:numFmt w:val="decimal"/>
      <w:lvlText w:val="%1."/>
      <w:lvlJc w:val="left"/>
      <w:pPr>
        <w:ind w:left="928"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9C45371"/>
    <w:multiLevelType w:val="multilevel"/>
    <w:tmpl w:val="9B824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E340A6A"/>
    <w:multiLevelType w:val="hybridMultilevel"/>
    <w:tmpl w:val="700E2B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0FFD16E1"/>
    <w:multiLevelType w:val="multilevel"/>
    <w:tmpl w:val="B80076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3F2BCB"/>
    <w:multiLevelType w:val="hybridMultilevel"/>
    <w:tmpl w:val="67ACA97A"/>
    <w:lvl w:ilvl="0" w:tplc="40090017">
      <w:start w:val="1"/>
      <w:numFmt w:val="lowerLetter"/>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95331BD"/>
    <w:multiLevelType w:val="hybridMultilevel"/>
    <w:tmpl w:val="61067A92"/>
    <w:lvl w:ilvl="0" w:tplc="A2BA30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45C15"/>
    <w:multiLevelType w:val="hybridMultilevel"/>
    <w:tmpl w:val="26D085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1420D67"/>
    <w:multiLevelType w:val="multilevel"/>
    <w:tmpl w:val="B7105E1C"/>
    <w:lvl w:ilvl="0">
      <w:start w:val="1"/>
      <w:numFmt w:val="upperLetter"/>
      <w:lvlText w:val="%1."/>
      <w:lvlJc w:val="left"/>
      <w:pPr>
        <w:ind w:left="360" w:hanging="360"/>
      </w:pPr>
      <w:rPr>
        <w:color w:val="00000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DA433FE"/>
    <w:multiLevelType w:val="hybridMultilevel"/>
    <w:tmpl w:val="8926D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DFA7FC1"/>
    <w:multiLevelType w:val="hybridMultilevel"/>
    <w:tmpl w:val="CEB0ED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C0146"/>
    <w:multiLevelType w:val="hybridMultilevel"/>
    <w:tmpl w:val="2CEE0CEA"/>
    <w:lvl w:ilvl="0" w:tplc="B2CA75FA">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C226E2"/>
    <w:multiLevelType w:val="hybridMultilevel"/>
    <w:tmpl w:val="151E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06260"/>
    <w:multiLevelType w:val="hybridMultilevel"/>
    <w:tmpl w:val="91364706"/>
    <w:lvl w:ilvl="0" w:tplc="B2CA75F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62FF1"/>
    <w:multiLevelType w:val="hybridMultilevel"/>
    <w:tmpl w:val="3F306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F4E711A"/>
    <w:multiLevelType w:val="multilevel"/>
    <w:tmpl w:val="A6741A6C"/>
    <w:lvl w:ilvl="0">
      <w:start w:val="1"/>
      <w:numFmt w:val="upperRoman"/>
      <w:lvlText w:val="%1."/>
      <w:lvlJc w:val="righ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1C4EF7"/>
    <w:multiLevelType w:val="hybridMultilevel"/>
    <w:tmpl w:val="659CAAAC"/>
    <w:lvl w:ilvl="0" w:tplc="26722528">
      <w:start w:val="1"/>
      <w:numFmt w:val="decimal"/>
      <w:lvlText w:val="%1."/>
      <w:lvlJc w:val="left"/>
      <w:pPr>
        <w:ind w:left="928"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356F60"/>
    <w:multiLevelType w:val="hybridMultilevel"/>
    <w:tmpl w:val="118213C8"/>
    <w:lvl w:ilvl="0" w:tplc="7A3018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3B7269"/>
    <w:multiLevelType w:val="hybridMultilevel"/>
    <w:tmpl w:val="34D41ED0"/>
    <w:lvl w:ilvl="0" w:tplc="7F38E96C">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6CE0463"/>
    <w:multiLevelType w:val="hybridMultilevel"/>
    <w:tmpl w:val="659CAAAC"/>
    <w:lvl w:ilvl="0" w:tplc="26722528">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7AE15CF"/>
    <w:multiLevelType w:val="hybridMultilevel"/>
    <w:tmpl w:val="22BA7E3A"/>
    <w:lvl w:ilvl="0" w:tplc="8E2CCE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8"/>
  </w:num>
  <w:num w:numId="3">
    <w:abstractNumId w:val="7"/>
  </w:num>
  <w:num w:numId="4">
    <w:abstractNumId w:val="11"/>
  </w:num>
  <w:num w:numId="5">
    <w:abstractNumId w:val="10"/>
  </w:num>
  <w:num w:numId="6">
    <w:abstractNumId w:val="17"/>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23"/>
  </w:num>
  <w:num w:numId="16">
    <w:abstractNumId w:val="8"/>
  </w:num>
  <w:num w:numId="17">
    <w:abstractNumId w:val="22"/>
  </w:num>
  <w:num w:numId="18">
    <w:abstractNumId w:val="15"/>
  </w:num>
  <w:num w:numId="19">
    <w:abstractNumId w:val="3"/>
  </w:num>
  <w:num w:numId="20">
    <w:abstractNumId w:val="12"/>
  </w:num>
  <w:num w:numId="21">
    <w:abstractNumId w:val="1"/>
  </w:num>
  <w:num w:numId="22">
    <w:abstractNumId w:val="20"/>
  </w:num>
  <w:num w:numId="23">
    <w:abstractNumId w:val="9"/>
  </w:num>
  <w:num w:numId="24">
    <w:abstractNumId w:val="0"/>
  </w:num>
  <w:num w:numId="25">
    <w:abstractNumId w:val="4"/>
  </w:num>
  <w:num w:numId="26">
    <w:abstractNumId w:val="2"/>
  </w:num>
  <w:num w:numId="27">
    <w:abstractNumId w:val="14"/>
  </w:num>
  <w:num w:numId="28">
    <w:abstractNumId w:val="16"/>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7C"/>
    <w:rsid w:val="00000718"/>
    <w:rsid w:val="00000F02"/>
    <w:rsid w:val="00001102"/>
    <w:rsid w:val="000012F5"/>
    <w:rsid w:val="0000238B"/>
    <w:rsid w:val="00002F15"/>
    <w:rsid w:val="000052BB"/>
    <w:rsid w:val="00005830"/>
    <w:rsid w:val="000129F5"/>
    <w:rsid w:val="00012FAA"/>
    <w:rsid w:val="000133EA"/>
    <w:rsid w:val="00013A01"/>
    <w:rsid w:val="00013BA3"/>
    <w:rsid w:val="000145C6"/>
    <w:rsid w:val="000161B3"/>
    <w:rsid w:val="000174DC"/>
    <w:rsid w:val="0002065D"/>
    <w:rsid w:val="00020EC9"/>
    <w:rsid w:val="000211A2"/>
    <w:rsid w:val="000216DD"/>
    <w:rsid w:val="00022868"/>
    <w:rsid w:val="000243DB"/>
    <w:rsid w:val="000243E1"/>
    <w:rsid w:val="000254CD"/>
    <w:rsid w:val="000256C7"/>
    <w:rsid w:val="00026D29"/>
    <w:rsid w:val="0003061B"/>
    <w:rsid w:val="000346B6"/>
    <w:rsid w:val="00034DE0"/>
    <w:rsid w:val="00035307"/>
    <w:rsid w:val="00035948"/>
    <w:rsid w:val="00035951"/>
    <w:rsid w:val="0003625D"/>
    <w:rsid w:val="0004002A"/>
    <w:rsid w:val="00040515"/>
    <w:rsid w:val="00041691"/>
    <w:rsid w:val="00041693"/>
    <w:rsid w:val="00043C9A"/>
    <w:rsid w:val="00043F40"/>
    <w:rsid w:val="00045903"/>
    <w:rsid w:val="00045B3E"/>
    <w:rsid w:val="00046401"/>
    <w:rsid w:val="00046848"/>
    <w:rsid w:val="00046A06"/>
    <w:rsid w:val="00047581"/>
    <w:rsid w:val="000475E7"/>
    <w:rsid w:val="00047715"/>
    <w:rsid w:val="0005019E"/>
    <w:rsid w:val="000507E2"/>
    <w:rsid w:val="00050DB7"/>
    <w:rsid w:val="000526B7"/>
    <w:rsid w:val="00053B79"/>
    <w:rsid w:val="00055162"/>
    <w:rsid w:val="00055201"/>
    <w:rsid w:val="000556EC"/>
    <w:rsid w:val="000577B9"/>
    <w:rsid w:val="00057A76"/>
    <w:rsid w:val="00057D3C"/>
    <w:rsid w:val="000619E4"/>
    <w:rsid w:val="00062D7C"/>
    <w:rsid w:val="00062F4A"/>
    <w:rsid w:val="000639D0"/>
    <w:rsid w:val="00063FF5"/>
    <w:rsid w:val="00065CF0"/>
    <w:rsid w:val="00065E8C"/>
    <w:rsid w:val="00066531"/>
    <w:rsid w:val="000702D1"/>
    <w:rsid w:val="00071658"/>
    <w:rsid w:val="0007274D"/>
    <w:rsid w:val="000730EC"/>
    <w:rsid w:val="0007312C"/>
    <w:rsid w:val="00073DF2"/>
    <w:rsid w:val="00074803"/>
    <w:rsid w:val="00074BD8"/>
    <w:rsid w:val="00075391"/>
    <w:rsid w:val="00075695"/>
    <w:rsid w:val="00076F6B"/>
    <w:rsid w:val="000774AB"/>
    <w:rsid w:val="0007759D"/>
    <w:rsid w:val="00077C1C"/>
    <w:rsid w:val="00080500"/>
    <w:rsid w:val="00081D7A"/>
    <w:rsid w:val="00082028"/>
    <w:rsid w:val="00082CA8"/>
    <w:rsid w:val="00084083"/>
    <w:rsid w:val="0008421C"/>
    <w:rsid w:val="000847BB"/>
    <w:rsid w:val="00084FB3"/>
    <w:rsid w:val="000859EF"/>
    <w:rsid w:val="00085A8E"/>
    <w:rsid w:val="0008687B"/>
    <w:rsid w:val="00086BF6"/>
    <w:rsid w:val="00087232"/>
    <w:rsid w:val="00087B33"/>
    <w:rsid w:val="00090A9B"/>
    <w:rsid w:val="00090DEF"/>
    <w:rsid w:val="00091168"/>
    <w:rsid w:val="00091E37"/>
    <w:rsid w:val="000920E5"/>
    <w:rsid w:val="00092887"/>
    <w:rsid w:val="000946C2"/>
    <w:rsid w:val="000960B9"/>
    <w:rsid w:val="0009614C"/>
    <w:rsid w:val="0009638E"/>
    <w:rsid w:val="00096468"/>
    <w:rsid w:val="00096C8C"/>
    <w:rsid w:val="000A047F"/>
    <w:rsid w:val="000A0816"/>
    <w:rsid w:val="000A142F"/>
    <w:rsid w:val="000A19FF"/>
    <w:rsid w:val="000A2F76"/>
    <w:rsid w:val="000A34B6"/>
    <w:rsid w:val="000A37CE"/>
    <w:rsid w:val="000A47E6"/>
    <w:rsid w:val="000A4D70"/>
    <w:rsid w:val="000A56AA"/>
    <w:rsid w:val="000A7141"/>
    <w:rsid w:val="000A791A"/>
    <w:rsid w:val="000B0A37"/>
    <w:rsid w:val="000B0DD6"/>
    <w:rsid w:val="000B27CD"/>
    <w:rsid w:val="000B2BC5"/>
    <w:rsid w:val="000B4137"/>
    <w:rsid w:val="000B4450"/>
    <w:rsid w:val="000B5449"/>
    <w:rsid w:val="000B5935"/>
    <w:rsid w:val="000B6B00"/>
    <w:rsid w:val="000B7BC0"/>
    <w:rsid w:val="000B7FBD"/>
    <w:rsid w:val="000C02A3"/>
    <w:rsid w:val="000C03D6"/>
    <w:rsid w:val="000C0C5B"/>
    <w:rsid w:val="000C1CD7"/>
    <w:rsid w:val="000C1D79"/>
    <w:rsid w:val="000C1EA0"/>
    <w:rsid w:val="000C2077"/>
    <w:rsid w:val="000C23CE"/>
    <w:rsid w:val="000C3C7D"/>
    <w:rsid w:val="000C5949"/>
    <w:rsid w:val="000C5AA9"/>
    <w:rsid w:val="000C6063"/>
    <w:rsid w:val="000C677F"/>
    <w:rsid w:val="000C694D"/>
    <w:rsid w:val="000C69C1"/>
    <w:rsid w:val="000D1A21"/>
    <w:rsid w:val="000D2FD5"/>
    <w:rsid w:val="000D4C7F"/>
    <w:rsid w:val="000D66B0"/>
    <w:rsid w:val="000D685F"/>
    <w:rsid w:val="000D6EE1"/>
    <w:rsid w:val="000E03A6"/>
    <w:rsid w:val="000E0833"/>
    <w:rsid w:val="000E0D86"/>
    <w:rsid w:val="000E125F"/>
    <w:rsid w:val="000E184C"/>
    <w:rsid w:val="000E1FA1"/>
    <w:rsid w:val="000E2A6E"/>
    <w:rsid w:val="000E33A1"/>
    <w:rsid w:val="000E3746"/>
    <w:rsid w:val="000E3A95"/>
    <w:rsid w:val="000E46BB"/>
    <w:rsid w:val="000E4795"/>
    <w:rsid w:val="000E4C9B"/>
    <w:rsid w:val="000E7317"/>
    <w:rsid w:val="000E7329"/>
    <w:rsid w:val="000E76D0"/>
    <w:rsid w:val="000E76FF"/>
    <w:rsid w:val="000E777A"/>
    <w:rsid w:val="000E7AC9"/>
    <w:rsid w:val="000F02FB"/>
    <w:rsid w:val="000F0612"/>
    <w:rsid w:val="000F0BF4"/>
    <w:rsid w:val="000F1508"/>
    <w:rsid w:val="000F17E5"/>
    <w:rsid w:val="000F236F"/>
    <w:rsid w:val="000F28BC"/>
    <w:rsid w:val="000F3F0C"/>
    <w:rsid w:val="000F4124"/>
    <w:rsid w:val="000F464D"/>
    <w:rsid w:val="000F55A8"/>
    <w:rsid w:val="000F5A2B"/>
    <w:rsid w:val="000F5AAF"/>
    <w:rsid w:val="000F62D3"/>
    <w:rsid w:val="000F6775"/>
    <w:rsid w:val="000F6B02"/>
    <w:rsid w:val="000F7372"/>
    <w:rsid w:val="000F7C8D"/>
    <w:rsid w:val="000F7F35"/>
    <w:rsid w:val="00100264"/>
    <w:rsid w:val="00100331"/>
    <w:rsid w:val="00100655"/>
    <w:rsid w:val="00100F24"/>
    <w:rsid w:val="00102392"/>
    <w:rsid w:val="001032F6"/>
    <w:rsid w:val="00104045"/>
    <w:rsid w:val="001041E6"/>
    <w:rsid w:val="0010444E"/>
    <w:rsid w:val="00104462"/>
    <w:rsid w:val="001048AC"/>
    <w:rsid w:val="0010536E"/>
    <w:rsid w:val="00106806"/>
    <w:rsid w:val="00107440"/>
    <w:rsid w:val="00107643"/>
    <w:rsid w:val="001079FD"/>
    <w:rsid w:val="00107D42"/>
    <w:rsid w:val="00107FAF"/>
    <w:rsid w:val="0011004C"/>
    <w:rsid w:val="0011033C"/>
    <w:rsid w:val="00110766"/>
    <w:rsid w:val="001109EA"/>
    <w:rsid w:val="00112036"/>
    <w:rsid w:val="00112407"/>
    <w:rsid w:val="00113363"/>
    <w:rsid w:val="00113380"/>
    <w:rsid w:val="00114AC5"/>
    <w:rsid w:val="00114B6F"/>
    <w:rsid w:val="00114C90"/>
    <w:rsid w:val="001155EB"/>
    <w:rsid w:val="001164CA"/>
    <w:rsid w:val="0011654B"/>
    <w:rsid w:val="00120EDE"/>
    <w:rsid w:val="00121293"/>
    <w:rsid w:val="001212CB"/>
    <w:rsid w:val="00123411"/>
    <w:rsid w:val="00123543"/>
    <w:rsid w:val="0012367A"/>
    <w:rsid w:val="00124B1E"/>
    <w:rsid w:val="001254B4"/>
    <w:rsid w:val="00125AF5"/>
    <w:rsid w:val="0012648B"/>
    <w:rsid w:val="00126726"/>
    <w:rsid w:val="001279AE"/>
    <w:rsid w:val="00127DA0"/>
    <w:rsid w:val="00130027"/>
    <w:rsid w:val="00130306"/>
    <w:rsid w:val="00130BC0"/>
    <w:rsid w:val="00132024"/>
    <w:rsid w:val="00132568"/>
    <w:rsid w:val="00134BC1"/>
    <w:rsid w:val="00135041"/>
    <w:rsid w:val="001357A7"/>
    <w:rsid w:val="00135EF6"/>
    <w:rsid w:val="001363E8"/>
    <w:rsid w:val="0013643D"/>
    <w:rsid w:val="001372F6"/>
    <w:rsid w:val="001376EC"/>
    <w:rsid w:val="00137E4B"/>
    <w:rsid w:val="00140090"/>
    <w:rsid w:val="001404C9"/>
    <w:rsid w:val="00141FC6"/>
    <w:rsid w:val="00142329"/>
    <w:rsid w:val="00143013"/>
    <w:rsid w:val="00143E99"/>
    <w:rsid w:val="001441E6"/>
    <w:rsid w:val="001450AE"/>
    <w:rsid w:val="00146A22"/>
    <w:rsid w:val="00146B24"/>
    <w:rsid w:val="00146D0E"/>
    <w:rsid w:val="00147C3C"/>
    <w:rsid w:val="00150006"/>
    <w:rsid w:val="0015021B"/>
    <w:rsid w:val="001506EA"/>
    <w:rsid w:val="00151BE0"/>
    <w:rsid w:val="00151C67"/>
    <w:rsid w:val="001523E1"/>
    <w:rsid w:val="00153022"/>
    <w:rsid w:val="00153CF4"/>
    <w:rsid w:val="001545AF"/>
    <w:rsid w:val="00154F31"/>
    <w:rsid w:val="00160183"/>
    <w:rsid w:val="00160768"/>
    <w:rsid w:val="00160DEC"/>
    <w:rsid w:val="00160E47"/>
    <w:rsid w:val="0016116C"/>
    <w:rsid w:val="0016171E"/>
    <w:rsid w:val="00162443"/>
    <w:rsid w:val="00163595"/>
    <w:rsid w:val="00164669"/>
    <w:rsid w:val="00164B80"/>
    <w:rsid w:val="00164F38"/>
    <w:rsid w:val="0016593A"/>
    <w:rsid w:val="001662DE"/>
    <w:rsid w:val="0016654B"/>
    <w:rsid w:val="001667BE"/>
    <w:rsid w:val="00166B5E"/>
    <w:rsid w:val="00166FE1"/>
    <w:rsid w:val="00170534"/>
    <w:rsid w:val="0017198F"/>
    <w:rsid w:val="001720CD"/>
    <w:rsid w:val="0017288A"/>
    <w:rsid w:val="00175031"/>
    <w:rsid w:val="001755DE"/>
    <w:rsid w:val="00175977"/>
    <w:rsid w:val="00175A49"/>
    <w:rsid w:val="00175C02"/>
    <w:rsid w:val="00177824"/>
    <w:rsid w:val="00177BD1"/>
    <w:rsid w:val="00177C4A"/>
    <w:rsid w:val="0018049A"/>
    <w:rsid w:val="001816BF"/>
    <w:rsid w:val="0018197C"/>
    <w:rsid w:val="00181FF0"/>
    <w:rsid w:val="0018293F"/>
    <w:rsid w:val="00182965"/>
    <w:rsid w:val="0018378C"/>
    <w:rsid w:val="00183E80"/>
    <w:rsid w:val="001847A1"/>
    <w:rsid w:val="00184C5B"/>
    <w:rsid w:val="00184D09"/>
    <w:rsid w:val="0018502D"/>
    <w:rsid w:val="00185553"/>
    <w:rsid w:val="001868D6"/>
    <w:rsid w:val="00186AD9"/>
    <w:rsid w:val="00186E61"/>
    <w:rsid w:val="001912C3"/>
    <w:rsid w:val="00191B9C"/>
    <w:rsid w:val="0019305B"/>
    <w:rsid w:val="001932A2"/>
    <w:rsid w:val="00193EFB"/>
    <w:rsid w:val="0019451C"/>
    <w:rsid w:val="00194F88"/>
    <w:rsid w:val="00195B2A"/>
    <w:rsid w:val="00195FEB"/>
    <w:rsid w:val="001961E8"/>
    <w:rsid w:val="00196267"/>
    <w:rsid w:val="0019787A"/>
    <w:rsid w:val="001A054F"/>
    <w:rsid w:val="001A0B06"/>
    <w:rsid w:val="001A2361"/>
    <w:rsid w:val="001A3018"/>
    <w:rsid w:val="001A3156"/>
    <w:rsid w:val="001A375B"/>
    <w:rsid w:val="001A42AC"/>
    <w:rsid w:val="001A5A37"/>
    <w:rsid w:val="001A5E17"/>
    <w:rsid w:val="001A61B6"/>
    <w:rsid w:val="001A6439"/>
    <w:rsid w:val="001A697A"/>
    <w:rsid w:val="001A7518"/>
    <w:rsid w:val="001A7D69"/>
    <w:rsid w:val="001A7DC2"/>
    <w:rsid w:val="001B1AC6"/>
    <w:rsid w:val="001B1D3E"/>
    <w:rsid w:val="001B2693"/>
    <w:rsid w:val="001B279D"/>
    <w:rsid w:val="001B2E66"/>
    <w:rsid w:val="001B44E2"/>
    <w:rsid w:val="001B4C10"/>
    <w:rsid w:val="001B5B2F"/>
    <w:rsid w:val="001B5BFF"/>
    <w:rsid w:val="001B7218"/>
    <w:rsid w:val="001B7FD3"/>
    <w:rsid w:val="001C0933"/>
    <w:rsid w:val="001C0BB1"/>
    <w:rsid w:val="001C0BDA"/>
    <w:rsid w:val="001C2149"/>
    <w:rsid w:val="001C2441"/>
    <w:rsid w:val="001C3230"/>
    <w:rsid w:val="001C371D"/>
    <w:rsid w:val="001C4EE9"/>
    <w:rsid w:val="001C5DA4"/>
    <w:rsid w:val="001C637A"/>
    <w:rsid w:val="001C6584"/>
    <w:rsid w:val="001C7B26"/>
    <w:rsid w:val="001C7B28"/>
    <w:rsid w:val="001D04F5"/>
    <w:rsid w:val="001D06A9"/>
    <w:rsid w:val="001D093A"/>
    <w:rsid w:val="001D0BCA"/>
    <w:rsid w:val="001D1729"/>
    <w:rsid w:val="001D1888"/>
    <w:rsid w:val="001D2CA3"/>
    <w:rsid w:val="001D4399"/>
    <w:rsid w:val="001D4801"/>
    <w:rsid w:val="001D4880"/>
    <w:rsid w:val="001D52A6"/>
    <w:rsid w:val="001D5BBC"/>
    <w:rsid w:val="001D68DB"/>
    <w:rsid w:val="001D7AA4"/>
    <w:rsid w:val="001D7B80"/>
    <w:rsid w:val="001E0BB4"/>
    <w:rsid w:val="001E1254"/>
    <w:rsid w:val="001E1FC4"/>
    <w:rsid w:val="001E20EA"/>
    <w:rsid w:val="001E2A24"/>
    <w:rsid w:val="001E3F5F"/>
    <w:rsid w:val="001E4032"/>
    <w:rsid w:val="001E4F7E"/>
    <w:rsid w:val="001E5152"/>
    <w:rsid w:val="001E51C8"/>
    <w:rsid w:val="001E722D"/>
    <w:rsid w:val="001E79D3"/>
    <w:rsid w:val="001E7A6D"/>
    <w:rsid w:val="001F078D"/>
    <w:rsid w:val="001F084F"/>
    <w:rsid w:val="001F19F8"/>
    <w:rsid w:val="001F27DC"/>
    <w:rsid w:val="001F2AD1"/>
    <w:rsid w:val="001F31C2"/>
    <w:rsid w:val="001F3CB6"/>
    <w:rsid w:val="001F45DC"/>
    <w:rsid w:val="001F4744"/>
    <w:rsid w:val="001F4F5A"/>
    <w:rsid w:val="001F5922"/>
    <w:rsid w:val="001F707A"/>
    <w:rsid w:val="002005C8"/>
    <w:rsid w:val="00200742"/>
    <w:rsid w:val="00200C72"/>
    <w:rsid w:val="00201047"/>
    <w:rsid w:val="002013AA"/>
    <w:rsid w:val="00201776"/>
    <w:rsid w:val="00201C91"/>
    <w:rsid w:val="00201F92"/>
    <w:rsid w:val="00202156"/>
    <w:rsid w:val="00203447"/>
    <w:rsid w:val="00204BFE"/>
    <w:rsid w:val="00204C2C"/>
    <w:rsid w:val="002058D4"/>
    <w:rsid w:val="00206786"/>
    <w:rsid w:val="00206B5D"/>
    <w:rsid w:val="00207133"/>
    <w:rsid w:val="00207654"/>
    <w:rsid w:val="002101C9"/>
    <w:rsid w:val="00210EF0"/>
    <w:rsid w:val="00212565"/>
    <w:rsid w:val="002135D8"/>
    <w:rsid w:val="00213695"/>
    <w:rsid w:val="002140C5"/>
    <w:rsid w:val="00214741"/>
    <w:rsid w:val="0021539B"/>
    <w:rsid w:val="00217822"/>
    <w:rsid w:val="0022096F"/>
    <w:rsid w:val="00220AB1"/>
    <w:rsid w:val="00220C24"/>
    <w:rsid w:val="00220D54"/>
    <w:rsid w:val="00220E33"/>
    <w:rsid w:val="00222713"/>
    <w:rsid w:val="00223671"/>
    <w:rsid w:val="002240ED"/>
    <w:rsid w:val="002245EC"/>
    <w:rsid w:val="00224764"/>
    <w:rsid w:val="00224F9F"/>
    <w:rsid w:val="002252C5"/>
    <w:rsid w:val="00225F3F"/>
    <w:rsid w:val="0022662A"/>
    <w:rsid w:val="00226BF6"/>
    <w:rsid w:val="002271C2"/>
    <w:rsid w:val="00227328"/>
    <w:rsid w:val="0022748C"/>
    <w:rsid w:val="00227721"/>
    <w:rsid w:val="00227EA4"/>
    <w:rsid w:val="0023129A"/>
    <w:rsid w:val="002319FF"/>
    <w:rsid w:val="00232057"/>
    <w:rsid w:val="002322F9"/>
    <w:rsid w:val="002325B0"/>
    <w:rsid w:val="002334AB"/>
    <w:rsid w:val="00233575"/>
    <w:rsid w:val="00233585"/>
    <w:rsid w:val="00234E67"/>
    <w:rsid w:val="002354B2"/>
    <w:rsid w:val="00235B23"/>
    <w:rsid w:val="002361F1"/>
    <w:rsid w:val="00236346"/>
    <w:rsid w:val="00236954"/>
    <w:rsid w:val="0023700B"/>
    <w:rsid w:val="00237509"/>
    <w:rsid w:val="002405F0"/>
    <w:rsid w:val="00240828"/>
    <w:rsid w:val="00240D60"/>
    <w:rsid w:val="00241B89"/>
    <w:rsid w:val="0024216A"/>
    <w:rsid w:val="002421DD"/>
    <w:rsid w:val="0024227C"/>
    <w:rsid w:val="00243068"/>
    <w:rsid w:val="0024330D"/>
    <w:rsid w:val="00243434"/>
    <w:rsid w:val="002447CE"/>
    <w:rsid w:val="00244EAF"/>
    <w:rsid w:val="0024500A"/>
    <w:rsid w:val="002450DA"/>
    <w:rsid w:val="00245553"/>
    <w:rsid w:val="00245FA4"/>
    <w:rsid w:val="002467B3"/>
    <w:rsid w:val="002468DB"/>
    <w:rsid w:val="00247214"/>
    <w:rsid w:val="002479A0"/>
    <w:rsid w:val="00247B4A"/>
    <w:rsid w:val="00250D94"/>
    <w:rsid w:val="00250FFA"/>
    <w:rsid w:val="00251FF1"/>
    <w:rsid w:val="002520EA"/>
    <w:rsid w:val="002522B7"/>
    <w:rsid w:val="002541C6"/>
    <w:rsid w:val="0025439E"/>
    <w:rsid w:val="002553EC"/>
    <w:rsid w:val="00255D90"/>
    <w:rsid w:val="00256242"/>
    <w:rsid w:val="002576F1"/>
    <w:rsid w:val="00260E65"/>
    <w:rsid w:val="00261986"/>
    <w:rsid w:val="00263979"/>
    <w:rsid w:val="002647AE"/>
    <w:rsid w:val="00265CA8"/>
    <w:rsid w:val="00265D60"/>
    <w:rsid w:val="00265D83"/>
    <w:rsid w:val="002664D0"/>
    <w:rsid w:val="00266B8C"/>
    <w:rsid w:val="0026767E"/>
    <w:rsid w:val="00267A7C"/>
    <w:rsid w:val="0027194E"/>
    <w:rsid w:val="00271F75"/>
    <w:rsid w:val="002721CB"/>
    <w:rsid w:val="0027231F"/>
    <w:rsid w:val="00272724"/>
    <w:rsid w:val="00272D3E"/>
    <w:rsid w:val="00272F12"/>
    <w:rsid w:val="00273612"/>
    <w:rsid w:val="00275078"/>
    <w:rsid w:val="00275096"/>
    <w:rsid w:val="0027517B"/>
    <w:rsid w:val="00275929"/>
    <w:rsid w:val="0027682C"/>
    <w:rsid w:val="002770A6"/>
    <w:rsid w:val="002776BE"/>
    <w:rsid w:val="00280CFD"/>
    <w:rsid w:val="002818A0"/>
    <w:rsid w:val="002818B2"/>
    <w:rsid w:val="002819FF"/>
    <w:rsid w:val="00283974"/>
    <w:rsid w:val="00284BC2"/>
    <w:rsid w:val="00284E34"/>
    <w:rsid w:val="002852AB"/>
    <w:rsid w:val="002853A4"/>
    <w:rsid w:val="00285C48"/>
    <w:rsid w:val="00285F0C"/>
    <w:rsid w:val="00286614"/>
    <w:rsid w:val="00287B4A"/>
    <w:rsid w:val="002911AB"/>
    <w:rsid w:val="00291F28"/>
    <w:rsid w:val="002926F7"/>
    <w:rsid w:val="002934F8"/>
    <w:rsid w:val="00294843"/>
    <w:rsid w:val="00294B3E"/>
    <w:rsid w:val="002959F3"/>
    <w:rsid w:val="00295C58"/>
    <w:rsid w:val="00295F4F"/>
    <w:rsid w:val="00296BD4"/>
    <w:rsid w:val="0029718C"/>
    <w:rsid w:val="00297ABE"/>
    <w:rsid w:val="002A023C"/>
    <w:rsid w:val="002A0261"/>
    <w:rsid w:val="002A0944"/>
    <w:rsid w:val="002A1CAB"/>
    <w:rsid w:val="002A25B6"/>
    <w:rsid w:val="002A2BB0"/>
    <w:rsid w:val="002A44A0"/>
    <w:rsid w:val="002A4A48"/>
    <w:rsid w:val="002A51F7"/>
    <w:rsid w:val="002A54FF"/>
    <w:rsid w:val="002A635E"/>
    <w:rsid w:val="002A6544"/>
    <w:rsid w:val="002A68F6"/>
    <w:rsid w:val="002A7477"/>
    <w:rsid w:val="002A7A64"/>
    <w:rsid w:val="002A7D0C"/>
    <w:rsid w:val="002B0029"/>
    <w:rsid w:val="002B0E62"/>
    <w:rsid w:val="002B10BE"/>
    <w:rsid w:val="002B13B8"/>
    <w:rsid w:val="002B1D79"/>
    <w:rsid w:val="002B2515"/>
    <w:rsid w:val="002B2FED"/>
    <w:rsid w:val="002B402D"/>
    <w:rsid w:val="002B6143"/>
    <w:rsid w:val="002B769A"/>
    <w:rsid w:val="002C0082"/>
    <w:rsid w:val="002C0986"/>
    <w:rsid w:val="002C0CF3"/>
    <w:rsid w:val="002C1128"/>
    <w:rsid w:val="002C1136"/>
    <w:rsid w:val="002C1200"/>
    <w:rsid w:val="002C23C4"/>
    <w:rsid w:val="002C2400"/>
    <w:rsid w:val="002C2CFE"/>
    <w:rsid w:val="002C3645"/>
    <w:rsid w:val="002C4936"/>
    <w:rsid w:val="002C4D20"/>
    <w:rsid w:val="002C4ED2"/>
    <w:rsid w:val="002C4F79"/>
    <w:rsid w:val="002C54CA"/>
    <w:rsid w:val="002C6429"/>
    <w:rsid w:val="002C6CCB"/>
    <w:rsid w:val="002C6FCE"/>
    <w:rsid w:val="002C7385"/>
    <w:rsid w:val="002C7A76"/>
    <w:rsid w:val="002C7D3D"/>
    <w:rsid w:val="002C7F2D"/>
    <w:rsid w:val="002D0125"/>
    <w:rsid w:val="002D09D6"/>
    <w:rsid w:val="002D0AE7"/>
    <w:rsid w:val="002D2DC8"/>
    <w:rsid w:val="002D3AEB"/>
    <w:rsid w:val="002D3E7C"/>
    <w:rsid w:val="002D42CB"/>
    <w:rsid w:val="002D432D"/>
    <w:rsid w:val="002D4D99"/>
    <w:rsid w:val="002D66B4"/>
    <w:rsid w:val="002D6708"/>
    <w:rsid w:val="002D724A"/>
    <w:rsid w:val="002E006D"/>
    <w:rsid w:val="002E0F21"/>
    <w:rsid w:val="002E11AF"/>
    <w:rsid w:val="002E1534"/>
    <w:rsid w:val="002E154E"/>
    <w:rsid w:val="002E1620"/>
    <w:rsid w:val="002E18B1"/>
    <w:rsid w:val="002E20EC"/>
    <w:rsid w:val="002E2589"/>
    <w:rsid w:val="002E26CF"/>
    <w:rsid w:val="002E2C31"/>
    <w:rsid w:val="002E3090"/>
    <w:rsid w:val="002E41FF"/>
    <w:rsid w:val="002E4D3E"/>
    <w:rsid w:val="002E59F7"/>
    <w:rsid w:val="002E627C"/>
    <w:rsid w:val="002E687D"/>
    <w:rsid w:val="002E7C98"/>
    <w:rsid w:val="002E7F52"/>
    <w:rsid w:val="002F2903"/>
    <w:rsid w:val="002F2984"/>
    <w:rsid w:val="002F2F21"/>
    <w:rsid w:val="002F3796"/>
    <w:rsid w:val="002F3AF7"/>
    <w:rsid w:val="002F41CD"/>
    <w:rsid w:val="002F70EB"/>
    <w:rsid w:val="002F71DF"/>
    <w:rsid w:val="0030004F"/>
    <w:rsid w:val="00300262"/>
    <w:rsid w:val="0030113D"/>
    <w:rsid w:val="00301479"/>
    <w:rsid w:val="00301C6A"/>
    <w:rsid w:val="0030208E"/>
    <w:rsid w:val="00302629"/>
    <w:rsid w:val="00302A9D"/>
    <w:rsid w:val="0030426F"/>
    <w:rsid w:val="00304C7D"/>
    <w:rsid w:val="00305062"/>
    <w:rsid w:val="0030548A"/>
    <w:rsid w:val="00305806"/>
    <w:rsid w:val="003064C4"/>
    <w:rsid w:val="00306646"/>
    <w:rsid w:val="00310322"/>
    <w:rsid w:val="003103C6"/>
    <w:rsid w:val="00310A33"/>
    <w:rsid w:val="00310D4F"/>
    <w:rsid w:val="00312489"/>
    <w:rsid w:val="00312D42"/>
    <w:rsid w:val="0031379C"/>
    <w:rsid w:val="00313F0E"/>
    <w:rsid w:val="00314402"/>
    <w:rsid w:val="00314E26"/>
    <w:rsid w:val="00314ED5"/>
    <w:rsid w:val="00315CB7"/>
    <w:rsid w:val="0031610E"/>
    <w:rsid w:val="003162C3"/>
    <w:rsid w:val="00316405"/>
    <w:rsid w:val="00317634"/>
    <w:rsid w:val="00317D01"/>
    <w:rsid w:val="0032036A"/>
    <w:rsid w:val="00321324"/>
    <w:rsid w:val="003216A2"/>
    <w:rsid w:val="003219BE"/>
    <w:rsid w:val="0032394B"/>
    <w:rsid w:val="00324131"/>
    <w:rsid w:val="00325395"/>
    <w:rsid w:val="00326A7E"/>
    <w:rsid w:val="0033096F"/>
    <w:rsid w:val="00331382"/>
    <w:rsid w:val="00332050"/>
    <w:rsid w:val="00332124"/>
    <w:rsid w:val="003321CF"/>
    <w:rsid w:val="003323BA"/>
    <w:rsid w:val="003323D9"/>
    <w:rsid w:val="003327D8"/>
    <w:rsid w:val="00332F86"/>
    <w:rsid w:val="00333281"/>
    <w:rsid w:val="003335DD"/>
    <w:rsid w:val="00334455"/>
    <w:rsid w:val="00334516"/>
    <w:rsid w:val="00334B83"/>
    <w:rsid w:val="00335F32"/>
    <w:rsid w:val="003364B9"/>
    <w:rsid w:val="00336FC3"/>
    <w:rsid w:val="0034014E"/>
    <w:rsid w:val="00341FCF"/>
    <w:rsid w:val="003423FE"/>
    <w:rsid w:val="00342BD1"/>
    <w:rsid w:val="0034368F"/>
    <w:rsid w:val="0034385B"/>
    <w:rsid w:val="003456FD"/>
    <w:rsid w:val="00345A4F"/>
    <w:rsid w:val="00346D6C"/>
    <w:rsid w:val="00351582"/>
    <w:rsid w:val="003515BE"/>
    <w:rsid w:val="003516D9"/>
    <w:rsid w:val="00352307"/>
    <w:rsid w:val="00352AD5"/>
    <w:rsid w:val="003557AC"/>
    <w:rsid w:val="00356067"/>
    <w:rsid w:val="003570AD"/>
    <w:rsid w:val="003576D8"/>
    <w:rsid w:val="0035797F"/>
    <w:rsid w:val="00357F0F"/>
    <w:rsid w:val="00360032"/>
    <w:rsid w:val="00360BE5"/>
    <w:rsid w:val="00360FA1"/>
    <w:rsid w:val="0036332D"/>
    <w:rsid w:val="00363C1F"/>
    <w:rsid w:val="003656FA"/>
    <w:rsid w:val="00365A69"/>
    <w:rsid w:val="003663E6"/>
    <w:rsid w:val="003666BB"/>
    <w:rsid w:val="003671F5"/>
    <w:rsid w:val="003676F0"/>
    <w:rsid w:val="00371DD7"/>
    <w:rsid w:val="00371E4B"/>
    <w:rsid w:val="00372242"/>
    <w:rsid w:val="0037234C"/>
    <w:rsid w:val="00373978"/>
    <w:rsid w:val="00373B39"/>
    <w:rsid w:val="0037442E"/>
    <w:rsid w:val="003745A0"/>
    <w:rsid w:val="00374E1A"/>
    <w:rsid w:val="00375172"/>
    <w:rsid w:val="003755CB"/>
    <w:rsid w:val="00375E21"/>
    <w:rsid w:val="003761AC"/>
    <w:rsid w:val="003769B7"/>
    <w:rsid w:val="00376E21"/>
    <w:rsid w:val="00381D19"/>
    <w:rsid w:val="00383DBF"/>
    <w:rsid w:val="00383FFB"/>
    <w:rsid w:val="00384E16"/>
    <w:rsid w:val="00385837"/>
    <w:rsid w:val="0038592C"/>
    <w:rsid w:val="00387126"/>
    <w:rsid w:val="003873FD"/>
    <w:rsid w:val="00387426"/>
    <w:rsid w:val="0038768F"/>
    <w:rsid w:val="0038777E"/>
    <w:rsid w:val="003903F3"/>
    <w:rsid w:val="003909F6"/>
    <w:rsid w:val="00390F23"/>
    <w:rsid w:val="003913C8"/>
    <w:rsid w:val="00391EC4"/>
    <w:rsid w:val="00391F48"/>
    <w:rsid w:val="0039243F"/>
    <w:rsid w:val="00395300"/>
    <w:rsid w:val="003959B8"/>
    <w:rsid w:val="00395B40"/>
    <w:rsid w:val="00396038"/>
    <w:rsid w:val="00396049"/>
    <w:rsid w:val="0039654D"/>
    <w:rsid w:val="00397135"/>
    <w:rsid w:val="0039732B"/>
    <w:rsid w:val="003976DA"/>
    <w:rsid w:val="00397E98"/>
    <w:rsid w:val="003A1203"/>
    <w:rsid w:val="003A17FF"/>
    <w:rsid w:val="003A21E5"/>
    <w:rsid w:val="003A297D"/>
    <w:rsid w:val="003A2BF9"/>
    <w:rsid w:val="003A331B"/>
    <w:rsid w:val="003A3BEA"/>
    <w:rsid w:val="003A4791"/>
    <w:rsid w:val="003A48C5"/>
    <w:rsid w:val="003A4AC6"/>
    <w:rsid w:val="003A4BE3"/>
    <w:rsid w:val="003A5021"/>
    <w:rsid w:val="003A5FB5"/>
    <w:rsid w:val="003B0D0B"/>
    <w:rsid w:val="003B1065"/>
    <w:rsid w:val="003B16D2"/>
    <w:rsid w:val="003B1DAD"/>
    <w:rsid w:val="003B1F08"/>
    <w:rsid w:val="003B2AA2"/>
    <w:rsid w:val="003B2FD2"/>
    <w:rsid w:val="003B5D3E"/>
    <w:rsid w:val="003B6169"/>
    <w:rsid w:val="003B6B7F"/>
    <w:rsid w:val="003B6CA4"/>
    <w:rsid w:val="003B6ECB"/>
    <w:rsid w:val="003B7137"/>
    <w:rsid w:val="003C0053"/>
    <w:rsid w:val="003C03E0"/>
    <w:rsid w:val="003C05C5"/>
    <w:rsid w:val="003C1892"/>
    <w:rsid w:val="003C1D4C"/>
    <w:rsid w:val="003C2485"/>
    <w:rsid w:val="003C2CFF"/>
    <w:rsid w:val="003C2E75"/>
    <w:rsid w:val="003C2E80"/>
    <w:rsid w:val="003C3AA0"/>
    <w:rsid w:val="003C3DD7"/>
    <w:rsid w:val="003C4496"/>
    <w:rsid w:val="003C51EB"/>
    <w:rsid w:val="003C6A4A"/>
    <w:rsid w:val="003C6E61"/>
    <w:rsid w:val="003C70B1"/>
    <w:rsid w:val="003C728F"/>
    <w:rsid w:val="003C7769"/>
    <w:rsid w:val="003C782B"/>
    <w:rsid w:val="003D15FC"/>
    <w:rsid w:val="003D192D"/>
    <w:rsid w:val="003D1C08"/>
    <w:rsid w:val="003D1EB4"/>
    <w:rsid w:val="003D24AF"/>
    <w:rsid w:val="003D2B66"/>
    <w:rsid w:val="003D2D6D"/>
    <w:rsid w:val="003D31FD"/>
    <w:rsid w:val="003D3C28"/>
    <w:rsid w:val="003D3F72"/>
    <w:rsid w:val="003D42E3"/>
    <w:rsid w:val="003D4466"/>
    <w:rsid w:val="003D44F5"/>
    <w:rsid w:val="003D5C27"/>
    <w:rsid w:val="003D77FA"/>
    <w:rsid w:val="003D7F47"/>
    <w:rsid w:val="003E0D79"/>
    <w:rsid w:val="003E0F9F"/>
    <w:rsid w:val="003E14ED"/>
    <w:rsid w:val="003E1821"/>
    <w:rsid w:val="003E1929"/>
    <w:rsid w:val="003E19BC"/>
    <w:rsid w:val="003E2FCF"/>
    <w:rsid w:val="003E5A8A"/>
    <w:rsid w:val="003E5D13"/>
    <w:rsid w:val="003E61D3"/>
    <w:rsid w:val="003E63F8"/>
    <w:rsid w:val="003E6B8D"/>
    <w:rsid w:val="003E6D2B"/>
    <w:rsid w:val="003E6E29"/>
    <w:rsid w:val="003E70CB"/>
    <w:rsid w:val="003E71C8"/>
    <w:rsid w:val="003F0D78"/>
    <w:rsid w:val="003F1032"/>
    <w:rsid w:val="003F139B"/>
    <w:rsid w:val="003F1FB2"/>
    <w:rsid w:val="003F2F76"/>
    <w:rsid w:val="003F384D"/>
    <w:rsid w:val="003F3A95"/>
    <w:rsid w:val="003F3BBB"/>
    <w:rsid w:val="003F4581"/>
    <w:rsid w:val="003F537A"/>
    <w:rsid w:val="003F5475"/>
    <w:rsid w:val="003F560E"/>
    <w:rsid w:val="003F5A24"/>
    <w:rsid w:val="003F5BB2"/>
    <w:rsid w:val="003F5EDA"/>
    <w:rsid w:val="003F62E0"/>
    <w:rsid w:val="003F643D"/>
    <w:rsid w:val="003F653C"/>
    <w:rsid w:val="003F6AA4"/>
    <w:rsid w:val="003F6B61"/>
    <w:rsid w:val="003F6E33"/>
    <w:rsid w:val="003F71F4"/>
    <w:rsid w:val="00400590"/>
    <w:rsid w:val="00400691"/>
    <w:rsid w:val="00400A9A"/>
    <w:rsid w:val="00401468"/>
    <w:rsid w:val="004018C7"/>
    <w:rsid w:val="00401C57"/>
    <w:rsid w:val="0040263B"/>
    <w:rsid w:val="004026E0"/>
    <w:rsid w:val="004028D9"/>
    <w:rsid w:val="004028F9"/>
    <w:rsid w:val="00404768"/>
    <w:rsid w:val="00404CDD"/>
    <w:rsid w:val="00404F7C"/>
    <w:rsid w:val="004066A2"/>
    <w:rsid w:val="00406C29"/>
    <w:rsid w:val="00406CA1"/>
    <w:rsid w:val="0041013E"/>
    <w:rsid w:val="00410C67"/>
    <w:rsid w:val="0041126A"/>
    <w:rsid w:val="004114CB"/>
    <w:rsid w:val="00411783"/>
    <w:rsid w:val="00411A91"/>
    <w:rsid w:val="004127A2"/>
    <w:rsid w:val="0041286F"/>
    <w:rsid w:val="004139A3"/>
    <w:rsid w:val="00413BE4"/>
    <w:rsid w:val="0041405E"/>
    <w:rsid w:val="0041477F"/>
    <w:rsid w:val="0041487F"/>
    <w:rsid w:val="00414991"/>
    <w:rsid w:val="00414E7A"/>
    <w:rsid w:val="00416135"/>
    <w:rsid w:val="00416ED9"/>
    <w:rsid w:val="004173B2"/>
    <w:rsid w:val="004205AB"/>
    <w:rsid w:val="00421135"/>
    <w:rsid w:val="00421794"/>
    <w:rsid w:val="00421FB5"/>
    <w:rsid w:val="004225E9"/>
    <w:rsid w:val="00423D86"/>
    <w:rsid w:val="004241FD"/>
    <w:rsid w:val="00424353"/>
    <w:rsid w:val="00424C9E"/>
    <w:rsid w:val="004255B6"/>
    <w:rsid w:val="0042605C"/>
    <w:rsid w:val="00427912"/>
    <w:rsid w:val="00430234"/>
    <w:rsid w:val="00430948"/>
    <w:rsid w:val="004312D0"/>
    <w:rsid w:val="00431AF3"/>
    <w:rsid w:val="00432430"/>
    <w:rsid w:val="00432A89"/>
    <w:rsid w:val="00432CD0"/>
    <w:rsid w:val="004333ED"/>
    <w:rsid w:val="004338FC"/>
    <w:rsid w:val="00433C37"/>
    <w:rsid w:val="0043444E"/>
    <w:rsid w:val="00434487"/>
    <w:rsid w:val="00434704"/>
    <w:rsid w:val="00434D03"/>
    <w:rsid w:val="004354AF"/>
    <w:rsid w:val="00436B9A"/>
    <w:rsid w:val="0044161F"/>
    <w:rsid w:val="0044362C"/>
    <w:rsid w:val="00444544"/>
    <w:rsid w:val="00444D4B"/>
    <w:rsid w:val="00445C99"/>
    <w:rsid w:val="00445CDF"/>
    <w:rsid w:val="00446060"/>
    <w:rsid w:val="00450AC4"/>
    <w:rsid w:val="00450C02"/>
    <w:rsid w:val="00451057"/>
    <w:rsid w:val="004517B1"/>
    <w:rsid w:val="00451CE6"/>
    <w:rsid w:val="004531B5"/>
    <w:rsid w:val="0045332B"/>
    <w:rsid w:val="004539CC"/>
    <w:rsid w:val="00453B3B"/>
    <w:rsid w:val="00453EDC"/>
    <w:rsid w:val="00454200"/>
    <w:rsid w:val="00454BBE"/>
    <w:rsid w:val="00455CC2"/>
    <w:rsid w:val="0045638C"/>
    <w:rsid w:val="00457A73"/>
    <w:rsid w:val="00460B5A"/>
    <w:rsid w:val="00461079"/>
    <w:rsid w:val="00462BB7"/>
    <w:rsid w:val="0046376B"/>
    <w:rsid w:val="00465207"/>
    <w:rsid w:val="0046520C"/>
    <w:rsid w:val="00465BEA"/>
    <w:rsid w:val="00465D60"/>
    <w:rsid w:val="00467125"/>
    <w:rsid w:val="00470C37"/>
    <w:rsid w:val="00470E75"/>
    <w:rsid w:val="00471819"/>
    <w:rsid w:val="00471C73"/>
    <w:rsid w:val="00473AB6"/>
    <w:rsid w:val="0047416D"/>
    <w:rsid w:val="00474CDF"/>
    <w:rsid w:val="00474EEE"/>
    <w:rsid w:val="00475B6F"/>
    <w:rsid w:val="00475EA5"/>
    <w:rsid w:val="00476049"/>
    <w:rsid w:val="00476DC3"/>
    <w:rsid w:val="00477023"/>
    <w:rsid w:val="00481088"/>
    <w:rsid w:val="00481098"/>
    <w:rsid w:val="00481126"/>
    <w:rsid w:val="00481554"/>
    <w:rsid w:val="00485AC3"/>
    <w:rsid w:val="004877E5"/>
    <w:rsid w:val="00490058"/>
    <w:rsid w:val="00490858"/>
    <w:rsid w:val="004910FA"/>
    <w:rsid w:val="0049159A"/>
    <w:rsid w:val="004917C8"/>
    <w:rsid w:val="0049180F"/>
    <w:rsid w:val="004918D4"/>
    <w:rsid w:val="004925AA"/>
    <w:rsid w:val="00492688"/>
    <w:rsid w:val="004928B5"/>
    <w:rsid w:val="00493257"/>
    <w:rsid w:val="00493829"/>
    <w:rsid w:val="00493C95"/>
    <w:rsid w:val="004948A0"/>
    <w:rsid w:val="00495295"/>
    <w:rsid w:val="00495CD8"/>
    <w:rsid w:val="004965FA"/>
    <w:rsid w:val="004A0A89"/>
    <w:rsid w:val="004A0AA0"/>
    <w:rsid w:val="004A130C"/>
    <w:rsid w:val="004A2650"/>
    <w:rsid w:val="004A2B0F"/>
    <w:rsid w:val="004A2F1E"/>
    <w:rsid w:val="004A4106"/>
    <w:rsid w:val="004A4D62"/>
    <w:rsid w:val="004A5473"/>
    <w:rsid w:val="004A5CBC"/>
    <w:rsid w:val="004A77AF"/>
    <w:rsid w:val="004B1561"/>
    <w:rsid w:val="004B158D"/>
    <w:rsid w:val="004B37FD"/>
    <w:rsid w:val="004B3A7C"/>
    <w:rsid w:val="004B44C0"/>
    <w:rsid w:val="004B50FF"/>
    <w:rsid w:val="004B52CF"/>
    <w:rsid w:val="004B58D5"/>
    <w:rsid w:val="004B68FB"/>
    <w:rsid w:val="004B74FC"/>
    <w:rsid w:val="004B75B3"/>
    <w:rsid w:val="004B7B6E"/>
    <w:rsid w:val="004B7DF7"/>
    <w:rsid w:val="004B7E75"/>
    <w:rsid w:val="004C06B8"/>
    <w:rsid w:val="004C1507"/>
    <w:rsid w:val="004C2E1D"/>
    <w:rsid w:val="004C342F"/>
    <w:rsid w:val="004C41AD"/>
    <w:rsid w:val="004C4992"/>
    <w:rsid w:val="004C5AAA"/>
    <w:rsid w:val="004C5B13"/>
    <w:rsid w:val="004C5CDD"/>
    <w:rsid w:val="004C671E"/>
    <w:rsid w:val="004C6A2B"/>
    <w:rsid w:val="004C6C55"/>
    <w:rsid w:val="004C7492"/>
    <w:rsid w:val="004C755E"/>
    <w:rsid w:val="004C7FE7"/>
    <w:rsid w:val="004D03BA"/>
    <w:rsid w:val="004D10FC"/>
    <w:rsid w:val="004D20E5"/>
    <w:rsid w:val="004D2766"/>
    <w:rsid w:val="004D4942"/>
    <w:rsid w:val="004D5075"/>
    <w:rsid w:val="004D6063"/>
    <w:rsid w:val="004D681F"/>
    <w:rsid w:val="004D77F7"/>
    <w:rsid w:val="004E1212"/>
    <w:rsid w:val="004E18EB"/>
    <w:rsid w:val="004E1A56"/>
    <w:rsid w:val="004E204B"/>
    <w:rsid w:val="004E2725"/>
    <w:rsid w:val="004E44D7"/>
    <w:rsid w:val="004E451A"/>
    <w:rsid w:val="004E4666"/>
    <w:rsid w:val="004E4D44"/>
    <w:rsid w:val="004E4F2A"/>
    <w:rsid w:val="004E4FF9"/>
    <w:rsid w:val="004E59E1"/>
    <w:rsid w:val="004E68D9"/>
    <w:rsid w:val="004E6A68"/>
    <w:rsid w:val="004E76E0"/>
    <w:rsid w:val="004E76E8"/>
    <w:rsid w:val="004F092E"/>
    <w:rsid w:val="004F0E2C"/>
    <w:rsid w:val="004F1BBB"/>
    <w:rsid w:val="004F328A"/>
    <w:rsid w:val="004F4B1D"/>
    <w:rsid w:val="004F4FDA"/>
    <w:rsid w:val="004F560A"/>
    <w:rsid w:val="004F6E2D"/>
    <w:rsid w:val="004F754E"/>
    <w:rsid w:val="00500AEE"/>
    <w:rsid w:val="00501CB2"/>
    <w:rsid w:val="005021A7"/>
    <w:rsid w:val="005023F9"/>
    <w:rsid w:val="005029BF"/>
    <w:rsid w:val="00503572"/>
    <w:rsid w:val="00503C46"/>
    <w:rsid w:val="00506ADA"/>
    <w:rsid w:val="00506DC6"/>
    <w:rsid w:val="0051010F"/>
    <w:rsid w:val="0051191E"/>
    <w:rsid w:val="00512441"/>
    <w:rsid w:val="00512785"/>
    <w:rsid w:val="00512839"/>
    <w:rsid w:val="00513E19"/>
    <w:rsid w:val="00513E39"/>
    <w:rsid w:val="00514244"/>
    <w:rsid w:val="0051508B"/>
    <w:rsid w:val="00515FF5"/>
    <w:rsid w:val="005179F5"/>
    <w:rsid w:val="00517AB4"/>
    <w:rsid w:val="00520349"/>
    <w:rsid w:val="005205FF"/>
    <w:rsid w:val="00520709"/>
    <w:rsid w:val="0052086F"/>
    <w:rsid w:val="005209F9"/>
    <w:rsid w:val="00522769"/>
    <w:rsid w:val="005228CE"/>
    <w:rsid w:val="00522CF8"/>
    <w:rsid w:val="00523195"/>
    <w:rsid w:val="0052378B"/>
    <w:rsid w:val="00523C6B"/>
    <w:rsid w:val="00523DB5"/>
    <w:rsid w:val="00523F7B"/>
    <w:rsid w:val="0052445F"/>
    <w:rsid w:val="00526A07"/>
    <w:rsid w:val="00527C0B"/>
    <w:rsid w:val="00530099"/>
    <w:rsid w:val="005308BB"/>
    <w:rsid w:val="00530909"/>
    <w:rsid w:val="00531BA9"/>
    <w:rsid w:val="00532DCC"/>
    <w:rsid w:val="0053331A"/>
    <w:rsid w:val="00533B8C"/>
    <w:rsid w:val="00533DA0"/>
    <w:rsid w:val="00534667"/>
    <w:rsid w:val="00536359"/>
    <w:rsid w:val="005363D6"/>
    <w:rsid w:val="005364CA"/>
    <w:rsid w:val="0053744E"/>
    <w:rsid w:val="00537FE9"/>
    <w:rsid w:val="00540E3D"/>
    <w:rsid w:val="00540F6D"/>
    <w:rsid w:val="005430DE"/>
    <w:rsid w:val="00543616"/>
    <w:rsid w:val="0054408A"/>
    <w:rsid w:val="00544A10"/>
    <w:rsid w:val="00544EE7"/>
    <w:rsid w:val="005456C0"/>
    <w:rsid w:val="005459F8"/>
    <w:rsid w:val="00546F34"/>
    <w:rsid w:val="005473DC"/>
    <w:rsid w:val="00547CB1"/>
    <w:rsid w:val="00550718"/>
    <w:rsid w:val="00550730"/>
    <w:rsid w:val="005508F9"/>
    <w:rsid w:val="00550AAC"/>
    <w:rsid w:val="00550F1F"/>
    <w:rsid w:val="0055100E"/>
    <w:rsid w:val="005511B9"/>
    <w:rsid w:val="005512F9"/>
    <w:rsid w:val="00551F25"/>
    <w:rsid w:val="0055272B"/>
    <w:rsid w:val="00553199"/>
    <w:rsid w:val="005537D2"/>
    <w:rsid w:val="00553A93"/>
    <w:rsid w:val="005540C3"/>
    <w:rsid w:val="00554852"/>
    <w:rsid w:val="00554FE9"/>
    <w:rsid w:val="005553B4"/>
    <w:rsid w:val="005553E9"/>
    <w:rsid w:val="005560D4"/>
    <w:rsid w:val="0055674D"/>
    <w:rsid w:val="00556A8C"/>
    <w:rsid w:val="00557075"/>
    <w:rsid w:val="00557572"/>
    <w:rsid w:val="00557F61"/>
    <w:rsid w:val="00560064"/>
    <w:rsid w:val="005609FB"/>
    <w:rsid w:val="00561B4E"/>
    <w:rsid w:val="00561BB9"/>
    <w:rsid w:val="00562052"/>
    <w:rsid w:val="00562448"/>
    <w:rsid w:val="00562529"/>
    <w:rsid w:val="005628AE"/>
    <w:rsid w:val="00562A3B"/>
    <w:rsid w:val="00562BBD"/>
    <w:rsid w:val="00563987"/>
    <w:rsid w:val="00563C6B"/>
    <w:rsid w:val="00564999"/>
    <w:rsid w:val="00566E49"/>
    <w:rsid w:val="00566F45"/>
    <w:rsid w:val="005675F7"/>
    <w:rsid w:val="005676F5"/>
    <w:rsid w:val="005678B7"/>
    <w:rsid w:val="00567B61"/>
    <w:rsid w:val="00570AC0"/>
    <w:rsid w:val="00571F07"/>
    <w:rsid w:val="00573059"/>
    <w:rsid w:val="005748D2"/>
    <w:rsid w:val="00574D67"/>
    <w:rsid w:val="00575F0D"/>
    <w:rsid w:val="005762E0"/>
    <w:rsid w:val="00576EC5"/>
    <w:rsid w:val="0058047E"/>
    <w:rsid w:val="00580563"/>
    <w:rsid w:val="005805C0"/>
    <w:rsid w:val="00580980"/>
    <w:rsid w:val="00580E45"/>
    <w:rsid w:val="00581542"/>
    <w:rsid w:val="0058176C"/>
    <w:rsid w:val="00581BF7"/>
    <w:rsid w:val="00582027"/>
    <w:rsid w:val="005822ED"/>
    <w:rsid w:val="00582803"/>
    <w:rsid w:val="0058376D"/>
    <w:rsid w:val="00583ADF"/>
    <w:rsid w:val="00583B02"/>
    <w:rsid w:val="00584C53"/>
    <w:rsid w:val="00586AF5"/>
    <w:rsid w:val="00586C1B"/>
    <w:rsid w:val="00586E40"/>
    <w:rsid w:val="00586FDC"/>
    <w:rsid w:val="0059339E"/>
    <w:rsid w:val="00593652"/>
    <w:rsid w:val="005936C9"/>
    <w:rsid w:val="00594142"/>
    <w:rsid w:val="00594C6C"/>
    <w:rsid w:val="00594DA2"/>
    <w:rsid w:val="00595268"/>
    <w:rsid w:val="00595330"/>
    <w:rsid w:val="00595392"/>
    <w:rsid w:val="00595DF3"/>
    <w:rsid w:val="005969E2"/>
    <w:rsid w:val="00596E5C"/>
    <w:rsid w:val="005A0285"/>
    <w:rsid w:val="005A0A20"/>
    <w:rsid w:val="005A15AF"/>
    <w:rsid w:val="005A15B1"/>
    <w:rsid w:val="005A1704"/>
    <w:rsid w:val="005A1BA3"/>
    <w:rsid w:val="005A1FFE"/>
    <w:rsid w:val="005A282D"/>
    <w:rsid w:val="005A3028"/>
    <w:rsid w:val="005A3CBE"/>
    <w:rsid w:val="005A3DA3"/>
    <w:rsid w:val="005A3E79"/>
    <w:rsid w:val="005A3F7D"/>
    <w:rsid w:val="005A40A3"/>
    <w:rsid w:val="005A4316"/>
    <w:rsid w:val="005A4D17"/>
    <w:rsid w:val="005A55E3"/>
    <w:rsid w:val="005A5AC8"/>
    <w:rsid w:val="005A5F84"/>
    <w:rsid w:val="005A614C"/>
    <w:rsid w:val="005A765A"/>
    <w:rsid w:val="005A7FA8"/>
    <w:rsid w:val="005B05E6"/>
    <w:rsid w:val="005B0C69"/>
    <w:rsid w:val="005B1031"/>
    <w:rsid w:val="005B1872"/>
    <w:rsid w:val="005B1CA9"/>
    <w:rsid w:val="005B2091"/>
    <w:rsid w:val="005B22A2"/>
    <w:rsid w:val="005B240B"/>
    <w:rsid w:val="005B325C"/>
    <w:rsid w:val="005B3403"/>
    <w:rsid w:val="005B500E"/>
    <w:rsid w:val="005B5428"/>
    <w:rsid w:val="005B55FF"/>
    <w:rsid w:val="005B5B92"/>
    <w:rsid w:val="005B5BF1"/>
    <w:rsid w:val="005B5C45"/>
    <w:rsid w:val="005B7799"/>
    <w:rsid w:val="005C0936"/>
    <w:rsid w:val="005C0C45"/>
    <w:rsid w:val="005C1A9B"/>
    <w:rsid w:val="005C1AF4"/>
    <w:rsid w:val="005C375D"/>
    <w:rsid w:val="005C4914"/>
    <w:rsid w:val="005C5303"/>
    <w:rsid w:val="005C5499"/>
    <w:rsid w:val="005C6219"/>
    <w:rsid w:val="005C6540"/>
    <w:rsid w:val="005C7FB6"/>
    <w:rsid w:val="005D07CE"/>
    <w:rsid w:val="005D10C7"/>
    <w:rsid w:val="005D397F"/>
    <w:rsid w:val="005D5366"/>
    <w:rsid w:val="005D5970"/>
    <w:rsid w:val="005D7224"/>
    <w:rsid w:val="005D738E"/>
    <w:rsid w:val="005D7E5E"/>
    <w:rsid w:val="005E0816"/>
    <w:rsid w:val="005E0AEF"/>
    <w:rsid w:val="005E0F99"/>
    <w:rsid w:val="005E1961"/>
    <w:rsid w:val="005E2A41"/>
    <w:rsid w:val="005E3653"/>
    <w:rsid w:val="005E3B1B"/>
    <w:rsid w:val="005E4ECB"/>
    <w:rsid w:val="005E4FE5"/>
    <w:rsid w:val="005E66C3"/>
    <w:rsid w:val="005E6F72"/>
    <w:rsid w:val="005E7795"/>
    <w:rsid w:val="005F0012"/>
    <w:rsid w:val="005F0A31"/>
    <w:rsid w:val="005F15E4"/>
    <w:rsid w:val="005F1CCA"/>
    <w:rsid w:val="005F27D6"/>
    <w:rsid w:val="005F3047"/>
    <w:rsid w:val="005F3425"/>
    <w:rsid w:val="005F373B"/>
    <w:rsid w:val="005F3B5C"/>
    <w:rsid w:val="005F3D2C"/>
    <w:rsid w:val="005F443A"/>
    <w:rsid w:val="005F4FFF"/>
    <w:rsid w:val="005F527E"/>
    <w:rsid w:val="005F53D0"/>
    <w:rsid w:val="005F5CDF"/>
    <w:rsid w:val="005F5DCF"/>
    <w:rsid w:val="005F5E77"/>
    <w:rsid w:val="005F6797"/>
    <w:rsid w:val="006004A3"/>
    <w:rsid w:val="00601046"/>
    <w:rsid w:val="006014E5"/>
    <w:rsid w:val="006015D9"/>
    <w:rsid w:val="00601A5D"/>
    <w:rsid w:val="00602902"/>
    <w:rsid w:val="0060354C"/>
    <w:rsid w:val="00604BA3"/>
    <w:rsid w:val="00605018"/>
    <w:rsid w:val="006056C6"/>
    <w:rsid w:val="00605A24"/>
    <w:rsid w:val="00605DA3"/>
    <w:rsid w:val="0060602C"/>
    <w:rsid w:val="00606689"/>
    <w:rsid w:val="00606E35"/>
    <w:rsid w:val="00606F38"/>
    <w:rsid w:val="00607698"/>
    <w:rsid w:val="006100DD"/>
    <w:rsid w:val="0061099B"/>
    <w:rsid w:val="00610C35"/>
    <w:rsid w:val="00610CFC"/>
    <w:rsid w:val="006116C3"/>
    <w:rsid w:val="00611DA1"/>
    <w:rsid w:val="00612E2F"/>
    <w:rsid w:val="00612E44"/>
    <w:rsid w:val="00613959"/>
    <w:rsid w:val="00614BDD"/>
    <w:rsid w:val="00614D29"/>
    <w:rsid w:val="00615563"/>
    <w:rsid w:val="00615BAE"/>
    <w:rsid w:val="00615DB4"/>
    <w:rsid w:val="00615ED4"/>
    <w:rsid w:val="00615F62"/>
    <w:rsid w:val="00620035"/>
    <w:rsid w:val="00620BE6"/>
    <w:rsid w:val="00620D83"/>
    <w:rsid w:val="006212DC"/>
    <w:rsid w:val="00621E66"/>
    <w:rsid w:val="00622F71"/>
    <w:rsid w:val="0062348C"/>
    <w:rsid w:val="00623736"/>
    <w:rsid w:val="00623B25"/>
    <w:rsid w:val="00623D21"/>
    <w:rsid w:val="006250FD"/>
    <w:rsid w:val="0062626C"/>
    <w:rsid w:val="00627C67"/>
    <w:rsid w:val="00630831"/>
    <w:rsid w:val="00630B0B"/>
    <w:rsid w:val="00631D1C"/>
    <w:rsid w:val="00634228"/>
    <w:rsid w:val="006346B2"/>
    <w:rsid w:val="00634B83"/>
    <w:rsid w:val="00635443"/>
    <w:rsid w:val="006356F7"/>
    <w:rsid w:val="006371D1"/>
    <w:rsid w:val="006372C3"/>
    <w:rsid w:val="006374DA"/>
    <w:rsid w:val="00637931"/>
    <w:rsid w:val="0064028C"/>
    <w:rsid w:val="00640D0C"/>
    <w:rsid w:val="00640D34"/>
    <w:rsid w:val="0064110C"/>
    <w:rsid w:val="006411A7"/>
    <w:rsid w:val="00641DEA"/>
    <w:rsid w:val="00642EB0"/>
    <w:rsid w:val="00642FAF"/>
    <w:rsid w:val="00643350"/>
    <w:rsid w:val="0064380B"/>
    <w:rsid w:val="00643D3D"/>
    <w:rsid w:val="006446D3"/>
    <w:rsid w:val="006450C2"/>
    <w:rsid w:val="00645482"/>
    <w:rsid w:val="006464B0"/>
    <w:rsid w:val="00646589"/>
    <w:rsid w:val="006479A5"/>
    <w:rsid w:val="00647DF8"/>
    <w:rsid w:val="00650B2A"/>
    <w:rsid w:val="006514AD"/>
    <w:rsid w:val="00651A1A"/>
    <w:rsid w:val="006529AC"/>
    <w:rsid w:val="00652D24"/>
    <w:rsid w:val="006531B4"/>
    <w:rsid w:val="00653341"/>
    <w:rsid w:val="00653A3F"/>
    <w:rsid w:val="00653B6D"/>
    <w:rsid w:val="00654C57"/>
    <w:rsid w:val="00654C75"/>
    <w:rsid w:val="00655C89"/>
    <w:rsid w:val="0065637B"/>
    <w:rsid w:val="00657483"/>
    <w:rsid w:val="00657566"/>
    <w:rsid w:val="006609BA"/>
    <w:rsid w:val="00660B5A"/>
    <w:rsid w:val="00660BB8"/>
    <w:rsid w:val="0066206E"/>
    <w:rsid w:val="006622FD"/>
    <w:rsid w:val="006639C3"/>
    <w:rsid w:val="00664558"/>
    <w:rsid w:val="00665D17"/>
    <w:rsid w:val="0066762D"/>
    <w:rsid w:val="006677F4"/>
    <w:rsid w:val="0067060D"/>
    <w:rsid w:val="00671E15"/>
    <w:rsid w:val="0067306A"/>
    <w:rsid w:val="00673377"/>
    <w:rsid w:val="00673B9B"/>
    <w:rsid w:val="006746EC"/>
    <w:rsid w:val="006747B6"/>
    <w:rsid w:val="006752EC"/>
    <w:rsid w:val="00675669"/>
    <w:rsid w:val="00675CCB"/>
    <w:rsid w:val="006764C5"/>
    <w:rsid w:val="00676C0A"/>
    <w:rsid w:val="006770F9"/>
    <w:rsid w:val="006772CA"/>
    <w:rsid w:val="006779EF"/>
    <w:rsid w:val="00677A80"/>
    <w:rsid w:val="00677D66"/>
    <w:rsid w:val="00677E70"/>
    <w:rsid w:val="0068176A"/>
    <w:rsid w:val="0068187A"/>
    <w:rsid w:val="00682024"/>
    <w:rsid w:val="00682378"/>
    <w:rsid w:val="006826F4"/>
    <w:rsid w:val="0068361F"/>
    <w:rsid w:val="0068366D"/>
    <w:rsid w:val="006849C4"/>
    <w:rsid w:val="00684B64"/>
    <w:rsid w:val="00684D9D"/>
    <w:rsid w:val="00686856"/>
    <w:rsid w:val="00687751"/>
    <w:rsid w:val="006902D1"/>
    <w:rsid w:val="00690A86"/>
    <w:rsid w:val="00690B95"/>
    <w:rsid w:val="00691339"/>
    <w:rsid w:val="00692DA4"/>
    <w:rsid w:val="00694264"/>
    <w:rsid w:val="00694899"/>
    <w:rsid w:val="00695284"/>
    <w:rsid w:val="0069528D"/>
    <w:rsid w:val="00695903"/>
    <w:rsid w:val="00697250"/>
    <w:rsid w:val="00697927"/>
    <w:rsid w:val="006A0BB3"/>
    <w:rsid w:val="006A2022"/>
    <w:rsid w:val="006A2452"/>
    <w:rsid w:val="006A2759"/>
    <w:rsid w:val="006A285B"/>
    <w:rsid w:val="006A2996"/>
    <w:rsid w:val="006A351B"/>
    <w:rsid w:val="006A3B50"/>
    <w:rsid w:val="006A3E37"/>
    <w:rsid w:val="006A4AE7"/>
    <w:rsid w:val="006A4BB9"/>
    <w:rsid w:val="006A4E85"/>
    <w:rsid w:val="006A5020"/>
    <w:rsid w:val="006A566F"/>
    <w:rsid w:val="006A5E7D"/>
    <w:rsid w:val="006A5F6D"/>
    <w:rsid w:val="006A6CB3"/>
    <w:rsid w:val="006A6F94"/>
    <w:rsid w:val="006B0DF3"/>
    <w:rsid w:val="006B0E8D"/>
    <w:rsid w:val="006B2C0E"/>
    <w:rsid w:val="006B2C93"/>
    <w:rsid w:val="006B31E6"/>
    <w:rsid w:val="006B35F9"/>
    <w:rsid w:val="006B3750"/>
    <w:rsid w:val="006B3A97"/>
    <w:rsid w:val="006B3DAF"/>
    <w:rsid w:val="006B43CF"/>
    <w:rsid w:val="006B57F9"/>
    <w:rsid w:val="006B677E"/>
    <w:rsid w:val="006B6A93"/>
    <w:rsid w:val="006B6B1A"/>
    <w:rsid w:val="006B717C"/>
    <w:rsid w:val="006B79C9"/>
    <w:rsid w:val="006C03D7"/>
    <w:rsid w:val="006C052C"/>
    <w:rsid w:val="006C055D"/>
    <w:rsid w:val="006C0F90"/>
    <w:rsid w:val="006C1764"/>
    <w:rsid w:val="006C2A89"/>
    <w:rsid w:val="006C2C41"/>
    <w:rsid w:val="006C37B5"/>
    <w:rsid w:val="006C3DFF"/>
    <w:rsid w:val="006C501B"/>
    <w:rsid w:val="006C50BF"/>
    <w:rsid w:val="006C59F0"/>
    <w:rsid w:val="006C68FF"/>
    <w:rsid w:val="006C78AC"/>
    <w:rsid w:val="006D0305"/>
    <w:rsid w:val="006D1732"/>
    <w:rsid w:val="006D2165"/>
    <w:rsid w:val="006D3E43"/>
    <w:rsid w:val="006D430E"/>
    <w:rsid w:val="006D4CE3"/>
    <w:rsid w:val="006D681F"/>
    <w:rsid w:val="006D6E35"/>
    <w:rsid w:val="006D7B46"/>
    <w:rsid w:val="006E0546"/>
    <w:rsid w:val="006E0F44"/>
    <w:rsid w:val="006E2B5C"/>
    <w:rsid w:val="006E5698"/>
    <w:rsid w:val="006E6B1B"/>
    <w:rsid w:val="006E6B6C"/>
    <w:rsid w:val="006E776E"/>
    <w:rsid w:val="006F00FA"/>
    <w:rsid w:val="006F0227"/>
    <w:rsid w:val="006F06C7"/>
    <w:rsid w:val="006F0F0F"/>
    <w:rsid w:val="006F11EB"/>
    <w:rsid w:val="006F2F06"/>
    <w:rsid w:val="006F32FA"/>
    <w:rsid w:val="006F3475"/>
    <w:rsid w:val="006F5696"/>
    <w:rsid w:val="006F587F"/>
    <w:rsid w:val="006F6807"/>
    <w:rsid w:val="006F730C"/>
    <w:rsid w:val="00700A3E"/>
    <w:rsid w:val="007040D9"/>
    <w:rsid w:val="00705B35"/>
    <w:rsid w:val="00706036"/>
    <w:rsid w:val="00706CB2"/>
    <w:rsid w:val="00707D06"/>
    <w:rsid w:val="007105B1"/>
    <w:rsid w:val="00711718"/>
    <w:rsid w:val="00713267"/>
    <w:rsid w:val="0071360B"/>
    <w:rsid w:val="00713E40"/>
    <w:rsid w:val="00714637"/>
    <w:rsid w:val="00714725"/>
    <w:rsid w:val="007147ED"/>
    <w:rsid w:val="00714931"/>
    <w:rsid w:val="00715C48"/>
    <w:rsid w:val="00715FE7"/>
    <w:rsid w:val="00717204"/>
    <w:rsid w:val="00720132"/>
    <w:rsid w:val="00720C83"/>
    <w:rsid w:val="007218DE"/>
    <w:rsid w:val="007225EE"/>
    <w:rsid w:val="00722972"/>
    <w:rsid w:val="007251BD"/>
    <w:rsid w:val="0072521F"/>
    <w:rsid w:val="00726493"/>
    <w:rsid w:val="00726C7B"/>
    <w:rsid w:val="00726D83"/>
    <w:rsid w:val="007272D4"/>
    <w:rsid w:val="007273B9"/>
    <w:rsid w:val="00730127"/>
    <w:rsid w:val="00730CAE"/>
    <w:rsid w:val="0073287C"/>
    <w:rsid w:val="00732A5D"/>
    <w:rsid w:val="0073327C"/>
    <w:rsid w:val="0073377B"/>
    <w:rsid w:val="0073382E"/>
    <w:rsid w:val="00734548"/>
    <w:rsid w:val="00734664"/>
    <w:rsid w:val="00734D6C"/>
    <w:rsid w:val="00735E26"/>
    <w:rsid w:val="00736735"/>
    <w:rsid w:val="00737ED0"/>
    <w:rsid w:val="007402CA"/>
    <w:rsid w:val="00740743"/>
    <w:rsid w:val="00740F0D"/>
    <w:rsid w:val="00740FD6"/>
    <w:rsid w:val="00741CA3"/>
    <w:rsid w:val="0074212F"/>
    <w:rsid w:val="007442FA"/>
    <w:rsid w:val="007448A6"/>
    <w:rsid w:val="00747660"/>
    <w:rsid w:val="00747B17"/>
    <w:rsid w:val="00747D9D"/>
    <w:rsid w:val="007500D2"/>
    <w:rsid w:val="007502EA"/>
    <w:rsid w:val="007509C8"/>
    <w:rsid w:val="00750E6E"/>
    <w:rsid w:val="0075135A"/>
    <w:rsid w:val="007518D6"/>
    <w:rsid w:val="007522E5"/>
    <w:rsid w:val="0075259F"/>
    <w:rsid w:val="00752A49"/>
    <w:rsid w:val="00753513"/>
    <w:rsid w:val="007547DA"/>
    <w:rsid w:val="00754CFA"/>
    <w:rsid w:val="007550EC"/>
    <w:rsid w:val="00756ED6"/>
    <w:rsid w:val="00757F21"/>
    <w:rsid w:val="00761332"/>
    <w:rsid w:val="0076135C"/>
    <w:rsid w:val="007617CE"/>
    <w:rsid w:val="00762299"/>
    <w:rsid w:val="007635D1"/>
    <w:rsid w:val="0076574F"/>
    <w:rsid w:val="00765C1D"/>
    <w:rsid w:val="00765EB9"/>
    <w:rsid w:val="00766030"/>
    <w:rsid w:val="00766DB9"/>
    <w:rsid w:val="00770073"/>
    <w:rsid w:val="0077018F"/>
    <w:rsid w:val="00771E4F"/>
    <w:rsid w:val="0077298A"/>
    <w:rsid w:val="007737AA"/>
    <w:rsid w:val="00773A76"/>
    <w:rsid w:val="00775564"/>
    <w:rsid w:val="00776955"/>
    <w:rsid w:val="0077710E"/>
    <w:rsid w:val="00777607"/>
    <w:rsid w:val="0077767C"/>
    <w:rsid w:val="00777A64"/>
    <w:rsid w:val="007806EA"/>
    <w:rsid w:val="00780D32"/>
    <w:rsid w:val="00781A7D"/>
    <w:rsid w:val="00781E09"/>
    <w:rsid w:val="00782843"/>
    <w:rsid w:val="00787D73"/>
    <w:rsid w:val="007912B4"/>
    <w:rsid w:val="0079221D"/>
    <w:rsid w:val="00795793"/>
    <w:rsid w:val="00795D12"/>
    <w:rsid w:val="00796C73"/>
    <w:rsid w:val="007978DE"/>
    <w:rsid w:val="007A1490"/>
    <w:rsid w:val="007A209A"/>
    <w:rsid w:val="007A291E"/>
    <w:rsid w:val="007A54BA"/>
    <w:rsid w:val="007A583C"/>
    <w:rsid w:val="007A5939"/>
    <w:rsid w:val="007A5C7F"/>
    <w:rsid w:val="007A6167"/>
    <w:rsid w:val="007A66D8"/>
    <w:rsid w:val="007A6867"/>
    <w:rsid w:val="007A7B9F"/>
    <w:rsid w:val="007B006B"/>
    <w:rsid w:val="007B01E7"/>
    <w:rsid w:val="007B053B"/>
    <w:rsid w:val="007B0791"/>
    <w:rsid w:val="007B0A17"/>
    <w:rsid w:val="007B1F58"/>
    <w:rsid w:val="007B2F25"/>
    <w:rsid w:val="007B3B8D"/>
    <w:rsid w:val="007B43DF"/>
    <w:rsid w:val="007B45B7"/>
    <w:rsid w:val="007B4C1C"/>
    <w:rsid w:val="007B4F50"/>
    <w:rsid w:val="007B50BE"/>
    <w:rsid w:val="007B5177"/>
    <w:rsid w:val="007B58B1"/>
    <w:rsid w:val="007B5CBD"/>
    <w:rsid w:val="007B6607"/>
    <w:rsid w:val="007B72B2"/>
    <w:rsid w:val="007B735E"/>
    <w:rsid w:val="007B7F5A"/>
    <w:rsid w:val="007C02AF"/>
    <w:rsid w:val="007C1332"/>
    <w:rsid w:val="007C16BC"/>
    <w:rsid w:val="007C18BF"/>
    <w:rsid w:val="007C21E5"/>
    <w:rsid w:val="007C2581"/>
    <w:rsid w:val="007C27EF"/>
    <w:rsid w:val="007C2931"/>
    <w:rsid w:val="007C2E4F"/>
    <w:rsid w:val="007C32C5"/>
    <w:rsid w:val="007C372B"/>
    <w:rsid w:val="007C52EA"/>
    <w:rsid w:val="007C5387"/>
    <w:rsid w:val="007C67D6"/>
    <w:rsid w:val="007C6D7E"/>
    <w:rsid w:val="007C775C"/>
    <w:rsid w:val="007C7A52"/>
    <w:rsid w:val="007C7C20"/>
    <w:rsid w:val="007D0F24"/>
    <w:rsid w:val="007D1402"/>
    <w:rsid w:val="007D2ED4"/>
    <w:rsid w:val="007D32EC"/>
    <w:rsid w:val="007D376B"/>
    <w:rsid w:val="007D4081"/>
    <w:rsid w:val="007D475A"/>
    <w:rsid w:val="007D4F15"/>
    <w:rsid w:val="007D5106"/>
    <w:rsid w:val="007D5625"/>
    <w:rsid w:val="007D6375"/>
    <w:rsid w:val="007D685F"/>
    <w:rsid w:val="007D7450"/>
    <w:rsid w:val="007D7570"/>
    <w:rsid w:val="007D7650"/>
    <w:rsid w:val="007E04BF"/>
    <w:rsid w:val="007E0531"/>
    <w:rsid w:val="007E112B"/>
    <w:rsid w:val="007E14FB"/>
    <w:rsid w:val="007E1A4F"/>
    <w:rsid w:val="007E1E9F"/>
    <w:rsid w:val="007E1EE0"/>
    <w:rsid w:val="007E2FA7"/>
    <w:rsid w:val="007E3500"/>
    <w:rsid w:val="007E3579"/>
    <w:rsid w:val="007E363D"/>
    <w:rsid w:val="007E41CF"/>
    <w:rsid w:val="007E42E3"/>
    <w:rsid w:val="007E5DD0"/>
    <w:rsid w:val="007E60FA"/>
    <w:rsid w:val="007E6F39"/>
    <w:rsid w:val="007E79B7"/>
    <w:rsid w:val="007F0EA2"/>
    <w:rsid w:val="007F2167"/>
    <w:rsid w:val="007F25C3"/>
    <w:rsid w:val="007F459D"/>
    <w:rsid w:val="007F63CB"/>
    <w:rsid w:val="007F7AF3"/>
    <w:rsid w:val="007F7DAE"/>
    <w:rsid w:val="00800A00"/>
    <w:rsid w:val="0080386F"/>
    <w:rsid w:val="0080448E"/>
    <w:rsid w:val="008056A1"/>
    <w:rsid w:val="00806B1F"/>
    <w:rsid w:val="008107F7"/>
    <w:rsid w:val="00811DCD"/>
    <w:rsid w:val="00811E9F"/>
    <w:rsid w:val="00812A19"/>
    <w:rsid w:val="00813310"/>
    <w:rsid w:val="00813410"/>
    <w:rsid w:val="008136E3"/>
    <w:rsid w:val="00814BBD"/>
    <w:rsid w:val="00815D54"/>
    <w:rsid w:val="00815E00"/>
    <w:rsid w:val="00816081"/>
    <w:rsid w:val="0081622D"/>
    <w:rsid w:val="00816AAA"/>
    <w:rsid w:val="00816DF3"/>
    <w:rsid w:val="00816E4C"/>
    <w:rsid w:val="00817E79"/>
    <w:rsid w:val="00817F15"/>
    <w:rsid w:val="008204D8"/>
    <w:rsid w:val="00820DE7"/>
    <w:rsid w:val="008217CF"/>
    <w:rsid w:val="0082197C"/>
    <w:rsid w:val="00821A1D"/>
    <w:rsid w:val="00824E56"/>
    <w:rsid w:val="00826550"/>
    <w:rsid w:val="0082750D"/>
    <w:rsid w:val="00827CC3"/>
    <w:rsid w:val="008304EC"/>
    <w:rsid w:val="00830BBE"/>
    <w:rsid w:val="00831200"/>
    <w:rsid w:val="008316D5"/>
    <w:rsid w:val="00831989"/>
    <w:rsid w:val="00831AFC"/>
    <w:rsid w:val="008329C0"/>
    <w:rsid w:val="0083315B"/>
    <w:rsid w:val="00833CDB"/>
    <w:rsid w:val="00834A7A"/>
    <w:rsid w:val="00835294"/>
    <w:rsid w:val="00836C04"/>
    <w:rsid w:val="00836FD4"/>
    <w:rsid w:val="008376B3"/>
    <w:rsid w:val="0083773A"/>
    <w:rsid w:val="00837D47"/>
    <w:rsid w:val="00837E30"/>
    <w:rsid w:val="00841A33"/>
    <w:rsid w:val="00842902"/>
    <w:rsid w:val="00847245"/>
    <w:rsid w:val="00847777"/>
    <w:rsid w:val="008477BF"/>
    <w:rsid w:val="008502C4"/>
    <w:rsid w:val="0085178D"/>
    <w:rsid w:val="00852362"/>
    <w:rsid w:val="008528B5"/>
    <w:rsid w:val="00852F62"/>
    <w:rsid w:val="00854774"/>
    <w:rsid w:val="008558A9"/>
    <w:rsid w:val="00855DD0"/>
    <w:rsid w:val="00856CD9"/>
    <w:rsid w:val="00857A1C"/>
    <w:rsid w:val="0086086A"/>
    <w:rsid w:val="00860BB0"/>
    <w:rsid w:val="00861EC4"/>
    <w:rsid w:val="0086293C"/>
    <w:rsid w:val="00862F07"/>
    <w:rsid w:val="0086339A"/>
    <w:rsid w:val="008641A2"/>
    <w:rsid w:val="008641C4"/>
    <w:rsid w:val="00864D1B"/>
    <w:rsid w:val="00864DA5"/>
    <w:rsid w:val="008668BB"/>
    <w:rsid w:val="00867558"/>
    <w:rsid w:val="008705B0"/>
    <w:rsid w:val="008714AA"/>
    <w:rsid w:val="00871B96"/>
    <w:rsid w:val="00873852"/>
    <w:rsid w:val="008745B5"/>
    <w:rsid w:val="00875C62"/>
    <w:rsid w:val="00875D41"/>
    <w:rsid w:val="00876AA6"/>
    <w:rsid w:val="00876FF4"/>
    <w:rsid w:val="0087713E"/>
    <w:rsid w:val="00882232"/>
    <w:rsid w:val="0088276F"/>
    <w:rsid w:val="008835A9"/>
    <w:rsid w:val="008846F1"/>
    <w:rsid w:val="00884C63"/>
    <w:rsid w:val="0088537A"/>
    <w:rsid w:val="0088584C"/>
    <w:rsid w:val="00885A65"/>
    <w:rsid w:val="00886A5D"/>
    <w:rsid w:val="00886AD0"/>
    <w:rsid w:val="008875DC"/>
    <w:rsid w:val="0089038E"/>
    <w:rsid w:val="008904AD"/>
    <w:rsid w:val="00891AF0"/>
    <w:rsid w:val="00892E7D"/>
    <w:rsid w:val="00892FAD"/>
    <w:rsid w:val="008933EF"/>
    <w:rsid w:val="00893AB5"/>
    <w:rsid w:val="00895BEF"/>
    <w:rsid w:val="00895DB7"/>
    <w:rsid w:val="00896A80"/>
    <w:rsid w:val="00897679"/>
    <w:rsid w:val="008A0F8A"/>
    <w:rsid w:val="008A3113"/>
    <w:rsid w:val="008A3A6D"/>
    <w:rsid w:val="008A4C21"/>
    <w:rsid w:val="008A54E3"/>
    <w:rsid w:val="008A6ACB"/>
    <w:rsid w:val="008B0622"/>
    <w:rsid w:val="008B0809"/>
    <w:rsid w:val="008B0B65"/>
    <w:rsid w:val="008B1B74"/>
    <w:rsid w:val="008B20BD"/>
    <w:rsid w:val="008B3E9B"/>
    <w:rsid w:val="008B4C82"/>
    <w:rsid w:val="008B60BD"/>
    <w:rsid w:val="008B6B2A"/>
    <w:rsid w:val="008B7013"/>
    <w:rsid w:val="008B7895"/>
    <w:rsid w:val="008C186E"/>
    <w:rsid w:val="008C28B7"/>
    <w:rsid w:val="008C2C3F"/>
    <w:rsid w:val="008C3145"/>
    <w:rsid w:val="008C4646"/>
    <w:rsid w:val="008C4815"/>
    <w:rsid w:val="008C4CC6"/>
    <w:rsid w:val="008C4F81"/>
    <w:rsid w:val="008C522C"/>
    <w:rsid w:val="008C52EE"/>
    <w:rsid w:val="008C571E"/>
    <w:rsid w:val="008C70C7"/>
    <w:rsid w:val="008C7606"/>
    <w:rsid w:val="008C772E"/>
    <w:rsid w:val="008C79B2"/>
    <w:rsid w:val="008C7C0B"/>
    <w:rsid w:val="008C7CE1"/>
    <w:rsid w:val="008D067B"/>
    <w:rsid w:val="008D1225"/>
    <w:rsid w:val="008D1D0E"/>
    <w:rsid w:val="008D1E7F"/>
    <w:rsid w:val="008D1F15"/>
    <w:rsid w:val="008D1F2B"/>
    <w:rsid w:val="008D3B96"/>
    <w:rsid w:val="008D5210"/>
    <w:rsid w:val="008D5FC4"/>
    <w:rsid w:val="008D6416"/>
    <w:rsid w:val="008D652C"/>
    <w:rsid w:val="008D7F6B"/>
    <w:rsid w:val="008E05E9"/>
    <w:rsid w:val="008E0D37"/>
    <w:rsid w:val="008E1A73"/>
    <w:rsid w:val="008E2D53"/>
    <w:rsid w:val="008E4467"/>
    <w:rsid w:val="008E4CD7"/>
    <w:rsid w:val="008E58FC"/>
    <w:rsid w:val="008E641D"/>
    <w:rsid w:val="008E64DA"/>
    <w:rsid w:val="008E660D"/>
    <w:rsid w:val="008E66E5"/>
    <w:rsid w:val="008E7DD4"/>
    <w:rsid w:val="008F041A"/>
    <w:rsid w:val="008F056F"/>
    <w:rsid w:val="008F137D"/>
    <w:rsid w:val="008F164E"/>
    <w:rsid w:val="008F21C1"/>
    <w:rsid w:val="008F305A"/>
    <w:rsid w:val="008F3154"/>
    <w:rsid w:val="008F3465"/>
    <w:rsid w:val="008F3512"/>
    <w:rsid w:val="008F371C"/>
    <w:rsid w:val="008F3D5F"/>
    <w:rsid w:val="008F438E"/>
    <w:rsid w:val="008F66BA"/>
    <w:rsid w:val="008F718D"/>
    <w:rsid w:val="008F7D54"/>
    <w:rsid w:val="008F7DD2"/>
    <w:rsid w:val="009004F9"/>
    <w:rsid w:val="0090177C"/>
    <w:rsid w:val="0090344A"/>
    <w:rsid w:val="0090383C"/>
    <w:rsid w:val="00904041"/>
    <w:rsid w:val="0090561B"/>
    <w:rsid w:val="009070E0"/>
    <w:rsid w:val="00910139"/>
    <w:rsid w:val="009112B1"/>
    <w:rsid w:val="00913261"/>
    <w:rsid w:val="00913B82"/>
    <w:rsid w:val="00914276"/>
    <w:rsid w:val="009158AA"/>
    <w:rsid w:val="00916549"/>
    <w:rsid w:val="00916DEB"/>
    <w:rsid w:val="00917022"/>
    <w:rsid w:val="00917485"/>
    <w:rsid w:val="00920C84"/>
    <w:rsid w:val="00920F02"/>
    <w:rsid w:val="00922591"/>
    <w:rsid w:val="00922A73"/>
    <w:rsid w:val="00922D02"/>
    <w:rsid w:val="00922E82"/>
    <w:rsid w:val="00926136"/>
    <w:rsid w:val="00926673"/>
    <w:rsid w:val="00926FCA"/>
    <w:rsid w:val="009271A2"/>
    <w:rsid w:val="0093027F"/>
    <w:rsid w:val="0093151B"/>
    <w:rsid w:val="00931738"/>
    <w:rsid w:val="009319FC"/>
    <w:rsid w:val="00931B31"/>
    <w:rsid w:val="009325AE"/>
    <w:rsid w:val="00932FDF"/>
    <w:rsid w:val="009346E0"/>
    <w:rsid w:val="009349B5"/>
    <w:rsid w:val="0093602A"/>
    <w:rsid w:val="00940001"/>
    <w:rsid w:val="00940224"/>
    <w:rsid w:val="009402E0"/>
    <w:rsid w:val="009425A7"/>
    <w:rsid w:val="0094265B"/>
    <w:rsid w:val="00942CF7"/>
    <w:rsid w:val="00942E4C"/>
    <w:rsid w:val="00942F1E"/>
    <w:rsid w:val="009436C2"/>
    <w:rsid w:val="00943F81"/>
    <w:rsid w:val="00944900"/>
    <w:rsid w:val="00944C91"/>
    <w:rsid w:val="00944EA3"/>
    <w:rsid w:val="0094583D"/>
    <w:rsid w:val="00945BCE"/>
    <w:rsid w:val="009466DD"/>
    <w:rsid w:val="009474C1"/>
    <w:rsid w:val="00950947"/>
    <w:rsid w:val="009509BD"/>
    <w:rsid w:val="00950C0B"/>
    <w:rsid w:val="00951984"/>
    <w:rsid w:val="00952732"/>
    <w:rsid w:val="0095439B"/>
    <w:rsid w:val="00954EC8"/>
    <w:rsid w:val="009553FC"/>
    <w:rsid w:val="009554DD"/>
    <w:rsid w:val="00956136"/>
    <w:rsid w:val="0095681C"/>
    <w:rsid w:val="0095776A"/>
    <w:rsid w:val="00957E5D"/>
    <w:rsid w:val="0096009C"/>
    <w:rsid w:val="009624C2"/>
    <w:rsid w:val="0096374D"/>
    <w:rsid w:val="00966DA4"/>
    <w:rsid w:val="00970201"/>
    <w:rsid w:val="00970363"/>
    <w:rsid w:val="00971402"/>
    <w:rsid w:val="00971744"/>
    <w:rsid w:val="00971830"/>
    <w:rsid w:val="00971A5A"/>
    <w:rsid w:val="00972C2E"/>
    <w:rsid w:val="00972EB6"/>
    <w:rsid w:val="0097707B"/>
    <w:rsid w:val="009774AE"/>
    <w:rsid w:val="00980A15"/>
    <w:rsid w:val="00980C9E"/>
    <w:rsid w:val="009846CF"/>
    <w:rsid w:val="00984BF8"/>
    <w:rsid w:val="009850BA"/>
    <w:rsid w:val="00985D75"/>
    <w:rsid w:val="00986146"/>
    <w:rsid w:val="00986AD3"/>
    <w:rsid w:val="00987534"/>
    <w:rsid w:val="0099097A"/>
    <w:rsid w:val="00990E20"/>
    <w:rsid w:val="00990ED9"/>
    <w:rsid w:val="00992514"/>
    <w:rsid w:val="00992888"/>
    <w:rsid w:val="00992AA9"/>
    <w:rsid w:val="009947F1"/>
    <w:rsid w:val="009949CE"/>
    <w:rsid w:val="00994AFC"/>
    <w:rsid w:val="00994F03"/>
    <w:rsid w:val="009972B4"/>
    <w:rsid w:val="009A01F1"/>
    <w:rsid w:val="009A045C"/>
    <w:rsid w:val="009A072D"/>
    <w:rsid w:val="009A081F"/>
    <w:rsid w:val="009A0EB3"/>
    <w:rsid w:val="009A0F19"/>
    <w:rsid w:val="009A1D3C"/>
    <w:rsid w:val="009A1E77"/>
    <w:rsid w:val="009A2123"/>
    <w:rsid w:val="009A2FE6"/>
    <w:rsid w:val="009A43E6"/>
    <w:rsid w:val="009A47F0"/>
    <w:rsid w:val="009A5D78"/>
    <w:rsid w:val="009A6127"/>
    <w:rsid w:val="009A65C2"/>
    <w:rsid w:val="009A6C1F"/>
    <w:rsid w:val="009A77F3"/>
    <w:rsid w:val="009A7B25"/>
    <w:rsid w:val="009B05A6"/>
    <w:rsid w:val="009B08E1"/>
    <w:rsid w:val="009B0BA2"/>
    <w:rsid w:val="009B1322"/>
    <w:rsid w:val="009B19A4"/>
    <w:rsid w:val="009B2029"/>
    <w:rsid w:val="009B27DF"/>
    <w:rsid w:val="009B2ABB"/>
    <w:rsid w:val="009B3429"/>
    <w:rsid w:val="009B387F"/>
    <w:rsid w:val="009B4A70"/>
    <w:rsid w:val="009B5848"/>
    <w:rsid w:val="009B6103"/>
    <w:rsid w:val="009B6310"/>
    <w:rsid w:val="009B6431"/>
    <w:rsid w:val="009B64AA"/>
    <w:rsid w:val="009B6859"/>
    <w:rsid w:val="009B68BC"/>
    <w:rsid w:val="009B6E90"/>
    <w:rsid w:val="009B7ABC"/>
    <w:rsid w:val="009B7E61"/>
    <w:rsid w:val="009C0395"/>
    <w:rsid w:val="009C0670"/>
    <w:rsid w:val="009C0DB6"/>
    <w:rsid w:val="009C2D4D"/>
    <w:rsid w:val="009C3F50"/>
    <w:rsid w:val="009C4DDA"/>
    <w:rsid w:val="009C56B9"/>
    <w:rsid w:val="009C60FB"/>
    <w:rsid w:val="009C61D4"/>
    <w:rsid w:val="009C6A99"/>
    <w:rsid w:val="009C6D41"/>
    <w:rsid w:val="009C7432"/>
    <w:rsid w:val="009C750F"/>
    <w:rsid w:val="009C796D"/>
    <w:rsid w:val="009C7CB5"/>
    <w:rsid w:val="009D18C6"/>
    <w:rsid w:val="009D1DA9"/>
    <w:rsid w:val="009D2EEA"/>
    <w:rsid w:val="009D3922"/>
    <w:rsid w:val="009D42D9"/>
    <w:rsid w:val="009D4471"/>
    <w:rsid w:val="009D4775"/>
    <w:rsid w:val="009D4AE0"/>
    <w:rsid w:val="009D56BB"/>
    <w:rsid w:val="009D5D54"/>
    <w:rsid w:val="009D6DFE"/>
    <w:rsid w:val="009D771F"/>
    <w:rsid w:val="009E191B"/>
    <w:rsid w:val="009E2771"/>
    <w:rsid w:val="009E322F"/>
    <w:rsid w:val="009E4300"/>
    <w:rsid w:val="009E4DF6"/>
    <w:rsid w:val="009E58C7"/>
    <w:rsid w:val="009E6012"/>
    <w:rsid w:val="009E6334"/>
    <w:rsid w:val="009E6E52"/>
    <w:rsid w:val="009E7251"/>
    <w:rsid w:val="009E7A57"/>
    <w:rsid w:val="009E7EE6"/>
    <w:rsid w:val="009F1542"/>
    <w:rsid w:val="009F1734"/>
    <w:rsid w:val="009F2E83"/>
    <w:rsid w:val="009F3B03"/>
    <w:rsid w:val="009F4E51"/>
    <w:rsid w:val="009F652E"/>
    <w:rsid w:val="009F669E"/>
    <w:rsid w:val="009F6C96"/>
    <w:rsid w:val="009F6ED1"/>
    <w:rsid w:val="009F7467"/>
    <w:rsid w:val="009F7A52"/>
    <w:rsid w:val="009F7BB3"/>
    <w:rsid w:val="00A00155"/>
    <w:rsid w:val="00A01043"/>
    <w:rsid w:val="00A0126B"/>
    <w:rsid w:val="00A01720"/>
    <w:rsid w:val="00A02454"/>
    <w:rsid w:val="00A02548"/>
    <w:rsid w:val="00A02D52"/>
    <w:rsid w:val="00A03A7D"/>
    <w:rsid w:val="00A03B4A"/>
    <w:rsid w:val="00A048CA"/>
    <w:rsid w:val="00A04AA5"/>
    <w:rsid w:val="00A05507"/>
    <w:rsid w:val="00A072C1"/>
    <w:rsid w:val="00A07B14"/>
    <w:rsid w:val="00A10805"/>
    <w:rsid w:val="00A113B3"/>
    <w:rsid w:val="00A11694"/>
    <w:rsid w:val="00A12A17"/>
    <w:rsid w:val="00A12F12"/>
    <w:rsid w:val="00A134B2"/>
    <w:rsid w:val="00A139E6"/>
    <w:rsid w:val="00A13AE9"/>
    <w:rsid w:val="00A14058"/>
    <w:rsid w:val="00A14C28"/>
    <w:rsid w:val="00A16061"/>
    <w:rsid w:val="00A16582"/>
    <w:rsid w:val="00A1669F"/>
    <w:rsid w:val="00A16772"/>
    <w:rsid w:val="00A16E83"/>
    <w:rsid w:val="00A17085"/>
    <w:rsid w:val="00A2036F"/>
    <w:rsid w:val="00A21509"/>
    <w:rsid w:val="00A22BC9"/>
    <w:rsid w:val="00A24769"/>
    <w:rsid w:val="00A250DA"/>
    <w:rsid w:val="00A25620"/>
    <w:rsid w:val="00A2662F"/>
    <w:rsid w:val="00A26E55"/>
    <w:rsid w:val="00A27D3E"/>
    <w:rsid w:val="00A31EA1"/>
    <w:rsid w:val="00A31ED2"/>
    <w:rsid w:val="00A31F1F"/>
    <w:rsid w:val="00A32146"/>
    <w:rsid w:val="00A331B3"/>
    <w:rsid w:val="00A331B8"/>
    <w:rsid w:val="00A33C7F"/>
    <w:rsid w:val="00A33FE0"/>
    <w:rsid w:val="00A35768"/>
    <w:rsid w:val="00A36146"/>
    <w:rsid w:val="00A36D05"/>
    <w:rsid w:val="00A377EF"/>
    <w:rsid w:val="00A379E0"/>
    <w:rsid w:val="00A40239"/>
    <w:rsid w:val="00A4117D"/>
    <w:rsid w:val="00A42017"/>
    <w:rsid w:val="00A4272C"/>
    <w:rsid w:val="00A428EA"/>
    <w:rsid w:val="00A429C0"/>
    <w:rsid w:val="00A43172"/>
    <w:rsid w:val="00A43A21"/>
    <w:rsid w:val="00A43B00"/>
    <w:rsid w:val="00A446B7"/>
    <w:rsid w:val="00A45306"/>
    <w:rsid w:val="00A45A73"/>
    <w:rsid w:val="00A46106"/>
    <w:rsid w:val="00A47E87"/>
    <w:rsid w:val="00A47ED7"/>
    <w:rsid w:val="00A47F97"/>
    <w:rsid w:val="00A5258C"/>
    <w:rsid w:val="00A526BF"/>
    <w:rsid w:val="00A538EB"/>
    <w:rsid w:val="00A541BE"/>
    <w:rsid w:val="00A57180"/>
    <w:rsid w:val="00A6060F"/>
    <w:rsid w:val="00A60BE4"/>
    <w:rsid w:val="00A6169A"/>
    <w:rsid w:val="00A628ED"/>
    <w:rsid w:val="00A6319C"/>
    <w:rsid w:val="00A64011"/>
    <w:rsid w:val="00A645D7"/>
    <w:rsid w:val="00A65364"/>
    <w:rsid w:val="00A654C1"/>
    <w:rsid w:val="00A65A24"/>
    <w:rsid w:val="00A66322"/>
    <w:rsid w:val="00A6632D"/>
    <w:rsid w:val="00A67605"/>
    <w:rsid w:val="00A67CA0"/>
    <w:rsid w:val="00A70308"/>
    <w:rsid w:val="00A7097C"/>
    <w:rsid w:val="00A712FA"/>
    <w:rsid w:val="00A71A85"/>
    <w:rsid w:val="00A71EC8"/>
    <w:rsid w:val="00A72138"/>
    <w:rsid w:val="00A7271F"/>
    <w:rsid w:val="00A7430F"/>
    <w:rsid w:val="00A756FC"/>
    <w:rsid w:val="00A76333"/>
    <w:rsid w:val="00A763B2"/>
    <w:rsid w:val="00A77112"/>
    <w:rsid w:val="00A77A56"/>
    <w:rsid w:val="00A80438"/>
    <w:rsid w:val="00A818B5"/>
    <w:rsid w:val="00A81BA4"/>
    <w:rsid w:val="00A824FF"/>
    <w:rsid w:val="00A82EC3"/>
    <w:rsid w:val="00A82FDB"/>
    <w:rsid w:val="00A839BC"/>
    <w:rsid w:val="00A841EE"/>
    <w:rsid w:val="00A843ED"/>
    <w:rsid w:val="00A846A4"/>
    <w:rsid w:val="00A85A0C"/>
    <w:rsid w:val="00A866D6"/>
    <w:rsid w:val="00A867D8"/>
    <w:rsid w:val="00A87248"/>
    <w:rsid w:val="00A90878"/>
    <w:rsid w:val="00A92684"/>
    <w:rsid w:val="00A93C69"/>
    <w:rsid w:val="00A93EE1"/>
    <w:rsid w:val="00A9423C"/>
    <w:rsid w:val="00A94509"/>
    <w:rsid w:val="00A947BE"/>
    <w:rsid w:val="00A948B1"/>
    <w:rsid w:val="00A95790"/>
    <w:rsid w:val="00A969DE"/>
    <w:rsid w:val="00A97396"/>
    <w:rsid w:val="00A97565"/>
    <w:rsid w:val="00AA0D88"/>
    <w:rsid w:val="00AA1E13"/>
    <w:rsid w:val="00AA1FEB"/>
    <w:rsid w:val="00AA24CB"/>
    <w:rsid w:val="00AA3F7F"/>
    <w:rsid w:val="00AA4832"/>
    <w:rsid w:val="00AA52B4"/>
    <w:rsid w:val="00AA5627"/>
    <w:rsid w:val="00AA5A2D"/>
    <w:rsid w:val="00AA7982"/>
    <w:rsid w:val="00AB14E0"/>
    <w:rsid w:val="00AB17A9"/>
    <w:rsid w:val="00AB1985"/>
    <w:rsid w:val="00AB1FF4"/>
    <w:rsid w:val="00AB3527"/>
    <w:rsid w:val="00AB38CA"/>
    <w:rsid w:val="00AB4EC4"/>
    <w:rsid w:val="00AB511C"/>
    <w:rsid w:val="00AB60E2"/>
    <w:rsid w:val="00AB6456"/>
    <w:rsid w:val="00AB6AEF"/>
    <w:rsid w:val="00AB7107"/>
    <w:rsid w:val="00AB7139"/>
    <w:rsid w:val="00AB7C34"/>
    <w:rsid w:val="00AC14D1"/>
    <w:rsid w:val="00AC22A0"/>
    <w:rsid w:val="00AC244F"/>
    <w:rsid w:val="00AC392D"/>
    <w:rsid w:val="00AC3C2E"/>
    <w:rsid w:val="00AC488B"/>
    <w:rsid w:val="00AC4CC9"/>
    <w:rsid w:val="00AC5D60"/>
    <w:rsid w:val="00AC6957"/>
    <w:rsid w:val="00AC76F5"/>
    <w:rsid w:val="00AD0C19"/>
    <w:rsid w:val="00AD2869"/>
    <w:rsid w:val="00AD2B96"/>
    <w:rsid w:val="00AD478B"/>
    <w:rsid w:val="00AD5A34"/>
    <w:rsid w:val="00AD5F18"/>
    <w:rsid w:val="00AE0F11"/>
    <w:rsid w:val="00AE18BE"/>
    <w:rsid w:val="00AE1C47"/>
    <w:rsid w:val="00AE1E2E"/>
    <w:rsid w:val="00AE2057"/>
    <w:rsid w:val="00AE2820"/>
    <w:rsid w:val="00AE2BAB"/>
    <w:rsid w:val="00AE33ED"/>
    <w:rsid w:val="00AE5BDE"/>
    <w:rsid w:val="00AE72CF"/>
    <w:rsid w:val="00AE7C7E"/>
    <w:rsid w:val="00AF044A"/>
    <w:rsid w:val="00AF0FF7"/>
    <w:rsid w:val="00AF1F2F"/>
    <w:rsid w:val="00AF2E25"/>
    <w:rsid w:val="00AF42FD"/>
    <w:rsid w:val="00AF59E7"/>
    <w:rsid w:val="00AF6265"/>
    <w:rsid w:val="00AF6BB4"/>
    <w:rsid w:val="00AF6BDD"/>
    <w:rsid w:val="00AF7523"/>
    <w:rsid w:val="00B018BC"/>
    <w:rsid w:val="00B0260E"/>
    <w:rsid w:val="00B02A35"/>
    <w:rsid w:val="00B03F79"/>
    <w:rsid w:val="00B04C55"/>
    <w:rsid w:val="00B05581"/>
    <w:rsid w:val="00B0682B"/>
    <w:rsid w:val="00B07CDD"/>
    <w:rsid w:val="00B07E11"/>
    <w:rsid w:val="00B10547"/>
    <w:rsid w:val="00B113CC"/>
    <w:rsid w:val="00B11456"/>
    <w:rsid w:val="00B114A3"/>
    <w:rsid w:val="00B1195C"/>
    <w:rsid w:val="00B11981"/>
    <w:rsid w:val="00B11A9E"/>
    <w:rsid w:val="00B12D4D"/>
    <w:rsid w:val="00B13220"/>
    <w:rsid w:val="00B13FE7"/>
    <w:rsid w:val="00B1431D"/>
    <w:rsid w:val="00B1679C"/>
    <w:rsid w:val="00B16EAB"/>
    <w:rsid w:val="00B16F27"/>
    <w:rsid w:val="00B1771C"/>
    <w:rsid w:val="00B17B88"/>
    <w:rsid w:val="00B20597"/>
    <w:rsid w:val="00B20ADD"/>
    <w:rsid w:val="00B20B1F"/>
    <w:rsid w:val="00B21A44"/>
    <w:rsid w:val="00B21A9F"/>
    <w:rsid w:val="00B21BF0"/>
    <w:rsid w:val="00B21BF2"/>
    <w:rsid w:val="00B227CC"/>
    <w:rsid w:val="00B239FA"/>
    <w:rsid w:val="00B23A59"/>
    <w:rsid w:val="00B23BDF"/>
    <w:rsid w:val="00B25705"/>
    <w:rsid w:val="00B25807"/>
    <w:rsid w:val="00B25DA6"/>
    <w:rsid w:val="00B25E64"/>
    <w:rsid w:val="00B26904"/>
    <w:rsid w:val="00B26EA4"/>
    <w:rsid w:val="00B34494"/>
    <w:rsid w:val="00B35742"/>
    <w:rsid w:val="00B35D64"/>
    <w:rsid w:val="00B3628F"/>
    <w:rsid w:val="00B36379"/>
    <w:rsid w:val="00B363FB"/>
    <w:rsid w:val="00B364E8"/>
    <w:rsid w:val="00B372D9"/>
    <w:rsid w:val="00B37E5E"/>
    <w:rsid w:val="00B407F7"/>
    <w:rsid w:val="00B40CCB"/>
    <w:rsid w:val="00B41CF3"/>
    <w:rsid w:val="00B42A7F"/>
    <w:rsid w:val="00B42B1C"/>
    <w:rsid w:val="00B43812"/>
    <w:rsid w:val="00B43842"/>
    <w:rsid w:val="00B43F5D"/>
    <w:rsid w:val="00B44032"/>
    <w:rsid w:val="00B451E4"/>
    <w:rsid w:val="00B45E12"/>
    <w:rsid w:val="00B468AF"/>
    <w:rsid w:val="00B519C5"/>
    <w:rsid w:val="00B51B78"/>
    <w:rsid w:val="00B522A6"/>
    <w:rsid w:val="00B528CF"/>
    <w:rsid w:val="00B53C22"/>
    <w:rsid w:val="00B53F3F"/>
    <w:rsid w:val="00B540E7"/>
    <w:rsid w:val="00B541B9"/>
    <w:rsid w:val="00B5431D"/>
    <w:rsid w:val="00B54834"/>
    <w:rsid w:val="00B55791"/>
    <w:rsid w:val="00B55BBD"/>
    <w:rsid w:val="00B56AC9"/>
    <w:rsid w:val="00B600D9"/>
    <w:rsid w:val="00B61465"/>
    <w:rsid w:val="00B6397D"/>
    <w:rsid w:val="00B6405A"/>
    <w:rsid w:val="00B64466"/>
    <w:rsid w:val="00B6467C"/>
    <w:rsid w:val="00B653BC"/>
    <w:rsid w:val="00B65763"/>
    <w:rsid w:val="00B66AB4"/>
    <w:rsid w:val="00B67AC9"/>
    <w:rsid w:val="00B67CFF"/>
    <w:rsid w:val="00B7003F"/>
    <w:rsid w:val="00B7072F"/>
    <w:rsid w:val="00B726BD"/>
    <w:rsid w:val="00B72966"/>
    <w:rsid w:val="00B745B1"/>
    <w:rsid w:val="00B77146"/>
    <w:rsid w:val="00B77A7D"/>
    <w:rsid w:val="00B77D1D"/>
    <w:rsid w:val="00B80104"/>
    <w:rsid w:val="00B805E4"/>
    <w:rsid w:val="00B80DAE"/>
    <w:rsid w:val="00B811D6"/>
    <w:rsid w:val="00B814E7"/>
    <w:rsid w:val="00B82039"/>
    <w:rsid w:val="00B82698"/>
    <w:rsid w:val="00B8272E"/>
    <w:rsid w:val="00B833BF"/>
    <w:rsid w:val="00B84302"/>
    <w:rsid w:val="00B84B85"/>
    <w:rsid w:val="00B84C76"/>
    <w:rsid w:val="00B84DDC"/>
    <w:rsid w:val="00B853DA"/>
    <w:rsid w:val="00B8545B"/>
    <w:rsid w:val="00B86576"/>
    <w:rsid w:val="00B86DCD"/>
    <w:rsid w:val="00B876A5"/>
    <w:rsid w:val="00B87BF6"/>
    <w:rsid w:val="00B87DCC"/>
    <w:rsid w:val="00B907DF"/>
    <w:rsid w:val="00B90804"/>
    <w:rsid w:val="00B92080"/>
    <w:rsid w:val="00B932C4"/>
    <w:rsid w:val="00B93856"/>
    <w:rsid w:val="00B94394"/>
    <w:rsid w:val="00B950AD"/>
    <w:rsid w:val="00B9607F"/>
    <w:rsid w:val="00B9731F"/>
    <w:rsid w:val="00BA0033"/>
    <w:rsid w:val="00BA0346"/>
    <w:rsid w:val="00BA0CCD"/>
    <w:rsid w:val="00BA18FE"/>
    <w:rsid w:val="00BA1DE7"/>
    <w:rsid w:val="00BA2435"/>
    <w:rsid w:val="00BA3742"/>
    <w:rsid w:val="00BA506A"/>
    <w:rsid w:val="00BA525E"/>
    <w:rsid w:val="00BA55C5"/>
    <w:rsid w:val="00BA6CAA"/>
    <w:rsid w:val="00BA6CC7"/>
    <w:rsid w:val="00BA6FDB"/>
    <w:rsid w:val="00BA7021"/>
    <w:rsid w:val="00BA7C2B"/>
    <w:rsid w:val="00BA7DA0"/>
    <w:rsid w:val="00BA7EC6"/>
    <w:rsid w:val="00BB0945"/>
    <w:rsid w:val="00BB43D3"/>
    <w:rsid w:val="00BB4A5F"/>
    <w:rsid w:val="00BB4D31"/>
    <w:rsid w:val="00BB662B"/>
    <w:rsid w:val="00BB7097"/>
    <w:rsid w:val="00BB7392"/>
    <w:rsid w:val="00BB7EF4"/>
    <w:rsid w:val="00BC079B"/>
    <w:rsid w:val="00BC1D50"/>
    <w:rsid w:val="00BC2298"/>
    <w:rsid w:val="00BC4B77"/>
    <w:rsid w:val="00BC4EB6"/>
    <w:rsid w:val="00BC4FB5"/>
    <w:rsid w:val="00BC7F8B"/>
    <w:rsid w:val="00BD0271"/>
    <w:rsid w:val="00BD13D6"/>
    <w:rsid w:val="00BD158F"/>
    <w:rsid w:val="00BD17AA"/>
    <w:rsid w:val="00BD1804"/>
    <w:rsid w:val="00BD19E9"/>
    <w:rsid w:val="00BD21F3"/>
    <w:rsid w:val="00BD2401"/>
    <w:rsid w:val="00BD2932"/>
    <w:rsid w:val="00BD294F"/>
    <w:rsid w:val="00BD3A58"/>
    <w:rsid w:val="00BD3C74"/>
    <w:rsid w:val="00BD3CE7"/>
    <w:rsid w:val="00BD3EDC"/>
    <w:rsid w:val="00BD5205"/>
    <w:rsid w:val="00BD67C7"/>
    <w:rsid w:val="00BD739D"/>
    <w:rsid w:val="00BE0246"/>
    <w:rsid w:val="00BE10DD"/>
    <w:rsid w:val="00BE1824"/>
    <w:rsid w:val="00BE3B85"/>
    <w:rsid w:val="00BE423B"/>
    <w:rsid w:val="00BE465C"/>
    <w:rsid w:val="00BE4990"/>
    <w:rsid w:val="00BE7015"/>
    <w:rsid w:val="00BE7D0B"/>
    <w:rsid w:val="00BF08CE"/>
    <w:rsid w:val="00BF30BE"/>
    <w:rsid w:val="00BF3810"/>
    <w:rsid w:val="00BF4273"/>
    <w:rsid w:val="00BF447E"/>
    <w:rsid w:val="00BF567D"/>
    <w:rsid w:val="00BF6DB1"/>
    <w:rsid w:val="00C01755"/>
    <w:rsid w:val="00C027BF"/>
    <w:rsid w:val="00C036D9"/>
    <w:rsid w:val="00C05723"/>
    <w:rsid w:val="00C06DC6"/>
    <w:rsid w:val="00C1009A"/>
    <w:rsid w:val="00C10135"/>
    <w:rsid w:val="00C103AF"/>
    <w:rsid w:val="00C10869"/>
    <w:rsid w:val="00C10A3C"/>
    <w:rsid w:val="00C10AB7"/>
    <w:rsid w:val="00C1124D"/>
    <w:rsid w:val="00C118B3"/>
    <w:rsid w:val="00C122C6"/>
    <w:rsid w:val="00C133E4"/>
    <w:rsid w:val="00C133E7"/>
    <w:rsid w:val="00C13BE5"/>
    <w:rsid w:val="00C15A80"/>
    <w:rsid w:val="00C16962"/>
    <w:rsid w:val="00C16C27"/>
    <w:rsid w:val="00C16DD6"/>
    <w:rsid w:val="00C17476"/>
    <w:rsid w:val="00C1753B"/>
    <w:rsid w:val="00C20017"/>
    <w:rsid w:val="00C20615"/>
    <w:rsid w:val="00C21F0D"/>
    <w:rsid w:val="00C22B47"/>
    <w:rsid w:val="00C22F62"/>
    <w:rsid w:val="00C23589"/>
    <w:rsid w:val="00C24C68"/>
    <w:rsid w:val="00C24F14"/>
    <w:rsid w:val="00C251B7"/>
    <w:rsid w:val="00C256D7"/>
    <w:rsid w:val="00C26BF6"/>
    <w:rsid w:val="00C27038"/>
    <w:rsid w:val="00C30349"/>
    <w:rsid w:val="00C31BA5"/>
    <w:rsid w:val="00C3214A"/>
    <w:rsid w:val="00C32AA5"/>
    <w:rsid w:val="00C33425"/>
    <w:rsid w:val="00C33426"/>
    <w:rsid w:val="00C34633"/>
    <w:rsid w:val="00C349E8"/>
    <w:rsid w:val="00C352EC"/>
    <w:rsid w:val="00C35459"/>
    <w:rsid w:val="00C36621"/>
    <w:rsid w:val="00C40F2B"/>
    <w:rsid w:val="00C42257"/>
    <w:rsid w:val="00C4247A"/>
    <w:rsid w:val="00C42505"/>
    <w:rsid w:val="00C4396C"/>
    <w:rsid w:val="00C44691"/>
    <w:rsid w:val="00C4512E"/>
    <w:rsid w:val="00C46101"/>
    <w:rsid w:val="00C46231"/>
    <w:rsid w:val="00C46887"/>
    <w:rsid w:val="00C47F3D"/>
    <w:rsid w:val="00C52552"/>
    <w:rsid w:val="00C5255D"/>
    <w:rsid w:val="00C5270F"/>
    <w:rsid w:val="00C53BC6"/>
    <w:rsid w:val="00C54416"/>
    <w:rsid w:val="00C54DA6"/>
    <w:rsid w:val="00C55239"/>
    <w:rsid w:val="00C55787"/>
    <w:rsid w:val="00C57059"/>
    <w:rsid w:val="00C609A5"/>
    <w:rsid w:val="00C61F15"/>
    <w:rsid w:val="00C620F4"/>
    <w:rsid w:val="00C62769"/>
    <w:rsid w:val="00C632A2"/>
    <w:rsid w:val="00C6374C"/>
    <w:rsid w:val="00C64A64"/>
    <w:rsid w:val="00C64FC7"/>
    <w:rsid w:val="00C654B8"/>
    <w:rsid w:val="00C655A8"/>
    <w:rsid w:val="00C65E97"/>
    <w:rsid w:val="00C660A0"/>
    <w:rsid w:val="00C66134"/>
    <w:rsid w:val="00C66464"/>
    <w:rsid w:val="00C702D6"/>
    <w:rsid w:val="00C70BDA"/>
    <w:rsid w:val="00C723F9"/>
    <w:rsid w:val="00C72BCD"/>
    <w:rsid w:val="00C73A0A"/>
    <w:rsid w:val="00C763D3"/>
    <w:rsid w:val="00C76904"/>
    <w:rsid w:val="00C7765B"/>
    <w:rsid w:val="00C77983"/>
    <w:rsid w:val="00C779E3"/>
    <w:rsid w:val="00C80B59"/>
    <w:rsid w:val="00C818B5"/>
    <w:rsid w:val="00C8243D"/>
    <w:rsid w:val="00C83326"/>
    <w:rsid w:val="00C839C7"/>
    <w:rsid w:val="00C83B36"/>
    <w:rsid w:val="00C852D4"/>
    <w:rsid w:val="00C8560B"/>
    <w:rsid w:val="00C863F0"/>
    <w:rsid w:val="00C87E2D"/>
    <w:rsid w:val="00C908AE"/>
    <w:rsid w:val="00C909C0"/>
    <w:rsid w:val="00C90DAF"/>
    <w:rsid w:val="00C90EA8"/>
    <w:rsid w:val="00C916B4"/>
    <w:rsid w:val="00C91BD8"/>
    <w:rsid w:val="00C92613"/>
    <w:rsid w:val="00C9272C"/>
    <w:rsid w:val="00C9597C"/>
    <w:rsid w:val="00C9627B"/>
    <w:rsid w:val="00C962F1"/>
    <w:rsid w:val="00C9657E"/>
    <w:rsid w:val="00C9692E"/>
    <w:rsid w:val="00C9773F"/>
    <w:rsid w:val="00CA13DB"/>
    <w:rsid w:val="00CA1F7A"/>
    <w:rsid w:val="00CA2EAA"/>
    <w:rsid w:val="00CA3848"/>
    <w:rsid w:val="00CA3EDB"/>
    <w:rsid w:val="00CA4F9B"/>
    <w:rsid w:val="00CA58E8"/>
    <w:rsid w:val="00CA5F96"/>
    <w:rsid w:val="00CA637F"/>
    <w:rsid w:val="00CA6C44"/>
    <w:rsid w:val="00CA6DD5"/>
    <w:rsid w:val="00CA7170"/>
    <w:rsid w:val="00CA738A"/>
    <w:rsid w:val="00CA7753"/>
    <w:rsid w:val="00CA7E0E"/>
    <w:rsid w:val="00CB06AB"/>
    <w:rsid w:val="00CB0E75"/>
    <w:rsid w:val="00CB116D"/>
    <w:rsid w:val="00CB1504"/>
    <w:rsid w:val="00CB1B4F"/>
    <w:rsid w:val="00CB2742"/>
    <w:rsid w:val="00CB307D"/>
    <w:rsid w:val="00CB36B3"/>
    <w:rsid w:val="00CB387F"/>
    <w:rsid w:val="00CB5F69"/>
    <w:rsid w:val="00CB763B"/>
    <w:rsid w:val="00CB7DD2"/>
    <w:rsid w:val="00CC08EE"/>
    <w:rsid w:val="00CC08F1"/>
    <w:rsid w:val="00CC0C2F"/>
    <w:rsid w:val="00CC1B54"/>
    <w:rsid w:val="00CC2002"/>
    <w:rsid w:val="00CC320A"/>
    <w:rsid w:val="00CC56F4"/>
    <w:rsid w:val="00CC5B2C"/>
    <w:rsid w:val="00CC627C"/>
    <w:rsid w:val="00CC662B"/>
    <w:rsid w:val="00CC6ADB"/>
    <w:rsid w:val="00CC745B"/>
    <w:rsid w:val="00CD0317"/>
    <w:rsid w:val="00CD0A5D"/>
    <w:rsid w:val="00CD2680"/>
    <w:rsid w:val="00CD3000"/>
    <w:rsid w:val="00CD3559"/>
    <w:rsid w:val="00CD38BD"/>
    <w:rsid w:val="00CD4212"/>
    <w:rsid w:val="00CD49AE"/>
    <w:rsid w:val="00CD5296"/>
    <w:rsid w:val="00CD6DE1"/>
    <w:rsid w:val="00CD7058"/>
    <w:rsid w:val="00CE02B0"/>
    <w:rsid w:val="00CE03CA"/>
    <w:rsid w:val="00CE0764"/>
    <w:rsid w:val="00CE1721"/>
    <w:rsid w:val="00CE2E5E"/>
    <w:rsid w:val="00CE3670"/>
    <w:rsid w:val="00CE3F98"/>
    <w:rsid w:val="00CE4665"/>
    <w:rsid w:val="00CE4A4A"/>
    <w:rsid w:val="00CE4B31"/>
    <w:rsid w:val="00CE57A6"/>
    <w:rsid w:val="00CE5886"/>
    <w:rsid w:val="00CE67FD"/>
    <w:rsid w:val="00CE701B"/>
    <w:rsid w:val="00CE7331"/>
    <w:rsid w:val="00CE7473"/>
    <w:rsid w:val="00CF0732"/>
    <w:rsid w:val="00CF1126"/>
    <w:rsid w:val="00CF24AD"/>
    <w:rsid w:val="00CF2FEF"/>
    <w:rsid w:val="00CF308E"/>
    <w:rsid w:val="00CF4273"/>
    <w:rsid w:val="00CF49C3"/>
    <w:rsid w:val="00CF5FBE"/>
    <w:rsid w:val="00CF6275"/>
    <w:rsid w:val="00CF7138"/>
    <w:rsid w:val="00CF7606"/>
    <w:rsid w:val="00CF77D6"/>
    <w:rsid w:val="00D00889"/>
    <w:rsid w:val="00D01238"/>
    <w:rsid w:val="00D01317"/>
    <w:rsid w:val="00D01E89"/>
    <w:rsid w:val="00D0202D"/>
    <w:rsid w:val="00D028C3"/>
    <w:rsid w:val="00D03781"/>
    <w:rsid w:val="00D0385D"/>
    <w:rsid w:val="00D0450A"/>
    <w:rsid w:val="00D062B9"/>
    <w:rsid w:val="00D065DA"/>
    <w:rsid w:val="00D06E1E"/>
    <w:rsid w:val="00D1018B"/>
    <w:rsid w:val="00D10A04"/>
    <w:rsid w:val="00D128D7"/>
    <w:rsid w:val="00D131E9"/>
    <w:rsid w:val="00D1471A"/>
    <w:rsid w:val="00D152D9"/>
    <w:rsid w:val="00D15BC3"/>
    <w:rsid w:val="00D15D7E"/>
    <w:rsid w:val="00D16328"/>
    <w:rsid w:val="00D1692E"/>
    <w:rsid w:val="00D16FF9"/>
    <w:rsid w:val="00D17D88"/>
    <w:rsid w:val="00D17DF9"/>
    <w:rsid w:val="00D2167C"/>
    <w:rsid w:val="00D2282C"/>
    <w:rsid w:val="00D22F0B"/>
    <w:rsid w:val="00D23D1F"/>
    <w:rsid w:val="00D24C21"/>
    <w:rsid w:val="00D26BBF"/>
    <w:rsid w:val="00D26E9C"/>
    <w:rsid w:val="00D2791E"/>
    <w:rsid w:val="00D27BC8"/>
    <w:rsid w:val="00D316FE"/>
    <w:rsid w:val="00D3262D"/>
    <w:rsid w:val="00D32A6A"/>
    <w:rsid w:val="00D33F7C"/>
    <w:rsid w:val="00D34976"/>
    <w:rsid w:val="00D35A3B"/>
    <w:rsid w:val="00D35EDA"/>
    <w:rsid w:val="00D36D16"/>
    <w:rsid w:val="00D379DA"/>
    <w:rsid w:val="00D408C6"/>
    <w:rsid w:val="00D41955"/>
    <w:rsid w:val="00D41CEF"/>
    <w:rsid w:val="00D41F15"/>
    <w:rsid w:val="00D428DD"/>
    <w:rsid w:val="00D42A9B"/>
    <w:rsid w:val="00D42F8D"/>
    <w:rsid w:val="00D436B0"/>
    <w:rsid w:val="00D43EC5"/>
    <w:rsid w:val="00D44378"/>
    <w:rsid w:val="00D449B0"/>
    <w:rsid w:val="00D44C7A"/>
    <w:rsid w:val="00D44E9F"/>
    <w:rsid w:val="00D46528"/>
    <w:rsid w:val="00D47ADA"/>
    <w:rsid w:val="00D47EDA"/>
    <w:rsid w:val="00D507E7"/>
    <w:rsid w:val="00D50FD9"/>
    <w:rsid w:val="00D516BE"/>
    <w:rsid w:val="00D521CB"/>
    <w:rsid w:val="00D52596"/>
    <w:rsid w:val="00D53811"/>
    <w:rsid w:val="00D53DAE"/>
    <w:rsid w:val="00D543C1"/>
    <w:rsid w:val="00D54667"/>
    <w:rsid w:val="00D54699"/>
    <w:rsid w:val="00D5516F"/>
    <w:rsid w:val="00D554B6"/>
    <w:rsid w:val="00D564A7"/>
    <w:rsid w:val="00D566D4"/>
    <w:rsid w:val="00D604C1"/>
    <w:rsid w:val="00D62698"/>
    <w:rsid w:val="00D62831"/>
    <w:rsid w:val="00D62DC1"/>
    <w:rsid w:val="00D641AA"/>
    <w:rsid w:val="00D64AD2"/>
    <w:rsid w:val="00D656D2"/>
    <w:rsid w:val="00D65B54"/>
    <w:rsid w:val="00D65F6E"/>
    <w:rsid w:val="00D666EC"/>
    <w:rsid w:val="00D66B3E"/>
    <w:rsid w:val="00D67B55"/>
    <w:rsid w:val="00D702D2"/>
    <w:rsid w:val="00D7034F"/>
    <w:rsid w:val="00D70AD3"/>
    <w:rsid w:val="00D70DF4"/>
    <w:rsid w:val="00D71A09"/>
    <w:rsid w:val="00D71FD0"/>
    <w:rsid w:val="00D72D6A"/>
    <w:rsid w:val="00D73337"/>
    <w:rsid w:val="00D733A1"/>
    <w:rsid w:val="00D74300"/>
    <w:rsid w:val="00D75A3C"/>
    <w:rsid w:val="00D76680"/>
    <w:rsid w:val="00D802C2"/>
    <w:rsid w:val="00D80350"/>
    <w:rsid w:val="00D803BC"/>
    <w:rsid w:val="00D80A78"/>
    <w:rsid w:val="00D81D55"/>
    <w:rsid w:val="00D81F28"/>
    <w:rsid w:val="00D8253A"/>
    <w:rsid w:val="00D82FC4"/>
    <w:rsid w:val="00D83FF9"/>
    <w:rsid w:val="00D849C0"/>
    <w:rsid w:val="00D84CCA"/>
    <w:rsid w:val="00D84DBD"/>
    <w:rsid w:val="00D85988"/>
    <w:rsid w:val="00D860A8"/>
    <w:rsid w:val="00D86166"/>
    <w:rsid w:val="00D86C8B"/>
    <w:rsid w:val="00D8737F"/>
    <w:rsid w:val="00D87764"/>
    <w:rsid w:val="00D87E25"/>
    <w:rsid w:val="00D90E79"/>
    <w:rsid w:val="00D92B46"/>
    <w:rsid w:val="00D92B64"/>
    <w:rsid w:val="00D92E72"/>
    <w:rsid w:val="00D934CE"/>
    <w:rsid w:val="00D93567"/>
    <w:rsid w:val="00D93E39"/>
    <w:rsid w:val="00D940CE"/>
    <w:rsid w:val="00D94C20"/>
    <w:rsid w:val="00D95A74"/>
    <w:rsid w:val="00D96803"/>
    <w:rsid w:val="00D96A40"/>
    <w:rsid w:val="00D96B14"/>
    <w:rsid w:val="00D96F38"/>
    <w:rsid w:val="00D97978"/>
    <w:rsid w:val="00D97F13"/>
    <w:rsid w:val="00DA0A08"/>
    <w:rsid w:val="00DA0CAA"/>
    <w:rsid w:val="00DA171F"/>
    <w:rsid w:val="00DA183F"/>
    <w:rsid w:val="00DA22E7"/>
    <w:rsid w:val="00DA2E0B"/>
    <w:rsid w:val="00DA347F"/>
    <w:rsid w:val="00DA445D"/>
    <w:rsid w:val="00DA5363"/>
    <w:rsid w:val="00DA5F6F"/>
    <w:rsid w:val="00DA701D"/>
    <w:rsid w:val="00DB0890"/>
    <w:rsid w:val="00DB09CF"/>
    <w:rsid w:val="00DB0B04"/>
    <w:rsid w:val="00DB1C0B"/>
    <w:rsid w:val="00DB2049"/>
    <w:rsid w:val="00DB2710"/>
    <w:rsid w:val="00DB32C8"/>
    <w:rsid w:val="00DB348A"/>
    <w:rsid w:val="00DB37A8"/>
    <w:rsid w:val="00DB3916"/>
    <w:rsid w:val="00DB3B2C"/>
    <w:rsid w:val="00DB4416"/>
    <w:rsid w:val="00DB5405"/>
    <w:rsid w:val="00DB548B"/>
    <w:rsid w:val="00DB59BA"/>
    <w:rsid w:val="00DB689E"/>
    <w:rsid w:val="00DB751D"/>
    <w:rsid w:val="00DC0491"/>
    <w:rsid w:val="00DC09E2"/>
    <w:rsid w:val="00DC22FE"/>
    <w:rsid w:val="00DC23E3"/>
    <w:rsid w:val="00DC3596"/>
    <w:rsid w:val="00DC5559"/>
    <w:rsid w:val="00DC5BE7"/>
    <w:rsid w:val="00DC5EAF"/>
    <w:rsid w:val="00DD19FE"/>
    <w:rsid w:val="00DD203D"/>
    <w:rsid w:val="00DD216E"/>
    <w:rsid w:val="00DD2D22"/>
    <w:rsid w:val="00DD463B"/>
    <w:rsid w:val="00DD5E88"/>
    <w:rsid w:val="00DD6531"/>
    <w:rsid w:val="00DD68D0"/>
    <w:rsid w:val="00DD7BA3"/>
    <w:rsid w:val="00DE0003"/>
    <w:rsid w:val="00DE0119"/>
    <w:rsid w:val="00DE05C2"/>
    <w:rsid w:val="00DE0E79"/>
    <w:rsid w:val="00DE1CCB"/>
    <w:rsid w:val="00DE2AF3"/>
    <w:rsid w:val="00DE33BF"/>
    <w:rsid w:val="00DE3591"/>
    <w:rsid w:val="00DE4335"/>
    <w:rsid w:val="00DE43A7"/>
    <w:rsid w:val="00DE47CC"/>
    <w:rsid w:val="00DE4B3D"/>
    <w:rsid w:val="00DE7027"/>
    <w:rsid w:val="00DE7B3D"/>
    <w:rsid w:val="00DF252D"/>
    <w:rsid w:val="00DF2C51"/>
    <w:rsid w:val="00DF4282"/>
    <w:rsid w:val="00DF4DB1"/>
    <w:rsid w:val="00DF4F75"/>
    <w:rsid w:val="00DF50CC"/>
    <w:rsid w:val="00DF61AF"/>
    <w:rsid w:val="00DF6F41"/>
    <w:rsid w:val="00DF79C0"/>
    <w:rsid w:val="00DF7E39"/>
    <w:rsid w:val="00E00787"/>
    <w:rsid w:val="00E00B96"/>
    <w:rsid w:val="00E00E89"/>
    <w:rsid w:val="00E010D2"/>
    <w:rsid w:val="00E01CC1"/>
    <w:rsid w:val="00E021D8"/>
    <w:rsid w:val="00E0264D"/>
    <w:rsid w:val="00E03B3D"/>
    <w:rsid w:val="00E04240"/>
    <w:rsid w:val="00E05C6B"/>
    <w:rsid w:val="00E07645"/>
    <w:rsid w:val="00E10739"/>
    <w:rsid w:val="00E10C48"/>
    <w:rsid w:val="00E10EB8"/>
    <w:rsid w:val="00E11027"/>
    <w:rsid w:val="00E118E0"/>
    <w:rsid w:val="00E12966"/>
    <w:rsid w:val="00E129DE"/>
    <w:rsid w:val="00E132C4"/>
    <w:rsid w:val="00E13C8B"/>
    <w:rsid w:val="00E14292"/>
    <w:rsid w:val="00E14BDC"/>
    <w:rsid w:val="00E14E4F"/>
    <w:rsid w:val="00E150CB"/>
    <w:rsid w:val="00E15476"/>
    <w:rsid w:val="00E15592"/>
    <w:rsid w:val="00E1563B"/>
    <w:rsid w:val="00E15721"/>
    <w:rsid w:val="00E15C7D"/>
    <w:rsid w:val="00E15ED5"/>
    <w:rsid w:val="00E16038"/>
    <w:rsid w:val="00E16041"/>
    <w:rsid w:val="00E1621C"/>
    <w:rsid w:val="00E1633B"/>
    <w:rsid w:val="00E167E1"/>
    <w:rsid w:val="00E17832"/>
    <w:rsid w:val="00E213CE"/>
    <w:rsid w:val="00E21C48"/>
    <w:rsid w:val="00E23764"/>
    <w:rsid w:val="00E23E89"/>
    <w:rsid w:val="00E24D5D"/>
    <w:rsid w:val="00E25497"/>
    <w:rsid w:val="00E25BD9"/>
    <w:rsid w:val="00E26147"/>
    <w:rsid w:val="00E263F0"/>
    <w:rsid w:val="00E2730C"/>
    <w:rsid w:val="00E3101C"/>
    <w:rsid w:val="00E31310"/>
    <w:rsid w:val="00E31400"/>
    <w:rsid w:val="00E32479"/>
    <w:rsid w:val="00E324A0"/>
    <w:rsid w:val="00E32E2A"/>
    <w:rsid w:val="00E3342C"/>
    <w:rsid w:val="00E344DD"/>
    <w:rsid w:val="00E34D03"/>
    <w:rsid w:val="00E35D00"/>
    <w:rsid w:val="00E3666B"/>
    <w:rsid w:val="00E36952"/>
    <w:rsid w:val="00E36DE6"/>
    <w:rsid w:val="00E372B5"/>
    <w:rsid w:val="00E37C9E"/>
    <w:rsid w:val="00E40337"/>
    <w:rsid w:val="00E40635"/>
    <w:rsid w:val="00E4173E"/>
    <w:rsid w:val="00E41879"/>
    <w:rsid w:val="00E41BE8"/>
    <w:rsid w:val="00E41D55"/>
    <w:rsid w:val="00E43350"/>
    <w:rsid w:val="00E43737"/>
    <w:rsid w:val="00E43C55"/>
    <w:rsid w:val="00E441FD"/>
    <w:rsid w:val="00E4439E"/>
    <w:rsid w:val="00E463F0"/>
    <w:rsid w:val="00E46542"/>
    <w:rsid w:val="00E4773C"/>
    <w:rsid w:val="00E508E3"/>
    <w:rsid w:val="00E5093C"/>
    <w:rsid w:val="00E50983"/>
    <w:rsid w:val="00E51198"/>
    <w:rsid w:val="00E51B1F"/>
    <w:rsid w:val="00E532C7"/>
    <w:rsid w:val="00E5493C"/>
    <w:rsid w:val="00E54E86"/>
    <w:rsid w:val="00E54F09"/>
    <w:rsid w:val="00E54F6F"/>
    <w:rsid w:val="00E5538C"/>
    <w:rsid w:val="00E55F04"/>
    <w:rsid w:val="00E56258"/>
    <w:rsid w:val="00E579B9"/>
    <w:rsid w:val="00E601E4"/>
    <w:rsid w:val="00E60723"/>
    <w:rsid w:val="00E61427"/>
    <w:rsid w:val="00E62521"/>
    <w:rsid w:val="00E637E6"/>
    <w:rsid w:val="00E63C9C"/>
    <w:rsid w:val="00E63DEB"/>
    <w:rsid w:val="00E6408C"/>
    <w:rsid w:val="00E64BDE"/>
    <w:rsid w:val="00E667F5"/>
    <w:rsid w:val="00E66862"/>
    <w:rsid w:val="00E675E5"/>
    <w:rsid w:val="00E67B51"/>
    <w:rsid w:val="00E70C9E"/>
    <w:rsid w:val="00E71481"/>
    <w:rsid w:val="00E7279F"/>
    <w:rsid w:val="00E736B1"/>
    <w:rsid w:val="00E739B8"/>
    <w:rsid w:val="00E74803"/>
    <w:rsid w:val="00E74C42"/>
    <w:rsid w:val="00E74C7F"/>
    <w:rsid w:val="00E75332"/>
    <w:rsid w:val="00E7624D"/>
    <w:rsid w:val="00E77B3E"/>
    <w:rsid w:val="00E8001E"/>
    <w:rsid w:val="00E808D0"/>
    <w:rsid w:val="00E80A7D"/>
    <w:rsid w:val="00E8251D"/>
    <w:rsid w:val="00E8490D"/>
    <w:rsid w:val="00E85B1B"/>
    <w:rsid w:val="00E86EA2"/>
    <w:rsid w:val="00E87E37"/>
    <w:rsid w:val="00E90138"/>
    <w:rsid w:val="00E92CFD"/>
    <w:rsid w:val="00E933DC"/>
    <w:rsid w:val="00E940C3"/>
    <w:rsid w:val="00E94C05"/>
    <w:rsid w:val="00E94CA0"/>
    <w:rsid w:val="00E9668E"/>
    <w:rsid w:val="00E96D42"/>
    <w:rsid w:val="00E97268"/>
    <w:rsid w:val="00E97406"/>
    <w:rsid w:val="00E9744A"/>
    <w:rsid w:val="00E974CF"/>
    <w:rsid w:val="00E97AE2"/>
    <w:rsid w:val="00EA169B"/>
    <w:rsid w:val="00EA2012"/>
    <w:rsid w:val="00EA26A1"/>
    <w:rsid w:val="00EA32C3"/>
    <w:rsid w:val="00EA4711"/>
    <w:rsid w:val="00EA538F"/>
    <w:rsid w:val="00EA5938"/>
    <w:rsid w:val="00EA5A39"/>
    <w:rsid w:val="00EA5B35"/>
    <w:rsid w:val="00EA5BCF"/>
    <w:rsid w:val="00EA5E9F"/>
    <w:rsid w:val="00EA65EF"/>
    <w:rsid w:val="00EA6A83"/>
    <w:rsid w:val="00EA72AE"/>
    <w:rsid w:val="00EA7E15"/>
    <w:rsid w:val="00EB0191"/>
    <w:rsid w:val="00EB1612"/>
    <w:rsid w:val="00EB1B35"/>
    <w:rsid w:val="00EB249E"/>
    <w:rsid w:val="00EB492A"/>
    <w:rsid w:val="00EB52C5"/>
    <w:rsid w:val="00EB5843"/>
    <w:rsid w:val="00EB5DE7"/>
    <w:rsid w:val="00EB5E79"/>
    <w:rsid w:val="00EB6589"/>
    <w:rsid w:val="00EB761E"/>
    <w:rsid w:val="00EB7C1E"/>
    <w:rsid w:val="00EC1BCB"/>
    <w:rsid w:val="00EC1C60"/>
    <w:rsid w:val="00EC1F33"/>
    <w:rsid w:val="00EC2021"/>
    <w:rsid w:val="00EC2193"/>
    <w:rsid w:val="00EC2701"/>
    <w:rsid w:val="00EC37D2"/>
    <w:rsid w:val="00EC4D59"/>
    <w:rsid w:val="00EC53F2"/>
    <w:rsid w:val="00EC55C4"/>
    <w:rsid w:val="00EC5795"/>
    <w:rsid w:val="00ED0571"/>
    <w:rsid w:val="00ED094A"/>
    <w:rsid w:val="00ED205C"/>
    <w:rsid w:val="00ED2E0D"/>
    <w:rsid w:val="00ED36AB"/>
    <w:rsid w:val="00ED7314"/>
    <w:rsid w:val="00ED7B8B"/>
    <w:rsid w:val="00EE0808"/>
    <w:rsid w:val="00EE33A2"/>
    <w:rsid w:val="00EE3B17"/>
    <w:rsid w:val="00EE481C"/>
    <w:rsid w:val="00EE48F1"/>
    <w:rsid w:val="00EE4A2D"/>
    <w:rsid w:val="00EE544C"/>
    <w:rsid w:val="00EE66E6"/>
    <w:rsid w:val="00EE7A5F"/>
    <w:rsid w:val="00EF13E6"/>
    <w:rsid w:val="00EF14C9"/>
    <w:rsid w:val="00EF2ED7"/>
    <w:rsid w:val="00EF3815"/>
    <w:rsid w:val="00EF3888"/>
    <w:rsid w:val="00EF3DC1"/>
    <w:rsid w:val="00EF502A"/>
    <w:rsid w:val="00EF5055"/>
    <w:rsid w:val="00EF5967"/>
    <w:rsid w:val="00EF5A61"/>
    <w:rsid w:val="00EF72F8"/>
    <w:rsid w:val="00EF7C44"/>
    <w:rsid w:val="00EF7CD4"/>
    <w:rsid w:val="00F01695"/>
    <w:rsid w:val="00F025AD"/>
    <w:rsid w:val="00F040C8"/>
    <w:rsid w:val="00F04B40"/>
    <w:rsid w:val="00F058C4"/>
    <w:rsid w:val="00F059D2"/>
    <w:rsid w:val="00F05BA8"/>
    <w:rsid w:val="00F06599"/>
    <w:rsid w:val="00F071AF"/>
    <w:rsid w:val="00F073AA"/>
    <w:rsid w:val="00F0747C"/>
    <w:rsid w:val="00F07A38"/>
    <w:rsid w:val="00F07BF2"/>
    <w:rsid w:val="00F11DCA"/>
    <w:rsid w:val="00F12D1C"/>
    <w:rsid w:val="00F1593A"/>
    <w:rsid w:val="00F170C8"/>
    <w:rsid w:val="00F17823"/>
    <w:rsid w:val="00F20872"/>
    <w:rsid w:val="00F21D4A"/>
    <w:rsid w:val="00F2303C"/>
    <w:rsid w:val="00F23074"/>
    <w:rsid w:val="00F23977"/>
    <w:rsid w:val="00F23FDB"/>
    <w:rsid w:val="00F252C0"/>
    <w:rsid w:val="00F25C19"/>
    <w:rsid w:val="00F2607A"/>
    <w:rsid w:val="00F261AF"/>
    <w:rsid w:val="00F31F13"/>
    <w:rsid w:val="00F33C2B"/>
    <w:rsid w:val="00F3519E"/>
    <w:rsid w:val="00F35792"/>
    <w:rsid w:val="00F359B1"/>
    <w:rsid w:val="00F368EA"/>
    <w:rsid w:val="00F378C2"/>
    <w:rsid w:val="00F37BB4"/>
    <w:rsid w:val="00F40C36"/>
    <w:rsid w:val="00F418DA"/>
    <w:rsid w:val="00F42930"/>
    <w:rsid w:val="00F42B5D"/>
    <w:rsid w:val="00F42F9E"/>
    <w:rsid w:val="00F437A5"/>
    <w:rsid w:val="00F43DB2"/>
    <w:rsid w:val="00F45282"/>
    <w:rsid w:val="00F45A36"/>
    <w:rsid w:val="00F45CF8"/>
    <w:rsid w:val="00F461C7"/>
    <w:rsid w:val="00F4639C"/>
    <w:rsid w:val="00F470D1"/>
    <w:rsid w:val="00F47CE2"/>
    <w:rsid w:val="00F5223F"/>
    <w:rsid w:val="00F5250B"/>
    <w:rsid w:val="00F526F5"/>
    <w:rsid w:val="00F530DB"/>
    <w:rsid w:val="00F53888"/>
    <w:rsid w:val="00F53ED3"/>
    <w:rsid w:val="00F5403B"/>
    <w:rsid w:val="00F54D42"/>
    <w:rsid w:val="00F56183"/>
    <w:rsid w:val="00F565E0"/>
    <w:rsid w:val="00F567DC"/>
    <w:rsid w:val="00F573F8"/>
    <w:rsid w:val="00F60173"/>
    <w:rsid w:val="00F609DC"/>
    <w:rsid w:val="00F60F03"/>
    <w:rsid w:val="00F62756"/>
    <w:rsid w:val="00F632C5"/>
    <w:rsid w:val="00F63616"/>
    <w:rsid w:val="00F636D1"/>
    <w:rsid w:val="00F643FD"/>
    <w:rsid w:val="00F64404"/>
    <w:rsid w:val="00F64B9A"/>
    <w:rsid w:val="00F64F3C"/>
    <w:rsid w:val="00F656C4"/>
    <w:rsid w:val="00F657B2"/>
    <w:rsid w:val="00F65EF3"/>
    <w:rsid w:val="00F66C9B"/>
    <w:rsid w:val="00F67296"/>
    <w:rsid w:val="00F67B34"/>
    <w:rsid w:val="00F67EFB"/>
    <w:rsid w:val="00F70EDA"/>
    <w:rsid w:val="00F717DA"/>
    <w:rsid w:val="00F722D4"/>
    <w:rsid w:val="00F72439"/>
    <w:rsid w:val="00F732E4"/>
    <w:rsid w:val="00F73A36"/>
    <w:rsid w:val="00F74216"/>
    <w:rsid w:val="00F74453"/>
    <w:rsid w:val="00F76095"/>
    <w:rsid w:val="00F769E0"/>
    <w:rsid w:val="00F76DFB"/>
    <w:rsid w:val="00F7745F"/>
    <w:rsid w:val="00F777C1"/>
    <w:rsid w:val="00F77DE8"/>
    <w:rsid w:val="00F80E82"/>
    <w:rsid w:val="00F81232"/>
    <w:rsid w:val="00F8142A"/>
    <w:rsid w:val="00F81CC6"/>
    <w:rsid w:val="00F81E68"/>
    <w:rsid w:val="00F83348"/>
    <w:rsid w:val="00F83CBB"/>
    <w:rsid w:val="00F83F5F"/>
    <w:rsid w:val="00F841C3"/>
    <w:rsid w:val="00F847A8"/>
    <w:rsid w:val="00F874E5"/>
    <w:rsid w:val="00F9078F"/>
    <w:rsid w:val="00F90EC9"/>
    <w:rsid w:val="00F91152"/>
    <w:rsid w:val="00F93435"/>
    <w:rsid w:val="00F95B2D"/>
    <w:rsid w:val="00F960F6"/>
    <w:rsid w:val="00F96918"/>
    <w:rsid w:val="00F96BAF"/>
    <w:rsid w:val="00F9747C"/>
    <w:rsid w:val="00F979CA"/>
    <w:rsid w:val="00FA0EBD"/>
    <w:rsid w:val="00FA13ED"/>
    <w:rsid w:val="00FA1715"/>
    <w:rsid w:val="00FA1A7B"/>
    <w:rsid w:val="00FA1DD2"/>
    <w:rsid w:val="00FA1E83"/>
    <w:rsid w:val="00FA2EC5"/>
    <w:rsid w:val="00FA4546"/>
    <w:rsid w:val="00FA4878"/>
    <w:rsid w:val="00FA504E"/>
    <w:rsid w:val="00FA5150"/>
    <w:rsid w:val="00FA6E64"/>
    <w:rsid w:val="00FB2E1D"/>
    <w:rsid w:val="00FB365C"/>
    <w:rsid w:val="00FB4843"/>
    <w:rsid w:val="00FB5B4E"/>
    <w:rsid w:val="00FB5CFD"/>
    <w:rsid w:val="00FB5F3F"/>
    <w:rsid w:val="00FB6855"/>
    <w:rsid w:val="00FB6D7A"/>
    <w:rsid w:val="00FB7313"/>
    <w:rsid w:val="00FC0A85"/>
    <w:rsid w:val="00FC0F39"/>
    <w:rsid w:val="00FC1063"/>
    <w:rsid w:val="00FC1AD5"/>
    <w:rsid w:val="00FC1D6F"/>
    <w:rsid w:val="00FC2E6C"/>
    <w:rsid w:val="00FC2FA1"/>
    <w:rsid w:val="00FC2FF6"/>
    <w:rsid w:val="00FC3171"/>
    <w:rsid w:val="00FC57AE"/>
    <w:rsid w:val="00FC5D27"/>
    <w:rsid w:val="00FC5E32"/>
    <w:rsid w:val="00FC60B4"/>
    <w:rsid w:val="00FC721E"/>
    <w:rsid w:val="00FC7502"/>
    <w:rsid w:val="00FD152A"/>
    <w:rsid w:val="00FD1851"/>
    <w:rsid w:val="00FD1D35"/>
    <w:rsid w:val="00FD3615"/>
    <w:rsid w:val="00FD3F0E"/>
    <w:rsid w:val="00FD4EB6"/>
    <w:rsid w:val="00FD564D"/>
    <w:rsid w:val="00FD571E"/>
    <w:rsid w:val="00FD6AB7"/>
    <w:rsid w:val="00FD6C2B"/>
    <w:rsid w:val="00FD712F"/>
    <w:rsid w:val="00FD76B5"/>
    <w:rsid w:val="00FD7D6D"/>
    <w:rsid w:val="00FE0656"/>
    <w:rsid w:val="00FE16B3"/>
    <w:rsid w:val="00FE369E"/>
    <w:rsid w:val="00FE3EE5"/>
    <w:rsid w:val="00FE3FAE"/>
    <w:rsid w:val="00FE4404"/>
    <w:rsid w:val="00FE4C68"/>
    <w:rsid w:val="00FE5BEC"/>
    <w:rsid w:val="00FE6B74"/>
    <w:rsid w:val="00FE6BD4"/>
    <w:rsid w:val="00FE74AD"/>
    <w:rsid w:val="00FE772F"/>
    <w:rsid w:val="00FE77E0"/>
    <w:rsid w:val="00FE79FA"/>
    <w:rsid w:val="00FE7EFC"/>
    <w:rsid w:val="00FF15D2"/>
    <w:rsid w:val="00FF19D9"/>
    <w:rsid w:val="00FF2990"/>
    <w:rsid w:val="00FF33E7"/>
    <w:rsid w:val="00FF3883"/>
    <w:rsid w:val="00FF48F5"/>
    <w:rsid w:val="00FF539D"/>
    <w:rsid w:val="00FF5443"/>
    <w:rsid w:val="00FF5CF5"/>
    <w:rsid w:val="00FF6563"/>
    <w:rsid w:val="00FF7A1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D1DEC4-57A7-410B-B903-25965768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A4"/>
  </w:style>
  <w:style w:type="paragraph" w:styleId="Heading1">
    <w:name w:val="heading 1"/>
    <w:aliases w:val="Garamond"/>
    <w:basedOn w:val="Normal"/>
    <w:next w:val="Normal"/>
    <w:link w:val="Heading1Char"/>
    <w:uiPriority w:val="9"/>
    <w:qFormat/>
    <w:rsid w:val="00C9597C"/>
    <w:pPr>
      <w:keepNext/>
      <w:keepLines/>
      <w:spacing w:line="276" w:lineRule="auto"/>
      <w:jc w:val="both"/>
      <w:outlineLvl w:val="0"/>
    </w:pPr>
    <w:rPr>
      <w:rFonts w:ascii="Garamond" w:eastAsia="Times New Roman" w:hAnsi="Garamond"/>
      <w:bCs/>
      <w:szCs w:val="28"/>
    </w:rPr>
  </w:style>
  <w:style w:type="paragraph" w:styleId="Heading2">
    <w:name w:val="heading 2"/>
    <w:basedOn w:val="Normal"/>
    <w:next w:val="Normal"/>
    <w:link w:val="Heading2Char"/>
    <w:unhideWhenUsed/>
    <w:qFormat/>
    <w:rsid w:val="00C9597C"/>
    <w:pPr>
      <w:keepNext/>
      <w:keepLines/>
      <w:spacing w:before="20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nhideWhenUsed/>
    <w:qFormat/>
    <w:rsid w:val="00C9597C"/>
    <w:pPr>
      <w:keepNext/>
      <w:keepLines/>
      <w:spacing w:before="200"/>
      <w:jc w:val="both"/>
      <w:outlineLvl w:val="2"/>
    </w:pPr>
    <w:rPr>
      <w:rFonts w:ascii="Cambria" w:eastAsia="Times New Roman" w:hAnsi="Cambria"/>
      <w:b/>
      <w:bCs/>
      <w:color w:val="4F81BD"/>
    </w:rPr>
  </w:style>
  <w:style w:type="paragraph" w:styleId="Heading4">
    <w:name w:val="heading 4"/>
    <w:basedOn w:val="Normal"/>
    <w:next w:val="Normal"/>
    <w:link w:val="Heading4Char"/>
    <w:qFormat/>
    <w:rsid w:val="00C9597C"/>
    <w:pPr>
      <w:keepNext/>
      <w:keepLines/>
      <w:spacing w:before="240" w:after="40"/>
      <w:contextualSpacing/>
      <w:jc w:val="both"/>
      <w:outlineLvl w:val="3"/>
    </w:pPr>
    <w:rPr>
      <w:rFonts w:ascii="Times New Roman" w:eastAsia="Times New Roman" w:hAnsi="Times New Roman"/>
      <w:b/>
      <w:color w:val="000000"/>
      <w:lang w:val="en-IN" w:eastAsia="en-IN"/>
    </w:rPr>
  </w:style>
  <w:style w:type="paragraph" w:styleId="Heading5">
    <w:name w:val="heading 5"/>
    <w:basedOn w:val="Normal"/>
    <w:next w:val="Normal"/>
    <w:link w:val="Heading5Char"/>
    <w:qFormat/>
    <w:rsid w:val="00C9597C"/>
    <w:pPr>
      <w:spacing w:before="240" w:after="60"/>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C9597C"/>
    <w:pPr>
      <w:keepNext/>
      <w:keepLines/>
      <w:spacing w:before="200" w:after="40"/>
      <w:contextualSpacing/>
      <w:jc w:val="both"/>
      <w:outlineLvl w:val="5"/>
    </w:pPr>
    <w:rPr>
      <w:rFonts w:ascii="Times New Roman" w:eastAsia="Times New Roman" w:hAnsi="Times New Roman"/>
      <w:b/>
      <w:color w:val="000000"/>
      <w:sz w:val="20"/>
      <w:szCs w:val="20"/>
      <w:lang w:val="en-IN" w:eastAsia="en-IN"/>
    </w:rPr>
  </w:style>
  <w:style w:type="paragraph" w:styleId="Heading7">
    <w:name w:val="heading 7"/>
    <w:basedOn w:val="Normal"/>
    <w:next w:val="Normal"/>
    <w:link w:val="Heading7Char"/>
    <w:qFormat/>
    <w:rsid w:val="00C9597C"/>
    <w:pPr>
      <w:spacing w:before="240" w:after="60"/>
      <w:outlineLvl w:val="6"/>
    </w:pPr>
    <w:rPr>
      <w:rFonts w:ascii="Times New Roman" w:eastAsia="Times New Roman" w:hAnsi="Times New Roman"/>
      <w:lang w:val="en-US"/>
    </w:rPr>
  </w:style>
  <w:style w:type="paragraph" w:styleId="Heading8">
    <w:name w:val="heading 8"/>
    <w:basedOn w:val="Normal"/>
    <w:next w:val="Normal"/>
    <w:uiPriority w:val="9"/>
    <w:unhideWhenUsed/>
    <w:qFormat/>
    <w:rsid w:val="003F3A95"/>
    <w:pPr>
      <w:tabs>
        <w:tab w:val="left" w:pos="5760"/>
      </w:tabs>
      <w:spacing w:before="240" w:after="60" w:line="259" w:lineRule="auto"/>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uiPriority w:val="9"/>
    <w:unhideWhenUsed/>
    <w:qFormat/>
    <w:rsid w:val="003F3A95"/>
    <w:pPr>
      <w:tabs>
        <w:tab w:val="left" w:pos="6480"/>
      </w:tabs>
      <w:spacing w:before="240" w:after="60" w:line="259"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aramond Char"/>
    <w:basedOn w:val="DefaultParagraphFont"/>
    <w:link w:val="Heading1"/>
    <w:uiPriority w:val="9"/>
    <w:qFormat/>
    <w:rsid w:val="00C9597C"/>
    <w:rPr>
      <w:rFonts w:ascii="Garamond" w:eastAsia="Times New Roman" w:hAnsi="Garamond"/>
      <w:bCs/>
      <w:szCs w:val="28"/>
    </w:rPr>
  </w:style>
  <w:style w:type="character" w:customStyle="1" w:styleId="Heading2Char">
    <w:name w:val="Heading 2 Char"/>
    <w:basedOn w:val="DefaultParagraphFont"/>
    <w:link w:val="Heading2"/>
    <w:rsid w:val="00C9597C"/>
    <w:rPr>
      <w:rFonts w:ascii="Cambria" w:eastAsia="Times New Roman" w:hAnsi="Cambria"/>
      <w:b/>
      <w:bCs/>
      <w:color w:val="4F81BD"/>
      <w:sz w:val="26"/>
      <w:szCs w:val="26"/>
      <w:lang w:val="en-US"/>
    </w:rPr>
  </w:style>
  <w:style w:type="character" w:customStyle="1" w:styleId="Heading3Char">
    <w:name w:val="Heading 3 Char"/>
    <w:basedOn w:val="DefaultParagraphFont"/>
    <w:link w:val="Heading3"/>
    <w:qFormat/>
    <w:rsid w:val="00C9597C"/>
    <w:rPr>
      <w:rFonts w:ascii="Cambria" w:eastAsia="Times New Roman" w:hAnsi="Cambria"/>
      <w:b/>
      <w:bCs/>
      <w:color w:val="4F81BD"/>
    </w:rPr>
  </w:style>
  <w:style w:type="character" w:customStyle="1" w:styleId="Heading4Char">
    <w:name w:val="Heading 4 Char"/>
    <w:basedOn w:val="DefaultParagraphFont"/>
    <w:link w:val="Heading4"/>
    <w:rsid w:val="00C9597C"/>
    <w:rPr>
      <w:rFonts w:ascii="Times New Roman" w:eastAsia="Times New Roman" w:hAnsi="Times New Roman"/>
      <w:b/>
      <w:color w:val="000000"/>
      <w:lang w:val="en-IN" w:eastAsia="en-IN"/>
    </w:rPr>
  </w:style>
  <w:style w:type="character" w:customStyle="1" w:styleId="Heading5Char">
    <w:name w:val="Heading 5 Char"/>
    <w:basedOn w:val="DefaultParagraphFont"/>
    <w:link w:val="Heading5"/>
    <w:rsid w:val="00C9597C"/>
    <w:rPr>
      <w:rFonts w:ascii="Times New Roman" w:eastAsia="Times New Roman" w:hAnsi="Times New Roman"/>
      <w:b/>
      <w:bCs/>
      <w:i/>
      <w:iCs/>
      <w:sz w:val="26"/>
      <w:szCs w:val="26"/>
      <w:lang w:val="en-US"/>
    </w:rPr>
  </w:style>
  <w:style w:type="character" w:customStyle="1" w:styleId="Heading6Char">
    <w:name w:val="Heading 6 Char"/>
    <w:basedOn w:val="DefaultParagraphFont"/>
    <w:link w:val="Heading6"/>
    <w:rsid w:val="00C9597C"/>
    <w:rPr>
      <w:rFonts w:ascii="Times New Roman" w:eastAsia="Times New Roman" w:hAnsi="Times New Roman"/>
      <w:b/>
      <w:color w:val="000000"/>
      <w:sz w:val="20"/>
      <w:szCs w:val="20"/>
      <w:lang w:val="en-IN" w:eastAsia="en-IN"/>
    </w:rPr>
  </w:style>
  <w:style w:type="character" w:customStyle="1" w:styleId="Heading7Char">
    <w:name w:val="Heading 7 Char"/>
    <w:basedOn w:val="DefaultParagraphFont"/>
    <w:link w:val="Heading7"/>
    <w:qFormat/>
    <w:rsid w:val="00C9597C"/>
    <w:rPr>
      <w:rFonts w:ascii="Times New Roman" w:eastAsia="Times New Roman" w:hAnsi="Times New Roman"/>
      <w:lang w:val="en-US"/>
    </w:rPr>
  </w:style>
  <w:style w:type="paragraph" w:styleId="ListParagraph">
    <w:name w:val="List Paragraph"/>
    <w:aliases w:val="lp1,elenco,Equipment,Figure_name,List Paragraph Char Char,List Paragraph1,List Paragraph11,List Paragraph2,List_TIS,Normal Sentence,Number_1,Numbered Indented Text,Ref,SGLText List Paragraph,TOC style,new,Amex_bullet,ListPar1,d_bodyb,L"/>
    <w:basedOn w:val="Normal"/>
    <w:link w:val="ListParagraphChar"/>
    <w:uiPriority w:val="34"/>
    <w:qFormat/>
    <w:rsid w:val="00C9597C"/>
    <w:pPr>
      <w:spacing w:after="200" w:line="276" w:lineRule="auto"/>
      <w:ind w:left="720"/>
      <w:contextualSpacing/>
    </w:pPr>
    <w:rPr>
      <w:rFonts w:ascii="Calibri" w:eastAsia="Calibri" w:hAnsi="Calibri"/>
      <w:sz w:val="20"/>
      <w:szCs w:val="20"/>
      <w:lang w:val="en-US"/>
    </w:rPr>
  </w:style>
  <w:style w:type="paragraph" w:customStyle="1" w:styleId="Default">
    <w:name w:val="Default"/>
    <w:rsid w:val="00C9597C"/>
    <w:pPr>
      <w:autoSpaceDE w:val="0"/>
      <w:autoSpaceDN w:val="0"/>
      <w:adjustRightInd w:val="0"/>
    </w:pPr>
    <w:rPr>
      <w:rFonts w:ascii="Arial" w:eastAsia="Calibri" w:hAnsi="Arial" w:cs="Arial"/>
      <w:color w:val="000000"/>
      <w:lang w:val="en-US"/>
    </w:rPr>
  </w:style>
  <w:style w:type="paragraph" w:styleId="BalloonText">
    <w:name w:val="Balloon Text"/>
    <w:basedOn w:val="Normal"/>
    <w:link w:val="BalloonTextChar"/>
    <w:uiPriority w:val="99"/>
    <w:unhideWhenUsed/>
    <w:qFormat/>
    <w:rsid w:val="00C9597C"/>
    <w:rPr>
      <w:rFonts w:ascii="Tahoma" w:eastAsia="Calibri" w:hAnsi="Tahoma"/>
      <w:sz w:val="16"/>
      <w:szCs w:val="16"/>
      <w:lang w:val="en-US"/>
    </w:rPr>
  </w:style>
  <w:style w:type="character" w:customStyle="1" w:styleId="BalloonTextChar">
    <w:name w:val="Balloon Text Char"/>
    <w:basedOn w:val="DefaultParagraphFont"/>
    <w:link w:val="BalloonText"/>
    <w:uiPriority w:val="99"/>
    <w:rsid w:val="00C9597C"/>
    <w:rPr>
      <w:rFonts w:ascii="Tahoma" w:eastAsia="Calibri" w:hAnsi="Tahoma"/>
      <w:sz w:val="16"/>
      <w:szCs w:val="16"/>
      <w:lang w:val="en-US"/>
    </w:rPr>
  </w:style>
  <w:style w:type="paragraph" w:styleId="Title">
    <w:name w:val="Title"/>
    <w:basedOn w:val="Normal"/>
    <w:link w:val="TitleChar"/>
    <w:qFormat/>
    <w:rsid w:val="00C9597C"/>
    <w:pPr>
      <w:jc w:val="center"/>
    </w:pPr>
    <w:rPr>
      <w:rFonts w:ascii="Times New Roman" w:eastAsia="Times New Roman" w:hAnsi="Times New Roman"/>
      <w:b/>
      <w:u w:val="single"/>
      <w:lang w:val="en-US"/>
    </w:rPr>
  </w:style>
  <w:style w:type="character" w:customStyle="1" w:styleId="TitleChar">
    <w:name w:val="Title Char"/>
    <w:basedOn w:val="DefaultParagraphFont"/>
    <w:link w:val="Title"/>
    <w:rsid w:val="00C9597C"/>
    <w:rPr>
      <w:rFonts w:ascii="Times New Roman" w:eastAsia="Times New Roman" w:hAnsi="Times New Roman"/>
      <w:b/>
      <w:u w:val="single"/>
      <w:lang w:val="en-US"/>
    </w:rPr>
  </w:style>
  <w:style w:type="paragraph" w:styleId="Header">
    <w:name w:val="header"/>
    <w:basedOn w:val="Normal"/>
    <w:link w:val="HeaderChar"/>
    <w:uiPriority w:val="99"/>
    <w:qFormat/>
    <w:rsid w:val="00C9597C"/>
    <w:pPr>
      <w:tabs>
        <w:tab w:val="center" w:pos="4320"/>
        <w:tab w:val="right" w:pos="8640"/>
      </w:tabs>
    </w:pPr>
    <w:rPr>
      <w:rFonts w:ascii="Times New Roman" w:eastAsia="Times New Roman" w:hAnsi="Times New Roman"/>
      <w:szCs w:val="20"/>
      <w:lang w:val="en-US"/>
    </w:rPr>
  </w:style>
  <w:style w:type="character" w:customStyle="1" w:styleId="HeaderChar">
    <w:name w:val="Header Char"/>
    <w:basedOn w:val="DefaultParagraphFont"/>
    <w:link w:val="Header"/>
    <w:uiPriority w:val="99"/>
    <w:rsid w:val="00C9597C"/>
    <w:rPr>
      <w:rFonts w:ascii="Times New Roman" w:eastAsia="Times New Roman" w:hAnsi="Times New Roman"/>
      <w:szCs w:val="20"/>
      <w:lang w:val="en-US"/>
    </w:rPr>
  </w:style>
  <w:style w:type="paragraph" w:styleId="NoSpacing">
    <w:name w:val="No Spacing"/>
    <w:link w:val="NoSpacingChar"/>
    <w:uiPriority w:val="1"/>
    <w:qFormat/>
    <w:rsid w:val="00C9597C"/>
    <w:rPr>
      <w:rFonts w:ascii="Calibri" w:eastAsia="Calibri" w:hAnsi="Calibri"/>
      <w:sz w:val="22"/>
      <w:szCs w:val="22"/>
      <w:lang w:val="en-US"/>
    </w:rPr>
  </w:style>
  <w:style w:type="character" w:customStyle="1" w:styleId="NoSpacingChar">
    <w:name w:val="No Spacing Char"/>
    <w:link w:val="NoSpacing"/>
    <w:uiPriority w:val="1"/>
    <w:rsid w:val="00C9597C"/>
    <w:rPr>
      <w:rFonts w:ascii="Calibri" w:eastAsia="Calibri" w:hAnsi="Calibri"/>
      <w:sz w:val="22"/>
      <w:szCs w:val="22"/>
      <w:lang w:val="en-US"/>
    </w:rPr>
  </w:style>
  <w:style w:type="character" w:customStyle="1" w:styleId="apple-style-span">
    <w:name w:val="apple-style-span"/>
    <w:basedOn w:val="DefaultParagraphFont"/>
    <w:rsid w:val="00C9597C"/>
  </w:style>
  <w:style w:type="character" w:customStyle="1" w:styleId="apple-converted-space">
    <w:name w:val="apple-converted-space"/>
    <w:basedOn w:val="DefaultParagraphFont"/>
    <w:rsid w:val="00C9597C"/>
  </w:style>
  <w:style w:type="character" w:styleId="Strong">
    <w:name w:val="Strong"/>
    <w:uiPriority w:val="22"/>
    <w:qFormat/>
    <w:rsid w:val="00C9597C"/>
    <w:rPr>
      <w:b/>
      <w:bCs/>
    </w:rPr>
  </w:style>
  <w:style w:type="paragraph" w:styleId="Caption">
    <w:name w:val="caption"/>
    <w:basedOn w:val="Normal"/>
    <w:next w:val="Normal"/>
    <w:uiPriority w:val="35"/>
    <w:unhideWhenUsed/>
    <w:qFormat/>
    <w:rsid w:val="00C9597C"/>
    <w:pPr>
      <w:spacing w:after="200"/>
    </w:pPr>
    <w:rPr>
      <w:rFonts w:ascii="Calibri" w:eastAsia="Calibri" w:hAnsi="Calibri"/>
      <w:b/>
      <w:bCs/>
      <w:color w:val="4F81BD"/>
      <w:sz w:val="18"/>
      <w:szCs w:val="18"/>
      <w:lang w:val="en-US"/>
    </w:rPr>
  </w:style>
  <w:style w:type="paragraph" w:customStyle="1" w:styleId="CM10">
    <w:name w:val="CM10"/>
    <w:basedOn w:val="Default"/>
    <w:next w:val="Default"/>
    <w:uiPriority w:val="99"/>
    <w:rsid w:val="00C9597C"/>
    <w:pPr>
      <w:widowControl w:val="0"/>
      <w:spacing w:after="268"/>
    </w:pPr>
    <w:rPr>
      <w:rFonts w:ascii="AWCDV-Prakash" w:eastAsia="Times New Roman" w:hAnsi="AWCDV-Prakash" w:cs="Times New Roman"/>
      <w:color w:val="auto"/>
    </w:rPr>
  </w:style>
  <w:style w:type="paragraph" w:customStyle="1" w:styleId="CM4">
    <w:name w:val="CM4"/>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14">
    <w:name w:val="CM14"/>
    <w:basedOn w:val="Default"/>
    <w:next w:val="Default"/>
    <w:uiPriority w:val="99"/>
    <w:rsid w:val="00C9597C"/>
    <w:pPr>
      <w:widowControl w:val="0"/>
      <w:spacing w:after="128"/>
    </w:pPr>
    <w:rPr>
      <w:rFonts w:ascii="AWCDV-Prakash" w:eastAsia="Times New Roman" w:hAnsi="AWCDV-Prakash" w:cs="Times New Roman"/>
      <w:color w:val="auto"/>
    </w:rPr>
  </w:style>
  <w:style w:type="paragraph" w:customStyle="1" w:styleId="CM6">
    <w:name w:val="CM6"/>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8">
    <w:name w:val="CM8"/>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styleId="NormalWeb">
    <w:name w:val="Normal (Web)"/>
    <w:basedOn w:val="Normal"/>
    <w:uiPriority w:val="99"/>
    <w:qFormat/>
    <w:rsid w:val="00C9597C"/>
    <w:pPr>
      <w:spacing w:before="100" w:beforeAutospacing="1" w:after="100" w:afterAutospacing="1"/>
    </w:pPr>
    <w:rPr>
      <w:rFonts w:ascii="Times New Roman" w:eastAsia="Times New Roman" w:hAnsi="Times New Roman"/>
      <w:lang w:val="en-US"/>
    </w:rPr>
  </w:style>
  <w:style w:type="character" w:styleId="Emphasis">
    <w:name w:val="Emphasis"/>
    <w:uiPriority w:val="20"/>
    <w:qFormat/>
    <w:rsid w:val="00C9597C"/>
    <w:rPr>
      <w:i/>
      <w:iCs/>
    </w:rPr>
  </w:style>
  <w:style w:type="character" w:styleId="Hyperlink">
    <w:name w:val="Hyperlink"/>
    <w:uiPriority w:val="99"/>
    <w:unhideWhenUsed/>
    <w:rsid w:val="00C9597C"/>
    <w:rPr>
      <w:color w:val="0000FF"/>
      <w:u w:val="single"/>
    </w:rPr>
  </w:style>
  <w:style w:type="paragraph" w:styleId="Footer">
    <w:name w:val="footer"/>
    <w:basedOn w:val="Normal"/>
    <w:link w:val="FooterChar"/>
    <w:uiPriority w:val="99"/>
    <w:unhideWhenUsed/>
    <w:qFormat/>
    <w:rsid w:val="00C9597C"/>
    <w:pPr>
      <w:tabs>
        <w:tab w:val="center" w:pos="4680"/>
        <w:tab w:val="right" w:pos="9360"/>
      </w:tabs>
    </w:pPr>
    <w:rPr>
      <w:rFonts w:ascii="Calibri" w:eastAsia="Calibri" w:hAnsi="Calibri"/>
      <w:sz w:val="20"/>
      <w:szCs w:val="20"/>
      <w:lang w:val="en-US"/>
    </w:rPr>
  </w:style>
  <w:style w:type="character" w:customStyle="1" w:styleId="FooterChar">
    <w:name w:val="Footer Char"/>
    <w:basedOn w:val="DefaultParagraphFont"/>
    <w:link w:val="Footer"/>
    <w:uiPriority w:val="99"/>
    <w:rsid w:val="00C9597C"/>
    <w:rPr>
      <w:rFonts w:ascii="Calibri" w:eastAsia="Calibri" w:hAnsi="Calibri"/>
      <w:sz w:val="20"/>
      <w:szCs w:val="20"/>
      <w:lang w:val="en-US"/>
    </w:rPr>
  </w:style>
  <w:style w:type="table" w:styleId="TableGrid">
    <w:name w:val="Table Grid"/>
    <w:basedOn w:val="TableNormal"/>
    <w:uiPriority w:val="5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qFormat/>
    <w:rsid w:val="00C9597C"/>
    <w:rPr>
      <w:rFonts w:ascii="Calibri" w:eastAsia="Calibri" w:hAnsi="Calibri"/>
      <w:sz w:val="20"/>
      <w:szCs w:val="20"/>
      <w:lang w:val="en-US"/>
    </w:rPr>
  </w:style>
  <w:style w:type="character" w:customStyle="1" w:styleId="EndnoteTextChar">
    <w:name w:val="Endnote Text Char"/>
    <w:basedOn w:val="DefaultParagraphFont"/>
    <w:link w:val="EndnoteText"/>
    <w:uiPriority w:val="99"/>
    <w:rsid w:val="00C9597C"/>
    <w:rPr>
      <w:rFonts w:ascii="Calibri" w:eastAsia="Calibri" w:hAnsi="Calibri"/>
      <w:sz w:val="20"/>
      <w:szCs w:val="20"/>
      <w:lang w:val="en-US"/>
    </w:rPr>
  </w:style>
  <w:style w:type="character" w:styleId="EndnoteReference">
    <w:name w:val="endnote reference"/>
    <w:uiPriority w:val="99"/>
    <w:unhideWhenUsed/>
    <w:qFormat/>
    <w:rsid w:val="00C9597C"/>
    <w:rPr>
      <w:vertAlign w:val="superscript"/>
    </w:rPr>
  </w:style>
  <w:style w:type="paragraph" w:styleId="FootnoteText">
    <w:name w:val="footnote text"/>
    <w:basedOn w:val="Normal"/>
    <w:link w:val="FootnoteTextChar"/>
    <w:uiPriority w:val="99"/>
    <w:unhideWhenUsed/>
    <w:qFormat/>
    <w:rsid w:val="00C9597C"/>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C9597C"/>
    <w:rPr>
      <w:rFonts w:ascii="Calibri" w:eastAsia="Calibri" w:hAnsi="Calibri"/>
      <w:sz w:val="20"/>
      <w:szCs w:val="20"/>
      <w:lang w:val="en-US"/>
    </w:rPr>
  </w:style>
  <w:style w:type="character" w:styleId="FootnoteReference">
    <w:name w:val="footnote reference"/>
    <w:uiPriority w:val="99"/>
    <w:unhideWhenUsed/>
    <w:rsid w:val="00C9597C"/>
    <w:rPr>
      <w:vertAlign w:val="superscript"/>
    </w:rPr>
  </w:style>
  <w:style w:type="character" w:customStyle="1" w:styleId="spelle">
    <w:name w:val="spelle"/>
    <w:basedOn w:val="DefaultParagraphFont"/>
    <w:rsid w:val="00C9597C"/>
  </w:style>
  <w:style w:type="character" w:customStyle="1" w:styleId="grame">
    <w:name w:val="grame"/>
    <w:basedOn w:val="DefaultParagraphFont"/>
    <w:rsid w:val="00C9597C"/>
  </w:style>
  <w:style w:type="paragraph" w:styleId="BodyTextIndent">
    <w:name w:val="Body Text Indent"/>
    <w:basedOn w:val="Normal"/>
    <w:link w:val="BodyTextIndentChar"/>
    <w:uiPriority w:val="99"/>
    <w:unhideWhenUsed/>
    <w:qFormat/>
    <w:rsid w:val="00C9597C"/>
    <w:pPr>
      <w:spacing w:before="100" w:beforeAutospacing="1" w:after="100" w:afterAutospacing="1"/>
    </w:pPr>
    <w:rPr>
      <w:rFonts w:ascii="Times New Roman" w:eastAsia="Times New Roman" w:hAnsi="Times New Roman"/>
      <w:lang w:val="en-US"/>
    </w:rPr>
  </w:style>
  <w:style w:type="character" w:customStyle="1" w:styleId="BodyTextIndentChar">
    <w:name w:val="Body Text Indent Char"/>
    <w:basedOn w:val="DefaultParagraphFont"/>
    <w:link w:val="BodyTextIndent"/>
    <w:uiPriority w:val="99"/>
    <w:rsid w:val="00C9597C"/>
    <w:rPr>
      <w:rFonts w:ascii="Times New Roman" w:eastAsia="Times New Roman" w:hAnsi="Times New Roman"/>
      <w:lang w:val="en-US"/>
    </w:rPr>
  </w:style>
  <w:style w:type="paragraph" w:customStyle="1" w:styleId="listparagraph0">
    <w:name w:val="listparagraph"/>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middle">
    <w:name w:val="listparagraphcxspmiddle"/>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last">
    <w:name w:val="listparagraphcxsplast"/>
    <w:basedOn w:val="Normal"/>
    <w:rsid w:val="00C9597C"/>
    <w:pPr>
      <w:spacing w:before="100" w:beforeAutospacing="1" w:after="100" w:afterAutospacing="1"/>
    </w:pPr>
    <w:rPr>
      <w:rFonts w:ascii="Times New Roman" w:eastAsia="Times New Roman" w:hAnsi="Times New Roman"/>
      <w:lang w:val="en-US"/>
    </w:rPr>
  </w:style>
  <w:style w:type="paragraph" w:customStyle="1" w:styleId="style3">
    <w:name w:val="style3"/>
    <w:basedOn w:val="Normal"/>
    <w:rsid w:val="00C9597C"/>
    <w:pPr>
      <w:spacing w:before="100" w:beforeAutospacing="1" w:after="100" w:afterAutospacing="1"/>
    </w:pPr>
    <w:rPr>
      <w:rFonts w:ascii="Arial" w:eastAsia="Times New Roman" w:hAnsi="Arial" w:cs="Arial"/>
      <w:sz w:val="21"/>
      <w:szCs w:val="21"/>
      <w:lang w:val="en-US"/>
    </w:rPr>
  </w:style>
  <w:style w:type="paragraph" w:customStyle="1" w:styleId="style15">
    <w:name w:val="style15"/>
    <w:basedOn w:val="Normal"/>
    <w:rsid w:val="00C9597C"/>
    <w:pPr>
      <w:spacing w:before="100" w:beforeAutospacing="1" w:after="100" w:afterAutospacing="1"/>
    </w:pPr>
    <w:rPr>
      <w:rFonts w:ascii="Arial" w:eastAsia="Times New Roman" w:hAnsi="Arial" w:cs="Arial"/>
      <w:sz w:val="23"/>
      <w:szCs w:val="23"/>
      <w:lang w:val="en-US"/>
    </w:rPr>
  </w:style>
  <w:style w:type="character" w:styleId="FollowedHyperlink">
    <w:name w:val="FollowedHyperlink"/>
    <w:uiPriority w:val="99"/>
    <w:unhideWhenUsed/>
    <w:rsid w:val="00C9597C"/>
    <w:rPr>
      <w:color w:val="800080"/>
      <w:u w:val="single"/>
    </w:rPr>
  </w:style>
  <w:style w:type="character" w:customStyle="1" w:styleId="style151">
    <w:name w:val="style151"/>
    <w:rsid w:val="00C9597C"/>
    <w:rPr>
      <w:rFonts w:ascii="Arial" w:hAnsi="Arial" w:cs="Arial" w:hint="default"/>
      <w:sz w:val="23"/>
      <w:szCs w:val="23"/>
    </w:rPr>
  </w:style>
  <w:style w:type="paragraph" w:customStyle="1" w:styleId="style17">
    <w:name w:val="style17"/>
    <w:basedOn w:val="Normal"/>
    <w:rsid w:val="00C9597C"/>
    <w:pPr>
      <w:spacing w:before="100" w:beforeAutospacing="1" w:after="100" w:afterAutospacing="1"/>
    </w:pPr>
    <w:rPr>
      <w:rFonts w:ascii="Arial" w:eastAsia="Times New Roman" w:hAnsi="Arial" w:cs="Arial"/>
      <w:sz w:val="27"/>
      <w:szCs w:val="27"/>
      <w:lang w:val="en-US"/>
    </w:rPr>
  </w:style>
  <w:style w:type="character" w:customStyle="1" w:styleId="style171">
    <w:name w:val="style171"/>
    <w:rsid w:val="00C9597C"/>
    <w:rPr>
      <w:rFonts w:ascii="Arial" w:hAnsi="Arial" w:cs="Arial" w:hint="default"/>
      <w:sz w:val="27"/>
      <w:szCs w:val="27"/>
    </w:rPr>
  </w:style>
  <w:style w:type="character" w:customStyle="1" w:styleId="style141">
    <w:name w:val="style141"/>
    <w:rsid w:val="00C9597C"/>
    <w:rPr>
      <w:rFonts w:ascii="Arial" w:hAnsi="Arial" w:cs="Arial" w:hint="default"/>
      <w:sz w:val="27"/>
      <w:szCs w:val="27"/>
    </w:rPr>
  </w:style>
  <w:style w:type="character" w:customStyle="1" w:styleId="style161">
    <w:name w:val="style161"/>
    <w:rsid w:val="00C9597C"/>
    <w:rPr>
      <w:color w:val="000000"/>
    </w:rPr>
  </w:style>
  <w:style w:type="paragraph" w:customStyle="1" w:styleId="style22">
    <w:name w:val="style22"/>
    <w:basedOn w:val="Normal"/>
    <w:rsid w:val="00C9597C"/>
    <w:pPr>
      <w:spacing w:before="100" w:beforeAutospacing="1" w:after="100" w:afterAutospacing="1"/>
    </w:pPr>
    <w:rPr>
      <w:rFonts w:ascii="Arial" w:eastAsia="Times New Roman" w:hAnsi="Arial" w:cs="Arial"/>
      <w:sz w:val="22"/>
      <w:szCs w:val="22"/>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9597C"/>
    <w:pPr>
      <w:spacing w:after="160" w:line="240" w:lineRule="exact"/>
    </w:pPr>
    <w:rPr>
      <w:rFonts w:ascii="Verdana" w:eastAsia="Times New Roman" w:hAnsi="Verdana"/>
      <w:sz w:val="20"/>
      <w:szCs w:val="20"/>
      <w:lang w:val="en-US"/>
    </w:rPr>
  </w:style>
  <w:style w:type="character" w:customStyle="1" w:styleId="style221">
    <w:name w:val="style221"/>
    <w:rsid w:val="00C9597C"/>
    <w:rPr>
      <w:rFonts w:ascii="Arial" w:hAnsi="Arial" w:cs="Arial" w:hint="default"/>
      <w:sz w:val="22"/>
      <w:szCs w:val="22"/>
    </w:rPr>
  </w:style>
  <w:style w:type="paragraph" w:customStyle="1" w:styleId="style32">
    <w:name w:val="style32"/>
    <w:basedOn w:val="Normal"/>
    <w:rsid w:val="00C9597C"/>
    <w:pPr>
      <w:spacing w:before="100" w:beforeAutospacing="1" w:after="100" w:afterAutospacing="1"/>
    </w:pPr>
    <w:rPr>
      <w:rFonts w:ascii="Arial" w:eastAsia="Times New Roman" w:hAnsi="Arial" w:cs="Arial"/>
      <w:lang w:val="en-US"/>
    </w:rPr>
  </w:style>
  <w:style w:type="character" w:customStyle="1" w:styleId="style311">
    <w:name w:val="style311"/>
    <w:qFormat/>
    <w:rsid w:val="00C9597C"/>
    <w:rPr>
      <w:sz w:val="24"/>
      <w:szCs w:val="24"/>
    </w:rPr>
  </w:style>
  <w:style w:type="character" w:customStyle="1" w:styleId="style331">
    <w:name w:val="style331"/>
    <w:rsid w:val="00C9597C"/>
    <w:rPr>
      <w:rFonts w:ascii="Calibri" w:hAnsi="Calibri" w:cs="Calibri" w:hint="default"/>
      <w:sz w:val="27"/>
      <w:szCs w:val="27"/>
    </w:rPr>
  </w:style>
  <w:style w:type="character" w:customStyle="1" w:styleId="style31">
    <w:name w:val="style31"/>
    <w:basedOn w:val="DefaultParagraphFont"/>
    <w:rsid w:val="00C9597C"/>
  </w:style>
  <w:style w:type="character" w:customStyle="1" w:styleId="style37">
    <w:name w:val="style37"/>
    <w:basedOn w:val="DefaultParagraphFont"/>
    <w:rsid w:val="00C9597C"/>
  </w:style>
  <w:style w:type="table" w:styleId="MediumGrid3-Accent1">
    <w:name w:val="Medium Grid 3 Accent 1"/>
    <w:basedOn w:val="TableNormal"/>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C9597C"/>
    <w:pPr>
      <w:spacing w:before="100" w:beforeAutospacing="1" w:after="100" w:afterAutospacing="1"/>
      <w:jc w:val="both"/>
    </w:pPr>
    <w:rPr>
      <w:rFonts w:ascii="Times New Roman" w:eastAsia="Times New Roman" w:hAnsi="Times New Roman"/>
      <w:lang w:eastAsia="en-GB"/>
    </w:rPr>
  </w:style>
  <w:style w:type="paragraph" w:customStyle="1" w:styleId="default0">
    <w:name w:val="default"/>
    <w:basedOn w:val="Normal"/>
    <w:rsid w:val="00C9597C"/>
    <w:pPr>
      <w:spacing w:before="100" w:beforeAutospacing="1" w:after="100" w:afterAutospacing="1"/>
    </w:pPr>
    <w:rPr>
      <w:rFonts w:ascii="Times New Roman" w:eastAsia="Times New Roman" w:hAnsi="Times New Roman"/>
      <w:lang w:val="en-US"/>
    </w:rPr>
  </w:style>
  <w:style w:type="paragraph" w:customStyle="1" w:styleId="style34">
    <w:name w:val="style34"/>
    <w:basedOn w:val="Normal"/>
    <w:uiPriority w:val="99"/>
    <w:rsid w:val="00C9597C"/>
    <w:pPr>
      <w:spacing w:before="100" w:beforeAutospacing="1" w:after="100" w:afterAutospacing="1"/>
    </w:pPr>
    <w:rPr>
      <w:rFonts w:ascii="Times New Roman" w:eastAsia="Calibri" w:hAnsi="Times New Roman"/>
      <w:lang w:val="en-US"/>
    </w:rPr>
  </w:style>
  <w:style w:type="paragraph" w:customStyle="1" w:styleId="style361">
    <w:name w:val="style361"/>
    <w:basedOn w:val="Normal"/>
    <w:uiPriority w:val="99"/>
    <w:rsid w:val="00C9597C"/>
    <w:pPr>
      <w:spacing w:before="100" w:beforeAutospacing="1" w:after="100" w:afterAutospacing="1"/>
    </w:pPr>
    <w:rPr>
      <w:rFonts w:ascii="Times New Roman" w:eastAsia="Calibri" w:hAnsi="Times New Roman"/>
      <w:lang w:val="en-US"/>
    </w:rPr>
  </w:style>
  <w:style w:type="character" w:customStyle="1" w:styleId="style36">
    <w:name w:val="style36"/>
    <w:basedOn w:val="DefaultParagraphFont"/>
    <w:rsid w:val="00C9597C"/>
  </w:style>
  <w:style w:type="character" w:styleId="CommentReference">
    <w:name w:val="annotation reference"/>
    <w:uiPriority w:val="99"/>
    <w:unhideWhenUsed/>
    <w:qFormat/>
    <w:rsid w:val="00C9597C"/>
    <w:rPr>
      <w:sz w:val="16"/>
      <w:szCs w:val="16"/>
    </w:rPr>
  </w:style>
  <w:style w:type="paragraph" w:styleId="CommentText">
    <w:name w:val="annotation text"/>
    <w:basedOn w:val="Normal"/>
    <w:link w:val="CommentTextChar"/>
    <w:uiPriority w:val="99"/>
    <w:unhideWhenUsed/>
    <w:qFormat/>
    <w:rsid w:val="00C9597C"/>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C9597C"/>
    <w:rPr>
      <w:rFonts w:ascii="Calibri" w:eastAsia="Calibri" w:hAnsi="Calibri"/>
      <w:sz w:val="20"/>
      <w:szCs w:val="20"/>
      <w:lang w:val="en-US"/>
    </w:rPr>
  </w:style>
  <w:style w:type="paragraph" w:styleId="CommentSubject">
    <w:name w:val="annotation subject"/>
    <w:basedOn w:val="CommentText"/>
    <w:next w:val="CommentText"/>
    <w:link w:val="CommentSubjectChar"/>
    <w:uiPriority w:val="99"/>
    <w:unhideWhenUsed/>
    <w:qFormat/>
    <w:rsid w:val="00C9597C"/>
    <w:rPr>
      <w:b/>
      <w:bCs/>
    </w:rPr>
  </w:style>
  <w:style w:type="character" w:customStyle="1" w:styleId="CommentSubjectChar">
    <w:name w:val="Comment Subject Char"/>
    <w:basedOn w:val="CommentTextChar"/>
    <w:link w:val="CommentSubject"/>
    <w:uiPriority w:val="99"/>
    <w:rsid w:val="00C9597C"/>
    <w:rPr>
      <w:rFonts w:ascii="Calibri" w:eastAsia="Calibri" w:hAnsi="Calibri"/>
      <w:b/>
      <w:bCs/>
      <w:sz w:val="20"/>
      <w:szCs w:val="20"/>
      <w:lang w:val="en-US"/>
    </w:rPr>
  </w:style>
  <w:style w:type="character" w:customStyle="1" w:styleId="BalloonTextChar1">
    <w:name w:val="Balloon Text Char1"/>
    <w:uiPriority w:val="99"/>
    <w:rsid w:val="00C9597C"/>
    <w:rPr>
      <w:rFonts w:ascii="Tahoma" w:hAnsi="Tahoma" w:cs="Tahoma"/>
      <w:sz w:val="16"/>
      <w:szCs w:val="16"/>
      <w:lang w:val="en-GB"/>
    </w:rPr>
  </w:style>
  <w:style w:type="character" w:customStyle="1" w:styleId="CommentTextChar1">
    <w:name w:val="Comment Text Char1"/>
    <w:uiPriority w:val="99"/>
    <w:rsid w:val="00C9597C"/>
    <w:rPr>
      <w:sz w:val="20"/>
      <w:szCs w:val="20"/>
      <w:lang w:val="en-GB"/>
    </w:rPr>
  </w:style>
  <w:style w:type="character" w:customStyle="1" w:styleId="CommentSubjectChar1">
    <w:name w:val="Comment Subject Char1"/>
    <w:uiPriority w:val="99"/>
    <w:rsid w:val="00C9597C"/>
    <w:rPr>
      <w:b/>
      <w:bCs/>
      <w:sz w:val="20"/>
      <w:szCs w:val="20"/>
      <w:lang w:val="en-GB"/>
    </w:rPr>
  </w:style>
  <w:style w:type="paragraph" w:customStyle="1" w:styleId="style119">
    <w:name w:val="style119"/>
    <w:basedOn w:val="Normal"/>
    <w:rsid w:val="00C9597C"/>
    <w:pPr>
      <w:spacing w:before="100" w:beforeAutospacing="1" w:after="100" w:afterAutospacing="1"/>
    </w:pPr>
    <w:rPr>
      <w:rFonts w:ascii="Arial" w:eastAsia="Calibri" w:hAnsi="Arial" w:cs="Arial"/>
      <w:sz w:val="20"/>
      <w:szCs w:val="20"/>
      <w:lang w:val="en-US" w:bidi="hi-IN"/>
    </w:rPr>
  </w:style>
  <w:style w:type="paragraph" w:customStyle="1" w:styleId="style120">
    <w:name w:val="style120"/>
    <w:basedOn w:val="Normal"/>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201">
    <w:name w:val="style1201"/>
    <w:rsid w:val="00C9597C"/>
    <w:rPr>
      <w:sz w:val="20"/>
      <w:szCs w:val="20"/>
    </w:rPr>
  </w:style>
  <w:style w:type="character" w:customStyle="1" w:styleId="style1191">
    <w:name w:val="style1191"/>
    <w:rsid w:val="00C9597C"/>
    <w:rPr>
      <w:rFonts w:ascii="Arial" w:hAnsi="Arial" w:cs="Arial" w:hint="default"/>
      <w:sz w:val="20"/>
      <w:szCs w:val="20"/>
    </w:rPr>
  </w:style>
  <w:style w:type="character" w:customStyle="1" w:styleId="Heading1Char1">
    <w:name w:val="Heading 1 Char1"/>
    <w:aliases w:val="Garamond Char1"/>
    <w:uiPriority w:val="9"/>
    <w:rsid w:val="00C9597C"/>
    <w:rPr>
      <w:rFonts w:ascii="Cambria" w:eastAsia="Times New Roman" w:hAnsi="Cambria" w:cs="Times New Roman"/>
      <w:b/>
      <w:bCs/>
      <w:color w:val="365F91"/>
      <w:sz w:val="28"/>
      <w:szCs w:val="28"/>
      <w:lang w:val="en-GB"/>
    </w:rPr>
  </w:style>
  <w:style w:type="table" w:styleId="MediumGrid1-Accent1">
    <w:name w:val="Medium Grid 1 Accent 1"/>
    <w:basedOn w:val="TableNormal"/>
    <w:uiPriority w:val="67"/>
    <w:qFormat/>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
    <w:name w:val="Light Grid - Accent 12"/>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14">
    <w:name w:val="style14"/>
    <w:basedOn w:val="Normal"/>
    <w:uiPriority w:val="99"/>
    <w:rsid w:val="00C9597C"/>
    <w:pPr>
      <w:spacing w:before="100" w:beforeAutospacing="1" w:after="100" w:afterAutospacing="1"/>
    </w:pPr>
    <w:rPr>
      <w:rFonts w:ascii="Arial" w:eastAsia="Calibri" w:hAnsi="Arial" w:cs="Arial"/>
      <w:sz w:val="20"/>
      <w:szCs w:val="20"/>
      <w:lang w:val="en-US" w:bidi="hi-IN"/>
    </w:rPr>
  </w:style>
  <w:style w:type="paragraph" w:customStyle="1" w:styleId="style1">
    <w:name w:val="style1"/>
    <w:basedOn w:val="Normal"/>
    <w:uiPriority w:val="99"/>
    <w:rsid w:val="00C9597C"/>
    <w:pPr>
      <w:spacing w:before="100" w:beforeAutospacing="1" w:after="100" w:afterAutospacing="1"/>
    </w:pPr>
    <w:rPr>
      <w:rFonts w:ascii="Arial" w:eastAsia="Calibri" w:hAnsi="Arial" w:cs="Arial"/>
      <w:sz w:val="20"/>
      <w:szCs w:val="20"/>
      <w:lang w:val="en-US"/>
    </w:rPr>
  </w:style>
  <w:style w:type="paragraph" w:customStyle="1" w:styleId="paraattribute2">
    <w:name w:val="paraattribute2"/>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20">
    <w:name w:val="bodytext20"/>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0">
    <w:name w:val="bodytext0"/>
    <w:basedOn w:val="Normal"/>
    <w:rsid w:val="00C9597C"/>
    <w:pPr>
      <w:spacing w:before="100" w:beforeAutospacing="1" w:after="100" w:afterAutospacing="1"/>
    </w:pPr>
    <w:rPr>
      <w:rFonts w:ascii="Times New Roman" w:eastAsia="Times New Roman" w:hAnsi="Times New Roman"/>
      <w:lang w:val="en-US"/>
    </w:rPr>
  </w:style>
  <w:style w:type="character" w:customStyle="1" w:styleId="style38">
    <w:name w:val="style38"/>
    <w:basedOn w:val="DefaultParagraphFont"/>
    <w:rsid w:val="00C9597C"/>
  </w:style>
  <w:style w:type="paragraph" w:customStyle="1" w:styleId="style49">
    <w:name w:val="style49"/>
    <w:basedOn w:val="Normal"/>
    <w:uiPriority w:val="99"/>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361">
    <w:name w:val="style1361"/>
    <w:rsid w:val="00C9597C"/>
    <w:rPr>
      <w:b/>
      <w:bCs/>
    </w:rPr>
  </w:style>
  <w:style w:type="character" w:customStyle="1" w:styleId="style1351">
    <w:name w:val="style1351"/>
    <w:rsid w:val="00C9597C"/>
    <w:rPr>
      <w:b/>
      <w:bCs/>
    </w:rPr>
  </w:style>
  <w:style w:type="character" w:customStyle="1" w:styleId="style1341">
    <w:name w:val="style1341"/>
    <w:rsid w:val="00C9597C"/>
    <w:rPr>
      <w:b/>
      <w:bCs/>
    </w:rPr>
  </w:style>
  <w:style w:type="character" w:customStyle="1" w:styleId="style1331">
    <w:name w:val="style1331"/>
    <w:rsid w:val="00C9597C"/>
    <w:rPr>
      <w:b/>
      <w:bCs/>
    </w:rPr>
  </w:style>
  <w:style w:type="character" w:customStyle="1" w:styleId="style1321">
    <w:name w:val="style1321"/>
    <w:qFormat/>
    <w:rsid w:val="00C9597C"/>
    <w:rPr>
      <w:b/>
      <w:bCs/>
    </w:rPr>
  </w:style>
  <w:style w:type="character" w:customStyle="1" w:styleId="style1311">
    <w:name w:val="style1311"/>
    <w:rsid w:val="00C9597C"/>
    <w:rPr>
      <w:b/>
      <w:bCs/>
    </w:rPr>
  </w:style>
  <w:style w:type="character" w:customStyle="1" w:styleId="style201">
    <w:name w:val="style201"/>
    <w:rsid w:val="00C9597C"/>
    <w:rPr>
      <w:b/>
      <w:bCs/>
    </w:rPr>
  </w:style>
  <w:style w:type="character" w:customStyle="1" w:styleId="style191">
    <w:name w:val="style191"/>
    <w:rsid w:val="00C9597C"/>
    <w:rPr>
      <w:b/>
      <w:bCs/>
    </w:rPr>
  </w:style>
  <w:style w:type="character" w:customStyle="1" w:styleId="style181">
    <w:name w:val="style181"/>
    <w:rsid w:val="00C9597C"/>
    <w:rPr>
      <w:b/>
      <w:bCs/>
    </w:rPr>
  </w:style>
  <w:style w:type="table" w:customStyle="1" w:styleId="LightGrid-Accent13">
    <w:name w:val="Light Grid - Accent 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291">
    <w:name w:val="style291"/>
    <w:rsid w:val="00C9597C"/>
    <w:rPr>
      <w:rFonts w:ascii="Arial" w:hAnsi="Arial" w:cs="Arial" w:hint="default"/>
    </w:rPr>
  </w:style>
  <w:style w:type="paragraph" w:customStyle="1" w:styleId="style2">
    <w:name w:val="style2"/>
    <w:basedOn w:val="Normal"/>
    <w:uiPriority w:val="99"/>
    <w:rsid w:val="00C9597C"/>
    <w:pPr>
      <w:spacing w:before="100" w:beforeAutospacing="1" w:after="100" w:afterAutospacing="1"/>
    </w:pPr>
    <w:rPr>
      <w:rFonts w:ascii="Times New Roman" w:eastAsia="Calibri" w:hAnsi="Times New Roman"/>
      <w:b/>
      <w:bCs/>
      <w:sz w:val="20"/>
      <w:szCs w:val="20"/>
      <w:lang w:val="en-US"/>
    </w:rPr>
  </w:style>
  <w:style w:type="character" w:customStyle="1" w:styleId="ListParagraphChar">
    <w:name w:val="List Paragraph Char"/>
    <w:aliases w:val="lp1 Char,elenco Char,Equipment Char,Figure_name Char,List Paragraph Char Char Char,List Paragraph1 Char,List Paragraph11 Char,List Paragraph2 Char,List_TIS Char,Normal Sentence Char,Number_1 Char,Numbered Indented Text Char,Ref Char"/>
    <w:link w:val="ListParagraph"/>
    <w:uiPriority w:val="34"/>
    <w:qFormat/>
    <w:locked/>
    <w:rsid w:val="00C9597C"/>
    <w:rPr>
      <w:rFonts w:ascii="Calibri" w:eastAsia="Calibri" w:hAnsi="Calibri"/>
      <w:sz w:val="20"/>
      <w:szCs w:val="20"/>
      <w:lang w:val="en-US"/>
    </w:rPr>
  </w:style>
  <w:style w:type="table" w:styleId="MediumGrid1-Accent3">
    <w:name w:val="Medium Grid 1 Accent 3"/>
    <w:basedOn w:val="TableNormal"/>
    <w:uiPriority w:val="67"/>
    <w:qFormat/>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aragraph">
    <w:name w:val="paragraph"/>
    <w:basedOn w:val="Normal"/>
    <w:rsid w:val="00C9597C"/>
    <w:pPr>
      <w:spacing w:before="100" w:beforeAutospacing="1" w:after="100" w:afterAutospacing="1"/>
    </w:pPr>
    <w:rPr>
      <w:rFonts w:ascii="Times New Roman" w:eastAsia="Times New Roman" w:hAnsi="Times New Roman"/>
      <w:lang w:val="en-US"/>
    </w:rPr>
  </w:style>
  <w:style w:type="character" w:customStyle="1" w:styleId="ilad">
    <w:name w:val="il_ad"/>
    <w:basedOn w:val="DefaultParagraphFont"/>
    <w:rsid w:val="00C9597C"/>
  </w:style>
  <w:style w:type="paragraph" w:customStyle="1" w:styleId="s8">
    <w:name w:val="s8"/>
    <w:basedOn w:val="Normal"/>
    <w:rsid w:val="00C9597C"/>
    <w:pPr>
      <w:spacing w:before="100" w:beforeAutospacing="1" w:after="100" w:afterAutospacing="1"/>
    </w:pPr>
    <w:rPr>
      <w:rFonts w:ascii="Times New Roman" w:eastAsia="Times New Roman" w:hAnsi="Times New Roman"/>
      <w:lang w:val="en-US"/>
    </w:rPr>
  </w:style>
  <w:style w:type="character" w:customStyle="1" w:styleId="s7">
    <w:name w:val="s7"/>
    <w:basedOn w:val="DefaultParagraphFont"/>
    <w:rsid w:val="00C9597C"/>
  </w:style>
  <w:style w:type="paragraph" w:customStyle="1" w:styleId="s10">
    <w:name w:val="s10"/>
    <w:basedOn w:val="Normal"/>
    <w:rsid w:val="00C9597C"/>
    <w:pPr>
      <w:spacing w:before="100" w:beforeAutospacing="1" w:after="100" w:afterAutospacing="1"/>
    </w:pPr>
    <w:rPr>
      <w:rFonts w:ascii="Times New Roman" w:eastAsia="Times New Roman" w:hAnsi="Times New Roman"/>
      <w:lang w:val="en-US"/>
    </w:rPr>
  </w:style>
  <w:style w:type="numbering" w:customStyle="1" w:styleId="NoList1">
    <w:name w:val="No List1"/>
    <w:next w:val="NoList"/>
    <w:uiPriority w:val="99"/>
    <w:unhideWhenUsed/>
    <w:rsid w:val="00C9597C"/>
  </w:style>
  <w:style w:type="table" w:customStyle="1" w:styleId="MediumGrid1-Accent11">
    <w:name w:val="Medium Grid 1 - Accent 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
    <w:name w:val="Light Grid - Accent 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
    <w:name w:val="Light Grid - Accent 5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
    <w:name w:val="Light Grid - Accent 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
    <w:name w:val="Light List - Accent 5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
    <w:name w:val="Light Grid - Accent 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
    <w:name w:val="Medium Grid 1 - Accent 31"/>
    <w:basedOn w:val="TableNormal"/>
    <w:next w:val="MediumGrid1-Accent3"/>
    <w:uiPriority w:val="67"/>
    <w:qFormat/>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
    <w:name w:val="Grid Table 4 - Accent 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Revision">
    <w:name w:val="Revision"/>
    <w:hidden/>
    <w:uiPriority w:val="99"/>
    <w:rsid w:val="00C9597C"/>
    <w:rPr>
      <w:rFonts w:ascii="Calibri" w:eastAsia="Calibri" w:hAnsi="Calibri"/>
      <w:sz w:val="22"/>
      <w:szCs w:val="22"/>
      <w:lang w:val="en-US"/>
    </w:rPr>
  </w:style>
  <w:style w:type="numbering" w:customStyle="1" w:styleId="NoList2">
    <w:name w:val="No List2"/>
    <w:next w:val="NoList"/>
    <w:uiPriority w:val="99"/>
    <w:unhideWhenUsed/>
    <w:rsid w:val="00C9597C"/>
  </w:style>
  <w:style w:type="table" w:customStyle="1" w:styleId="MediumGrid1-Accent12">
    <w:name w:val="Medium Grid 1 - Accent 12"/>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
    <w:name w:val="Light Grid - Accent 112"/>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
    <w:name w:val="Light Grid - Accent 5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
    <w:name w:val="Light Grid - Accent 12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
    <w:name w:val="Light List - Accent 5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
    <w:name w:val="Light List - Accent 112"/>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
    <w:name w:val="Light Grid - Accent 13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
    <w:name w:val="Medium Grid 1 - Accent 32"/>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
    <w:name w:val="Grid Table 4 Accent 31"/>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
    <w:name w:val="No List3"/>
    <w:next w:val="NoList"/>
    <w:uiPriority w:val="99"/>
    <w:unhideWhenUsed/>
    <w:rsid w:val="00C9597C"/>
  </w:style>
  <w:style w:type="table" w:customStyle="1" w:styleId="MediumGrid1-Accent13">
    <w:name w:val="Medium Grid 1 - Accent 13"/>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
    <w:name w:val="Light Grid - Accent 113"/>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
    <w:name w:val="Light Grid - Accent 53"/>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
    <w:name w:val="Light Grid - Accent 123"/>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
    <w:name w:val="Light List - Accent 53"/>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
    <w:name w:val="Light List - Accent 113"/>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
    <w:name w:val="Light Grid - Accent 133"/>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
    <w:name w:val="Medium Grid 1 - Accent 33"/>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
    <w:name w:val="Grid Table 4 Accent 32"/>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Preformatted">
    <w:name w:val="HTML Preformatted"/>
    <w:basedOn w:val="Normal"/>
    <w:link w:val="HTMLPreformattedChar"/>
    <w:uiPriority w:val="99"/>
    <w:unhideWhenUsed/>
    <w:qFormat/>
    <w:rsid w:val="00C9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9597C"/>
    <w:rPr>
      <w:rFonts w:ascii="Courier New" w:eastAsia="Times New Roman" w:hAnsi="Courier New" w:cs="Courier New"/>
      <w:sz w:val="20"/>
      <w:szCs w:val="20"/>
      <w:lang w:val="en-US"/>
    </w:rPr>
  </w:style>
  <w:style w:type="character" w:customStyle="1" w:styleId="unicode">
    <w:name w:val="unicode"/>
    <w:basedOn w:val="DefaultParagraphFont"/>
    <w:rsid w:val="00C9597C"/>
  </w:style>
  <w:style w:type="character" w:customStyle="1" w:styleId="fn">
    <w:name w:val="fn"/>
    <w:basedOn w:val="DefaultParagraphFont"/>
    <w:rsid w:val="00C9597C"/>
  </w:style>
  <w:style w:type="table" w:customStyle="1" w:styleId="TableGrid1">
    <w:name w:val="Table Grid1"/>
    <w:basedOn w:val="TableNormal"/>
    <w:next w:val="TableGrid"/>
    <w:uiPriority w:val="39"/>
    <w:rsid w:val="00C9597C"/>
    <w:rPr>
      <w:rFonts w:asciiTheme="minorHAnsi" w:hAnsiTheme="minorHAnsi" w:cstheme="minorBid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C9597C"/>
  </w:style>
  <w:style w:type="character" w:customStyle="1" w:styleId="aqj">
    <w:name w:val="aqj"/>
    <w:basedOn w:val="DefaultParagraphFont"/>
    <w:rsid w:val="00C9597C"/>
  </w:style>
  <w:style w:type="character" w:customStyle="1" w:styleId="slc367992977963056178">
    <w:name w:val="sl_c_36799297_79_63056178"/>
    <w:basedOn w:val="DefaultParagraphFont"/>
    <w:rsid w:val="00C9597C"/>
  </w:style>
  <w:style w:type="character" w:customStyle="1" w:styleId="slc3679929710863056178">
    <w:name w:val="sl_c_36799297_108_63056178"/>
    <w:basedOn w:val="DefaultParagraphFont"/>
    <w:rsid w:val="00C9597C"/>
  </w:style>
  <w:style w:type="paragraph" w:styleId="Subtitle">
    <w:name w:val="Subtitle"/>
    <w:basedOn w:val="Normal"/>
    <w:next w:val="Normal"/>
    <w:link w:val="SubtitleChar"/>
    <w:qFormat/>
    <w:rsid w:val="00C9597C"/>
    <w:pPr>
      <w:keepNext/>
      <w:keepLines/>
      <w:spacing w:before="360" w:after="80"/>
      <w:contextualSpacing/>
      <w:jc w:val="both"/>
    </w:pPr>
    <w:rPr>
      <w:rFonts w:ascii="Georgia" w:eastAsia="Georgia" w:hAnsi="Georgia" w:cs="Georgia"/>
      <w:i/>
      <w:color w:val="666666"/>
      <w:sz w:val="48"/>
      <w:szCs w:val="48"/>
      <w:lang w:val="en-IN" w:eastAsia="en-IN"/>
    </w:rPr>
  </w:style>
  <w:style w:type="character" w:customStyle="1" w:styleId="SubtitleChar">
    <w:name w:val="Subtitle Char"/>
    <w:basedOn w:val="DefaultParagraphFont"/>
    <w:link w:val="Subtitle"/>
    <w:rsid w:val="00C9597C"/>
    <w:rPr>
      <w:rFonts w:ascii="Georgia" w:eastAsia="Georgia" w:hAnsi="Georgia" w:cs="Georgia"/>
      <w:i/>
      <w:color w:val="666666"/>
      <w:sz w:val="48"/>
      <w:szCs w:val="48"/>
      <w:lang w:val="en-IN" w:eastAsia="en-IN"/>
    </w:rPr>
  </w:style>
  <w:style w:type="character" w:customStyle="1" w:styleId="lede-headlinehighlighted">
    <w:name w:val="lede-headline__highlighted"/>
    <w:basedOn w:val="DefaultParagraphFont"/>
    <w:rsid w:val="00C9597C"/>
  </w:style>
  <w:style w:type="character" w:customStyle="1" w:styleId="mfirst-letter">
    <w:name w:val="m_first-letter"/>
    <w:basedOn w:val="DefaultParagraphFont"/>
    <w:rsid w:val="00C9597C"/>
  </w:style>
  <w:style w:type="character" w:customStyle="1" w:styleId="dictionary">
    <w:name w:val="dictionary"/>
    <w:basedOn w:val="DefaultParagraphFont"/>
    <w:rsid w:val="00C9597C"/>
  </w:style>
  <w:style w:type="table" w:customStyle="1" w:styleId="TableGrid2">
    <w:name w:val="Table Grid2"/>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unhideWhenUsed/>
    <w:rsid w:val="00C9597C"/>
  </w:style>
  <w:style w:type="table" w:customStyle="1" w:styleId="MediumGrid1-Accent14">
    <w:name w:val="Medium Grid 1 - Accent 14"/>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4">
    <w:name w:val="Light Grid - Accent 114"/>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4">
    <w:name w:val="Light Grid - Accent 54"/>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4">
    <w:name w:val="Light Grid - Accent 124"/>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4">
    <w:name w:val="Light List - Accent 54"/>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4">
    <w:name w:val="Light List - Accent 114"/>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4">
    <w:name w:val="Light Grid - Accent 134"/>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4">
    <w:name w:val="Medium Grid 1 - Accent 34"/>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TableGrid3">
    <w:name w:val="Table Grid3"/>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
    <w:name w:val="No List11"/>
    <w:next w:val="NoList"/>
    <w:uiPriority w:val="99"/>
    <w:unhideWhenUsed/>
    <w:rsid w:val="00C9597C"/>
  </w:style>
  <w:style w:type="table" w:customStyle="1" w:styleId="MediumGrid1-Accent111">
    <w:name w:val="Medium Grid 1 - Accent 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
    <w:name w:val="Light Grid - Accent 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
    <w:name w:val="Light Grid - Accent 51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
    <w:name w:val="Light Grid - Accent 12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
    <w:name w:val="Light List - Accent 51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
    <w:name w:val="Light Grid - Accent 13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
    <w:name w:val="Medium Grid 1 - Accent 3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
    <w:name w:val="Grid Table 4 - Accent 3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
    <w:name w:val="No List21"/>
    <w:next w:val="NoList"/>
    <w:uiPriority w:val="99"/>
    <w:unhideWhenUsed/>
    <w:rsid w:val="00C9597C"/>
  </w:style>
  <w:style w:type="table" w:customStyle="1" w:styleId="MediumGrid1-Accent121">
    <w:name w:val="Medium Grid 1 - Accent 121"/>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1">
    <w:name w:val="Light Grid - Accent 1121"/>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1">
    <w:name w:val="Light Grid - Accent 52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1">
    <w:name w:val="Light Grid - Accent 122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1">
    <w:name w:val="Light List - Accent 52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1">
    <w:name w:val="Light List - Accent 1121"/>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1">
    <w:name w:val="Light Grid - Accent 132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1">
    <w:name w:val="Medium Grid 1 - Accent 321"/>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1">
    <w:name w:val="Grid Table 4 Accent 311"/>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1">
    <w:name w:val="No List31"/>
    <w:next w:val="NoList"/>
    <w:uiPriority w:val="99"/>
    <w:unhideWhenUsed/>
    <w:rsid w:val="00C9597C"/>
  </w:style>
  <w:style w:type="table" w:customStyle="1" w:styleId="MediumGrid1-Accent131">
    <w:name w:val="Medium Grid 1 - Accent 131"/>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1">
    <w:name w:val="Light Grid - Accent 1131"/>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1">
    <w:name w:val="Light Grid - Accent 53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1">
    <w:name w:val="Light Grid - Accent 123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1">
    <w:name w:val="Light List - Accent 53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1">
    <w:name w:val="Light List - Accent 1131"/>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1">
    <w:name w:val="Light Grid - Accent 133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1">
    <w:name w:val="Medium Grid 1 - Accent 331"/>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1">
    <w:name w:val="Grid Table 4 Accent 321"/>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1">
    <w:name w:val="Table Grid11"/>
    <w:basedOn w:val="TableNormal"/>
    <w:next w:val="TableGrid"/>
    <w:uiPriority w:val="39"/>
    <w:rsid w:val="00C9597C"/>
    <w:rPr>
      <w:rFonts w:asciiTheme="minorHAnsi" w:hAnsiTheme="minorHAnsi" w:cstheme="minorBid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unhideWhenUsed/>
    <w:rsid w:val="00C9597C"/>
  </w:style>
  <w:style w:type="table" w:customStyle="1" w:styleId="TableGrid4">
    <w:name w:val="Table Grid4"/>
    <w:basedOn w:val="TableNormal"/>
    <w:next w:val="TableGrid"/>
    <w:uiPriority w:val="5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
    <w:name w:val="Medium Grid 3 - Accent 12"/>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
    <w:name w:val="Medium Grid 1 - Accent 15"/>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
    <w:name w:val="Light Grid - Accent 115"/>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
    <w:name w:val="Light Grid - Accent 55"/>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
    <w:name w:val="Light Grid - Accent 125"/>
    <w:basedOn w:val="TableNormal"/>
    <w:uiPriority w:val="62"/>
    <w:qFormat/>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
    <w:name w:val="Light List - Accent 55"/>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
    <w:name w:val="Light List - Accent 115"/>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
    <w:name w:val="Light Grid - Accent 13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
    <w:name w:val="Medium Grid 1 - Accent 3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
    <w:name w:val="No List12"/>
    <w:next w:val="NoList"/>
    <w:uiPriority w:val="99"/>
    <w:unhideWhenUsed/>
    <w:rsid w:val="00C9597C"/>
  </w:style>
  <w:style w:type="table" w:customStyle="1" w:styleId="MediumGrid1-Accent112">
    <w:name w:val="Medium Grid 1 - Accent 1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
    <w:name w:val="Light Grid - Accent 1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
    <w:name w:val="Light Grid - Accent 512"/>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
    <w:name w:val="Light Grid - Accent 12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
    <w:name w:val="Light List - Accent 512"/>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
    <w:name w:val="Light Grid - Accent 13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
    <w:name w:val="Medium Grid 1 - Accent 3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
    <w:name w:val="Grid Table 4 - Accent 3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
    <w:name w:val="No List22"/>
    <w:next w:val="NoList"/>
    <w:uiPriority w:val="99"/>
    <w:unhideWhenUsed/>
    <w:rsid w:val="00C9597C"/>
  </w:style>
  <w:style w:type="table" w:customStyle="1" w:styleId="MediumGrid1-Accent122">
    <w:name w:val="Medium Grid 1 - Accent 122"/>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2">
    <w:name w:val="Light Grid - Accent 1122"/>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2">
    <w:name w:val="Light Grid - Accent 52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2">
    <w:name w:val="Light Grid - Accent 122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2">
    <w:name w:val="Light List - Accent 52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2">
    <w:name w:val="Light List - Accent 1122"/>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2">
    <w:name w:val="Light Grid - Accent 132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2">
    <w:name w:val="Medium Grid 1 - Accent 322"/>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2">
    <w:name w:val="Grid Table 4 Accent 312"/>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2">
    <w:name w:val="No List32"/>
    <w:next w:val="NoList"/>
    <w:uiPriority w:val="99"/>
    <w:unhideWhenUsed/>
    <w:rsid w:val="00C9597C"/>
  </w:style>
  <w:style w:type="table" w:customStyle="1" w:styleId="MediumGrid1-Accent132">
    <w:name w:val="Medium Grid 1 - Accent 132"/>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2">
    <w:name w:val="Light Grid - Accent 1132"/>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2">
    <w:name w:val="Light Grid - Accent 53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2">
    <w:name w:val="Light Grid - Accent 123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2">
    <w:name w:val="Light List - Accent 53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2">
    <w:name w:val="Light List - Accent 1132"/>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2">
    <w:name w:val="Light Grid - Accent 133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2">
    <w:name w:val="Medium Grid 1 - Accent 332"/>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2">
    <w:name w:val="Grid Table 4 Accent 322"/>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2">
    <w:name w:val="Table Grid12"/>
    <w:basedOn w:val="TableNormal"/>
    <w:next w:val="TableGrid"/>
    <w:uiPriority w:val="39"/>
    <w:rsid w:val="00C9597C"/>
    <w:rPr>
      <w:rFonts w:asciiTheme="minorHAnsi" w:hAnsiTheme="minorHAnsi" w:cstheme="minorBid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unhideWhenUsed/>
    <w:rsid w:val="00C9597C"/>
  </w:style>
  <w:style w:type="table" w:customStyle="1" w:styleId="MediumGrid1-Accent16">
    <w:name w:val="Medium Grid 1 - Accent 16"/>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6">
    <w:name w:val="Light Grid - Accent 116"/>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6">
    <w:name w:val="Light Grid - Accent 56"/>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6">
    <w:name w:val="Light Grid - Accent 126"/>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6">
    <w:name w:val="Light List - Accent 56"/>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6">
    <w:name w:val="Light List - Accent 116"/>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6">
    <w:name w:val="Light Grid - Accent 136"/>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6">
    <w:name w:val="Medium Grid 1 - Accent 36"/>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numbering" w:customStyle="1" w:styleId="NoList13">
    <w:name w:val="No List13"/>
    <w:next w:val="NoList"/>
    <w:uiPriority w:val="99"/>
    <w:unhideWhenUsed/>
    <w:rsid w:val="00C9597C"/>
  </w:style>
  <w:style w:type="numbering" w:customStyle="1" w:styleId="NoList23">
    <w:name w:val="No List23"/>
    <w:next w:val="NoList"/>
    <w:uiPriority w:val="99"/>
    <w:unhideWhenUsed/>
    <w:rsid w:val="00C9597C"/>
  </w:style>
  <w:style w:type="numbering" w:customStyle="1" w:styleId="NoList33">
    <w:name w:val="No List33"/>
    <w:next w:val="NoList"/>
    <w:uiPriority w:val="99"/>
    <w:unhideWhenUsed/>
    <w:rsid w:val="00C9597C"/>
  </w:style>
  <w:style w:type="numbering" w:customStyle="1" w:styleId="NoList7">
    <w:name w:val="No List7"/>
    <w:next w:val="NoList"/>
    <w:uiPriority w:val="99"/>
    <w:unhideWhenUsed/>
    <w:rsid w:val="00C9597C"/>
  </w:style>
  <w:style w:type="table" w:customStyle="1" w:styleId="TableGrid5">
    <w:name w:val="Table Grid5"/>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
    <w:name w:val="Medium Grid 3 - Accent 13"/>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
    <w:name w:val="Medium Grid 1 - Accent 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
    <w:name w:val="Light Grid - Accent 117"/>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
    <w:name w:val="Light Grid - Accent 5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
    <w:name w:val="Light Grid - Accent 127"/>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
    <w:name w:val="Light List - Accent 5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
    <w:name w:val="Light List - Accent 117"/>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
    <w:name w:val="Light Grid - Accent 13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
    <w:name w:val="Medium Grid 1 - Accent 3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
    <w:name w:val="No List14"/>
    <w:next w:val="NoList"/>
    <w:uiPriority w:val="99"/>
    <w:unhideWhenUsed/>
    <w:rsid w:val="00C9597C"/>
  </w:style>
  <w:style w:type="table" w:customStyle="1" w:styleId="MediumGrid1-Accent113">
    <w:name w:val="Medium Grid 1 - Accent 1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
    <w:name w:val="Light Grid - Accent 1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
    <w:name w:val="Light Grid - Accent 513"/>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
    <w:name w:val="Light Grid - Accent 12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
    <w:name w:val="Light List - Accent 513"/>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
    <w:name w:val="Light Grid - Accent 13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
    <w:name w:val="Medium Grid 1 - Accent 3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
    <w:name w:val="Grid Table 4 - Accent 3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
    <w:name w:val="No List24"/>
    <w:next w:val="NoList"/>
    <w:uiPriority w:val="99"/>
    <w:unhideWhenUsed/>
    <w:rsid w:val="00C9597C"/>
  </w:style>
  <w:style w:type="table" w:customStyle="1" w:styleId="MediumGrid1-Accent123">
    <w:name w:val="Medium Grid 1 - Accent 12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
    <w:name w:val="Light Grid - Accent 112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
    <w:name w:val="Light Grid - Accent 52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
    <w:name w:val="Light Grid - Accent 122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
    <w:name w:val="Light List - Accent 52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
    <w:name w:val="Light List - Accent 112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
    <w:name w:val="Light Grid - Accent 132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
    <w:name w:val="Medium Grid 1 - Accent 32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
    <w:name w:val="Grid Table 4 Accent 3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
    <w:name w:val="No List34"/>
    <w:next w:val="NoList"/>
    <w:uiPriority w:val="99"/>
    <w:unhideWhenUsed/>
    <w:rsid w:val="00C9597C"/>
  </w:style>
  <w:style w:type="table" w:customStyle="1" w:styleId="MediumGrid1-Accent133">
    <w:name w:val="Medium Grid 1 - Accent 13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
    <w:name w:val="Light Grid - Accent 113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
    <w:name w:val="Light Grid - Accent 53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
    <w:name w:val="Light Grid - Accent 123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
    <w:name w:val="Light List - Accent 53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
    <w:name w:val="Light List - Accent 113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
    <w:name w:val="Light Grid - Accent 133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
    <w:name w:val="Medium Grid 1 - Accent 33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
    <w:name w:val="Grid Table 4 Accent 32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
    <w:name w:val="Table Grid13"/>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unhideWhenUsed/>
    <w:rsid w:val="00C9597C"/>
  </w:style>
  <w:style w:type="table" w:customStyle="1" w:styleId="MediumGrid1-Accent141">
    <w:name w:val="Medium Grid 1 - Accent 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
    <w:name w:val="Light Grid - Accent 11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
    <w:name w:val="Light Grid - Accent 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
    <w:name w:val="Light Grid - Accent 12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
    <w:name w:val="Light List - Accent 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
    <w:name w:val="Light List - Accent 1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
    <w:name w:val="Light Grid - Accent 13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
    <w:name w:val="Medium Grid 1 - Accent 3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
    <w:name w:val="Table Grid21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
    <w:name w:val="Medium Grid 3 - Accent 11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
    <w:name w:val="No List111"/>
    <w:next w:val="NoList"/>
    <w:uiPriority w:val="99"/>
    <w:unhideWhenUsed/>
    <w:rsid w:val="00C9597C"/>
  </w:style>
  <w:style w:type="table" w:customStyle="1" w:styleId="MediumGrid1-Accent1111">
    <w:name w:val="Medium Grid 1 - Accent 1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
    <w:name w:val="Light Grid - Accent 1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
    <w:name w:val="Light Grid - Accent 511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
    <w:name w:val="Light Grid - Accent 12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
    <w:name w:val="Light List - Accent 511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
    <w:name w:val="Light Grid - Accent 13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
    <w:name w:val="Medium Grid 1 - Accent 3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
    <w:name w:val="Grid Table 4 - Accent 3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
    <w:name w:val="No List211"/>
    <w:next w:val="NoList"/>
    <w:uiPriority w:val="99"/>
    <w:unhideWhenUsed/>
    <w:rsid w:val="00C9597C"/>
  </w:style>
  <w:style w:type="table" w:customStyle="1" w:styleId="MediumGrid1-Accent1211">
    <w:name w:val="Medium Grid 1 - Accent 12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
    <w:name w:val="Light Grid - Accent 112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
    <w:name w:val="Light Grid - Accent 52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
    <w:name w:val="Light Grid - Accent 122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
    <w:name w:val="Light List - Accent 52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
    <w:name w:val="Light List - Accent 112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
    <w:name w:val="Light Grid - Accent 132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
    <w:name w:val="Medium Grid 1 - Accent 32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
    <w:name w:val="Grid Table 4 Accent 3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
    <w:name w:val="No List311"/>
    <w:next w:val="NoList"/>
    <w:uiPriority w:val="99"/>
    <w:unhideWhenUsed/>
    <w:rsid w:val="00C9597C"/>
  </w:style>
  <w:style w:type="table" w:customStyle="1" w:styleId="MediumGrid1-Accent1311">
    <w:name w:val="Medium Grid 1 - Accent 13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
    <w:name w:val="Light Grid - Accent 113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
    <w:name w:val="Light Grid - Accent 53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
    <w:name w:val="Light Grid - Accent 123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
    <w:name w:val="Light List - Accent 53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
    <w:name w:val="Light List - Accent 113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
    <w:name w:val="Light Grid - Accent 133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
    <w:name w:val="Medium Grid 1 - Accent 33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
    <w:name w:val="Grid Table 4 Accent 32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
    <w:name w:val="Table Grid11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unhideWhenUsed/>
    <w:rsid w:val="00C9597C"/>
  </w:style>
  <w:style w:type="table" w:customStyle="1" w:styleId="MediumGrid1-Accent151">
    <w:name w:val="Medium Grid 1 - Accent 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
    <w:name w:val="Light Grid - Accent 11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
    <w:name w:val="Light Grid - Accent 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
    <w:name w:val="Light Grid - Accent 12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
    <w:name w:val="Light List - Accent 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
    <w:name w:val="Light List - Accent 1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
    <w:name w:val="Light Grid - Accent 13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
    <w:name w:val="Medium Grid 1 - Accent 3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
    <w:name w:val="No List121"/>
    <w:next w:val="NoList"/>
    <w:uiPriority w:val="99"/>
    <w:unhideWhenUsed/>
    <w:rsid w:val="00C9597C"/>
  </w:style>
  <w:style w:type="numbering" w:customStyle="1" w:styleId="NoList221">
    <w:name w:val="No List221"/>
    <w:next w:val="NoList"/>
    <w:uiPriority w:val="99"/>
    <w:unhideWhenUsed/>
    <w:rsid w:val="00C9597C"/>
  </w:style>
  <w:style w:type="numbering" w:customStyle="1" w:styleId="NoList321">
    <w:name w:val="No List321"/>
    <w:next w:val="NoList"/>
    <w:uiPriority w:val="99"/>
    <w:unhideWhenUsed/>
    <w:rsid w:val="00C9597C"/>
  </w:style>
  <w:style w:type="numbering" w:customStyle="1" w:styleId="NoList61">
    <w:name w:val="No List61"/>
    <w:next w:val="NoList"/>
    <w:uiPriority w:val="99"/>
    <w:unhideWhenUsed/>
    <w:rsid w:val="00C9597C"/>
  </w:style>
  <w:style w:type="table" w:customStyle="1" w:styleId="MediumGrid1-Accent161">
    <w:name w:val="Medium Grid 1 - Accent 1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
    <w:name w:val="Light Grid - Accent 116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
    <w:name w:val="Light Grid - Accent 5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
    <w:name w:val="Light Grid - Accent 12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
    <w:name w:val="Light List - Accent 5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
    <w:name w:val="Light List - Accent 11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
    <w:name w:val="Light Grid - Accent 13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
    <w:name w:val="Medium Grid 1 - Accent 3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
    <w:name w:val="No List131"/>
    <w:next w:val="NoList"/>
    <w:uiPriority w:val="99"/>
    <w:unhideWhenUsed/>
    <w:rsid w:val="00C9597C"/>
  </w:style>
  <w:style w:type="numbering" w:customStyle="1" w:styleId="NoList231">
    <w:name w:val="No List231"/>
    <w:next w:val="NoList"/>
    <w:uiPriority w:val="99"/>
    <w:unhideWhenUsed/>
    <w:rsid w:val="00C9597C"/>
  </w:style>
  <w:style w:type="numbering" w:customStyle="1" w:styleId="NoList331">
    <w:name w:val="No List331"/>
    <w:next w:val="NoList"/>
    <w:uiPriority w:val="99"/>
    <w:unhideWhenUsed/>
    <w:rsid w:val="00C9597C"/>
  </w:style>
  <w:style w:type="numbering" w:customStyle="1" w:styleId="NoList8">
    <w:name w:val="No List8"/>
    <w:next w:val="NoList"/>
    <w:uiPriority w:val="99"/>
    <w:unhideWhenUsed/>
    <w:rsid w:val="00C9597C"/>
  </w:style>
  <w:style w:type="table" w:customStyle="1" w:styleId="TableGrid6">
    <w:name w:val="Table Grid6"/>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
    <w:name w:val="Medium Grid 3 - Accent 14"/>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
    <w:name w:val="Medium Grid 1 - Accent 18"/>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
    <w:name w:val="Light Grid - Accent 118"/>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
    <w:name w:val="Light Grid - Accent 58"/>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
    <w:name w:val="Light Grid - Accent 128"/>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
    <w:name w:val="Light List - Accent 58"/>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
    <w:name w:val="Light List - Accent 118"/>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
    <w:name w:val="Light Grid - Accent 13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
    <w:name w:val="Medium Grid 1 - Accent 3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
    <w:name w:val="No List15"/>
    <w:next w:val="NoList"/>
    <w:uiPriority w:val="99"/>
    <w:unhideWhenUsed/>
    <w:rsid w:val="00C9597C"/>
  </w:style>
  <w:style w:type="table" w:customStyle="1" w:styleId="MediumGrid1-Accent114">
    <w:name w:val="Medium Grid 1 - Accent 1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
    <w:name w:val="Light Grid - Accent 1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
    <w:name w:val="Light Grid - Accent 514"/>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
    <w:name w:val="Light Grid - Accent 12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
    <w:name w:val="Light List - Accent 514"/>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
    <w:name w:val="Light List - Accent 11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
    <w:name w:val="Light Grid - Accent 13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
    <w:name w:val="Medium Grid 1 - Accent 3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
    <w:name w:val="Grid Table 4 - Accent 3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
    <w:name w:val="No List25"/>
    <w:next w:val="NoList"/>
    <w:uiPriority w:val="99"/>
    <w:unhideWhenUsed/>
    <w:rsid w:val="00C9597C"/>
  </w:style>
  <w:style w:type="table" w:customStyle="1" w:styleId="MediumGrid1-Accent124">
    <w:name w:val="Medium Grid 1 - Accent 12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
    <w:name w:val="Light Grid - Accent 112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
    <w:name w:val="Light Grid - Accent 52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
    <w:name w:val="Light Grid - Accent 122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
    <w:name w:val="Light List - Accent 52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
    <w:name w:val="Light List - Accent 112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
    <w:name w:val="Light Grid - Accent 132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
    <w:name w:val="Medium Grid 1 - Accent 32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
    <w:name w:val="Grid Table 4 Accent 3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
    <w:name w:val="No List35"/>
    <w:next w:val="NoList"/>
    <w:uiPriority w:val="99"/>
    <w:unhideWhenUsed/>
    <w:rsid w:val="00C9597C"/>
  </w:style>
  <w:style w:type="table" w:customStyle="1" w:styleId="MediumGrid1-Accent134">
    <w:name w:val="Medium Grid 1 - Accent 13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
    <w:name w:val="Light Grid - Accent 113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
    <w:name w:val="Light Grid - Accent 53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
    <w:name w:val="Light Grid - Accent 123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
    <w:name w:val="Light List - Accent 53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
    <w:name w:val="Light List - Accent 113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
    <w:name w:val="Light Grid - Accent 133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
    <w:name w:val="Medium Grid 1 - Accent 33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
    <w:name w:val="Grid Table 4 Accent 32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
    <w:name w:val="Table Grid14"/>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unhideWhenUsed/>
    <w:rsid w:val="00C9597C"/>
  </w:style>
  <w:style w:type="table" w:customStyle="1" w:styleId="MediumGrid1-Accent142">
    <w:name w:val="Medium Grid 1 - Accent 14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
    <w:name w:val="Light Grid - Accent 114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
    <w:name w:val="Light Grid - Accent 54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
    <w:name w:val="Light Grid - Accent 124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
    <w:name w:val="Light List - Accent 54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
    <w:name w:val="Light List - Accent 114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
    <w:name w:val="Light Grid - Accent 134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
    <w:name w:val="Medium Grid 1 - Accent 34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
    <w:name w:val="Table Grid212"/>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
    <w:name w:val="Medium Grid 3 - Accent 112"/>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
    <w:name w:val="No List112"/>
    <w:next w:val="NoList"/>
    <w:uiPriority w:val="99"/>
    <w:unhideWhenUsed/>
    <w:rsid w:val="00C9597C"/>
  </w:style>
  <w:style w:type="table" w:customStyle="1" w:styleId="MediumGrid1-Accent1112">
    <w:name w:val="Medium Grid 1 - Accent 11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
    <w:name w:val="Light Grid - Accent 11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
    <w:name w:val="Light Grid - Accent 5112"/>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
    <w:name w:val="Light Grid - Accent 12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
    <w:name w:val="Light List - Accent 5112"/>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
    <w:name w:val="Light List - Accent 111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
    <w:name w:val="Light Grid - Accent 13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
    <w:name w:val="Medium Grid 1 - Accent 31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
    <w:name w:val="Grid Table 4 - Accent 31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
    <w:name w:val="No List212"/>
    <w:next w:val="NoList"/>
    <w:uiPriority w:val="99"/>
    <w:unhideWhenUsed/>
    <w:rsid w:val="00C9597C"/>
  </w:style>
  <w:style w:type="table" w:customStyle="1" w:styleId="MediumGrid1-Accent1212">
    <w:name w:val="Medium Grid 1 - Accent 12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
    <w:name w:val="Light Grid - Accent 1121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
    <w:name w:val="Light Grid - Accent 52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
    <w:name w:val="Light Grid - Accent 122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
    <w:name w:val="Light List - Accent 52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
    <w:name w:val="Light List - Accent 112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
    <w:name w:val="Light Grid - Accent 132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
    <w:name w:val="Medium Grid 1 - Accent 32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
    <w:name w:val="Grid Table 4 Accent 31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
    <w:name w:val="No List312"/>
    <w:next w:val="NoList"/>
    <w:uiPriority w:val="99"/>
    <w:unhideWhenUsed/>
    <w:rsid w:val="00C9597C"/>
  </w:style>
  <w:style w:type="table" w:customStyle="1" w:styleId="MediumGrid1-Accent1312">
    <w:name w:val="Medium Grid 1 - Accent 13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
    <w:name w:val="Light Grid - Accent 1131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
    <w:name w:val="Light Grid - Accent 53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
    <w:name w:val="Light Grid - Accent 123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
    <w:name w:val="Light List - Accent 53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
    <w:name w:val="Light List - Accent 113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
    <w:name w:val="Light Grid - Accent 133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
    <w:name w:val="Medium Grid 1 - Accent 33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
    <w:name w:val="Grid Table 4 Accent 32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
    <w:name w:val="Table Grid112"/>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unhideWhenUsed/>
    <w:rsid w:val="00C9597C"/>
  </w:style>
  <w:style w:type="table" w:customStyle="1" w:styleId="MediumGrid1-Accent152">
    <w:name w:val="Medium Grid 1 - Accent 15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
    <w:name w:val="Light Grid - Accent 115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
    <w:name w:val="Light Grid - Accent 55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
    <w:name w:val="Light Grid - Accent 125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
    <w:name w:val="Light List - Accent 55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
    <w:name w:val="Light List - Accent 115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
    <w:name w:val="Light Grid - Accent 135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
    <w:name w:val="Medium Grid 1 - Accent 35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
    <w:name w:val="No List122"/>
    <w:next w:val="NoList"/>
    <w:uiPriority w:val="99"/>
    <w:unhideWhenUsed/>
    <w:rsid w:val="00C9597C"/>
  </w:style>
  <w:style w:type="numbering" w:customStyle="1" w:styleId="NoList222">
    <w:name w:val="No List222"/>
    <w:next w:val="NoList"/>
    <w:uiPriority w:val="99"/>
    <w:unhideWhenUsed/>
    <w:rsid w:val="00C9597C"/>
  </w:style>
  <w:style w:type="numbering" w:customStyle="1" w:styleId="NoList322">
    <w:name w:val="No List322"/>
    <w:next w:val="NoList"/>
    <w:uiPriority w:val="99"/>
    <w:unhideWhenUsed/>
    <w:rsid w:val="00C9597C"/>
  </w:style>
  <w:style w:type="numbering" w:customStyle="1" w:styleId="NoList62">
    <w:name w:val="No List62"/>
    <w:next w:val="NoList"/>
    <w:uiPriority w:val="99"/>
    <w:unhideWhenUsed/>
    <w:rsid w:val="00C9597C"/>
  </w:style>
  <w:style w:type="table" w:customStyle="1" w:styleId="MediumGrid1-Accent162">
    <w:name w:val="Medium Grid 1 - Accent 16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
    <w:name w:val="Light Grid - Accent 116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
    <w:name w:val="Light Grid - Accent 56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
    <w:name w:val="Light Grid - Accent 126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
    <w:name w:val="Light List - Accent 56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
    <w:name w:val="Light List - Accent 116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
    <w:name w:val="Light Grid - Accent 136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
    <w:name w:val="Medium Grid 1 - Accent 36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
    <w:name w:val="No List132"/>
    <w:next w:val="NoList"/>
    <w:uiPriority w:val="99"/>
    <w:unhideWhenUsed/>
    <w:rsid w:val="00C9597C"/>
  </w:style>
  <w:style w:type="numbering" w:customStyle="1" w:styleId="NoList232">
    <w:name w:val="No List232"/>
    <w:next w:val="NoList"/>
    <w:uiPriority w:val="99"/>
    <w:unhideWhenUsed/>
    <w:rsid w:val="00C9597C"/>
  </w:style>
  <w:style w:type="numbering" w:customStyle="1" w:styleId="NoList332">
    <w:name w:val="No List332"/>
    <w:next w:val="NoList"/>
    <w:uiPriority w:val="99"/>
    <w:unhideWhenUsed/>
    <w:rsid w:val="00C9597C"/>
  </w:style>
  <w:style w:type="numbering" w:customStyle="1" w:styleId="NoList9">
    <w:name w:val="No List9"/>
    <w:next w:val="NoList"/>
    <w:uiPriority w:val="99"/>
    <w:unhideWhenUsed/>
    <w:rsid w:val="00C9597C"/>
  </w:style>
  <w:style w:type="table" w:customStyle="1" w:styleId="TableGrid7">
    <w:name w:val="Table Grid7"/>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
    <w:name w:val="Medium Grid 3 - Accent 15"/>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
    <w:name w:val="Medium Grid 1 - Accent 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
    <w:name w:val="Light Grid - Accent 119"/>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
    <w:name w:val="Light Grid - Accent 5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
    <w:name w:val="Light Grid - Accent 129"/>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
    <w:name w:val="Light List - Accent 5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
    <w:name w:val="Light Grid - Accent 139"/>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
    <w:name w:val="Medium Grid 1 - Accent 39"/>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
    <w:name w:val="No List16"/>
    <w:next w:val="NoList"/>
    <w:uiPriority w:val="99"/>
    <w:unhideWhenUsed/>
    <w:rsid w:val="00C9597C"/>
  </w:style>
  <w:style w:type="table" w:customStyle="1" w:styleId="MediumGrid1-Accent115">
    <w:name w:val="Medium Grid 1 - Accent 1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
    <w:name w:val="Light Grid - Accent 1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
    <w:name w:val="Light Grid - Accent 515"/>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
    <w:name w:val="Light Grid - Accent 12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
    <w:name w:val="Light List - Accent 515"/>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
    <w:name w:val="Light List - Accent 11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
    <w:name w:val="Light Grid - Accent 13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
    <w:name w:val="Medium Grid 1 - Accent 3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
    <w:name w:val="Grid Table 4 - Accent 3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
    <w:name w:val="No List26"/>
    <w:next w:val="NoList"/>
    <w:uiPriority w:val="99"/>
    <w:unhideWhenUsed/>
    <w:rsid w:val="00C9597C"/>
  </w:style>
  <w:style w:type="table" w:customStyle="1" w:styleId="MediumGrid1-Accent125">
    <w:name w:val="Medium Grid 1 - Accent 12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
    <w:name w:val="Light Grid - Accent 112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
    <w:name w:val="Light Grid - Accent 52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
    <w:name w:val="Light Grid - Accent 122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
    <w:name w:val="Light List - Accent 52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
    <w:name w:val="Light List - Accent 112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
    <w:name w:val="Light Grid - Accent 132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
    <w:name w:val="Medium Grid 1 - Accent 32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
    <w:name w:val="Grid Table 4 Accent 3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
    <w:name w:val="No List36"/>
    <w:next w:val="NoList"/>
    <w:uiPriority w:val="99"/>
    <w:unhideWhenUsed/>
    <w:rsid w:val="00C9597C"/>
  </w:style>
  <w:style w:type="table" w:customStyle="1" w:styleId="MediumGrid1-Accent135">
    <w:name w:val="Medium Grid 1 - Accent 13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
    <w:name w:val="Light Grid - Accent 113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
    <w:name w:val="Light Grid - Accent 53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
    <w:name w:val="Light Grid - Accent 123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
    <w:name w:val="Light List - Accent 53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
    <w:name w:val="Light List - Accent 113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
    <w:name w:val="Light Grid - Accent 133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
    <w:name w:val="Medium Grid 1 - Accent 33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
    <w:name w:val="Grid Table 4 Accent 32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
    <w:name w:val="Table Grid15"/>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unhideWhenUsed/>
    <w:rsid w:val="00C9597C"/>
  </w:style>
  <w:style w:type="table" w:customStyle="1" w:styleId="MediumGrid1-Accent143">
    <w:name w:val="Medium Grid 1 - Accent 14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
    <w:name w:val="Light Grid - Accent 114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
    <w:name w:val="Light Grid - Accent 54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
    <w:name w:val="Light Grid - Accent 124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
    <w:name w:val="Light List - Accent 54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
    <w:name w:val="Light List - Accent 114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
    <w:name w:val="Light Grid - Accent 134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
    <w:name w:val="Medium Grid 1 - Accent 34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
    <w:name w:val="Table Grid213"/>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
    <w:name w:val="Medium Grid 3 - Accent 113"/>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
    <w:name w:val="No List113"/>
    <w:next w:val="NoList"/>
    <w:uiPriority w:val="99"/>
    <w:unhideWhenUsed/>
    <w:rsid w:val="00C9597C"/>
  </w:style>
  <w:style w:type="table" w:customStyle="1" w:styleId="MediumGrid1-Accent1113">
    <w:name w:val="Medium Grid 1 - Accent 11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
    <w:name w:val="Light Grid - Accent 11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
    <w:name w:val="Light Grid - Accent 5113"/>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
    <w:name w:val="Light Grid - Accent 12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
    <w:name w:val="Light List - Accent 5113"/>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
    <w:name w:val="Light List - Accent 111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
    <w:name w:val="Light Grid - Accent 13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
    <w:name w:val="Medium Grid 1 - Accent 31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
    <w:name w:val="Grid Table 4 - Accent 31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
    <w:name w:val="No List213"/>
    <w:next w:val="NoList"/>
    <w:uiPriority w:val="99"/>
    <w:unhideWhenUsed/>
    <w:rsid w:val="00C9597C"/>
  </w:style>
  <w:style w:type="table" w:customStyle="1" w:styleId="MediumGrid1-Accent1213">
    <w:name w:val="Medium Grid 1 - Accent 12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
    <w:name w:val="Light Grid - Accent 1121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
    <w:name w:val="Light Grid - Accent 52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
    <w:name w:val="Light Grid - Accent 122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
    <w:name w:val="Light List - Accent 52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
    <w:name w:val="Light List - Accent 112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
    <w:name w:val="Light Grid - Accent 132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
    <w:name w:val="Medium Grid 1 - Accent 32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
    <w:name w:val="Grid Table 4 Accent 31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
    <w:name w:val="No List313"/>
    <w:next w:val="NoList"/>
    <w:uiPriority w:val="99"/>
    <w:unhideWhenUsed/>
    <w:rsid w:val="00C9597C"/>
  </w:style>
  <w:style w:type="table" w:customStyle="1" w:styleId="MediumGrid1-Accent1313">
    <w:name w:val="Medium Grid 1 - Accent 13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
    <w:name w:val="Light Grid - Accent 1131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
    <w:name w:val="Light Grid - Accent 53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
    <w:name w:val="Light Grid - Accent 123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
    <w:name w:val="Light List - Accent 53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
    <w:name w:val="Light List - Accent 113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
    <w:name w:val="Light Grid - Accent 133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
    <w:name w:val="Medium Grid 1 - Accent 33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
    <w:name w:val="Grid Table 4 Accent 32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
    <w:name w:val="Table Grid113"/>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unhideWhenUsed/>
    <w:rsid w:val="00C9597C"/>
  </w:style>
  <w:style w:type="table" w:customStyle="1" w:styleId="MediumGrid1-Accent153">
    <w:name w:val="Medium Grid 1 - Accent 15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
    <w:name w:val="Light Grid - Accent 115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
    <w:name w:val="Light Grid - Accent 55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
    <w:name w:val="Light Grid - Accent 125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
    <w:name w:val="Light List - Accent 55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
    <w:name w:val="Light List - Accent 115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
    <w:name w:val="Light Grid - Accent 135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
    <w:name w:val="Medium Grid 1 - Accent 35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
    <w:name w:val="No List123"/>
    <w:next w:val="NoList"/>
    <w:uiPriority w:val="99"/>
    <w:unhideWhenUsed/>
    <w:rsid w:val="00C9597C"/>
  </w:style>
  <w:style w:type="numbering" w:customStyle="1" w:styleId="NoList223">
    <w:name w:val="No List223"/>
    <w:next w:val="NoList"/>
    <w:uiPriority w:val="99"/>
    <w:unhideWhenUsed/>
    <w:rsid w:val="00C9597C"/>
  </w:style>
  <w:style w:type="numbering" w:customStyle="1" w:styleId="NoList323">
    <w:name w:val="No List323"/>
    <w:next w:val="NoList"/>
    <w:uiPriority w:val="99"/>
    <w:unhideWhenUsed/>
    <w:rsid w:val="00C9597C"/>
  </w:style>
  <w:style w:type="numbering" w:customStyle="1" w:styleId="NoList63">
    <w:name w:val="No List63"/>
    <w:next w:val="NoList"/>
    <w:uiPriority w:val="99"/>
    <w:unhideWhenUsed/>
    <w:rsid w:val="00C9597C"/>
  </w:style>
  <w:style w:type="table" w:customStyle="1" w:styleId="MediumGrid1-Accent163">
    <w:name w:val="Medium Grid 1 - Accent 16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
    <w:name w:val="Light Grid - Accent 116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
    <w:name w:val="Light Grid - Accent 56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
    <w:name w:val="Light Grid - Accent 126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
    <w:name w:val="Light List - Accent 56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
    <w:name w:val="Light List - Accent 116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
    <w:name w:val="Light Grid - Accent 136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
    <w:name w:val="Medium Grid 1 - Accent 36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
    <w:name w:val="No List133"/>
    <w:next w:val="NoList"/>
    <w:uiPriority w:val="99"/>
    <w:unhideWhenUsed/>
    <w:rsid w:val="00C9597C"/>
  </w:style>
  <w:style w:type="numbering" w:customStyle="1" w:styleId="NoList233">
    <w:name w:val="No List233"/>
    <w:next w:val="NoList"/>
    <w:uiPriority w:val="99"/>
    <w:unhideWhenUsed/>
    <w:rsid w:val="00C9597C"/>
  </w:style>
  <w:style w:type="numbering" w:customStyle="1" w:styleId="NoList333">
    <w:name w:val="No List333"/>
    <w:next w:val="NoList"/>
    <w:uiPriority w:val="99"/>
    <w:unhideWhenUsed/>
    <w:rsid w:val="00C9597C"/>
  </w:style>
  <w:style w:type="numbering" w:customStyle="1" w:styleId="NoList10">
    <w:name w:val="No List10"/>
    <w:next w:val="NoList"/>
    <w:uiPriority w:val="99"/>
    <w:unhideWhenUsed/>
    <w:rsid w:val="00C9597C"/>
  </w:style>
  <w:style w:type="table" w:customStyle="1" w:styleId="TableGrid8">
    <w:name w:val="Table Grid8"/>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
    <w:name w:val="Medium Grid 3 - Accent 16"/>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
    <w:name w:val="Medium Grid 1 - Accent 110"/>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
    <w:name w:val="Light Grid - Accent 1110"/>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
    <w:name w:val="Light Grid - Accent 510"/>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
    <w:name w:val="Light Grid - Accent 1210"/>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
    <w:name w:val="Light List - Accent 510"/>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
    <w:name w:val="Light List - Accent 1110"/>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
    <w:name w:val="Light Grid - Accent 13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
    <w:name w:val="Medium Grid 1 - Accent 310"/>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
    <w:name w:val="No List17"/>
    <w:next w:val="NoList"/>
    <w:uiPriority w:val="99"/>
    <w:unhideWhenUsed/>
    <w:rsid w:val="00C9597C"/>
  </w:style>
  <w:style w:type="table" w:customStyle="1" w:styleId="MediumGrid1-Accent116">
    <w:name w:val="Medium Grid 1 - Accent 1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
    <w:name w:val="Light Grid - Accent 1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
    <w:name w:val="Light Grid - Accent 516"/>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
    <w:name w:val="Light Grid - Accent 12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
    <w:name w:val="Light List - Accent 516"/>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
    <w:name w:val="Light List - Accent 11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
    <w:name w:val="Light Grid - Accent 13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
    <w:name w:val="Medium Grid 1 - Accent 3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
    <w:name w:val="Grid Table 4 - Accent 3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
    <w:name w:val="No List27"/>
    <w:next w:val="NoList"/>
    <w:uiPriority w:val="99"/>
    <w:unhideWhenUsed/>
    <w:rsid w:val="00C9597C"/>
  </w:style>
  <w:style w:type="table" w:customStyle="1" w:styleId="MediumGrid1-Accent126">
    <w:name w:val="Medium Grid 1 - Accent 12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
    <w:name w:val="Light Grid - Accent 112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
    <w:name w:val="Light Grid - Accent 52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
    <w:name w:val="Light Grid - Accent 122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
    <w:name w:val="Light List - Accent 52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
    <w:name w:val="Light List - Accent 112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
    <w:name w:val="Light Grid - Accent 132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
    <w:name w:val="Medium Grid 1 - Accent 32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
    <w:name w:val="Grid Table 4 Accent 3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
    <w:name w:val="No List37"/>
    <w:next w:val="NoList"/>
    <w:uiPriority w:val="99"/>
    <w:unhideWhenUsed/>
    <w:rsid w:val="00C9597C"/>
  </w:style>
  <w:style w:type="table" w:customStyle="1" w:styleId="MediumGrid1-Accent136">
    <w:name w:val="Medium Grid 1 - Accent 13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
    <w:name w:val="Light Grid - Accent 113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
    <w:name w:val="Light Grid - Accent 53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
    <w:name w:val="Light Grid - Accent 123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
    <w:name w:val="Light List - Accent 53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
    <w:name w:val="Light List - Accent 113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
    <w:name w:val="Light Grid - Accent 133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
    <w:name w:val="Medium Grid 1 - Accent 33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
    <w:name w:val="Grid Table 4 Accent 32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
    <w:name w:val="Table Grid16"/>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unhideWhenUsed/>
    <w:rsid w:val="00C9597C"/>
  </w:style>
  <w:style w:type="table" w:customStyle="1" w:styleId="MediumGrid1-Accent144">
    <w:name w:val="Medium Grid 1 - Accent 14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
    <w:name w:val="Light Grid - Accent 114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
    <w:name w:val="Light Grid - Accent 54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
    <w:name w:val="Light Grid - Accent 124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
    <w:name w:val="Light List - Accent 54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
    <w:name w:val="Light List - Accent 114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
    <w:name w:val="Light Grid - Accent 134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
    <w:name w:val="Medium Grid 1 - Accent 34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
    <w:name w:val="Table Grid214"/>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
    <w:name w:val="Medium Grid 3 - Accent 114"/>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
    <w:name w:val="No List114"/>
    <w:next w:val="NoList"/>
    <w:uiPriority w:val="99"/>
    <w:unhideWhenUsed/>
    <w:rsid w:val="00C9597C"/>
  </w:style>
  <w:style w:type="table" w:customStyle="1" w:styleId="MediumGrid1-Accent1114">
    <w:name w:val="Medium Grid 1 - Accent 11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
    <w:name w:val="Light Grid - Accent 11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
    <w:name w:val="Light Grid - Accent 5114"/>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
    <w:name w:val="Light Grid - Accent 12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
    <w:name w:val="Light List - Accent 5114"/>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
    <w:name w:val="Light List - Accent 111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
    <w:name w:val="Light Grid - Accent 13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
    <w:name w:val="Medium Grid 1 - Accent 31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
    <w:name w:val="Grid Table 4 - Accent 31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
    <w:name w:val="No List214"/>
    <w:next w:val="NoList"/>
    <w:uiPriority w:val="99"/>
    <w:unhideWhenUsed/>
    <w:rsid w:val="00C9597C"/>
  </w:style>
  <w:style w:type="table" w:customStyle="1" w:styleId="MediumGrid1-Accent1214">
    <w:name w:val="Medium Grid 1 - Accent 12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
    <w:name w:val="Light Grid - Accent 1121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
    <w:name w:val="Light Grid - Accent 52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
    <w:name w:val="Light Grid - Accent 122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
    <w:name w:val="Light List - Accent 52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
    <w:name w:val="Light List - Accent 112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
    <w:name w:val="Light Grid - Accent 132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
    <w:name w:val="Medium Grid 1 - Accent 32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
    <w:name w:val="Grid Table 4 Accent 31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
    <w:name w:val="No List314"/>
    <w:next w:val="NoList"/>
    <w:uiPriority w:val="99"/>
    <w:unhideWhenUsed/>
    <w:rsid w:val="00C9597C"/>
  </w:style>
  <w:style w:type="table" w:customStyle="1" w:styleId="MediumGrid1-Accent1314">
    <w:name w:val="Medium Grid 1 - Accent 13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
    <w:name w:val="Light Grid - Accent 1131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
    <w:name w:val="Light Grid - Accent 53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
    <w:name w:val="Light Grid - Accent 123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
    <w:name w:val="Light List - Accent 53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
    <w:name w:val="Light List - Accent 113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
    <w:name w:val="Light Grid - Accent 133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
    <w:name w:val="Medium Grid 1 - Accent 33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
    <w:name w:val="Grid Table 4 Accent 32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
    <w:name w:val="Table Grid114"/>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unhideWhenUsed/>
    <w:rsid w:val="00C9597C"/>
  </w:style>
  <w:style w:type="table" w:customStyle="1" w:styleId="MediumGrid1-Accent154">
    <w:name w:val="Medium Grid 1 - Accent 15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
    <w:name w:val="Light Grid - Accent 115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
    <w:name w:val="Light Grid - Accent 55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
    <w:name w:val="Light Grid - Accent 125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
    <w:name w:val="Light List - Accent 55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
    <w:name w:val="Light List - Accent 115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
    <w:name w:val="Light Grid - Accent 135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
    <w:name w:val="Medium Grid 1 - Accent 35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
    <w:name w:val="No List124"/>
    <w:next w:val="NoList"/>
    <w:uiPriority w:val="99"/>
    <w:unhideWhenUsed/>
    <w:rsid w:val="00C9597C"/>
  </w:style>
  <w:style w:type="numbering" w:customStyle="1" w:styleId="NoList224">
    <w:name w:val="No List224"/>
    <w:next w:val="NoList"/>
    <w:uiPriority w:val="99"/>
    <w:unhideWhenUsed/>
    <w:rsid w:val="00C9597C"/>
  </w:style>
  <w:style w:type="numbering" w:customStyle="1" w:styleId="NoList324">
    <w:name w:val="No List324"/>
    <w:next w:val="NoList"/>
    <w:uiPriority w:val="99"/>
    <w:unhideWhenUsed/>
    <w:rsid w:val="00C9597C"/>
  </w:style>
  <w:style w:type="numbering" w:customStyle="1" w:styleId="NoList64">
    <w:name w:val="No List64"/>
    <w:next w:val="NoList"/>
    <w:uiPriority w:val="99"/>
    <w:unhideWhenUsed/>
    <w:rsid w:val="00C9597C"/>
  </w:style>
  <w:style w:type="table" w:customStyle="1" w:styleId="MediumGrid1-Accent164">
    <w:name w:val="Medium Grid 1 - Accent 16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
    <w:name w:val="Light Grid - Accent 116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
    <w:name w:val="Light Grid - Accent 56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
    <w:name w:val="Light Grid - Accent 126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
    <w:name w:val="Light List - Accent 56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
    <w:name w:val="Light List - Accent 116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
    <w:name w:val="Light Grid - Accent 136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
    <w:name w:val="Medium Grid 1 - Accent 36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
    <w:name w:val="No List134"/>
    <w:next w:val="NoList"/>
    <w:uiPriority w:val="99"/>
    <w:unhideWhenUsed/>
    <w:rsid w:val="00C9597C"/>
  </w:style>
  <w:style w:type="numbering" w:customStyle="1" w:styleId="NoList234">
    <w:name w:val="No List234"/>
    <w:next w:val="NoList"/>
    <w:uiPriority w:val="99"/>
    <w:unhideWhenUsed/>
    <w:rsid w:val="00C9597C"/>
  </w:style>
  <w:style w:type="numbering" w:customStyle="1" w:styleId="NoList334">
    <w:name w:val="No List334"/>
    <w:next w:val="NoList"/>
    <w:uiPriority w:val="99"/>
    <w:unhideWhenUsed/>
    <w:rsid w:val="00C9597C"/>
  </w:style>
  <w:style w:type="numbering" w:customStyle="1" w:styleId="NoList18">
    <w:name w:val="No List18"/>
    <w:next w:val="NoList"/>
    <w:uiPriority w:val="99"/>
    <w:unhideWhenUsed/>
    <w:rsid w:val="00C9597C"/>
  </w:style>
  <w:style w:type="table" w:customStyle="1" w:styleId="TableGrid9">
    <w:name w:val="Table Grid9"/>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
    <w:name w:val="Medium Grid 3 - Accent 17"/>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
    <w:name w:val="Medium Grid 1 - Accent 1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
    <w:name w:val="Light Grid - Accent 1117"/>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
    <w:name w:val="Light Grid - Accent 51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
    <w:name w:val="Light Grid - Accent 1217"/>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
    <w:name w:val="Light List - Accent 51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
    <w:name w:val="Light List - Accent 1117"/>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
    <w:name w:val="Light Grid - Accent 131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
    <w:name w:val="Medium Grid 1 - Accent 31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
    <w:name w:val="No List19"/>
    <w:next w:val="NoList"/>
    <w:uiPriority w:val="99"/>
    <w:unhideWhenUsed/>
    <w:rsid w:val="00C9597C"/>
  </w:style>
  <w:style w:type="table" w:customStyle="1" w:styleId="MediumGrid1-Accent118">
    <w:name w:val="Medium Grid 1 - Accent 118"/>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
    <w:name w:val="Light Grid - Accent 111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
    <w:name w:val="Light Grid - Accent 518"/>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
    <w:name w:val="Light Grid - Accent 121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
    <w:name w:val="Light List - Accent 518"/>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
    <w:name w:val="Light List - Accent 1118"/>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
    <w:name w:val="Light Grid - Accent 131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
    <w:name w:val="Medium Grid 1 - Accent 31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
    <w:name w:val="Grid Table 4 - Accent 317"/>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
    <w:name w:val="No List28"/>
    <w:next w:val="NoList"/>
    <w:uiPriority w:val="99"/>
    <w:unhideWhenUsed/>
    <w:rsid w:val="00C9597C"/>
  </w:style>
  <w:style w:type="table" w:customStyle="1" w:styleId="MediumGrid1-Accent127">
    <w:name w:val="Medium Grid 1 - Accent 127"/>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
    <w:name w:val="Light Grid - Accent 1127"/>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
    <w:name w:val="Light Grid - Accent 52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
    <w:name w:val="Light Grid - Accent 122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
    <w:name w:val="Light List - Accent 52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
    <w:name w:val="Light List - Accent 1127"/>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
    <w:name w:val="Light Grid - Accent 132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
    <w:name w:val="Medium Grid 1 - Accent 32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
    <w:name w:val="Grid Table 4 Accent 317"/>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
    <w:name w:val="No List38"/>
    <w:next w:val="NoList"/>
    <w:uiPriority w:val="99"/>
    <w:unhideWhenUsed/>
    <w:rsid w:val="00C9597C"/>
  </w:style>
  <w:style w:type="table" w:customStyle="1" w:styleId="MediumGrid1-Accent137">
    <w:name w:val="Medium Grid 1 - Accent 137"/>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
    <w:name w:val="Light Grid - Accent 1137"/>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
    <w:name w:val="Light Grid - Accent 53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
    <w:name w:val="Light Grid - Accent 123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
    <w:name w:val="Light List - Accent 53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
    <w:name w:val="Light List - Accent 1137"/>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
    <w:name w:val="Light Grid - Accent 133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
    <w:name w:val="Medium Grid 1 - Accent 33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
    <w:name w:val="Grid Table 4 Accent 327"/>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
    <w:name w:val="Table Grid17"/>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unhideWhenUsed/>
    <w:rsid w:val="00C9597C"/>
  </w:style>
  <w:style w:type="table" w:customStyle="1" w:styleId="MediumGrid1-Accent145">
    <w:name w:val="Medium Grid 1 - Accent 14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
    <w:name w:val="Light Grid - Accent 114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
    <w:name w:val="Light Grid - Accent 54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
    <w:name w:val="Light Grid - Accent 124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
    <w:name w:val="Light List - Accent 54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
    <w:name w:val="Light List - Accent 114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
    <w:name w:val="Light Grid - Accent 134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
    <w:name w:val="Medium Grid 1 - Accent 34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
    <w:name w:val="Table Grid215"/>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
    <w:name w:val="Medium Grid 3 - Accent 115"/>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
    <w:name w:val="No List115"/>
    <w:next w:val="NoList"/>
    <w:uiPriority w:val="99"/>
    <w:unhideWhenUsed/>
    <w:rsid w:val="00C9597C"/>
  </w:style>
  <w:style w:type="table" w:customStyle="1" w:styleId="MediumGrid1-Accent1115">
    <w:name w:val="Medium Grid 1 - Accent 11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
    <w:name w:val="Light Grid - Accent 11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
    <w:name w:val="Light Grid - Accent 5115"/>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
    <w:name w:val="Light Grid - Accent 12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
    <w:name w:val="Light List - Accent 5115"/>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
    <w:name w:val="Light List - Accent 111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
    <w:name w:val="Light Grid - Accent 13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
    <w:name w:val="Medium Grid 1 - Accent 31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
    <w:name w:val="Grid Table 4 - Accent 31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
    <w:name w:val="No List215"/>
    <w:next w:val="NoList"/>
    <w:uiPriority w:val="99"/>
    <w:unhideWhenUsed/>
    <w:rsid w:val="00C9597C"/>
  </w:style>
  <w:style w:type="table" w:customStyle="1" w:styleId="MediumGrid1-Accent1215">
    <w:name w:val="Medium Grid 1 - Accent 12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
    <w:name w:val="Light Grid - Accent 1121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
    <w:name w:val="Light Grid - Accent 52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
    <w:name w:val="Light Grid - Accent 122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
    <w:name w:val="Light List - Accent 52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
    <w:name w:val="Light List - Accent 112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
    <w:name w:val="Light Grid - Accent 132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
    <w:name w:val="Medium Grid 1 - Accent 32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
    <w:name w:val="Grid Table 4 Accent 31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
    <w:name w:val="No List315"/>
    <w:next w:val="NoList"/>
    <w:uiPriority w:val="99"/>
    <w:unhideWhenUsed/>
    <w:rsid w:val="00C9597C"/>
  </w:style>
  <w:style w:type="table" w:customStyle="1" w:styleId="MediumGrid1-Accent1315">
    <w:name w:val="Medium Grid 1 - Accent 13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
    <w:name w:val="Light Grid - Accent 1131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
    <w:name w:val="Light Grid - Accent 53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
    <w:name w:val="Light Grid - Accent 123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
    <w:name w:val="Light List - Accent 53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
    <w:name w:val="Light List - Accent 113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
    <w:name w:val="Light Grid - Accent 133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
    <w:name w:val="Medium Grid 1 - Accent 33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
    <w:name w:val="Grid Table 4 Accent 32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
    <w:name w:val="Table Grid115"/>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unhideWhenUsed/>
    <w:rsid w:val="00C9597C"/>
  </w:style>
  <w:style w:type="table" w:customStyle="1" w:styleId="MediumGrid1-Accent155">
    <w:name w:val="Medium Grid 1 - Accent 15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
    <w:name w:val="Light Grid - Accent 115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
    <w:name w:val="Light Grid - Accent 55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
    <w:name w:val="Light Grid - Accent 125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
    <w:name w:val="Light List - Accent 55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
    <w:name w:val="Light List - Accent 115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
    <w:name w:val="Light Grid - Accent 135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
    <w:name w:val="Medium Grid 1 - Accent 35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
    <w:name w:val="No List125"/>
    <w:next w:val="NoList"/>
    <w:uiPriority w:val="99"/>
    <w:unhideWhenUsed/>
    <w:rsid w:val="00C9597C"/>
  </w:style>
  <w:style w:type="numbering" w:customStyle="1" w:styleId="NoList225">
    <w:name w:val="No List225"/>
    <w:next w:val="NoList"/>
    <w:uiPriority w:val="99"/>
    <w:unhideWhenUsed/>
    <w:rsid w:val="00C9597C"/>
  </w:style>
  <w:style w:type="numbering" w:customStyle="1" w:styleId="NoList325">
    <w:name w:val="No List325"/>
    <w:next w:val="NoList"/>
    <w:uiPriority w:val="99"/>
    <w:unhideWhenUsed/>
    <w:rsid w:val="00C9597C"/>
  </w:style>
  <w:style w:type="numbering" w:customStyle="1" w:styleId="NoList65">
    <w:name w:val="No List65"/>
    <w:next w:val="NoList"/>
    <w:uiPriority w:val="99"/>
    <w:unhideWhenUsed/>
    <w:rsid w:val="00C9597C"/>
  </w:style>
  <w:style w:type="table" w:customStyle="1" w:styleId="MediumGrid1-Accent165">
    <w:name w:val="Medium Grid 1 - Accent 16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
    <w:name w:val="Light Grid - Accent 116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
    <w:name w:val="Light Grid - Accent 56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
    <w:name w:val="Light Grid - Accent 126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
    <w:name w:val="Light List - Accent 56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
    <w:name w:val="Light List - Accent 116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
    <w:name w:val="Light Grid - Accent 136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
    <w:name w:val="Medium Grid 1 - Accent 36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
    <w:name w:val="No List135"/>
    <w:next w:val="NoList"/>
    <w:uiPriority w:val="99"/>
    <w:unhideWhenUsed/>
    <w:rsid w:val="00C9597C"/>
  </w:style>
  <w:style w:type="numbering" w:customStyle="1" w:styleId="NoList235">
    <w:name w:val="No List235"/>
    <w:next w:val="NoList"/>
    <w:uiPriority w:val="99"/>
    <w:unhideWhenUsed/>
    <w:rsid w:val="00C9597C"/>
  </w:style>
  <w:style w:type="numbering" w:customStyle="1" w:styleId="NoList335">
    <w:name w:val="No List335"/>
    <w:next w:val="NoList"/>
    <w:uiPriority w:val="99"/>
    <w:unhideWhenUsed/>
    <w:rsid w:val="00C9597C"/>
  </w:style>
  <w:style w:type="numbering" w:customStyle="1" w:styleId="NoList20">
    <w:name w:val="No List20"/>
    <w:next w:val="NoList"/>
    <w:uiPriority w:val="99"/>
    <w:unhideWhenUsed/>
    <w:rsid w:val="00C9597C"/>
  </w:style>
  <w:style w:type="table" w:customStyle="1" w:styleId="TableGrid10">
    <w:name w:val="Table Grid10"/>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8">
    <w:name w:val="Medium Grid 3 - Accent 18"/>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
    <w:name w:val="Medium Grid 1 - Accent 1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
    <w:name w:val="Light Grid - Accent 1119"/>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
    <w:name w:val="Light Grid - Accent 51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
    <w:name w:val="Light Grid - Accent 1219"/>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
    <w:name w:val="Light List - Accent 51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
    <w:name w:val="Light List - Accent 1119"/>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
    <w:name w:val="Light Grid - Accent 1319"/>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
    <w:name w:val="Medium Grid 1 - Accent 319"/>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
    <w:name w:val="No List110"/>
    <w:next w:val="NoList"/>
    <w:uiPriority w:val="99"/>
    <w:unhideWhenUsed/>
    <w:rsid w:val="00C9597C"/>
  </w:style>
  <w:style w:type="table" w:customStyle="1" w:styleId="MediumGrid1-Accent1110">
    <w:name w:val="Medium Grid 1 - Accent 1110"/>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
    <w:name w:val="Light Grid - Accent 111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
    <w:name w:val="Light Grid - Accent 5110"/>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
    <w:name w:val="Light Grid - Accent 121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
    <w:name w:val="Light List - Accent 5110"/>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
    <w:name w:val="Light List - Accent 11110"/>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
    <w:name w:val="Light Grid - Accent 131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
    <w:name w:val="Medium Grid 1 - Accent 3110"/>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
    <w:name w:val="Grid Table 4 - Accent 318"/>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
    <w:name w:val="No List29"/>
    <w:next w:val="NoList"/>
    <w:uiPriority w:val="99"/>
    <w:unhideWhenUsed/>
    <w:rsid w:val="00C9597C"/>
  </w:style>
  <w:style w:type="table" w:customStyle="1" w:styleId="MediumGrid1-Accent128">
    <w:name w:val="Medium Grid 1 - Accent 128"/>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
    <w:name w:val="Light Grid - Accent 1128"/>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
    <w:name w:val="Light Grid - Accent 52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
    <w:name w:val="Light Grid - Accent 122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
    <w:name w:val="Light List - Accent 52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
    <w:name w:val="Light List - Accent 1128"/>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
    <w:name w:val="Light Grid - Accent 132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
    <w:name w:val="Medium Grid 1 - Accent 32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
    <w:name w:val="Grid Table 4 Accent 318"/>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
    <w:name w:val="No List39"/>
    <w:next w:val="NoList"/>
    <w:uiPriority w:val="99"/>
    <w:unhideWhenUsed/>
    <w:rsid w:val="00C9597C"/>
  </w:style>
  <w:style w:type="table" w:customStyle="1" w:styleId="MediumGrid1-Accent138">
    <w:name w:val="Medium Grid 1 - Accent 138"/>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
    <w:name w:val="Light Grid - Accent 1138"/>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
    <w:name w:val="Light Grid - Accent 53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
    <w:name w:val="Light Grid - Accent 123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
    <w:name w:val="Light List - Accent 53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
    <w:name w:val="Light List - Accent 1138"/>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
    <w:name w:val="Light Grid - Accent 133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
    <w:name w:val="Medium Grid 1 - Accent 33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
    <w:name w:val="Grid Table 4 Accent 328"/>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
    <w:name w:val="Table Grid18"/>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unhideWhenUsed/>
    <w:rsid w:val="00C9597C"/>
  </w:style>
  <w:style w:type="table" w:customStyle="1" w:styleId="MediumGrid1-Accent146">
    <w:name w:val="Medium Grid 1 - Accent 14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
    <w:name w:val="Light Grid - Accent 114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
    <w:name w:val="Light Grid - Accent 54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
    <w:name w:val="Light Grid - Accent 124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
    <w:name w:val="Light List - Accent 54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
    <w:name w:val="Light List - Accent 114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
    <w:name w:val="Light Grid - Accent 134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
    <w:name w:val="Medium Grid 1 - Accent 34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
    <w:name w:val="Table Grid3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6">
    <w:name w:val="Medium Grid 3 - Accent 116"/>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
    <w:name w:val="No List116"/>
    <w:next w:val="NoList"/>
    <w:uiPriority w:val="99"/>
    <w:unhideWhenUsed/>
    <w:rsid w:val="00C9597C"/>
  </w:style>
  <w:style w:type="table" w:customStyle="1" w:styleId="MediumGrid1-Accent1116">
    <w:name w:val="Medium Grid 1 - Accent 11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
    <w:name w:val="Light Grid - Accent 11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
    <w:name w:val="Light Grid - Accent 5116"/>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
    <w:name w:val="Light Grid - Accent 12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
    <w:name w:val="Light List - Accent 5116"/>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
    <w:name w:val="Light List - Accent 111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
    <w:name w:val="Light Grid - Accent 13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
    <w:name w:val="Medium Grid 1 - Accent 31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
    <w:name w:val="Grid Table 4 - Accent 31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
    <w:name w:val="No List216"/>
    <w:next w:val="NoList"/>
    <w:uiPriority w:val="99"/>
    <w:unhideWhenUsed/>
    <w:rsid w:val="00C9597C"/>
  </w:style>
  <w:style w:type="table" w:customStyle="1" w:styleId="MediumGrid1-Accent1216">
    <w:name w:val="Medium Grid 1 - Accent 12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
    <w:name w:val="Light Grid - Accent 1121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
    <w:name w:val="Light Grid - Accent 52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
    <w:name w:val="Light Grid - Accent 122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
    <w:name w:val="Light List - Accent 52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
    <w:name w:val="Light List - Accent 112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
    <w:name w:val="Light Grid - Accent 132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
    <w:name w:val="Medium Grid 1 - Accent 32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
    <w:name w:val="Grid Table 4 Accent 31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
    <w:name w:val="No List316"/>
    <w:next w:val="NoList"/>
    <w:uiPriority w:val="99"/>
    <w:unhideWhenUsed/>
    <w:rsid w:val="00C9597C"/>
  </w:style>
  <w:style w:type="table" w:customStyle="1" w:styleId="MediumGrid1-Accent1316">
    <w:name w:val="Medium Grid 1 - Accent 13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
    <w:name w:val="Light Grid - Accent 1131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
    <w:name w:val="Light Grid - Accent 53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
    <w:name w:val="Light Grid - Accent 123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
    <w:name w:val="Light List - Accent 53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
    <w:name w:val="Light List - Accent 113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
    <w:name w:val="Light Grid - Accent 133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
    <w:name w:val="Medium Grid 1 - Accent 33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
    <w:name w:val="Grid Table 4 Accent 32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
    <w:name w:val="Table Grid116"/>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
    <w:name w:val="No List56"/>
    <w:next w:val="NoList"/>
    <w:uiPriority w:val="99"/>
    <w:unhideWhenUsed/>
    <w:rsid w:val="00C9597C"/>
  </w:style>
  <w:style w:type="table" w:customStyle="1" w:styleId="TableGrid41">
    <w:name w:val="Table Grid41"/>
    <w:basedOn w:val="TableNormal"/>
    <w:next w:val="TableGrid"/>
    <w:uiPriority w:val="5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1">
    <w:name w:val="Medium Grid 3 - Accent 12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
    <w:name w:val="Medium Grid 1 - Accent 156"/>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
    <w:name w:val="Light Grid - Accent 1156"/>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
    <w:name w:val="Light Grid - Accent 556"/>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
    <w:name w:val="Light Grid - Accent 1256"/>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
    <w:name w:val="Light List - Accent 556"/>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
    <w:name w:val="Light List - Accent 1156"/>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
    <w:name w:val="Light Grid - Accent 135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
    <w:name w:val="Medium Grid 1 - Accent 35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
    <w:name w:val="No List126"/>
    <w:next w:val="NoList"/>
    <w:uiPriority w:val="99"/>
    <w:unhideWhenUsed/>
    <w:rsid w:val="00C9597C"/>
  </w:style>
  <w:style w:type="table" w:customStyle="1" w:styleId="MediumGrid1-Accent1121">
    <w:name w:val="Medium Grid 1 - Accent 1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
    <w:name w:val="Light Grid - Accent 1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
    <w:name w:val="Light Grid - Accent 512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
    <w:name w:val="Light Grid - Accent 12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
    <w:name w:val="Light List - Accent 512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
    <w:name w:val="Light Grid - Accent 13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
    <w:name w:val="Medium Grid 1 - Accent 3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
    <w:name w:val="Grid Table 4 - Accent 3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
    <w:name w:val="No List226"/>
    <w:next w:val="NoList"/>
    <w:uiPriority w:val="99"/>
    <w:unhideWhenUsed/>
    <w:rsid w:val="00C9597C"/>
  </w:style>
  <w:style w:type="table" w:customStyle="1" w:styleId="MediumGrid1-Accent1221">
    <w:name w:val="Medium Grid 1 - Accent 12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
    <w:name w:val="Light Grid - Accent 112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
    <w:name w:val="Light Grid - Accent 52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
    <w:name w:val="Light Grid - Accent 122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
    <w:name w:val="Light List - Accent 52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
    <w:name w:val="Light List - Accent 112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
    <w:name w:val="Light Grid - Accent 132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
    <w:name w:val="Medium Grid 1 - Accent 32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
    <w:name w:val="Grid Table 4 Accent 3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
    <w:name w:val="No List326"/>
    <w:next w:val="NoList"/>
    <w:uiPriority w:val="99"/>
    <w:unhideWhenUsed/>
    <w:rsid w:val="00C9597C"/>
  </w:style>
  <w:style w:type="table" w:customStyle="1" w:styleId="MediumGrid1-Accent1321">
    <w:name w:val="Medium Grid 1 - Accent 13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
    <w:name w:val="Light Grid - Accent 113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
    <w:name w:val="Light Grid - Accent 53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
    <w:name w:val="Light Grid - Accent 123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
    <w:name w:val="Light List - Accent 53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
    <w:name w:val="Light List - Accent 113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
    <w:name w:val="Light Grid - Accent 133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
    <w:name w:val="Medium Grid 1 - Accent 33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
    <w:name w:val="Grid Table 4 Accent 32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
    <w:name w:val="Table Grid12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TableNormal"/>
    <w:next w:val="TableGrid"/>
    <w:uiPriority w:val="3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unhideWhenUsed/>
    <w:rsid w:val="00C9597C"/>
  </w:style>
  <w:style w:type="table" w:customStyle="1" w:styleId="MediumGrid1-Accent166">
    <w:name w:val="Medium Grid 1 - Accent 16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
    <w:name w:val="Light Grid - Accent 116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
    <w:name w:val="Light Grid - Accent 56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
    <w:name w:val="Light Grid - Accent 126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
    <w:name w:val="Light List - Accent 56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
    <w:name w:val="Light List - Accent 116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
    <w:name w:val="Light Grid - Accent 136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
    <w:name w:val="Medium Grid 1 - Accent 36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
    <w:name w:val="No List136"/>
    <w:next w:val="NoList"/>
    <w:uiPriority w:val="99"/>
    <w:unhideWhenUsed/>
    <w:rsid w:val="00C9597C"/>
  </w:style>
  <w:style w:type="numbering" w:customStyle="1" w:styleId="NoList236">
    <w:name w:val="No List236"/>
    <w:next w:val="NoList"/>
    <w:uiPriority w:val="99"/>
    <w:unhideWhenUsed/>
    <w:rsid w:val="00C9597C"/>
  </w:style>
  <w:style w:type="numbering" w:customStyle="1" w:styleId="NoList336">
    <w:name w:val="No List336"/>
    <w:next w:val="NoList"/>
    <w:uiPriority w:val="99"/>
    <w:unhideWhenUsed/>
    <w:rsid w:val="00C9597C"/>
  </w:style>
  <w:style w:type="numbering" w:customStyle="1" w:styleId="NoList71">
    <w:name w:val="No List71"/>
    <w:next w:val="NoList"/>
    <w:uiPriority w:val="99"/>
    <w:unhideWhenUsed/>
    <w:rsid w:val="00C9597C"/>
  </w:style>
  <w:style w:type="table" w:customStyle="1" w:styleId="TableGrid51">
    <w:name w:val="Table Grid5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1">
    <w:name w:val="Medium Grid 3 - Accent 13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
    <w:name w:val="Medium Grid 1 - Accent 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
    <w:name w:val="Light Grid - Accent 117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
    <w:name w:val="Light Grid - Accent 5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
    <w:name w:val="Light Grid - Accent 127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
    <w:name w:val="Light List - Accent 57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
    <w:name w:val="Light List - Accent 117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
    <w:name w:val="Light Grid - Accent 13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
    <w:name w:val="Medium Grid 1 - Accent 3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
    <w:name w:val="No List141"/>
    <w:next w:val="NoList"/>
    <w:uiPriority w:val="99"/>
    <w:unhideWhenUsed/>
    <w:rsid w:val="00C9597C"/>
  </w:style>
  <w:style w:type="table" w:customStyle="1" w:styleId="MediumGrid1-Accent1131">
    <w:name w:val="Medium Grid 1 - Accent 1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
    <w:name w:val="Light Grid - Accent 1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
    <w:name w:val="Light Grid - Accent 513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
    <w:name w:val="Light Grid - Accent 12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
    <w:name w:val="Light List - Accent 513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
    <w:name w:val="Light List - Accent 11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
    <w:name w:val="Light Grid - Accent 13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
    <w:name w:val="Medium Grid 1 - Accent 3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
    <w:name w:val="Grid Table 4 - Accent 3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
    <w:name w:val="No List241"/>
    <w:next w:val="NoList"/>
    <w:uiPriority w:val="99"/>
    <w:unhideWhenUsed/>
    <w:rsid w:val="00C9597C"/>
  </w:style>
  <w:style w:type="table" w:customStyle="1" w:styleId="MediumGrid1-Accent1231">
    <w:name w:val="Medium Grid 1 - Accent 12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
    <w:name w:val="Light Grid - Accent 112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
    <w:name w:val="Light Grid - Accent 52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
    <w:name w:val="Light Grid - Accent 122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
    <w:name w:val="Light List - Accent 52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
    <w:name w:val="Light List - Accent 112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
    <w:name w:val="Light Grid - Accent 132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
    <w:name w:val="Medium Grid 1 - Accent 32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
    <w:name w:val="Grid Table 4 Accent 3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
    <w:name w:val="No List341"/>
    <w:next w:val="NoList"/>
    <w:uiPriority w:val="99"/>
    <w:unhideWhenUsed/>
    <w:rsid w:val="00C9597C"/>
  </w:style>
  <w:style w:type="table" w:customStyle="1" w:styleId="MediumGrid1-Accent1331">
    <w:name w:val="Medium Grid 1 - Accent 13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
    <w:name w:val="Light Grid - Accent 113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
    <w:name w:val="Light Grid - Accent 53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
    <w:name w:val="Light Grid - Accent 123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
    <w:name w:val="Light List - Accent 53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
    <w:name w:val="Light List - Accent 113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
    <w:name w:val="Light Grid - Accent 133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
    <w:name w:val="Medium Grid 1 - Accent 33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
    <w:name w:val="Grid Table 4 Accent 32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
    <w:name w:val="Table Grid13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unhideWhenUsed/>
    <w:rsid w:val="00C9597C"/>
  </w:style>
  <w:style w:type="table" w:customStyle="1" w:styleId="MediumGrid1-Accent1411">
    <w:name w:val="Medium Grid 1 - Accent 14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
    <w:name w:val="Light Grid - Accent 114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
    <w:name w:val="Light Grid - Accent 54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
    <w:name w:val="Light Grid - Accent 124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
    <w:name w:val="Light List - Accent 54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
    <w:name w:val="Light List - Accent 114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
    <w:name w:val="Light Grid - Accent 134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
    <w:name w:val="Medium Grid 1 - Accent 34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
    <w:name w:val="Table Grid211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1">
    <w:name w:val="Medium Grid 3 - Accent 111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
    <w:name w:val="No List1111"/>
    <w:next w:val="NoList"/>
    <w:uiPriority w:val="99"/>
    <w:unhideWhenUsed/>
    <w:rsid w:val="00C9597C"/>
  </w:style>
  <w:style w:type="table" w:customStyle="1" w:styleId="MediumGrid1-Accent11111">
    <w:name w:val="Medium Grid 1 - Accent 11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
    <w:name w:val="Light Grid - Accent 11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
    <w:name w:val="Light Grid - Accent 5111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
    <w:name w:val="Light Grid - Accent 12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
    <w:name w:val="Light List - Accent 5111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
    <w:name w:val="Light List - Accent 111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
    <w:name w:val="Light Grid - Accent 13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
    <w:name w:val="Medium Grid 1 - Accent 31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
    <w:name w:val="Grid Table 4 - Accent 31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
    <w:name w:val="No List2111"/>
    <w:next w:val="NoList"/>
    <w:uiPriority w:val="99"/>
    <w:unhideWhenUsed/>
    <w:rsid w:val="00C9597C"/>
  </w:style>
  <w:style w:type="table" w:customStyle="1" w:styleId="MediumGrid1-Accent12111">
    <w:name w:val="Medium Grid 1 - Accent 12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
    <w:name w:val="Light Grid - Accent 1121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
    <w:name w:val="Light Grid - Accent 52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
    <w:name w:val="Light Grid - Accent 122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
    <w:name w:val="Light List - Accent 52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
    <w:name w:val="Light List - Accent 112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
    <w:name w:val="Light Grid - Accent 132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
    <w:name w:val="Medium Grid 1 - Accent 32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
    <w:name w:val="Grid Table 4 Accent 31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
    <w:name w:val="No List3111"/>
    <w:next w:val="NoList"/>
    <w:uiPriority w:val="99"/>
    <w:unhideWhenUsed/>
    <w:rsid w:val="00C9597C"/>
  </w:style>
  <w:style w:type="table" w:customStyle="1" w:styleId="MediumGrid1-Accent13111">
    <w:name w:val="Medium Grid 1 - Accent 13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
    <w:name w:val="Light Grid - Accent 1131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
    <w:name w:val="Light Grid - Accent 53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
    <w:name w:val="Light Grid - Accent 123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
    <w:name w:val="Light List - Accent 53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
    <w:name w:val="Light List - Accent 113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
    <w:name w:val="Light Grid - Accent 133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
    <w:name w:val="Medium Grid 1 - Accent 33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
    <w:name w:val="Grid Table 4 Accent 32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
    <w:name w:val="Table Grid111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unhideWhenUsed/>
    <w:rsid w:val="00C9597C"/>
  </w:style>
  <w:style w:type="table" w:customStyle="1" w:styleId="MediumGrid1-Accent1511">
    <w:name w:val="Medium Grid 1 - Accent 15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
    <w:name w:val="Light Grid - Accent 115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
    <w:name w:val="Light Grid - Accent 55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
    <w:name w:val="Light Grid - Accent 125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
    <w:name w:val="Light List - Accent 55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
    <w:name w:val="Light List - Accent 115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
    <w:name w:val="Light Grid - Accent 135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
    <w:name w:val="Medium Grid 1 - Accent 35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
    <w:name w:val="No List1211"/>
    <w:next w:val="NoList"/>
    <w:uiPriority w:val="99"/>
    <w:unhideWhenUsed/>
    <w:rsid w:val="00C9597C"/>
  </w:style>
  <w:style w:type="numbering" w:customStyle="1" w:styleId="NoList2211">
    <w:name w:val="No List2211"/>
    <w:next w:val="NoList"/>
    <w:uiPriority w:val="99"/>
    <w:unhideWhenUsed/>
    <w:rsid w:val="00C9597C"/>
  </w:style>
  <w:style w:type="numbering" w:customStyle="1" w:styleId="NoList3211">
    <w:name w:val="No List3211"/>
    <w:next w:val="NoList"/>
    <w:uiPriority w:val="99"/>
    <w:unhideWhenUsed/>
    <w:rsid w:val="00C9597C"/>
  </w:style>
  <w:style w:type="numbering" w:customStyle="1" w:styleId="NoList611">
    <w:name w:val="No List611"/>
    <w:next w:val="NoList"/>
    <w:uiPriority w:val="99"/>
    <w:unhideWhenUsed/>
    <w:rsid w:val="00C9597C"/>
  </w:style>
  <w:style w:type="table" w:customStyle="1" w:styleId="MediumGrid1-Accent1611">
    <w:name w:val="Medium Grid 1 - Accent 16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
    <w:name w:val="Light Grid - Accent 116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
    <w:name w:val="Light Grid - Accent 56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
    <w:name w:val="Light Grid - Accent 126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
    <w:name w:val="Light List - Accent 56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
    <w:name w:val="Light List - Accent 116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
    <w:name w:val="Light Grid - Accent 136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
    <w:name w:val="Medium Grid 1 - Accent 36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
    <w:name w:val="No List1311"/>
    <w:next w:val="NoList"/>
    <w:uiPriority w:val="99"/>
    <w:unhideWhenUsed/>
    <w:rsid w:val="00C9597C"/>
  </w:style>
  <w:style w:type="numbering" w:customStyle="1" w:styleId="NoList2311">
    <w:name w:val="No List2311"/>
    <w:next w:val="NoList"/>
    <w:uiPriority w:val="99"/>
    <w:unhideWhenUsed/>
    <w:rsid w:val="00C9597C"/>
  </w:style>
  <w:style w:type="numbering" w:customStyle="1" w:styleId="NoList3311">
    <w:name w:val="No List3311"/>
    <w:next w:val="NoList"/>
    <w:uiPriority w:val="99"/>
    <w:unhideWhenUsed/>
    <w:rsid w:val="00C9597C"/>
  </w:style>
  <w:style w:type="numbering" w:customStyle="1" w:styleId="NoList81">
    <w:name w:val="No List81"/>
    <w:next w:val="NoList"/>
    <w:uiPriority w:val="99"/>
    <w:unhideWhenUsed/>
    <w:rsid w:val="00C9597C"/>
  </w:style>
  <w:style w:type="table" w:customStyle="1" w:styleId="TableGrid61">
    <w:name w:val="Table Grid6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1">
    <w:name w:val="Medium Grid 3 - Accent 14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
    <w:name w:val="Medium Grid 1 - Accent 18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
    <w:name w:val="Light Grid - Accent 118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
    <w:name w:val="Light Grid - Accent 58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
    <w:name w:val="Light Grid - Accent 128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
    <w:name w:val="Light List - Accent 58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
    <w:name w:val="Light List - Accent 118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
    <w:name w:val="Light Grid - Accent 13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
    <w:name w:val="Medium Grid 1 - Accent 38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
    <w:name w:val="No List151"/>
    <w:next w:val="NoList"/>
    <w:uiPriority w:val="99"/>
    <w:unhideWhenUsed/>
    <w:rsid w:val="00C9597C"/>
  </w:style>
  <w:style w:type="table" w:customStyle="1" w:styleId="MediumGrid1-Accent1141">
    <w:name w:val="Medium Grid 1 - Accent 1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
    <w:name w:val="Light Grid - Accent 1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
    <w:name w:val="Light Grid - Accent 514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
    <w:name w:val="Light Grid - Accent 12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
    <w:name w:val="Light List - Accent 514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
    <w:name w:val="Light List - Accent 11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
    <w:name w:val="Light Grid - Accent 13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
    <w:name w:val="Medium Grid 1 - Accent 3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
    <w:name w:val="Grid Table 4 - Accent 3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
    <w:name w:val="No List251"/>
    <w:next w:val="NoList"/>
    <w:uiPriority w:val="99"/>
    <w:unhideWhenUsed/>
    <w:rsid w:val="00C9597C"/>
  </w:style>
  <w:style w:type="table" w:customStyle="1" w:styleId="MediumGrid1-Accent1241">
    <w:name w:val="Medium Grid 1 - Accent 12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
    <w:name w:val="Light Grid - Accent 112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
    <w:name w:val="Light Grid - Accent 52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
    <w:name w:val="Light Grid - Accent 122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
    <w:name w:val="Light List - Accent 52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
    <w:name w:val="Light List - Accent 112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
    <w:name w:val="Light Grid - Accent 132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
    <w:name w:val="Medium Grid 1 - Accent 32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
    <w:name w:val="Grid Table 4 Accent 3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
    <w:name w:val="No List351"/>
    <w:next w:val="NoList"/>
    <w:uiPriority w:val="99"/>
    <w:unhideWhenUsed/>
    <w:rsid w:val="00C9597C"/>
  </w:style>
  <w:style w:type="table" w:customStyle="1" w:styleId="MediumGrid1-Accent1341">
    <w:name w:val="Medium Grid 1 - Accent 13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
    <w:name w:val="Light Grid - Accent 113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
    <w:name w:val="Light Grid - Accent 53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
    <w:name w:val="Light Grid - Accent 123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
    <w:name w:val="Light List - Accent 53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
    <w:name w:val="Light List - Accent 113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
    <w:name w:val="Light Grid - Accent 133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
    <w:name w:val="Medium Grid 1 - Accent 33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
    <w:name w:val="Grid Table 4 Accent 32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
    <w:name w:val="Table Grid14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unhideWhenUsed/>
    <w:rsid w:val="00C9597C"/>
  </w:style>
  <w:style w:type="table" w:customStyle="1" w:styleId="MediumGrid1-Accent1421">
    <w:name w:val="Medium Grid 1 - Accent 14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
    <w:name w:val="Light Grid - Accent 114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
    <w:name w:val="Light Grid - Accent 54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
    <w:name w:val="Light Grid - Accent 124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
    <w:name w:val="Light List - Accent 54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
    <w:name w:val="Light List - Accent 114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
    <w:name w:val="Light Grid - Accent 134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
    <w:name w:val="Medium Grid 1 - Accent 34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
    <w:name w:val="Table Grid212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1">
    <w:name w:val="Medium Grid 3 - Accent 112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
    <w:name w:val="No List1121"/>
    <w:next w:val="NoList"/>
    <w:uiPriority w:val="99"/>
    <w:unhideWhenUsed/>
    <w:rsid w:val="00C9597C"/>
  </w:style>
  <w:style w:type="table" w:customStyle="1" w:styleId="MediumGrid1-Accent11121">
    <w:name w:val="Medium Grid 1 - Accent 11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
    <w:name w:val="Light Grid - Accent 11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
    <w:name w:val="Light Grid - Accent 5112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
    <w:name w:val="Light Grid - Accent 12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
    <w:name w:val="Light List - Accent 5112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
    <w:name w:val="Light List - Accent 111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
    <w:name w:val="Light Grid - Accent 13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
    <w:name w:val="Medium Grid 1 - Accent 31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
    <w:name w:val="Grid Table 4 - Accent 31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
    <w:name w:val="No List2121"/>
    <w:next w:val="NoList"/>
    <w:uiPriority w:val="99"/>
    <w:unhideWhenUsed/>
    <w:rsid w:val="00C9597C"/>
  </w:style>
  <w:style w:type="table" w:customStyle="1" w:styleId="MediumGrid1-Accent12121">
    <w:name w:val="Medium Grid 1 - Accent 12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
    <w:name w:val="Light Grid - Accent 1121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
    <w:name w:val="Light Grid - Accent 52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
    <w:name w:val="Light Grid - Accent 122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
    <w:name w:val="Light List - Accent 52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
    <w:name w:val="Light List - Accent 112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
    <w:name w:val="Light Grid - Accent 132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
    <w:name w:val="Medium Grid 1 - Accent 32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
    <w:name w:val="Grid Table 4 Accent 31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
    <w:name w:val="No List3121"/>
    <w:next w:val="NoList"/>
    <w:uiPriority w:val="99"/>
    <w:unhideWhenUsed/>
    <w:rsid w:val="00C9597C"/>
  </w:style>
  <w:style w:type="table" w:customStyle="1" w:styleId="MediumGrid1-Accent13121">
    <w:name w:val="Medium Grid 1 - Accent 13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
    <w:name w:val="Light Grid - Accent 1131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
    <w:name w:val="Light Grid - Accent 53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
    <w:name w:val="Light Grid - Accent 123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
    <w:name w:val="Light List - Accent 53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
    <w:name w:val="Light List - Accent 113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
    <w:name w:val="Light Grid - Accent 133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
    <w:name w:val="Medium Grid 1 - Accent 33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
    <w:name w:val="Grid Table 4 Accent 32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
    <w:name w:val="Table Grid112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unhideWhenUsed/>
    <w:rsid w:val="00C9597C"/>
  </w:style>
  <w:style w:type="table" w:customStyle="1" w:styleId="MediumGrid1-Accent1521">
    <w:name w:val="Medium Grid 1 - Accent 15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
    <w:name w:val="Light Grid - Accent 115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
    <w:name w:val="Light Grid - Accent 55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
    <w:name w:val="Light Grid - Accent 125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
    <w:name w:val="Light List - Accent 55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
    <w:name w:val="Light List - Accent 115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
    <w:name w:val="Light Grid - Accent 135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
    <w:name w:val="Medium Grid 1 - Accent 35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
    <w:name w:val="No List1221"/>
    <w:next w:val="NoList"/>
    <w:uiPriority w:val="99"/>
    <w:unhideWhenUsed/>
    <w:rsid w:val="00C9597C"/>
  </w:style>
  <w:style w:type="numbering" w:customStyle="1" w:styleId="NoList2221">
    <w:name w:val="No List2221"/>
    <w:next w:val="NoList"/>
    <w:uiPriority w:val="99"/>
    <w:unhideWhenUsed/>
    <w:rsid w:val="00C9597C"/>
  </w:style>
  <w:style w:type="numbering" w:customStyle="1" w:styleId="NoList3221">
    <w:name w:val="No List3221"/>
    <w:next w:val="NoList"/>
    <w:uiPriority w:val="99"/>
    <w:unhideWhenUsed/>
    <w:rsid w:val="00C9597C"/>
  </w:style>
  <w:style w:type="numbering" w:customStyle="1" w:styleId="NoList621">
    <w:name w:val="No List621"/>
    <w:next w:val="NoList"/>
    <w:uiPriority w:val="99"/>
    <w:unhideWhenUsed/>
    <w:rsid w:val="00C9597C"/>
  </w:style>
  <w:style w:type="table" w:customStyle="1" w:styleId="MediumGrid1-Accent1621">
    <w:name w:val="Medium Grid 1 - Accent 16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
    <w:name w:val="Light Grid - Accent 116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
    <w:name w:val="Light Grid - Accent 56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
    <w:name w:val="Light Grid - Accent 126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
    <w:name w:val="Light List - Accent 56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
    <w:name w:val="Light List - Accent 116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
    <w:name w:val="Light Grid - Accent 136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
    <w:name w:val="Medium Grid 1 - Accent 36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
    <w:name w:val="No List1321"/>
    <w:next w:val="NoList"/>
    <w:uiPriority w:val="99"/>
    <w:unhideWhenUsed/>
    <w:rsid w:val="00C9597C"/>
  </w:style>
  <w:style w:type="numbering" w:customStyle="1" w:styleId="NoList2321">
    <w:name w:val="No List2321"/>
    <w:next w:val="NoList"/>
    <w:uiPriority w:val="99"/>
    <w:unhideWhenUsed/>
    <w:rsid w:val="00C9597C"/>
  </w:style>
  <w:style w:type="numbering" w:customStyle="1" w:styleId="NoList3321">
    <w:name w:val="No List3321"/>
    <w:next w:val="NoList"/>
    <w:uiPriority w:val="99"/>
    <w:unhideWhenUsed/>
    <w:rsid w:val="00C9597C"/>
  </w:style>
  <w:style w:type="numbering" w:customStyle="1" w:styleId="NoList91">
    <w:name w:val="No List91"/>
    <w:next w:val="NoList"/>
    <w:uiPriority w:val="99"/>
    <w:unhideWhenUsed/>
    <w:rsid w:val="00C9597C"/>
  </w:style>
  <w:style w:type="table" w:customStyle="1" w:styleId="TableGrid71">
    <w:name w:val="Table Grid7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1">
    <w:name w:val="Medium Grid 3 - Accent 151"/>
    <w:basedOn w:val="TableNormal"/>
    <w:next w:val="MediumGrid3-Accent1"/>
    <w:uiPriority w:val="69"/>
    <w:locked/>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
    <w:name w:val="Medium Grid 1 - Accent 19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
    <w:name w:val="Light Grid - Accent 119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
    <w:name w:val="Light Grid - Accent 59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
    <w:name w:val="Light Grid - Accent 129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
    <w:name w:val="Light List - Accent 59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
    <w:name w:val="Light List - Accent 119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
    <w:name w:val="Light Grid - Accent 139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
    <w:name w:val="Medium Grid 1 - Accent 39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
    <w:name w:val="No List161"/>
    <w:next w:val="NoList"/>
    <w:uiPriority w:val="99"/>
    <w:unhideWhenUsed/>
    <w:rsid w:val="00C9597C"/>
  </w:style>
  <w:style w:type="table" w:customStyle="1" w:styleId="MediumGrid1-Accent1151">
    <w:name w:val="Medium Grid 1 - Accent 1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
    <w:name w:val="Light Grid - Accent 1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
    <w:name w:val="Light Grid - Accent 515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
    <w:name w:val="Light Grid - Accent 12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
    <w:name w:val="Light List - Accent 515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
    <w:name w:val="Light List - Accent 11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
    <w:name w:val="Light Grid - Accent 13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
    <w:name w:val="Medium Grid 1 - Accent 3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
    <w:name w:val="Grid Table 4 - Accent 3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
    <w:name w:val="No List261"/>
    <w:next w:val="NoList"/>
    <w:uiPriority w:val="99"/>
    <w:unhideWhenUsed/>
    <w:rsid w:val="00C9597C"/>
  </w:style>
  <w:style w:type="table" w:customStyle="1" w:styleId="MediumGrid1-Accent1251">
    <w:name w:val="Medium Grid 1 - Accent 1251"/>
    <w:basedOn w:val="TableNormal"/>
    <w:next w:val="MediumGrid1-Accent1"/>
    <w:uiPriority w:val="67"/>
    <w:qFormat/>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
    <w:name w:val="Light Grid - Accent 112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
    <w:name w:val="Light Grid - Accent 52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
    <w:name w:val="Light Grid - Accent 122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
    <w:name w:val="Light List - Accent 52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
    <w:name w:val="Light List - Accent 112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
    <w:name w:val="Light Grid - Accent 132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
    <w:name w:val="Medium Grid 1 - Accent 32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
    <w:name w:val="Grid Table 4 Accent 3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
    <w:name w:val="No List361"/>
    <w:next w:val="NoList"/>
    <w:uiPriority w:val="99"/>
    <w:unhideWhenUsed/>
    <w:rsid w:val="00C9597C"/>
  </w:style>
  <w:style w:type="table" w:customStyle="1" w:styleId="MediumGrid1-Accent1351">
    <w:name w:val="Medium Grid 1 - Accent 13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
    <w:name w:val="Light Grid - Accent 113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
    <w:name w:val="Light Grid - Accent 53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
    <w:name w:val="Light Grid - Accent 123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
    <w:name w:val="Light List - Accent 53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
    <w:name w:val="Light List - Accent 113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
    <w:name w:val="Light Grid - Accent 133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
    <w:name w:val="Medium Grid 1 - Accent 33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
    <w:name w:val="Grid Table 4 Accent 32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
    <w:name w:val="Table Grid15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unhideWhenUsed/>
    <w:rsid w:val="00C9597C"/>
  </w:style>
  <w:style w:type="table" w:customStyle="1" w:styleId="MediumGrid1-Accent1431">
    <w:name w:val="Medium Grid 1 - Accent 14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
    <w:name w:val="Light Grid - Accent 114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
    <w:name w:val="Light Grid - Accent 54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
    <w:name w:val="Light Grid - Accent 124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
    <w:name w:val="Light List - Accent 54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
    <w:name w:val="Light List - Accent 114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
    <w:name w:val="Light Grid - Accent 134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
    <w:name w:val="Medium Grid 1 - Accent 34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
    <w:name w:val="Table Grid213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1">
    <w:name w:val="Medium Grid 3 - Accent 113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
    <w:name w:val="No List1131"/>
    <w:next w:val="NoList"/>
    <w:uiPriority w:val="99"/>
    <w:unhideWhenUsed/>
    <w:rsid w:val="00C9597C"/>
  </w:style>
  <w:style w:type="table" w:customStyle="1" w:styleId="MediumGrid1-Accent11131">
    <w:name w:val="Medium Grid 1 - Accent 11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
    <w:name w:val="Light Grid - Accent 11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
    <w:name w:val="Light Grid - Accent 5113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
    <w:name w:val="Light Grid - Accent 12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
    <w:name w:val="Light List - Accent 5113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
    <w:name w:val="Light List - Accent 111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
    <w:name w:val="Light Grid - Accent 13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
    <w:name w:val="Medium Grid 1 - Accent 31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
    <w:name w:val="Grid Table 4 - Accent 31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
    <w:name w:val="No List2131"/>
    <w:next w:val="NoList"/>
    <w:uiPriority w:val="99"/>
    <w:unhideWhenUsed/>
    <w:rsid w:val="00C9597C"/>
  </w:style>
  <w:style w:type="table" w:customStyle="1" w:styleId="MediumGrid1-Accent12131">
    <w:name w:val="Medium Grid 1 - Accent 12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
    <w:name w:val="Light Grid - Accent 1121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
    <w:name w:val="Light Grid - Accent 52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
    <w:name w:val="Light Grid - Accent 122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
    <w:name w:val="Light List - Accent 52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
    <w:name w:val="Light List - Accent 112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
    <w:name w:val="Light Grid - Accent 132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
    <w:name w:val="Medium Grid 1 - Accent 32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
    <w:name w:val="Grid Table 4 Accent 31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
    <w:name w:val="No List3131"/>
    <w:next w:val="NoList"/>
    <w:uiPriority w:val="99"/>
    <w:unhideWhenUsed/>
    <w:rsid w:val="00C9597C"/>
  </w:style>
  <w:style w:type="table" w:customStyle="1" w:styleId="MediumGrid1-Accent13131">
    <w:name w:val="Medium Grid 1 - Accent 13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
    <w:name w:val="Light Grid - Accent 1131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
    <w:name w:val="Light Grid - Accent 53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
    <w:name w:val="Light Grid - Accent 123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
    <w:name w:val="Light List - Accent 53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
    <w:name w:val="Light List - Accent 113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
    <w:name w:val="Light Grid - Accent 133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
    <w:name w:val="Medium Grid 1 - Accent 33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
    <w:name w:val="Grid Table 4 Accent 32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
    <w:name w:val="Table Grid113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unhideWhenUsed/>
    <w:rsid w:val="00C9597C"/>
  </w:style>
  <w:style w:type="table" w:customStyle="1" w:styleId="MediumGrid1-Accent1531">
    <w:name w:val="Medium Grid 1 - Accent 15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
    <w:name w:val="Light Grid - Accent 115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
    <w:name w:val="Light Grid - Accent 55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
    <w:name w:val="Light Grid - Accent 125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
    <w:name w:val="Light List - Accent 55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
    <w:name w:val="Light List - Accent 115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
    <w:name w:val="Light Grid - Accent 135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
    <w:name w:val="Medium Grid 1 - Accent 35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
    <w:name w:val="No List1231"/>
    <w:next w:val="NoList"/>
    <w:uiPriority w:val="99"/>
    <w:unhideWhenUsed/>
    <w:rsid w:val="00C9597C"/>
  </w:style>
  <w:style w:type="numbering" w:customStyle="1" w:styleId="NoList2231">
    <w:name w:val="No List2231"/>
    <w:next w:val="NoList"/>
    <w:uiPriority w:val="99"/>
    <w:unhideWhenUsed/>
    <w:rsid w:val="00C9597C"/>
  </w:style>
  <w:style w:type="numbering" w:customStyle="1" w:styleId="NoList3231">
    <w:name w:val="No List3231"/>
    <w:next w:val="NoList"/>
    <w:uiPriority w:val="99"/>
    <w:unhideWhenUsed/>
    <w:rsid w:val="00C9597C"/>
  </w:style>
  <w:style w:type="numbering" w:customStyle="1" w:styleId="NoList631">
    <w:name w:val="No List631"/>
    <w:next w:val="NoList"/>
    <w:uiPriority w:val="99"/>
    <w:unhideWhenUsed/>
    <w:rsid w:val="00C9597C"/>
  </w:style>
  <w:style w:type="table" w:customStyle="1" w:styleId="MediumGrid1-Accent1631">
    <w:name w:val="Medium Grid 1 - Accent 16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
    <w:name w:val="Light Grid - Accent 116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
    <w:name w:val="Light Grid - Accent 56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
    <w:name w:val="Light Grid - Accent 126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
    <w:name w:val="Light List - Accent 56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
    <w:name w:val="Light List - Accent 116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
    <w:name w:val="Light Grid - Accent 136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
    <w:name w:val="Medium Grid 1 - Accent 36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
    <w:name w:val="No List1331"/>
    <w:next w:val="NoList"/>
    <w:uiPriority w:val="99"/>
    <w:unhideWhenUsed/>
    <w:rsid w:val="00C9597C"/>
  </w:style>
  <w:style w:type="numbering" w:customStyle="1" w:styleId="NoList2331">
    <w:name w:val="No List2331"/>
    <w:next w:val="NoList"/>
    <w:uiPriority w:val="99"/>
    <w:unhideWhenUsed/>
    <w:rsid w:val="00C9597C"/>
  </w:style>
  <w:style w:type="numbering" w:customStyle="1" w:styleId="NoList3331">
    <w:name w:val="No List3331"/>
    <w:next w:val="NoList"/>
    <w:uiPriority w:val="99"/>
    <w:unhideWhenUsed/>
    <w:rsid w:val="00C9597C"/>
  </w:style>
  <w:style w:type="numbering" w:customStyle="1" w:styleId="NoList101">
    <w:name w:val="No List101"/>
    <w:next w:val="NoList"/>
    <w:uiPriority w:val="99"/>
    <w:unhideWhenUsed/>
    <w:rsid w:val="00C9597C"/>
  </w:style>
  <w:style w:type="table" w:customStyle="1" w:styleId="TableGrid81">
    <w:name w:val="Table Grid8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1">
    <w:name w:val="Medium Grid 3 - Accent 16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
    <w:name w:val="Medium Grid 1 - Accent 110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
    <w:name w:val="Light Grid - Accent 1110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
    <w:name w:val="Light Grid - Accent 510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
    <w:name w:val="Light Grid - Accent 1210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
    <w:name w:val="Light List - Accent 510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
    <w:name w:val="Light List - Accent 1110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
    <w:name w:val="Light Grid - Accent 1310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
    <w:name w:val="Medium Grid 1 - Accent 310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
    <w:name w:val="No List171"/>
    <w:next w:val="NoList"/>
    <w:uiPriority w:val="99"/>
    <w:unhideWhenUsed/>
    <w:rsid w:val="00C9597C"/>
  </w:style>
  <w:style w:type="table" w:customStyle="1" w:styleId="MediumGrid1-Accent1161">
    <w:name w:val="Medium Grid 1 - Accent 11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
    <w:name w:val="Light Grid - Accent 111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
    <w:name w:val="Light Grid - Accent 516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
    <w:name w:val="Light Grid - Accent 121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
    <w:name w:val="Light List - Accent 516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
    <w:name w:val="Light List - Accent 111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
    <w:name w:val="Light Grid - Accent 131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
    <w:name w:val="Medium Grid 1 - Accent 31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
    <w:name w:val="Grid Table 4 - Accent 316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
    <w:name w:val="No List271"/>
    <w:next w:val="NoList"/>
    <w:uiPriority w:val="99"/>
    <w:unhideWhenUsed/>
    <w:rsid w:val="00C9597C"/>
  </w:style>
  <w:style w:type="table" w:customStyle="1" w:styleId="MediumGrid1-Accent1261">
    <w:name w:val="Medium Grid 1 - Accent 12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
    <w:name w:val="Light Grid - Accent 1126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
    <w:name w:val="Light Grid - Accent 52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
    <w:name w:val="Light Grid - Accent 122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
    <w:name w:val="Light List - Accent 52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
    <w:name w:val="Light List - Accent 112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
    <w:name w:val="Light Grid - Accent 132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
    <w:name w:val="Medium Grid 1 - Accent 32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
    <w:name w:val="Grid Table 4 Accent 316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
    <w:name w:val="No List371"/>
    <w:next w:val="NoList"/>
    <w:uiPriority w:val="99"/>
    <w:unhideWhenUsed/>
    <w:rsid w:val="00C9597C"/>
  </w:style>
  <w:style w:type="table" w:customStyle="1" w:styleId="MediumGrid1-Accent1361">
    <w:name w:val="Medium Grid 1 - Accent 13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
    <w:name w:val="Light Grid - Accent 1136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
    <w:name w:val="Light Grid - Accent 53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
    <w:name w:val="Light Grid - Accent 123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
    <w:name w:val="Light List - Accent 53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
    <w:name w:val="Light List - Accent 113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
    <w:name w:val="Light Grid - Accent 133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
    <w:name w:val="Medium Grid 1 - Accent 33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
    <w:name w:val="Grid Table 4 Accent 326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
    <w:name w:val="Table Grid16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unhideWhenUsed/>
    <w:rsid w:val="00C9597C"/>
  </w:style>
  <w:style w:type="table" w:customStyle="1" w:styleId="MediumGrid1-Accent1441">
    <w:name w:val="Medium Grid 1 - Accent 14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
    <w:name w:val="Light Grid - Accent 114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
    <w:name w:val="Light Grid - Accent 54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
    <w:name w:val="Light Grid - Accent 124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
    <w:name w:val="Light List - Accent 54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
    <w:name w:val="Light List - Accent 114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
    <w:name w:val="Light Grid - Accent 134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
    <w:name w:val="Medium Grid 1 - Accent 34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
    <w:name w:val="Table Grid214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1">
    <w:name w:val="Medium Grid 3 - Accent 114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
    <w:name w:val="No List1141"/>
    <w:next w:val="NoList"/>
    <w:uiPriority w:val="99"/>
    <w:unhideWhenUsed/>
    <w:rsid w:val="00C9597C"/>
  </w:style>
  <w:style w:type="table" w:customStyle="1" w:styleId="MediumGrid1-Accent11141">
    <w:name w:val="Medium Grid 1 - Accent 11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
    <w:name w:val="Light Grid - Accent 11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
    <w:name w:val="Light Grid - Accent 5114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
    <w:name w:val="Light Grid - Accent 12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
    <w:name w:val="Light List - Accent 5114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
    <w:name w:val="Light List - Accent 111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
    <w:name w:val="Light Grid - Accent 13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
    <w:name w:val="Medium Grid 1 - Accent 31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
    <w:name w:val="Grid Table 4 - Accent 31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
    <w:name w:val="No List2141"/>
    <w:next w:val="NoList"/>
    <w:uiPriority w:val="99"/>
    <w:unhideWhenUsed/>
    <w:rsid w:val="00C9597C"/>
  </w:style>
  <w:style w:type="table" w:customStyle="1" w:styleId="MediumGrid1-Accent12141">
    <w:name w:val="Medium Grid 1 - Accent 12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
    <w:name w:val="Light Grid - Accent 1121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
    <w:name w:val="Light Grid - Accent 52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
    <w:name w:val="Light Grid - Accent 122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
    <w:name w:val="Light List - Accent 52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
    <w:name w:val="Light List - Accent 112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
    <w:name w:val="Light Grid - Accent 132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
    <w:name w:val="Medium Grid 1 - Accent 32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
    <w:name w:val="Grid Table 4 Accent 31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
    <w:name w:val="No List3141"/>
    <w:next w:val="NoList"/>
    <w:uiPriority w:val="99"/>
    <w:unhideWhenUsed/>
    <w:rsid w:val="00C9597C"/>
  </w:style>
  <w:style w:type="table" w:customStyle="1" w:styleId="MediumGrid1-Accent13141">
    <w:name w:val="Medium Grid 1 - Accent 13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
    <w:name w:val="Light Grid - Accent 1131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
    <w:name w:val="Light Grid - Accent 53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
    <w:name w:val="Light Grid - Accent 123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
    <w:name w:val="Light List - Accent 53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
    <w:name w:val="Light List - Accent 113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
    <w:name w:val="Light Grid - Accent 133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
    <w:name w:val="Medium Grid 1 - Accent 33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
    <w:name w:val="Grid Table 4 Accent 32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
    <w:name w:val="Table Grid114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unhideWhenUsed/>
    <w:rsid w:val="00C9597C"/>
  </w:style>
  <w:style w:type="table" w:customStyle="1" w:styleId="MediumGrid1-Accent1541">
    <w:name w:val="Medium Grid 1 - Accent 15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
    <w:name w:val="Light Grid - Accent 115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
    <w:name w:val="Light Grid - Accent 5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
    <w:name w:val="Light Grid - Accent 125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
    <w:name w:val="Light List - Accent 5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
    <w:name w:val="Light List - Accent 115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
    <w:name w:val="Light Grid - Accent 135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
    <w:name w:val="Medium Grid 1 - Accent 35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
    <w:name w:val="No List1241"/>
    <w:next w:val="NoList"/>
    <w:uiPriority w:val="99"/>
    <w:unhideWhenUsed/>
    <w:rsid w:val="00C9597C"/>
  </w:style>
  <w:style w:type="numbering" w:customStyle="1" w:styleId="NoList2241">
    <w:name w:val="No List2241"/>
    <w:next w:val="NoList"/>
    <w:uiPriority w:val="99"/>
    <w:unhideWhenUsed/>
    <w:rsid w:val="00C9597C"/>
  </w:style>
  <w:style w:type="numbering" w:customStyle="1" w:styleId="NoList3241">
    <w:name w:val="No List3241"/>
    <w:next w:val="NoList"/>
    <w:uiPriority w:val="99"/>
    <w:unhideWhenUsed/>
    <w:rsid w:val="00C9597C"/>
  </w:style>
  <w:style w:type="numbering" w:customStyle="1" w:styleId="NoList641">
    <w:name w:val="No List641"/>
    <w:next w:val="NoList"/>
    <w:uiPriority w:val="99"/>
    <w:unhideWhenUsed/>
    <w:rsid w:val="00C9597C"/>
  </w:style>
  <w:style w:type="table" w:customStyle="1" w:styleId="MediumGrid1-Accent1641">
    <w:name w:val="Medium Grid 1 - Accent 16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
    <w:name w:val="Light Grid - Accent 116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
    <w:name w:val="Light Grid - Accent 56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
    <w:name w:val="Light Grid - Accent 126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
    <w:name w:val="Light List - Accent 56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
    <w:name w:val="Light List - Accent 116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
    <w:name w:val="Light Grid - Accent 136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
    <w:name w:val="Medium Grid 1 - Accent 36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
    <w:name w:val="No List1341"/>
    <w:next w:val="NoList"/>
    <w:uiPriority w:val="99"/>
    <w:unhideWhenUsed/>
    <w:rsid w:val="00C9597C"/>
  </w:style>
  <w:style w:type="numbering" w:customStyle="1" w:styleId="NoList2341">
    <w:name w:val="No List2341"/>
    <w:next w:val="NoList"/>
    <w:uiPriority w:val="99"/>
    <w:unhideWhenUsed/>
    <w:rsid w:val="00C9597C"/>
  </w:style>
  <w:style w:type="numbering" w:customStyle="1" w:styleId="NoList3341">
    <w:name w:val="No List3341"/>
    <w:next w:val="NoList"/>
    <w:uiPriority w:val="99"/>
    <w:unhideWhenUsed/>
    <w:rsid w:val="00C9597C"/>
  </w:style>
  <w:style w:type="numbering" w:customStyle="1" w:styleId="NoList181">
    <w:name w:val="No List181"/>
    <w:next w:val="NoList"/>
    <w:uiPriority w:val="99"/>
    <w:unhideWhenUsed/>
    <w:rsid w:val="00C9597C"/>
  </w:style>
  <w:style w:type="table" w:customStyle="1" w:styleId="TableGrid91">
    <w:name w:val="Table Grid9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1">
    <w:name w:val="Medium Grid 3 - Accent 17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
    <w:name w:val="Medium Grid 1 - Accent 1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
    <w:name w:val="Light Grid - Accent 1117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
    <w:name w:val="Light Grid - Accent 51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
    <w:name w:val="Light Grid - Accent 1217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
    <w:name w:val="Light List - Accent 5171"/>
    <w:basedOn w:val="TableNormal"/>
    <w:next w:val="LightList-Accent5"/>
    <w:uiPriority w:val="61"/>
    <w:locked/>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
    <w:name w:val="Light List - Accent 1117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
    <w:name w:val="Light Grid - Accent 131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
    <w:name w:val="Medium Grid 1 - Accent 31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
    <w:name w:val="No List191"/>
    <w:next w:val="NoList"/>
    <w:uiPriority w:val="99"/>
    <w:unhideWhenUsed/>
    <w:rsid w:val="00C9597C"/>
  </w:style>
  <w:style w:type="table" w:customStyle="1" w:styleId="MediumGrid1-Accent1181">
    <w:name w:val="Medium Grid 1 - Accent 118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
    <w:name w:val="Light Grid - Accent 111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
    <w:name w:val="Light Grid - Accent 518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
    <w:name w:val="Light Grid - Accent 121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
    <w:name w:val="Light List - Accent 518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
    <w:name w:val="Light List - Accent 1118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
    <w:name w:val="Light Grid - Accent 131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
    <w:name w:val="Medium Grid 1 - Accent 318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
    <w:name w:val="Grid Table 4 - Accent 317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
    <w:name w:val="No List281"/>
    <w:next w:val="NoList"/>
    <w:uiPriority w:val="99"/>
    <w:unhideWhenUsed/>
    <w:rsid w:val="00C9597C"/>
  </w:style>
  <w:style w:type="table" w:customStyle="1" w:styleId="MediumGrid1-Accent1271">
    <w:name w:val="Medium Grid 1 - Accent 127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
    <w:name w:val="Light Grid - Accent 1127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
    <w:name w:val="Light Grid - Accent 52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
    <w:name w:val="Light Grid - Accent 122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
    <w:name w:val="Light List - Accent 52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
    <w:name w:val="Light List - Accent 1127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
    <w:name w:val="Light Grid - Accent 132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
    <w:name w:val="Medium Grid 1 - Accent 32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
    <w:name w:val="Grid Table 4 Accent 317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
    <w:name w:val="No List381"/>
    <w:next w:val="NoList"/>
    <w:uiPriority w:val="99"/>
    <w:unhideWhenUsed/>
    <w:rsid w:val="00C9597C"/>
  </w:style>
  <w:style w:type="table" w:customStyle="1" w:styleId="MediumGrid1-Accent1371">
    <w:name w:val="Medium Grid 1 - Accent 137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
    <w:name w:val="Light Grid - Accent 1137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
    <w:name w:val="Light Grid - Accent 53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
    <w:name w:val="Light Grid - Accent 123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
    <w:name w:val="Light List - Accent 53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
    <w:name w:val="Light List - Accent 1137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
    <w:name w:val="Light Grid - Accent 133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
    <w:name w:val="Medium Grid 1 - Accent 33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
    <w:name w:val="Grid Table 4 Accent 327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
    <w:name w:val="Table Grid17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unhideWhenUsed/>
    <w:rsid w:val="00C9597C"/>
  </w:style>
  <w:style w:type="table" w:customStyle="1" w:styleId="MediumGrid1-Accent1451">
    <w:name w:val="Medium Grid 1 - Accent 14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
    <w:name w:val="Light Grid - Accent 114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
    <w:name w:val="Light Grid - Accent 54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
    <w:name w:val="Light Grid - Accent 124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
    <w:name w:val="Light List - Accent 54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
    <w:name w:val="Light List - Accent 114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
    <w:name w:val="Light Grid - Accent 134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
    <w:name w:val="Medium Grid 1 - Accent 34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
    <w:name w:val="Table Grid215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1">
    <w:name w:val="Medium Grid 3 - Accent 115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
    <w:name w:val="No List1151"/>
    <w:next w:val="NoList"/>
    <w:uiPriority w:val="99"/>
    <w:unhideWhenUsed/>
    <w:rsid w:val="00C9597C"/>
  </w:style>
  <w:style w:type="table" w:customStyle="1" w:styleId="MediumGrid1-Accent11151">
    <w:name w:val="Medium Grid 1 - Accent 11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
    <w:name w:val="Light Grid - Accent 11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
    <w:name w:val="Light Grid - Accent 5115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
    <w:name w:val="Light Grid - Accent 12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
    <w:name w:val="Light List - Accent 5115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
    <w:name w:val="Light List - Accent 111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
    <w:name w:val="Light Grid - Accent 13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
    <w:name w:val="Medium Grid 1 - Accent 31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
    <w:name w:val="Grid Table 4 - Accent 31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
    <w:name w:val="No List2151"/>
    <w:next w:val="NoList"/>
    <w:uiPriority w:val="99"/>
    <w:unhideWhenUsed/>
    <w:rsid w:val="00C9597C"/>
  </w:style>
  <w:style w:type="table" w:customStyle="1" w:styleId="MediumGrid1-Accent12151">
    <w:name w:val="Medium Grid 1 - Accent 12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
    <w:name w:val="Light Grid - Accent 1121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
    <w:name w:val="Light Grid - Accent 52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
    <w:name w:val="Light Grid - Accent 122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
    <w:name w:val="Light List - Accent 52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
    <w:name w:val="Light List - Accent 112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
    <w:name w:val="Light Grid - Accent 132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
    <w:name w:val="Medium Grid 1 - Accent 32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
    <w:name w:val="Grid Table 4 Accent 31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
    <w:name w:val="No List3151"/>
    <w:next w:val="NoList"/>
    <w:uiPriority w:val="99"/>
    <w:unhideWhenUsed/>
    <w:rsid w:val="00C9597C"/>
  </w:style>
  <w:style w:type="table" w:customStyle="1" w:styleId="MediumGrid1-Accent13151">
    <w:name w:val="Medium Grid 1 - Accent 13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
    <w:name w:val="Light Grid - Accent 1131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
    <w:name w:val="Light Grid - Accent 53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
    <w:name w:val="Light Grid - Accent 123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
    <w:name w:val="Light List - Accent 53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
    <w:name w:val="Light List - Accent 113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
    <w:name w:val="Light Grid - Accent 133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
    <w:name w:val="Medium Grid 1 - Accent 33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
    <w:name w:val="Grid Table 4 Accent 32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
    <w:name w:val="Table Grid115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unhideWhenUsed/>
    <w:rsid w:val="00C9597C"/>
  </w:style>
  <w:style w:type="table" w:customStyle="1" w:styleId="MediumGrid1-Accent1551">
    <w:name w:val="Medium Grid 1 - Accent 15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
    <w:name w:val="Light Grid - Accent 115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
    <w:name w:val="Light Grid - Accent 5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
    <w:name w:val="Light Grid - Accent 125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
    <w:name w:val="Light List - Accent 5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
    <w:name w:val="Light List - Accent 115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
    <w:name w:val="Light Grid - Accent 135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
    <w:name w:val="Medium Grid 1 - Accent 35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
    <w:name w:val="No List1251"/>
    <w:next w:val="NoList"/>
    <w:uiPriority w:val="99"/>
    <w:unhideWhenUsed/>
    <w:rsid w:val="00C9597C"/>
  </w:style>
  <w:style w:type="numbering" w:customStyle="1" w:styleId="NoList2251">
    <w:name w:val="No List2251"/>
    <w:next w:val="NoList"/>
    <w:uiPriority w:val="99"/>
    <w:unhideWhenUsed/>
    <w:rsid w:val="00C9597C"/>
  </w:style>
  <w:style w:type="numbering" w:customStyle="1" w:styleId="NoList3251">
    <w:name w:val="No List3251"/>
    <w:next w:val="NoList"/>
    <w:uiPriority w:val="99"/>
    <w:unhideWhenUsed/>
    <w:rsid w:val="00C9597C"/>
  </w:style>
  <w:style w:type="numbering" w:customStyle="1" w:styleId="NoList651">
    <w:name w:val="No List651"/>
    <w:next w:val="NoList"/>
    <w:uiPriority w:val="99"/>
    <w:unhideWhenUsed/>
    <w:rsid w:val="00C9597C"/>
  </w:style>
  <w:style w:type="table" w:customStyle="1" w:styleId="MediumGrid1-Accent1651">
    <w:name w:val="Medium Grid 1 - Accent 16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
    <w:name w:val="Light Grid - Accent 116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
    <w:name w:val="Light Grid - Accent 56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
    <w:name w:val="Light Grid - Accent 126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
    <w:name w:val="Light List - Accent 56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
    <w:name w:val="Light List - Accent 116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
    <w:name w:val="Light Grid - Accent 136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
    <w:name w:val="Medium Grid 1 - Accent 36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
    <w:name w:val="No List1351"/>
    <w:next w:val="NoList"/>
    <w:uiPriority w:val="99"/>
    <w:unhideWhenUsed/>
    <w:rsid w:val="00C9597C"/>
  </w:style>
  <w:style w:type="numbering" w:customStyle="1" w:styleId="NoList2351">
    <w:name w:val="No List2351"/>
    <w:next w:val="NoList"/>
    <w:uiPriority w:val="99"/>
    <w:unhideWhenUsed/>
    <w:rsid w:val="00C9597C"/>
  </w:style>
  <w:style w:type="numbering" w:customStyle="1" w:styleId="NoList3351">
    <w:name w:val="No List3351"/>
    <w:next w:val="NoList"/>
    <w:uiPriority w:val="99"/>
    <w:unhideWhenUsed/>
    <w:rsid w:val="00C9597C"/>
  </w:style>
  <w:style w:type="table" w:styleId="GridTable4-Accent5">
    <w:name w:val="Grid Table 4 Accent 5"/>
    <w:basedOn w:val="TableNormal"/>
    <w:uiPriority w:val="49"/>
    <w:rsid w:val="00B25DA6"/>
    <w:rPr>
      <w:rFonts w:asciiTheme="minorHAnsi" w:hAnsiTheme="minorHAnsi" w:cstheme="minorBidi"/>
      <w:sz w:val="22"/>
      <w:szCs w:val="22"/>
      <w:lang w:val="en-IN"/>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30">
    <w:name w:val="No List30"/>
    <w:next w:val="NoList"/>
    <w:uiPriority w:val="99"/>
    <w:unhideWhenUsed/>
    <w:rsid w:val="00C64FC7"/>
  </w:style>
  <w:style w:type="table" w:customStyle="1" w:styleId="TableGrid19">
    <w:name w:val="Table Grid19"/>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9">
    <w:name w:val="Medium Grid 3 - Accent 19"/>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0">
    <w:name w:val="Medium Grid 1 - Accent 12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20">
    <w:name w:val="Light Grid - Accent 1120"/>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20">
    <w:name w:val="Light Grid - Accent 52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20">
    <w:name w:val="Light Grid - Accent 1220"/>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20">
    <w:name w:val="Light List - Accent 52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0">
    <w:name w:val="Light List - Accent 1120"/>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20">
    <w:name w:val="Light Grid - Accent 132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20">
    <w:name w:val="Medium Grid 1 - Accent 32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7">
    <w:name w:val="No List117"/>
    <w:next w:val="NoList"/>
    <w:uiPriority w:val="99"/>
    <w:unhideWhenUsed/>
    <w:rsid w:val="00C64FC7"/>
  </w:style>
  <w:style w:type="table" w:customStyle="1" w:styleId="MediumGrid1-Accent1117">
    <w:name w:val="Medium Grid 1 - Accent 111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7">
    <w:name w:val="Light Grid - Accent 111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7">
    <w:name w:val="Light Grid - Accent 5117"/>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7">
    <w:name w:val="Light Grid - Accent 121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7">
    <w:name w:val="Light List - Accent 5117"/>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7">
    <w:name w:val="Light List - Accent 1111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7">
    <w:name w:val="Light Grid - Accent 131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7">
    <w:name w:val="Medium Grid 1 - Accent 311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9">
    <w:name w:val="Grid Table 4 - Accent 319"/>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0">
    <w:name w:val="No List210"/>
    <w:next w:val="NoList"/>
    <w:uiPriority w:val="99"/>
    <w:unhideWhenUsed/>
    <w:rsid w:val="00C64FC7"/>
  </w:style>
  <w:style w:type="table" w:customStyle="1" w:styleId="MediumGrid1-Accent129">
    <w:name w:val="Medium Grid 1 - Accent 129"/>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9">
    <w:name w:val="Light Grid - Accent 1129"/>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9">
    <w:name w:val="Light Grid - Accent 52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9">
    <w:name w:val="Light Grid - Accent 122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9">
    <w:name w:val="Light List - Accent 52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9">
    <w:name w:val="Light List - Accent 1129"/>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9">
    <w:name w:val="Light Grid - Accent 132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9">
    <w:name w:val="Medium Grid 1 - Accent 329"/>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9">
    <w:name w:val="Grid Table 4 Accent 319"/>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0">
    <w:name w:val="No List310"/>
    <w:next w:val="NoList"/>
    <w:uiPriority w:val="99"/>
    <w:unhideWhenUsed/>
    <w:rsid w:val="00C64FC7"/>
  </w:style>
  <w:style w:type="table" w:customStyle="1" w:styleId="MediumGrid1-Accent139">
    <w:name w:val="Medium Grid 1 - Accent 139"/>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9">
    <w:name w:val="Light Grid - Accent 1139"/>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9">
    <w:name w:val="Light Grid - Accent 53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9">
    <w:name w:val="Light Grid - Accent 123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9">
    <w:name w:val="Light List - Accent 53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9">
    <w:name w:val="Light List - Accent 1139"/>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9">
    <w:name w:val="Light Grid - Accent 133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9">
    <w:name w:val="Medium Grid 1 - Accent 339"/>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9">
    <w:name w:val="Grid Table 4 Accent 329"/>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0">
    <w:name w:val="Table Grid110"/>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unhideWhenUsed/>
    <w:rsid w:val="00C64FC7"/>
  </w:style>
  <w:style w:type="table" w:customStyle="1" w:styleId="MediumGrid1-Accent147">
    <w:name w:val="Medium Grid 1 - Accent 14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7">
    <w:name w:val="Light Grid - Accent 114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7">
    <w:name w:val="Light Grid - Accent 547"/>
    <w:basedOn w:val="TableNormal"/>
    <w:next w:val="LightGrid-Accent5"/>
    <w:uiPriority w:val="62"/>
    <w:qFormat/>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7">
    <w:name w:val="Light Grid - Accent 124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7">
    <w:name w:val="Light List - Accent 54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7">
    <w:name w:val="Light List - Accent 114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7">
    <w:name w:val="Light Grid - Accent 134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7">
    <w:name w:val="Medium Grid 1 - Accent 34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2">
    <w:name w:val="Table Grid3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7">
    <w:name w:val="Medium Grid 3 - Accent 117"/>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8">
    <w:name w:val="No List118"/>
    <w:next w:val="NoList"/>
    <w:uiPriority w:val="99"/>
    <w:unhideWhenUsed/>
    <w:rsid w:val="00C64FC7"/>
  </w:style>
  <w:style w:type="table" w:customStyle="1" w:styleId="MediumGrid1-Accent1118">
    <w:name w:val="Medium Grid 1 - Accent 111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8">
    <w:name w:val="Light Grid - Accent 111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8">
    <w:name w:val="Light Grid - Accent 5118"/>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8">
    <w:name w:val="Light Grid - Accent 121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8">
    <w:name w:val="Light List - Accent 5118"/>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8">
    <w:name w:val="Light List - Accent 1111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8">
    <w:name w:val="Light Grid - Accent 131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8">
    <w:name w:val="Medium Grid 1 - Accent 311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7">
    <w:name w:val="Grid Table 4 - Accent 3117"/>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7">
    <w:name w:val="No List217"/>
    <w:next w:val="NoList"/>
    <w:uiPriority w:val="99"/>
    <w:unhideWhenUsed/>
    <w:rsid w:val="00C64FC7"/>
  </w:style>
  <w:style w:type="table" w:customStyle="1" w:styleId="MediumGrid1-Accent1217">
    <w:name w:val="Medium Grid 1 - Accent 121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7">
    <w:name w:val="Light Grid - Accent 1121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7">
    <w:name w:val="Light Grid - Accent 52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7">
    <w:name w:val="Light Grid - Accent 122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7">
    <w:name w:val="Light List - Accent 52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7">
    <w:name w:val="Light List - Accent 1121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7">
    <w:name w:val="Light Grid - Accent 132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7">
    <w:name w:val="Medium Grid 1 - Accent 321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7">
    <w:name w:val="Grid Table 4 Accent 3117"/>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7">
    <w:name w:val="No List317"/>
    <w:next w:val="NoList"/>
    <w:uiPriority w:val="99"/>
    <w:unhideWhenUsed/>
    <w:rsid w:val="00C64FC7"/>
  </w:style>
  <w:style w:type="table" w:customStyle="1" w:styleId="MediumGrid1-Accent1317">
    <w:name w:val="Medium Grid 1 - Accent 131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7">
    <w:name w:val="Light Grid - Accent 1131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7">
    <w:name w:val="Light Grid - Accent 53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7">
    <w:name w:val="Light Grid - Accent 123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7">
    <w:name w:val="Light List - Accent 53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7">
    <w:name w:val="Light List - Accent 1131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7">
    <w:name w:val="Light Grid - Accent 133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7">
    <w:name w:val="Medium Grid 1 - Accent 331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7">
    <w:name w:val="Grid Table 4 Accent 3217"/>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7">
    <w:name w:val="Table Grid117"/>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unhideWhenUsed/>
    <w:rsid w:val="00C64FC7"/>
  </w:style>
  <w:style w:type="table" w:customStyle="1" w:styleId="TableGrid42">
    <w:name w:val="Table Grid42"/>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2">
    <w:name w:val="Medium Grid 3 - Accent 12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7">
    <w:name w:val="Medium Grid 1 - Accent 157"/>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7">
    <w:name w:val="Light Grid - Accent 1157"/>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7">
    <w:name w:val="Light Grid - Accent 557"/>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7">
    <w:name w:val="Light Grid - Accent 1257"/>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7">
    <w:name w:val="Light List - Accent 557"/>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7">
    <w:name w:val="Light List - Accent 1157"/>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7">
    <w:name w:val="Light Grid - Accent 135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7">
    <w:name w:val="Medium Grid 1 - Accent 35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7">
    <w:name w:val="No List127"/>
    <w:next w:val="NoList"/>
    <w:uiPriority w:val="99"/>
    <w:unhideWhenUsed/>
    <w:rsid w:val="00C64FC7"/>
  </w:style>
  <w:style w:type="table" w:customStyle="1" w:styleId="MediumGrid1-Accent1122">
    <w:name w:val="Medium Grid 1 - Accent 1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2">
    <w:name w:val="Light Grid - Accent 1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2">
    <w:name w:val="Light Grid - Accent 512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2">
    <w:name w:val="Light Grid - Accent 12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2">
    <w:name w:val="Light List - Accent 512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2">
    <w:name w:val="Light List - Accent 11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2">
    <w:name w:val="Light Grid - Accent 13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2">
    <w:name w:val="Medium Grid 1 - Accent 3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2">
    <w:name w:val="Grid Table 4 - Accent 3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7">
    <w:name w:val="No List227"/>
    <w:next w:val="NoList"/>
    <w:uiPriority w:val="99"/>
    <w:unhideWhenUsed/>
    <w:rsid w:val="00C64FC7"/>
  </w:style>
  <w:style w:type="table" w:customStyle="1" w:styleId="MediumGrid1-Accent1222">
    <w:name w:val="Medium Grid 1 - Accent 12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2">
    <w:name w:val="Light Grid - Accent 112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2">
    <w:name w:val="Light Grid - Accent 52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2">
    <w:name w:val="Light Grid - Accent 122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2">
    <w:name w:val="Light List - Accent 52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2">
    <w:name w:val="Light List - Accent 112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2">
    <w:name w:val="Light Grid - Accent 132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2">
    <w:name w:val="Medium Grid 1 - Accent 32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2">
    <w:name w:val="Grid Table 4 Accent 3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7">
    <w:name w:val="No List327"/>
    <w:next w:val="NoList"/>
    <w:uiPriority w:val="99"/>
    <w:unhideWhenUsed/>
    <w:rsid w:val="00C64FC7"/>
  </w:style>
  <w:style w:type="table" w:customStyle="1" w:styleId="MediumGrid1-Accent1322">
    <w:name w:val="Medium Grid 1 - Accent 13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2">
    <w:name w:val="Light Grid - Accent 113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2">
    <w:name w:val="Light Grid - Accent 53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2">
    <w:name w:val="Light Grid - Accent 123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2">
    <w:name w:val="Light List - Accent 53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2">
    <w:name w:val="Light List - Accent 113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2">
    <w:name w:val="Light Grid - Accent 133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2">
    <w:name w:val="Medium Grid 1 - Accent 33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2">
    <w:name w:val="Grid Table 4 Accent 32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2">
    <w:name w:val="Table Grid12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unhideWhenUsed/>
    <w:rsid w:val="00C64FC7"/>
  </w:style>
  <w:style w:type="table" w:customStyle="1" w:styleId="MediumGrid1-Accent167">
    <w:name w:val="Medium Grid 1 - Accent 16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7">
    <w:name w:val="Light Grid - Accent 116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7">
    <w:name w:val="Light Grid - Accent 56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7">
    <w:name w:val="Light Grid - Accent 126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7">
    <w:name w:val="Light List - Accent 56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7">
    <w:name w:val="Light List - Accent 116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7">
    <w:name w:val="Light Grid - Accent 136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7">
    <w:name w:val="Medium Grid 1 - Accent 36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7">
    <w:name w:val="No List137"/>
    <w:next w:val="NoList"/>
    <w:uiPriority w:val="99"/>
    <w:unhideWhenUsed/>
    <w:rsid w:val="00C64FC7"/>
  </w:style>
  <w:style w:type="numbering" w:customStyle="1" w:styleId="NoList237">
    <w:name w:val="No List237"/>
    <w:next w:val="NoList"/>
    <w:uiPriority w:val="99"/>
    <w:unhideWhenUsed/>
    <w:rsid w:val="00C64FC7"/>
  </w:style>
  <w:style w:type="numbering" w:customStyle="1" w:styleId="NoList337">
    <w:name w:val="No List337"/>
    <w:next w:val="NoList"/>
    <w:uiPriority w:val="99"/>
    <w:unhideWhenUsed/>
    <w:rsid w:val="00C64FC7"/>
  </w:style>
  <w:style w:type="numbering" w:customStyle="1" w:styleId="NoList72">
    <w:name w:val="No List72"/>
    <w:next w:val="NoList"/>
    <w:uiPriority w:val="99"/>
    <w:unhideWhenUsed/>
    <w:rsid w:val="00C64FC7"/>
  </w:style>
  <w:style w:type="table" w:customStyle="1" w:styleId="TableGrid52">
    <w:name w:val="Table Grid5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2">
    <w:name w:val="Medium Grid 3 - Accent 13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2">
    <w:name w:val="Medium Grid 1 - Accent 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2">
    <w:name w:val="Light Grid - Accent 117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2">
    <w:name w:val="Light Grid - Accent 5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2">
    <w:name w:val="Light Grid - Accent 127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2">
    <w:name w:val="Light List - Accent 5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2">
    <w:name w:val="Light List - Accent 117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2">
    <w:name w:val="Light Grid - Accent 13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2">
    <w:name w:val="Medium Grid 1 - Accent 3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2">
    <w:name w:val="No List142"/>
    <w:next w:val="NoList"/>
    <w:uiPriority w:val="99"/>
    <w:unhideWhenUsed/>
    <w:rsid w:val="00C64FC7"/>
  </w:style>
  <w:style w:type="table" w:customStyle="1" w:styleId="MediumGrid1-Accent1132">
    <w:name w:val="Medium Grid 1 - Accent 1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2">
    <w:name w:val="Light Grid - Accent 1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2">
    <w:name w:val="Light Grid - Accent 513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2">
    <w:name w:val="Light Grid - Accent 12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2">
    <w:name w:val="Light List - Accent 513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2">
    <w:name w:val="Light List - Accent 11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2">
    <w:name w:val="Light Grid - Accent 13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2">
    <w:name w:val="Medium Grid 1 - Accent 3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2">
    <w:name w:val="Grid Table 4 - Accent 3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2">
    <w:name w:val="No List242"/>
    <w:next w:val="NoList"/>
    <w:uiPriority w:val="99"/>
    <w:unhideWhenUsed/>
    <w:rsid w:val="00C64FC7"/>
  </w:style>
  <w:style w:type="table" w:customStyle="1" w:styleId="MediumGrid1-Accent1232">
    <w:name w:val="Medium Grid 1 - Accent 12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2">
    <w:name w:val="Light Grid - Accent 112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2">
    <w:name w:val="Light Grid - Accent 52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2">
    <w:name w:val="Light Grid - Accent 122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2">
    <w:name w:val="Light List - Accent 52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2">
    <w:name w:val="Light List - Accent 112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2">
    <w:name w:val="Light Grid - Accent 132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2">
    <w:name w:val="Medium Grid 1 - Accent 32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2">
    <w:name w:val="Grid Table 4 Accent 3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2">
    <w:name w:val="No List342"/>
    <w:next w:val="NoList"/>
    <w:uiPriority w:val="99"/>
    <w:unhideWhenUsed/>
    <w:rsid w:val="00C64FC7"/>
  </w:style>
  <w:style w:type="table" w:customStyle="1" w:styleId="MediumGrid1-Accent1332">
    <w:name w:val="Medium Grid 1 - Accent 13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2">
    <w:name w:val="Light Grid - Accent 113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2">
    <w:name w:val="Light Grid - Accent 53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2">
    <w:name w:val="Light Grid - Accent 123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2">
    <w:name w:val="Light List - Accent 53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2">
    <w:name w:val="Light List - Accent 113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2">
    <w:name w:val="Light Grid - Accent 133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2">
    <w:name w:val="Medium Grid 1 - Accent 33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2">
    <w:name w:val="Grid Table 4 Accent 32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2">
    <w:name w:val="Table Grid13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unhideWhenUsed/>
    <w:rsid w:val="00C64FC7"/>
  </w:style>
  <w:style w:type="table" w:customStyle="1" w:styleId="MediumGrid1-Accent1412">
    <w:name w:val="Medium Grid 1 - Accent 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2">
    <w:name w:val="Light Grid - Accent 11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2">
    <w:name w:val="Light Grid - Accent 5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2">
    <w:name w:val="Light Grid - Accent 12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2">
    <w:name w:val="Light List - Accent 5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2">
    <w:name w:val="Light List - Accent 11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2">
    <w:name w:val="Light Grid - Accent 13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2">
    <w:name w:val="Medium Grid 1 - Accent 3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2">
    <w:name w:val="Table Grid21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2">
    <w:name w:val="Medium Grid 3 - Accent 11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2">
    <w:name w:val="No List1112"/>
    <w:next w:val="NoList"/>
    <w:uiPriority w:val="99"/>
    <w:unhideWhenUsed/>
    <w:rsid w:val="00C64FC7"/>
  </w:style>
  <w:style w:type="table" w:customStyle="1" w:styleId="MediumGrid1-Accent11112">
    <w:name w:val="Medium Grid 1 - Accent 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2">
    <w:name w:val="Light Grid - Accent 1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2">
    <w:name w:val="Light Grid - Accent 511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2">
    <w:name w:val="Light Grid - Accent 12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2">
    <w:name w:val="Light List - Accent 511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2">
    <w:name w:val="Light List - Accent 11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2">
    <w:name w:val="Light Grid - Accent 13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2">
    <w:name w:val="Medium Grid 1 - Accent 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2">
    <w:name w:val="Grid Table 4 - Accent 3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2">
    <w:name w:val="No List2112"/>
    <w:next w:val="NoList"/>
    <w:uiPriority w:val="99"/>
    <w:unhideWhenUsed/>
    <w:rsid w:val="00C64FC7"/>
  </w:style>
  <w:style w:type="table" w:customStyle="1" w:styleId="MediumGrid1-Accent12112">
    <w:name w:val="Medium Grid 1 - Accent 12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2">
    <w:name w:val="Light Grid - Accent 112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2">
    <w:name w:val="Light Grid - Accent 52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2">
    <w:name w:val="Light Grid - Accent 122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2">
    <w:name w:val="Light List - Accent 52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2">
    <w:name w:val="Light List - Accent 112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2">
    <w:name w:val="Light Grid - Accent 132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2">
    <w:name w:val="Medium Grid 1 - Accent 32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2">
    <w:name w:val="Grid Table 4 Accent 3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2">
    <w:name w:val="No List3112"/>
    <w:next w:val="NoList"/>
    <w:uiPriority w:val="99"/>
    <w:unhideWhenUsed/>
    <w:rsid w:val="00C64FC7"/>
  </w:style>
  <w:style w:type="table" w:customStyle="1" w:styleId="MediumGrid1-Accent13112">
    <w:name w:val="Medium Grid 1 - Accent 13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2">
    <w:name w:val="Light Grid - Accent 113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2">
    <w:name w:val="Light Grid - Accent 53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2">
    <w:name w:val="Light Grid - Accent 123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2">
    <w:name w:val="Light List - Accent 53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2">
    <w:name w:val="Light List - Accent 113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2">
    <w:name w:val="Light Grid - Accent 133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2">
    <w:name w:val="Medium Grid 1 - Accent 33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2">
    <w:name w:val="Grid Table 4 Accent 32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2">
    <w:name w:val="Table Grid11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unhideWhenUsed/>
    <w:rsid w:val="00C64FC7"/>
  </w:style>
  <w:style w:type="table" w:customStyle="1" w:styleId="MediumGrid1-Accent1512">
    <w:name w:val="Medium Grid 1 - Accent 1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2">
    <w:name w:val="Light Grid - Accent 115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2">
    <w:name w:val="Light Grid - Accent 5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2">
    <w:name w:val="Light Grid - Accent 12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2">
    <w:name w:val="Light List - Accent 5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2">
    <w:name w:val="Light List - Accent 11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2">
    <w:name w:val="Light Grid - Accent 13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2">
    <w:name w:val="Medium Grid 1 - Accent 3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2">
    <w:name w:val="No List1212"/>
    <w:next w:val="NoList"/>
    <w:uiPriority w:val="99"/>
    <w:unhideWhenUsed/>
    <w:rsid w:val="00C64FC7"/>
  </w:style>
  <w:style w:type="numbering" w:customStyle="1" w:styleId="NoList2212">
    <w:name w:val="No List2212"/>
    <w:next w:val="NoList"/>
    <w:uiPriority w:val="99"/>
    <w:unhideWhenUsed/>
    <w:rsid w:val="00C64FC7"/>
  </w:style>
  <w:style w:type="numbering" w:customStyle="1" w:styleId="NoList3212">
    <w:name w:val="No List3212"/>
    <w:next w:val="NoList"/>
    <w:uiPriority w:val="99"/>
    <w:unhideWhenUsed/>
    <w:rsid w:val="00C64FC7"/>
  </w:style>
  <w:style w:type="numbering" w:customStyle="1" w:styleId="NoList612">
    <w:name w:val="No List612"/>
    <w:next w:val="NoList"/>
    <w:uiPriority w:val="99"/>
    <w:unhideWhenUsed/>
    <w:rsid w:val="00C64FC7"/>
  </w:style>
  <w:style w:type="table" w:customStyle="1" w:styleId="MediumGrid1-Accent1612">
    <w:name w:val="Medium Grid 1 - Accent 1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2">
    <w:name w:val="Light Grid - Accent 116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2">
    <w:name w:val="Light Grid - Accent 5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2">
    <w:name w:val="Light Grid - Accent 12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2">
    <w:name w:val="Light List - Accent 5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2">
    <w:name w:val="Light List - Accent 11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2">
    <w:name w:val="Light Grid - Accent 13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2">
    <w:name w:val="Medium Grid 1 - Accent 3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2">
    <w:name w:val="No List1312"/>
    <w:next w:val="NoList"/>
    <w:uiPriority w:val="99"/>
    <w:unhideWhenUsed/>
    <w:rsid w:val="00C64FC7"/>
  </w:style>
  <w:style w:type="numbering" w:customStyle="1" w:styleId="NoList2312">
    <w:name w:val="No List2312"/>
    <w:next w:val="NoList"/>
    <w:uiPriority w:val="99"/>
    <w:unhideWhenUsed/>
    <w:rsid w:val="00C64FC7"/>
  </w:style>
  <w:style w:type="numbering" w:customStyle="1" w:styleId="NoList3312">
    <w:name w:val="No List3312"/>
    <w:next w:val="NoList"/>
    <w:uiPriority w:val="99"/>
    <w:unhideWhenUsed/>
    <w:rsid w:val="00C64FC7"/>
  </w:style>
  <w:style w:type="numbering" w:customStyle="1" w:styleId="NoList82">
    <w:name w:val="No List82"/>
    <w:next w:val="NoList"/>
    <w:uiPriority w:val="99"/>
    <w:unhideWhenUsed/>
    <w:rsid w:val="00C64FC7"/>
  </w:style>
  <w:style w:type="table" w:customStyle="1" w:styleId="TableGrid62">
    <w:name w:val="Table Grid6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2">
    <w:name w:val="Medium Grid 3 - Accent 14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2">
    <w:name w:val="Medium Grid 1 - Accent 18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2">
    <w:name w:val="Light Grid - Accent 118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2">
    <w:name w:val="Light Grid - Accent 58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2">
    <w:name w:val="Light Grid - Accent 128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2">
    <w:name w:val="Light List - Accent 58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2">
    <w:name w:val="Light List - Accent 118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2">
    <w:name w:val="Light Grid - Accent 13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2">
    <w:name w:val="Medium Grid 1 - Accent 3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2">
    <w:name w:val="No List152"/>
    <w:next w:val="NoList"/>
    <w:uiPriority w:val="99"/>
    <w:unhideWhenUsed/>
    <w:rsid w:val="00C64FC7"/>
  </w:style>
  <w:style w:type="table" w:customStyle="1" w:styleId="MediumGrid1-Accent1142">
    <w:name w:val="Medium Grid 1 - Accent 1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2">
    <w:name w:val="Light Grid - Accent 1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2">
    <w:name w:val="Light Grid - Accent 514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2">
    <w:name w:val="Light Grid - Accent 12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2">
    <w:name w:val="Light List - Accent 514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2">
    <w:name w:val="Light List - Accent 11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2">
    <w:name w:val="Light Grid - Accent 13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2">
    <w:name w:val="Medium Grid 1 - Accent 3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2">
    <w:name w:val="Grid Table 4 - Accent 3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2">
    <w:name w:val="No List252"/>
    <w:next w:val="NoList"/>
    <w:uiPriority w:val="99"/>
    <w:unhideWhenUsed/>
    <w:rsid w:val="00C64FC7"/>
  </w:style>
  <w:style w:type="table" w:customStyle="1" w:styleId="MediumGrid1-Accent1242">
    <w:name w:val="Medium Grid 1 - Accent 12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2">
    <w:name w:val="Light Grid - Accent 112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2">
    <w:name w:val="Light Grid - Accent 52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2">
    <w:name w:val="Light Grid - Accent 122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2">
    <w:name w:val="Light List - Accent 52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2">
    <w:name w:val="Light List - Accent 112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2">
    <w:name w:val="Light Grid - Accent 132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2">
    <w:name w:val="Medium Grid 1 - Accent 32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2">
    <w:name w:val="Grid Table 4 Accent 3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2">
    <w:name w:val="No List352"/>
    <w:next w:val="NoList"/>
    <w:uiPriority w:val="99"/>
    <w:unhideWhenUsed/>
    <w:rsid w:val="00C64FC7"/>
  </w:style>
  <w:style w:type="table" w:customStyle="1" w:styleId="MediumGrid1-Accent1342">
    <w:name w:val="Medium Grid 1 - Accent 13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2">
    <w:name w:val="Light Grid - Accent 113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2">
    <w:name w:val="Light Grid - Accent 53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2">
    <w:name w:val="Light Grid - Accent 123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2">
    <w:name w:val="Light List - Accent 53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2">
    <w:name w:val="Light List - Accent 113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2">
    <w:name w:val="Light Grid - Accent 133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2">
    <w:name w:val="Medium Grid 1 - Accent 33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2">
    <w:name w:val="Grid Table 4 Accent 32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2">
    <w:name w:val="Table Grid14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unhideWhenUsed/>
    <w:rsid w:val="00C64FC7"/>
  </w:style>
  <w:style w:type="table" w:customStyle="1" w:styleId="MediumGrid1-Accent1422">
    <w:name w:val="Medium Grid 1 - Accent 14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2">
    <w:name w:val="Light Grid - Accent 114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2">
    <w:name w:val="Light Grid - Accent 5422"/>
    <w:basedOn w:val="TableNormal"/>
    <w:next w:val="LightGrid-Accent5"/>
    <w:uiPriority w:val="62"/>
    <w:qFormat/>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2">
    <w:name w:val="Light Grid - Accent 124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2">
    <w:name w:val="Light List - Accent 54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2">
    <w:name w:val="Light List - Accent 114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2">
    <w:name w:val="Light Grid - Accent 134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2">
    <w:name w:val="Medium Grid 1 - Accent 34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2">
    <w:name w:val="Table Grid212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2">
    <w:name w:val="Medium Grid 3 - Accent 112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2">
    <w:name w:val="No List1122"/>
    <w:next w:val="NoList"/>
    <w:uiPriority w:val="99"/>
    <w:unhideWhenUsed/>
    <w:rsid w:val="00C64FC7"/>
  </w:style>
  <w:style w:type="table" w:customStyle="1" w:styleId="MediumGrid1-Accent11122">
    <w:name w:val="Medium Grid 1 - Accent 11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2">
    <w:name w:val="Light Grid - Accent 11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2">
    <w:name w:val="Light Grid - Accent 5112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2">
    <w:name w:val="Light Grid - Accent 12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2">
    <w:name w:val="Light List - Accent 5112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2">
    <w:name w:val="Light List - Accent 111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2">
    <w:name w:val="Light Grid - Accent 13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2">
    <w:name w:val="Medium Grid 1 - Accent 31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2">
    <w:name w:val="Grid Table 4 - Accent 31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2">
    <w:name w:val="No List2122"/>
    <w:next w:val="NoList"/>
    <w:uiPriority w:val="99"/>
    <w:unhideWhenUsed/>
    <w:rsid w:val="00C64FC7"/>
  </w:style>
  <w:style w:type="table" w:customStyle="1" w:styleId="MediumGrid1-Accent12122">
    <w:name w:val="Medium Grid 1 - Accent 12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2">
    <w:name w:val="Light Grid - Accent 1121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2">
    <w:name w:val="Light Grid - Accent 52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2">
    <w:name w:val="Light Grid - Accent 122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2">
    <w:name w:val="Light List - Accent 52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2">
    <w:name w:val="Light List - Accent 112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2">
    <w:name w:val="Light Grid - Accent 132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2">
    <w:name w:val="Medium Grid 1 - Accent 32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2">
    <w:name w:val="Grid Table 4 Accent 31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2">
    <w:name w:val="No List3122"/>
    <w:next w:val="NoList"/>
    <w:uiPriority w:val="99"/>
    <w:unhideWhenUsed/>
    <w:rsid w:val="00C64FC7"/>
  </w:style>
  <w:style w:type="table" w:customStyle="1" w:styleId="MediumGrid1-Accent13122">
    <w:name w:val="Medium Grid 1 - Accent 13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2">
    <w:name w:val="Light Grid - Accent 1131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2">
    <w:name w:val="Light Grid - Accent 53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2">
    <w:name w:val="Light Grid - Accent 123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2">
    <w:name w:val="Light List - Accent 53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2">
    <w:name w:val="Light List - Accent 113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2">
    <w:name w:val="Light Grid - Accent 133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2">
    <w:name w:val="Medium Grid 1 - Accent 33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2">
    <w:name w:val="Grid Table 4 Accent 32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2">
    <w:name w:val="Table Grid112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unhideWhenUsed/>
    <w:rsid w:val="00C64FC7"/>
  </w:style>
  <w:style w:type="table" w:customStyle="1" w:styleId="MediumGrid1-Accent1522">
    <w:name w:val="Medium Grid 1 - Accent 15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2">
    <w:name w:val="Light Grid - Accent 115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2">
    <w:name w:val="Light Grid - Accent 55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2">
    <w:name w:val="Light Grid - Accent 125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2">
    <w:name w:val="Light List - Accent 55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2">
    <w:name w:val="Light List - Accent 115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2">
    <w:name w:val="Light Grid - Accent 135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2">
    <w:name w:val="Medium Grid 1 - Accent 35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2">
    <w:name w:val="No List1222"/>
    <w:next w:val="NoList"/>
    <w:uiPriority w:val="99"/>
    <w:unhideWhenUsed/>
    <w:rsid w:val="00C64FC7"/>
  </w:style>
  <w:style w:type="numbering" w:customStyle="1" w:styleId="NoList2222">
    <w:name w:val="No List2222"/>
    <w:next w:val="NoList"/>
    <w:uiPriority w:val="99"/>
    <w:unhideWhenUsed/>
    <w:rsid w:val="00C64FC7"/>
  </w:style>
  <w:style w:type="numbering" w:customStyle="1" w:styleId="NoList3222">
    <w:name w:val="No List3222"/>
    <w:next w:val="NoList"/>
    <w:uiPriority w:val="99"/>
    <w:unhideWhenUsed/>
    <w:rsid w:val="00C64FC7"/>
  </w:style>
  <w:style w:type="numbering" w:customStyle="1" w:styleId="NoList622">
    <w:name w:val="No List622"/>
    <w:next w:val="NoList"/>
    <w:uiPriority w:val="99"/>
    <w:unhideWhenUsed/>
    <w:rsid w:val="00C64FC7"/>
  </w:style>
  <w:style w:type="table" w:customStyle="1" w:styleId="MediumGrid1-Accent1622">
    <w:name w:val="Medium Grid 1 - Accent 16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2">
    <w:name w:val="Light Grid - Accent 116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2">
    <w:name w:val="Light Grid - Accent 56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2">
    <w:name w:val="Light Grid - Accent 126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2">
    <w:name w:val="Light List - Accent 56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2">
    <w:name w:val="Light List - Accent 116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2">
    <w:name w:val="Light Grid - Accent 136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2">
    <w:name w:val="Medium Grid 1 - Accent 36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2">
    <w:name w:val="No List1322"/>
    <w:next w:val="NoList"/>
    <w:uiPriority w:val="99"/>
    <w:unhideWhenUsed/>
    <w:rsid w:val="00C64FC7"/>
  </w:style>
  <w:style w:type="numbering" w:customStyle="1" w:styleId="NoList2322">
    <w:name w:val="No List2322"/>
    <w:next w:val="NoList"/>
    <w:uiPriority w:val="99"/>
    <w:unhideWhenUsed/>
    <w:rsid w:val="00C64FC7"/>
  </w:style>
  <w:style w:type="numbering" w:customStyle="1" w:styleId="NoList3322">
    <w:name w:val="No List3322"/>
    <w:next w:val="NoList"/>
    <w:uiPriority w:val="99"/>
    <w:unhideWhenUsed/>
    <w:rsid w:val="00C64FC7"/>
  </w:style>
  <w:style w:type="numbering" w:customStyle="1" w:styleId="NoList92">
    <w:name w:val="No List92"/>
    <w:next w:val="NoList"/>
    <w:uiPriority w:val="99"/>
    <w:unhideWhenUsed/>
    <w:rsid w:val="00C64FC7"/>
  </w:style>
  <w:style w:type="table" w:customStyle="1" w:styleId="TableGrid72">
    <w:name w:val="Table Grid7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2">
    <w:name w:val="Medium Grid 3 - Accent 15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2">
    <w:name w:val="Medium Grid 1 - Accent 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2">
    <w:name w:val="Light Grid - Accent 119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2">
    <w:name w:val="Light Grid - Accent 5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2">
    <w:name w:val="Light Grid - Accent 129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2">
    <w:name w:val="Light List - Accent 5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2">
    <w:name w:val="Light List - Accent 119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2">
    <w:name w:val="Light Grid - Accent 139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2">
    <w:name w:val="Medium Grid 1 - Accent 39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2">
    <w:name w:val="No List162"/>
    <w:next w:val="NoList"/>
    <w:uiPriority w:val="99"/>
    <w:unhideWhenUsed/>
    <w:rsid w:val="00C64FC7"/>
  </w:style>
  <w:style w:type="table" w:customStyle="1" w:styleId="MediumGrid1-Accent1152">
    <w:name w:val="Medium Grid 1 - Accent 1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2">
    <w:name w:val="Light Grid - Accent 1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2">
    <w:name w:val="Light Grid - Accent 515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2">
    <w:name w:val="Light Grid - Accent 12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2">
    <w:name w:val="Light List - Accent 515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2">
    <w:name w:val="Light List - Accent 11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2">
    <w:name w:val="Light Grid - Accent 13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2">
    <w:name w:val="Medium Grid 1 - Accent 3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2">
    <w:name w:val="Grid Table 4 - Accent 3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2">
    <w:name w:val="No List262"/>
    <w:next w:val="NoList"/>
    <w:uiPriority w:val="99"/>
    <w:unhideWhenUsed/>
    <w:rsid w:val="00C64FC7"/>
  </w:style>
  <w:style w:type="table" w:customStyle="1" w:styleId="MediumGrid1-Accent1252">
    <w:name w:val="Medium Grid 1 - Accent 12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2">
    <w:name w:val="Light Grid - Accent 112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2">
    <w:name w:val="Light Grid - Accent 52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2">
    <w:name w:val="Light Grid - Accent 122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2">
    <w:name w:val="Light List - Accent 52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2">
    <w:name w:val="Light List - Accent 112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2">
    <w:name w:val="Light Grid - Accent 132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2">
    <w:name w:val="Medium Grid 1 - Accent 32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2">
    <w:name w:val="Grid Table 4 Accent 3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2">
    <w:name w:val="No List362"/>
    <w:next w:val="NoList"/>
    <w:uiPriority w:val="99"/>
    <w:unhideWhenUsed/>
    <w:rsid w:val="00C64FC7"/>
  </w:style>
  <w:style w:type="table" w:customStyle="1" w:styleId="MediumGrid1-Accent1352">
    <w:name w:val="Medium Grid 1 - Accent 13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2">
    <w:name w:val="Light Grid - Accent 113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2">
    <w:name w:val="Light Grid - Accent 53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2">
    <w:name w:val="Light Grid - Accent 123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2">
    <w:name w:val="Light List - Accent 53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2">
    <w:name w:val="Light List - Accent 113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2">
    <w:name w:val="Light Grid - Accent 133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2">
    <w:name w:val="Medium Grid 1 - Accent 33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2">
    <w:name w:val="Grid Table 4 Accent 32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2">
    <w:name w:val="Table Grid15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unhideWhenUsed/>
    <w:rsid w:val="00C64FC7"/>
  </w:style>
  <w:style w:type="table" w:customStyle="1" w:styleId="MediumGrid1-Accent1432">
    <w:name w:val="Medium Grid 1 - Accent 14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2">
    <w:name w:val="Light Grid - Accent 114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2">
    <w:name w:val="Light Grid - Accent 54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2">
    <w:name w:val="Light Grid - Accent 124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2">
    <w:name w:val="Light List - Accent 54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2">
    <w:name w:val="Light List - Accent 114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2">
    <w:name w:val="Light Grid - Accent 134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2">
    <w:name w:val="Medium Grid 1 - Accent 34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2">
    <w:name w:val="Table Grid213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2">
    <w:name w:val="Medium Grid 3 - Accent 113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2">
    <w:name w:val="No List1132"/>
    <w:next w:val="NoList"/>
    <w:uiPriority w:val="99"/>
    <w:unhideWhenUsed/>
    <w:rsid w:val="00C64FC7"/>
  </w:style>
  <w:style w:type="table" w:customStyle="1" w:styleId="MediumGrid1-Accent11132">
    <w:name w:val="Medium Grid 1 - Accent 11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2">
    <w:name w:val="Light Grid - Accent 11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2">
    <w:name w:val="Light Grid - Accent 5113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2">
    <w:name w:val="Light Grid - Accent 12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2">
    <w:name w:val="Light List - Accent 5113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2">
    <w:name w:val="Light List - Accent 111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2">
    <w:name w:val="Light Grid - Accent 13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2">
    <w:name w:val="Medium Grid 1 - Accent 31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2">
    <w:name w:val="Grid Table 4 - Accent 31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2">
    <w:name w:val="No List2132"/>
    <w:next w:val="NoList"/>
    <w:uiPriority w:val="99"/>
    <w:unhideWhenUsed/>
    <w:rsid w:val="00C64FC7"/>
  </w:style>
  <w:style w:type="table" w:customStyle="1" w:styleId="MediumGrid1-Accent12132">
    <w:name w:val="Medium Grid 1 - Accent 12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2">
    <w:name w:val="Light Grid - Accent 1121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2">
    <w:name w:val="Light Grid - Accent 52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2">
    <w:name w:val="Light Grid - Accent 122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2">
    <w:name w:val="Light List - Accent 52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2">
    <w:name w:val="Light List - Accent 112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2">
    <w:name w:val="Light Grid - Accent 132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2">
    <w:name w:val="Medium Grid 1 - Accent 32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2">
    <w:name w:val="Grid Table 4 Accent 31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2">
    <w:name w:val="No List3132"/>
    <w:next w:val="NoList"/>
    <w:uiPriority w:val="99"/>
    <w:unhideWhenUsed/>
    <w:rsid w:val="00C64FC7"/>
  </w:style>
  <w:style w:type="table" w:customStyle="1" w:styleId="MediumGrid1-Accent13132">
    <w:name w:val="Medium Grid 1 - Accent 13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2">
    <w:name w:val="Light Grid - Accent 1131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2">
    <w:name w:val="Light Grid - Accent 53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2">
    <w:name w:val="Light Grid - Accent 123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2">
    <w:name w:val="Light List - Accent 53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2">
    <w:name w:val="Light List - Accent 113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2">
    <w:name w:val="Light Grid - Accent 133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2">
    <w:name w:val="Medium Grid 1 - Accent 33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2">
    <w:name w:val="Grid Table 4 Accent 32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2">
    <w:name w:val="Table Grid113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unhideWhenUsed/>
    <w:rsid w:val="00C64FC7"/>
  </w:style>
  <w:style w:type="table" w:customStyle="1" w:styleId="MediumGrid1-Accent1532">
    <w:name w:val="Medium Grid 1 - Accent 15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2">
    <w:name w:val="Light Grid - Accent 115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2">
    <w:name w:val="Light Grid - Accent 55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2">
    <w:name w:val="Light Grid - Accent 125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2">
    <w:name w:val="Light List - Accent 55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2">
    <w:name w:val="Light List - Accent 115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2">
    <w:name w:val="Light Grid - Accent 135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2">
    <w:name w:val="Medium Grid 1 - Accent 35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2">
    <w:name w:val="No List1232"/>
    <w:next w:val="NoList"/>
    <w:uiPriority w:val="99"/>
    <w:unhideWhenUsed/>
    <w:rsid w:val="00C64FC7"/>
  </w:style>
  <w:style w:type="numbering" w:customStyle="1" w:styleId="NoList2232">
    <w:name w:val="No List2232"/>
    <w:next w:val="NoList"/>
    <w:uiPriority w:val="99"/>
    <w:unhideWhenUsed/>
    <w:rsid w:val="00C64FC7"/>
  </w:style>
  <w:style w:type="numbering" w:customStyle="1" w:styleId="NoList3232">
    <w:name w:val="No List3232"/>
    <w:next w:val="NoList"/>
    <w:uiPriority w:val="99"/>
    <w:unhideWhenUsed/>
    <w:rsid w:val="00C64FC7"/>
  </w:style>
  <w:style w:type="numbering" w:customStyle="1" w:styleId="NoList632">
    <w:name w:val="No List632"/>
    <w:next w:val="NoList"/>
    <w:uiPriority w:val="99"/>
    <w:unhideWhenUsed/>
    <w:rsid w:val="00C64FC7"/>
  </w:style>
  <w:style w:type="table" w:customStyle="1" w:styleId="MediumGrid1-Accent1632">
    <w:name w:val="Medium Grid 1 - Accent 16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2">
    <w:name w:val="Light Grid - Accent 116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2">
    <w:name w:val="Light Grid - Accent 56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2">
    <w:name w:val="Light Grid - Accent 126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2">
    <w:name w:val="Light List - Accent 56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2">
    <w:name w:val="Light List - Accent 116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2">
    <w:name w:val="Light Grid - Accent 136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2">
    <w:name w:val="Medium Grid 1 - Accent 36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2">
    <w:name w:val="No List1332"/>
    <w:next w:val="NoList"/>
    <w:uiPriority w:val="99"/>
    <w:unhideWhenUsed/>
    <w:rsid w:val="00C64FC7"/>
  </w:style>
  <w:style w:type="numbering" w:customStyle="1" w:styleId="NoList2332">
    <w:name w:val="No List2332"/>
    <w:next w:val="NoList"/>
    <w:uiPriority w:val="99"/>
    <w:unhideWhenUsed/>
    <w:rsid w:val="00C64FC7"/>
  </w:style>
  <w:style w:type="numbering" w:customStyle="1" w:styleId="NoList3332">
    <w:name w:val="No List3332"/>
    <w:next w:val="NoList"/>
    <w:uiPriority w:val="99"/>
    <w:unhideWhenUsed/>
    <w:rsid w:val="00C64FC7"/>
  </w:style>
  <w:style w:type="numbering" w:customStyle="1" w:styleId="NoList102">
    <w:name w:val="No List102"/>
    <w:next w:val="NoList"/>
    <w:uiPriority w:val="99"/>
    <w:unhideWhenUsed/>
    <w:rsid w:val="00C64FC7"/>
  </w:style>
  <w:style w:type="table" w:customStyle="1" w:styleId="TableGrid82">
    <w:name w:val="Table Grid8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2">
    <w:name w:val="Medium Grid 3 - Accent 16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2">
    <w:name w:val="Medium Grid 1 - Accent 110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2">
    <w:name w:val="Light Grid - Accent 1110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2">
    <w:name w:val="Light Grid - Accent 510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2">
    <w:name w:val="Light Grid - Accent 1210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2">
    <w:name w:val="Light List - Accent 510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2">
    <w:name w:val="Light List - Accent 1110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2">
    <w:name w:val="Light Grid - Accent 13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2">
    <w:name w:val="Medium Grid 1 - Accent 310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2">
    <w:name w:val="No List172"/>
    <w:next w:val="NoList"/>
    <w:uiPriority w:val="99"/>
    <w:unhideWhenUsed/>
    <w:rsid w:val="00C64FC7"/>
  </w:style>
  <w:style w:type="table" w:customStyle="1" w:styleId="MediumGrid1-Accent1162">
    <w:name w:val="Medium Grid 1 - Accent 1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2">
    <w:name w:val="Light Grid - Accent 1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2">
    <w:name w:val="Light Grid - Accent 516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2">
    <w:name w:val="Light Grid - Accent 12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2">
    <w:name w:val="Light List - Accent 516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2">
    <w:name w:val="Light List - Accent 11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2">
    <w:name w:val="Light Grid - Accent 13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2">
    <w:name w:val="Medium Grid 1 - Accent 3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2">
    <w:name w:val="Grid Table 4 - Accent 3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2">
    <w:name w:val="No List272"/>
    <w:next w:val="NoList"/>
    <w:uiPriority w:val="99"/>
    <w:unhideWhenUsed/>
    <w:rsid w:val="00C64FC7"/>
  </w:style>
  <w:style w:type="table" w:customStyle="1" w:styleId="MediumGrid1-Accent1262">
    <w:name w:val="Medium Grid 1 - Accent 12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2">
    <w:name w:val="Light Grid - Accent 112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2">
    <w:name w:val="Light Grid - Accent 52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2">
    <w:name w:val="Light Grid - Accent 122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2">
    <w:name w:val="Light List - Accent 52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2">
    <w:name w:val="Light List - Accent 112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2">
    <w:name w:val="Light Grid - Accent 132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2">
    <w:name w:val="Medium Grid 1 - Accent 32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2">
    <w:name w:val="Grid Table 4 Accent 3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2">
    <w:name w:val="No List372"/>
    <w:next w:val="NoList"/>
    <w:uiPriority w:val="99"/>
    <w:unhideWhenUsed/>
    <w:rsid w:val="00C64FC7"/>
  </w:style>
  <w:style w:type="table" w:customStyle="1" w:styleId="MediumGrid1-Accent1362">
    <w:name w:val="Medium Grid 1 - Accent 13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2">
    <w:name w:val="Light Grid - Accent 113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2">
    <w:name w:val="Light Grid - Accent 53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2">
    <w:name w:val="Light Grid - Accent 123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2">
    <w:name w:val="Light List - Accent 53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2">
    <w:name w:val="Light List - Accent 113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2">
    <w:name w:val="Light Grid - Accent 133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2">
    <w:name w:val="Medium Grid 1 - Accent 33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2">
    <w:name w:val="Grid Table 4 Accent 32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2">
    <w:name w:val="Table Grid16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unhideWhenUsed/>
    <w:rsid w:val="00C64FC7"/>
  </w:style>
  <w:style w:type="table" w:customStyle="1" w:styleId="MediumGrid1-Accent1442">
    <w:name w:val="Medium Grid 1 - Accent 14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2">
    <w:name w:val="Light Grid - Accent 114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2">
    <w:name w:val="Light Grid - Accent 54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2">
    <w:name w:val="Light Grid - Accent 124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2">
    <w:name w:val="Light List - Accent 54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2">
    <w:name w:val="Light List - Accent 114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2">
    <w:name w:val="Light Grid - Accent 134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2">
    <w:name w:val="Medium Grid 1 - Accent 34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2">
    <w:name w:val="Table Grid214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2">
    <w:name w:val="Medium Grid 3 - Accent 114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2">
    <w:name w:val="No List1142"/>
    <w:next w:val="NoList"/>
    <w:uiPriority w:val="99"/>
    <w:unhideWhenUsed/>
    <w:rsid w:val="00C64FC7"/>
  </w:style>
  <w:style w:type="table" w:customStyle="1" w:styleId="MediumGrid1-Accent11142">
    <w:name w:val="Medium Grid 1 - Accent 11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2">
    <w:name w:val="Light Grid - Accent 11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2">
    <w:name w:val="Light Grid - Accent 5114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2">
    <w:name w:val="Light Grid - Accent 12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2">
    <w:name w:val="Light List - Accent 5114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2">
    <w:name w:val="Light List - Accent 111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2">
    <w:name w:val="Light Grid - Accent 13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2">
    <w:name w:val="Medium Grid 1 - Accent 31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2">
    <w:name w:val="Grid Table 4 - Accent 31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2">
    <w:name w:val="No List2142"/>
    <w:next w:val="NoList"/>
    <w:uiPriority w:val="99"/>
    <w:unhideWhenUsed/>
    <w:rsid w:val="00C64FC7"/>
  </w:style>
  <w:style w:type="table" w:customStyle="1" w:styleId="MediumGrid1-Accent12142">
    <w:name w:val="Medium Grid 1 - Accent 12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2">
    <w:name w:val="Light Grid - Accent 1121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2">
    <w:name w:val="Light Grid - Accent 52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2">
    <w:name w:val="Light Grid - Accent 122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2">
    <w:name w:val="Light List - Accent 52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2">
    <w:name w:val="Light List - Accent 112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2">
    <w:name w:val="Light Grid - Accent 132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2">
    <w:name w:val="Medium Grid 1 - Accent 32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2">
    <w:name w:val="Grid Table 4 Accent 31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2">
    <w:name w:val="No List3142"/>
    <w:next w:val="NoList"/>
    <w:uiPriority w:val="99"/>
    <w:unhideWhenUsed/>
    <w:rsid w:val="00C64FC7"/>
  </w:style>
  <w:style w:type="table" w:customStyle="1" w:styleId="MediumGrid1-Accent13142">
    <w:name w:val="Medium Grid 1 - Accent 13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2">
    <w:name w:val="Light Grid - Accent 1131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2">
    <w:name w:val="Light Grid - Accent 53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2">
    <w:name w:val="Light Grid - Accent 123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2">
    <w:name w:val="Light List - Accent 53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2">
    <w:name w:val="Light List - Accent 113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2">
    <w:name w:val="Light Grid - Accent 133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2">
    <w:name w:val="Medium Grid 1 - Accent 33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2">
    <w:name w:val="Grid Table 4 Accent 32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2">
    <w:name w:val="Table Grid114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unhideWhenUsed/>
    <w:rsid w:val="00C64FC7"/>
  </w:style>
  <w:style w:type="table" w:customStyle="1" w:styleId="MediumGrid1-Accent1542">
    <w:name w:val="Medium Grid 1 - Accent 15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2">
    <w:name w:val="Light Grid - Accent 115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2">
    <w:name w:val="Light Grid - Accent 55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2">
    <w:name w:val="Light Grid - Accent 125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2">
    <w:name w:val="Light List - Accent 55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2">
    <w:name w:val="Light List - Accent 115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2">
    <w:name w:val="Light Grid - Accent 135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2">
    <w:name w:val="Medium Grid 1 - Accent 35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2">
    <w:name w:val="No List1242"/>
    <w:next w:val="NoList"/>
    <w:uiPriority w:val="99"/>
    <w:unhideWhenUsed/>
    <w:rsid w:val="00C64FC7"/>
  </w:style>
  <w:style w:type="numbering" w:customStyle="1" w:styleId="NoList2242">
    <w:name w:val="No List2242"/>
    <w:next w:val="NoList"/>
    <w:uiPriority w:val="99"/>
    <w:unhideWhenUsed/>
    <w:rsid w:val="00C64FC7"/>
  </w:style>
  <w:style w:type="numbering" w:customStyle="1" w:styleId="NoList3242">
    <w:name w:val="No List3242"/>
    <w:next w:val="NoList"/>
    <w:uiPriority w:val="99"/>
    <w:unhideWhenUsed/>
    <w:rsid w:val="00C64FC7"/>
  </w:style>
  <w:style w:type="numbering" w:customStyle="1" w:styleId="NoList642">
    <w:name w:val="No List642"/>
    <w:next w:val="NoList"/>
    <w:uiPriority w:val="99"/>
    <w:unhideWhenUsed/>
    <w:rsid w:val="00C64FC7"/>
  </w:style>
  <w:style w:type="table" w:customStyle="1" w:styleId="MediumGrid1-Accent1642">
    <w:name w:val="Medium Grid 1 - Accent 16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2">
    <w:name w:val="Light Grid - Accent 116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2">
    <w:name w:val="Light Grid - Accent 56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2">
    <w:name w:val="Light Grid - Accent 126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2">
    <w:name w:val="Light List - Accent 56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2">
    <w:name w:val="Light List - Accent 116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2">
    <w:name w:val="Light Grid - Accent 136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2">
    <w:name w:val="Medium Grid 1 - Accent 36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2">
    <w:name w:val="No List1342"/>
    <w:next w:val="NoList"/>
    <w:uiPriority w:val="99"/>
    <w:unhideWhenUsed/>
    <w:rsid w:val="00C64FC7"/>
  </w:style>
  <w:style w:type="numbering" w:customStyle="1" w:styleId="NoList2342">
    <w:name w:val="No List2342"/>
    <w:next w:val="NoList"/>
    <w:uiPriority w:val="99"/>
    <w:unhideWhenUsed/>
    <w:rsid w:val="00C64FC7"/>
  </w:style>
  <w:style w:type="numbering" w:customStyle="1" w:styleId="NoList3342">
    <w:name w:val="No List3342"/>
    <w:next w:val="NoList"/>
    <w:uiPriority w:val="99"/>
    <w:unhideWhenUsed/>
    <w:rsid w:val="00C64FC7"/>
  </w:style>
  <w:style w:type="numbering" w:customStyle="1" w:styleId="NoList182">
    <w:name w:val="No List182"/>
    <w:next w:val="NoList"/>
    <w:uiPriority w:val="99"/>
    <w:unhideWhenUsed/>
    <w:rsid w:val="00C64FC7"/>
  </w:style>
  <w:style w:type="table" w:customStyle="1" w:styleId="TableGrid92">
    <w:name w:val="Table Grid9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2">
    <w:name w:val="Medium Grid 3 - Accent 17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2">
    <w:name w:val="Medium Grid 1 - Accent 1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2">
    <w:name w:val="Light Grid - Accent 1117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2">
    <w:name w:val="Light Grid - Accent 51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2">
    <w:name w:val="Light Grid - Accent 1217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2">
    <w:name w:val="Light List - Accent 51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2">
    <w:name w:val="Light List - Accent 1117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2">
    <w:name w:val="Light Grid - Accent 131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2">
    <w:name w:val="Medium Grid 1 - Accent 31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2">
    <w:name w:val="No List192"/>
    <w:next w:val="NoList"/>
    <w:uiPriority w:val="99"/>
    <w:unhideWhenUsed/>
    <w:rsid w:val="00C64FC7"/>
  </w:style>
  <w:style w:type="table" w:customStyle="1" w:styleId="MediumGrid1-Accent1182">
    <w:name w:val="Medium Grid 1 - Accent 118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2">
    <w:name w:val="Light Grid - Accent 111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2">
    <w:name w:val="Light Grid - Accent 518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2">
    <w:name w:val="Light Grid - Accent 121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2">
    <w:name w:val="Light List - Accent 518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2">
    <w:name w:val="Light List - Accent 1118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2">
    <w:name w:val="Light Grid - Accent 131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2">
    <w:name w:val="Medium Grid 1 - Accent 31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2">
    <w:name w:val="Grid Table 4 - Accent 317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2">
    <w:name w:val="No List282"/>
    <w:next w:val="NoList"/>
    <w:uiPriority w:val="99"/>
    <w:unhideWhenUsed/>
    <w:rsid w:val="00C64FC7"/>
  </w:style>
  <w:style w:type="table" w:customStyle="1" w:styleId="MediumGrid1-Accent1272">
    <w:name w:val="Medium Grid 1 - Accent 127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2">
    <w:name w:val="Light Grid - Accent 1127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2">
    <w:name w:val="Light Grid - Accent 52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2">
    <w:name w:val="Light Grid - Accent 122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2">
    <w:name w:val="Light List - Accent 52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2">
    <w:name w:val="Light List - Accent 1127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2">
    <w:name w:val="Light Grid - Accent 132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2">
    <w:name w:val="Medium Grid 1 - Accent 32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2">
    <w:name w:val="Grid Table 4 Accent 317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2">
    <w:name w:val="No List382"/>
    <w:next w:val="NoList"/>
    <w:uiPriority w:val="99"/>
    <w:unhideWhenUsed/>
    <w:rsid w:val="00C64FC7"/>
  </w:style>
  <w:style w:type="table" w:customStyle="1" w:styleId="MediumGrid1-Accent1372">
    <w:name w:val="Medium Grid 1 - Accent 137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2">
    <w:name w:val="Light Grid - Accent 1137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2">
    <w:name w:val="Light Grid - Accent 53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2">
    <w:name w:val="Light Grid - Accent 123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2">
    <w:name w:val="Light List - Accent 53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2">
    <w:name w:val="Light List - Accent 1137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2">
    <w:name w:val="Light Grid - Accent 133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2">
    <w:name w:val="Medium Grid 1 - Accent 33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2">
    <w:name w:val="Grid Table 4 Accent 327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2">
    <w:name w:val="Table Grid17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unhideWhenUsed/>
    <w:rsid w:val="00C64FC7"/>
  </w:style>
  <w:style w:type="table" w:customStyle="1" w:styleId="MediumGrid1-Accent1452">
    <w:name w:val="Medium Grid 1 - Accent 14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2">
    <w:name w:val="Light Grid - Accent 114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2">
    <w:name w:val="Light Grid - Accent 54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2">
    <w:name w:val="Light Grid - Accent 124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2">
    <w:name w:val="Light List - Accent 54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2">
    <w:name w:val="Light List - Accent 114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2">
    <w:name w:val="Light Grid - Accent 134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2">
    <w:name w:val="Medium Grid 1 - Accent 34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2">
    <w:name w:val="Table Grid215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2">
    <w:name w:val="Medium Grid 3 - Accent 115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2">
    <w:name w:val="No List1152"/>
    <w:next w:val="NoList"/>
    <w:uiPriority w:val="99"/>
    <w:unhideWhenUsed/>
    <w:rsid w:val="00C64FC7"/>
  </w:style>
  <w:style w:type="table" w:customStyle="1" w:styleId="MediumGrid1-Accent11152">
    <w:name w:val="Medium Grid 1 - Accent 11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2">
    <w:name w:val="Light Grid - Accent 11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2">
    <w:name w:val="Light Grid - Accent 5115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2">
    <w:name w:val="Light Grid - Accent 12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2">
    <w:name w:val="Light List - Accent 5115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2">
    <w:name w:val="Light List - Accent 111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2">
    <w:name w:val="Light Grid - Accent 13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2">
    <w:name w:val="Medium Grid 1 - Accent 31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2">
    <w:name w:val="Grid Table 4 - Accent 31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2">
    <w:name w:val="No List2152"/>
    <w:next w:val="NoList"/>
    <w:uiPriority w:val="99"/>
    <w:unhideWhenUsed/>
    <w:rsid w:val="00C64FC7"/>
  </w:style>
  <w:style w:type="table" w:customStyle="1" w:styleId="MediumGrid1-Accent12152">
    <w:name w:val="Medium Grid 1 - Accent 12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2">
    <w:name w:val="Light Grid - Accent 1121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2">
    <w:name w:val="Light Grid - Accent 52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2">
    <w:name w:val="Light Grid - Accent 122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2">
    <w:name w:val="Light List - Accent 52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2">
    <w:name w:val="Light List - Accent 112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2">
    <w:name w:val="Light Grid - Accent 132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2">
    <w:name w:val="Medium Grid 1 - Accent 32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2">
    <w:name w:val="Grid Table 4 Accent 31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2">
    <w:name w:val="No List3152"/>
    <w:next w:val="NoList"/>
    <w:uiPriority w:val="99"/>
    <w:unhideWhenUsed/>
    <w:rsid w:val="00C64FC7"/>
  </w:style>
  <w:style w:type="table" w:customStyle="1" w:styleId="MediumGrid1-Accent13152">
    <w:name w:val="Medium Grid 1 - Accent 13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2">
    <w:name w:val="Light Grid - Accent 1131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2">
    <w:name w:val="Light Grid - Accent 53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2">
    <w:name w:val="Light Grid - Accent 123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2">
    <w:name w:val="Light List - Accent 53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2">
    <w:name w:val="Light List - Accent 113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2">
    <w:name w:val="Light Grid - Accent 133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2">
    <w:name w:val="Medium Grid 1 - Accent 33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2">
    <w:name w:val="Grid Table 4 Accent 32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2">
    <w:name w:val="Table Grid115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unhideWhenUsed/>
    <w:rsid w:val="00C64FC7"/>
  </w:style>
  <w:style w:type="table" w:customStyle="1" w:styleId="MediumGrid1-Accent1552">
    <w:name w:val="Medium Grid 1 - Accent 15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2">
    <w:name w:val="Light Grid - Accent 115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2">
    <w:name w:val="Light Grid - Accent 55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2">
    <w:name w:val="Light Grid - Accent 125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2">
    <w:name w:val="Light List - Accent 55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2">
    <w:name w:val="Light List - Accent 115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2">
    <w:name w:val="Light Grid - Accent 135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2">
    <w:name w:val="Medium Grid 1 - Accent 35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2">
    <w:name w:val="No List1252"/>
    <w:next w:val="NoList"/>
    <w:uiPriority w:val="99"/>
    <w:unhideWhenUsed/>
    <w:rsid w:val="00C64FC7"/>
  </w:style>
  <w:style w:type="numbering" w:customStyle="1" w:styleId="NoList2252">
    <w:name w:val="No List2252"/>
    <w:next w:val="NoList"/>
    <w:uiPriority w:val="99"/>
    <w:unhideWhenUsed/>
    <w:rsid w:val="00C64FC7"/>
  </w:style>
  <w:style w:type="numbering" w:customStyle="1" w:styleId="NoList3252">
    <w:name w:val="No List3252"/>
    <w:next w:val="NoList"/>
    <w:uiPriority w:val="99"/>
    <w:unhideWhenUsed/>
    <w:rsid w:val="00C64FC7"/>
  </w:style>
  <w:style w:type="numbering" w:customStyle="1" w:styleId="NoList652">
    <w:name w:val="No List652"/>
    <w:next w:val="NoList"/>
    <w:uiPriority w:val="99"/>
    <w:unhideWhenUsed/>
    <w:rsid w:val="00C64FC7"/>
  </w:style>
  <w:style w:type="table" w:customStyle="1" w:styleId="MediumGrid1-Accent1652">
    <w:name w:val="Medium Grid 1 - Accent 16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2">
    <w:name w:val="Light Grid - Accent 116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2">
    <w:name w:val="Light Grid - Accent 56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2">
    <w:name w:val="Light Grid - Accent 126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2">
    <w:name w:val="Light List - Accent 56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2">
    <w:name w:val="Light List - Accent 116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2">
    <w:name w:val="Light Grid - Accent 136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2">
    <w:name w:val="Medium Grid 1 - Accent 36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2">
    <w:name w:val="No List1352"/>
    <w:next w:val="NoList"/>
    <w:uiPriority w:val="99"/>
    <w:unhideWhenUsed/>
    <w:rsid w:val="00C64FC7"/>
  </w:style>
  <w:style w:type="numbering" w:customStyle="1" w:styleId="NoList2352">
    <w:name w:val="No List2352"/>
    <w:next w:val="NoList"/>
    <w:uiPriority w:val="99"/>
    <w:unhideWhenUsed/>
    <w:rsid w:val="00C64FC7"/>
  </w:style>
  <w:style w:type="numbering" w:customStyle="1" w:styleId="NoList3352">
    <w:name w:val="No List3352"/>
    <w:next w:val="NoList"/>
    <w:uiPriority w:val="99"/>
    <w:unhideWhenUsed/>
    <w:rsid w:val="00C64FC7"/>
  </w:style>
  <w:style w:type="numbering" w:customStyle="1" w:styleId="NoList201">
    <w:name w:val="No List201"/>
    <w:next w:val="NoList"/>
    <w:uiPriority w:val="99"/>
    <w:unhideWhenUsed/>
    <w:rsid w:val="00C64FC7"/>
  </w:style>
  <w:style w:type="table" w:customStyle="1" w:styleId="TableGrid101">
    <w:name w:val="Table Grid10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81">
    <w:name w:val="Medium Grid 3 - Accent 18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1">
    <w:name w:val="Medium Grid 1 - Accent 119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1">
    <w:name w:val="Light Grid - Accent 1119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1">
    <w:name w:val="Light Grid - Accent 519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1">
    <w:name w:val="Light Grid - Accent 1219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1">
    <w:name w:val="Light List - Accent 519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1">
    <w:name w:val="Light List - Accent 1119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1">
    <w:name w:val="Light Grid - Accent 1319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1">
    <w:name w:val="Medium Grid 1 - Accent 319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1">
    <w:name w:val="No List1101"/>
    <w:next w:val="NoList"/>
    <w:uiPriority w:val="99"/>
    <w:unhideWhenUsed/>
    <w:rsid w:val="00C64FC7"/>
  </w:style>
  <w:style w:type="table" w:customStyle="1" w:styleId="MediumGrid1-Accent11101">
    <w:name w:val="Medium Grid 1 - Accent 1110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1">
    <w:name w:val="Light Grid - Accent 11110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1">
    <w:name w:val="Light Grid - Accent 5110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1">
    <w:name w:val="Light Grid - Accent 12110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1">
    <w:name w:val="Light List - Accent 5110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1">
    <w:name w:val="Light List - Accent 11110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1">
    <w:name w:val="Light Grid - Accent 13110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1">
    <w:name w:val="Medium Grid 1 - Accent 3110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1">
    <w:name w:val="Grid Table 4 - Accent 318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1">
    <w:name w:val="No List291"/>
    <w:next w:val="NoList"/>
    <w:uiPriority w:val="99"/>
    <w:unhideWhenUsed/>
    <w:rsid w:val="00C64FC7"/>
  </w:style>
  <w:style w:type="table" w:customStyle="1" w:styleId="MediumGrid1-Accent1281">
    <w:name w:val="Medium Grid 1 - Accent 128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1">
    <w:name w:val="Light Grid - Accent 1128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1">
    <w:name w:val="Light Grid - Accent 52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1">
    <w:name w:val="Light Grid - Accent 122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1">
    <w:name w:val="Light List - Accent 52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1">
    <w:name w:val="Light List - Accent 1128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1">
    <w:name w:val="Light Grid - Accent 132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1">
    <w:name w:val="Medium Grid 1 - Accent 328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1">
    <w:name w:val="Grid Table 4 Accent 318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1">
    <w:name w:val="No List391"/>
    <w:next w:val="NoList"/>
    <w:uiPriority w:val="99"/>
    <w:unhideWhenUsed/>
    <w:rsid w:val="00C64FC7"/>
  </w:style>
  <w:style w:type="table" w:customStyle="1" w:styleId="MediumGrid1-Accent1381">
    <w:name w:val="Medium Grid 1 - Accent 138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1">
    <w:name w:val="Light Grid - Accent 1138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1">
    <w:name w:val="Light Grid - Accent 53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1">
    <w:name w:val="Light Grid - Accent 123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1">
    <w:name w:val="Light List - Accent 53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1">
    <w:name w:val="Light List - Accent 1138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1">
    <w:name w:val="Light Grid - Accent 133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1">
    <w:name w:val="Medium Grid 1 - Accent 338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1">
    <w:name w:val="Grid Table 4 Accent 328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1">
    <w:name w:val="Table Grid18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unhideWhenUsed/>
    <w:rsid w:val="00C64FC7"/>
  </w:style>
  <w:style w:type="table" w:customStyle="1" w:styleId="MediumGrid1-Accent1461">
    <w:name w:val="Medium Grid 1 - Accent 14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1">
    <w:name w:val="Light Grid - Accent 114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1">
    <w:name w:val="Light Grid - Accent 54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1">
    <w:name w:val="Light Grid - Accent 124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1">
    <w:name w:val="Light List - Accent 54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1">
    <w:name w:val="Light List - Accent 114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1">
    <w:name w:val="Light Grid - Accent 134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1">
    <w:name w:val="Medium Grid 1 - Accent 34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1">
    <w:name w:val="Table Grid3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61">
    <w:name w:val="Medium Grid 3 - Accent 116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1">
    <w:name w:val="No List1161"/>
    <w:next w:val="NoList"/>
    <w:uiPriority w:val="99"/>
    <w:unhideWhenUsed/>
    <w:rsid w:val="00C64FC7"/>
  </w:style>
  <w:style w:type="table" w:customStyle="1" w:styleId="MediumGrid1-Accent11161">
    <w:name w:val="Medium Grid 1 - Accent 111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1">
    <w:name w:val="Light Grid - Accent 111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1">
    <w:name w:val="Light Grid - Accent 5116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1">
    <w:name w:val="Light Grid - Accent 121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1">
    <w:name w:val="Light List - Accent 5116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1">
    <w:name w:val="Light List - Accent 1111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1">
    <w:name w:val="Light Grid - Accent 131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1">
    <w:name w:val="Medium Grid 1 - Accent 311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1">
    <w:name w:val="Grid Table 4 - Accent 3116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1">
    <w:name w:val="No List2161"/>
    <w:next w:val="NoList"/>
    <w:uiPriority w:val="99"/>
    <w:unhideWhenUsed/>
    <w:rsid w:val="00C64FC7"/>
  </w:style>
  <w:style w:type="table" w:customStyle="1" w:styleId="MediumGrid1-Accent12161">
    <w:name w:val="Medium Grid 1 - Accent 121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1">
    <w:name w:val="Light Grid - Accent 1121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1">
    <w:name w:val="Light Grid - Accent 52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1">
    <w:name w:val="Light Grid - Accent 122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1">
    <w:name w:val="Light List - Accent 52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1">
    <w:name w:val="Light List - Accent 1121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1">
    <w:name w:val="Light Grid - Accent 132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1">
    <w:name w:val="Medium Grid 1 - Accent 321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1">
    <w:name w:val="Grid Table 4 Accent 3116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1">
    <w:name w:val="No List3161"/>
    <w:next w:val="NoList"/>
    <w:uiPriority w:val="99"/>
    <w:unhideWhenUsed/>
    <w:rsid w:val="00C64FC7"/>
  </w:style>
  <w:style w:type="table" w:customStyle="1" w:styleId="MediumGrid1-Accent13161">
    <w:name w:val="Medium Grid 1 - Accent 131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1">
    <w:name w:val="Light Grid - Accent 1131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1">
    <w:name w:val="Light Grid - Accent 53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1">
    <w:name w:val="Light Grid - Accent 123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1">
    <w:name w:val="Light List - Accent 53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1">
    <w:name w:val="Light List - Accent 1131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1">
    <w:name w:val="Light Grid - Accent 133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1">
    <w:name w:val="Medium Grid 1 - Accent 331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1">
    <w:name w:val="Grid Table 4 Accent 3216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1">
    <w:name w:val="Table Grid116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unhideWhenUsed/>
    <w:rsid w:val="00C64FC7"/>
  </w:style>
  <w:style w:type="table" w:customStyle="1" w:styleId="TableGrid411">
    <w:name w:val="Table Grid411"/>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11">
    <w:name w:val="Medium Grid 3 - Accent 12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1">
    <w:name w:val="Medium Grid 1 - Accent 156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1">
    <w:name w:val="Light Grid - Accent 1156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1">
    <w:name w:val="Light Grid - Accent 556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1">
    <w:name w:val="Light Grid - Accent 1256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1">
    <w:name w:val="Light List - Accent 556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1">
    <w:name w:val="Light List - Accent 1156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1">
    <w:name w:val="Light Grid - Accent 135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1">
    <w:name w:val="Medium Grid 1 - Accent 35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1">
    <w:name w:val="No List1261"/>
    <w:next w:val="NoList"/>
    <w:uiPriority w:val="99"/>
    <w:unhideWhenUsed/>
    <w:rsid w:val="00C64FC7"/>
  </w:style>
  <w:style w:type="table" w:customStyle="1" w:styleId="MediumGrid1-Accent11211">
    <w:name w:val="Medium Grid 1 - Accent 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1">
    <w:name w:val="Light Grid - Accent 1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1">
    <w:name w:val="Light Grid - Accent 512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1">
    <w:name w:val="Light Grid - Accent 12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1">
    <w:name w:val="Light List - Accent 512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1">
    <w:name w:val="Light List - Accent 11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1">
    <w:name w:val="Light Grid - Accent 13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1">
    <w:name w:val="Medium Grid 1 - Accent 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1">
    <w:name w:val="Grid Table 4 - Accent 3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1">
    <w:name w:val="No List2261"/>
    <w:next w:val="NoList"/>
    <w:uiPriority w:val="99"/>
    <w:unhideWhenUsed/>
    <w:rsid w:val="00C64FC7"/>
  </w:style>
  <w:style w:type="table" w:customStyle="1" w:styleId="MediumGrid1-Accent12211">
    <w:name w:val="Medium Grid 1 - Accent 12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1">
    <w:name w:val="Light Grid - Accent 112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1">
    <w:name w:val="Light Grid - Accent 52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1">
    <w:name w:val="Light Grid - Accent 122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1">
    <w:name w:val="Light List - Accent 52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1">
    <w:name w:val="Light List - Accent 112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1">
    <w:name w:val="Light Grid - Accent 132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1">
    <w:name w:val="Medium Grid 1 - Accent 32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1">
    <w:name w:val="Grid Table 4 Accent 3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1">
    <w:name w:val="No List3261"/>
    <w:next w:val="NoList"/>
    <w:uiPriority w:val="99"/>
    <w:unhideWhenUsed/>
    <w:rsid w:val="00C64FC7"/>
  </w:style>
  <w:style w:type="table" w:customStyle="1" w:styleId="MediumGrid1-Accent13211">
    <w:name w:val="Medium Grid 1 - Accent 13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1">
    <w:name w:val="Light Grid - Accent 113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1">
    <w:name w:val="Light Grid - Accent 53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1">
    <w:name w:val="Light Grid - Accent 123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1">
    <w:name w:val="Light List - Accent 53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1">
    <w:name w:val="Light List - Accent 113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1">
    <w:name w:val="Light Grid - Accent 133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1">
    <w:name w:val="Medium Grid 1 - Accent 33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1">
    <w:name w:val="Grid Table 4 Accent 32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1">
    <w:name w:val="Table Grid12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unhideWhenUsed/>
    <w:rsid w:val="00C64FC7"/>
  </w:style>
  <w:style w:type="table" w:customStyle="1" w:styleId="MediumGrid1-Accent1661">
    <w:name w:val="Medium Grid 1 - Accent 16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1">
    <w:name w:val="Light Grid - Accent 116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1">
    <w:name w:val="Light Grid - Accent 56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1">
    <w:name w:val="Light Grid - Accent 126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1">
    <w:name w:val="Light List - Accent 56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1">
    <w:name w:val="Light List - Accent 116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1">
    <w:name w:val="Light Grid - Accent 136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1">
    <w:name w:val="Medium Grid 1 - Accent 36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1">
    <w:name w:val="No List1361"/>
    <w:next w:val="NoList"/>
    <w:uiPriority w:val="99"/>
    <w:unhideWhenUsed/>
    <w:rsid w:val="00C64FC7"/>
  </w:style>
  <w:style w:type="numbering" w:customStyle="1" w:styleId="NoList2361">
    <w:name w:val="No List2361"/>
    <w:next w:val="NoList"/>
    <w:uiPriority w:val="99"/>
    <w:unhideWhenUsed/>
    <w:rsid w:val="00C64FC7"/>
  </w:style>
  <w:style w:type="numbering" w:customStyle="1" w:styleId="NoList3361">
    <w:name w:val="No List3361"/>
    <w:next w:val="NoList"/>
    <w:uiPriority w:val="99"/>
    <w:unhideWhenUsed/>
    <w:rsid w:val="00C64FC7"/>
  </w:style>
  <w:style w:type="numbering" w:customStyle="1" w:styleId="NoList711">
    <w:name w:val="No List711"/>
    <w:next w:val="NoList"/>
    <w:uiPriority w:val="99"/>
    <w:unhideWhenUsed/>
    <w:rsid w:val="00C64FC7"/>
  </w:style>
  <w:style w:type="table" w:customStyle="1" w:styleId="TableGrid511">
    <w:name w:val="Table Grid5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11">
    <w:name w:val="Medium Grid 3 - Accent 13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1">
    <w:name w:val="Medium Grid 1 - Accent 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1">
    <w:name w:val="Light Grid - Accent 117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1">
    <w:name w:val="Light Grid - Accent 5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1">
    <w:name w:val="Light Grid - Accent 127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1">
    <w:name w:val="Light List - Accent 57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1">
    <w:name w:val="Light List - Accent 117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1">
    <w:name w:val="Light Grid - Accent 13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1">
    <w:name w:val="Medium Grid 1 - Accent 3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1">
    <w:name w:val="No List1411"/>
    <w:next w:val="NoList"/>
    <w:uiPriority w:val="99"/>
    <w:unhideWhenUsed/>
    <w:rsid w:val="00C64FC7"/>
  </w:style>
  <w:style w:type="table" w:customStyle="1" w:styleId="MediumGrid1-Accent11311">
    <w:name w:val="Medium Grid 1 - Accent 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1">
    <w:name w:val="Light Grid - Accent 1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1">
    <w:name w:val="Light Grid - Accent 513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1">
    <w:name w:val="Light Grid - Accent 12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1">
    <w:name w:val="Light List - Accent 513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1">
    <w:name w:val="Light List - Accent 11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1">
    <w:name w:val="Light Grid - Accent 13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1">
    <w:name w:val="Medium Grid 1 - Accent 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1">
    <w:name w:val="Grid Table 4 - Accent 3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1">
    <w:name w:val="No List2411"/>
    <w:next w:val="NoList"/>
    <w:uiPriority w:val="99"/>
    <w:unhideWhenUsed/>
    <w:rsid w:val="00C64FC7"/>
  </w:style>
  <w:style w:type="table" w:customStyle="1" w:styleId="MediumGrid1-Accent12311">
    <w:name w:val="Medium Grid 1 - Accent 12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1">
    <w:name w:val="Light Grid - Accent 112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1">
    <w:name w:val="Light Grid - Accent 52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1">
    <w:name w:val="Light Grid - Accent 122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1">
    <w:name w:val="Light List - Accent 52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1">
    <w:name w:val="Light List - Accent 112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1">
    <w:name w:val="Light Grid - Accent 132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1">
    <w:name w:val="Medium Grid 1 - Accent 32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1">
    <w:name w:val="Grid Table 4 Accent 3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1">
    <w:name w:val="No List3411"/>
    <w:next w:val="NoList"/>
    <w:uiPriority w:val="99"/>
    <w:unhideWhenUsed/>
    <w:rsid w:val="00C64FC7"/>
  </w:style>
  <w:style w:type="table" w:customStyle="1" w:styleId="MediumGrid1-Accent13311">
    <w:name w:val="Medium Grid 1 - Accent 13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1">
    <w:name w:val="Light Grid - Accent 113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1">
    <w:name w:val="Light Grid - Accent 53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1">
    <w:name w:val="Light Grid - Accent 123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1">
    <w:name w:val="Light List - Accent 53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1">
    <w:name w:val="Light List - Accent 113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1">
    <w:name w:val="Light Grid - Accent 133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1">
    <w:name w:val="Medium Grid 1 - Accent 33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1">
    <w:name w:val="Grid Table 4 Accent 32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1">
    <w:name w:val="Table Grid13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
    <w:name w:val="No List4111"/>
    <w:next w:val="NoList"/>
    <w:uiPriority w:val="99"/>
    <w:unhideWhenUsed/>
    <w:rsid w:val="00C64FC7"/>
  </w:style>
  <w:style w:type="table" w:customStyle="1" w:styleId="MediumGrid1-Accent14111">
    <w:name w:val="Medium Grid 1 - Accent 14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1">
    <w:name w:val="Light Grid - Accent 114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1">
    <w:name w:val="Light Grid - Accent 54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1">
    <w:name w:val="Light Grid - Accent 124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1">
    <w:name w:val="Light List - Accent 54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1">
    <w:name w:val="Light List - Accent 114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1">
    <w:name w:val="Light Grid - Accent 134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1">
    <w:name w:val="Medium Grid 1 - Accent 34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1">
    <w:name w:val="Table Grid211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11">
    <w:name w:val="Medium Grid 3 - Accent 111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1">
    <w:name w:val="No List11111"/>
    <w:next w:val="NoList"/>
    <w:uiPriority w:val="99"/>
    <w:unhideWhenUsed/>
    <w:rsid w:val="00C64FC7"/>
  </w:style>
  <w:style w:type="table" w:customStyle="1" w:styleId="MediumGrid1-Accent111111">
    <w:name w:val="Medium Grid 1 - Accent 111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1">
    <w:name w:val="Light Grid - Accent 111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1">
    <w:name w:val="Light Grid - Accent 5111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1">
    <w:name w:val="Light Grid - Accent 121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1">
    <w:name w:val="Light List - Accent 5111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1">
    <w:name w:val="Light List - Accent 1111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1">
    <w:name w:val="Light Grid - Accent 131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1">
    <w:name w:val="Medium Grid 1 - Accent 311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1">
    <w:name w:val="Grid Table 4 - Accent 3111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1">
    <w:name w:val="No List21111"/>
    <w:next w:val="NoList"/>
    <w:uiPriority w:val="99"/>
    <w:unhideWhenUsed/>
    <w:rsid w:val="00C64FC7"/>
  </w:style>
  <w:style w:type="table" w:customStyle="1" w:styleId="MediumGrid1-Accent121111">
    <w:name w:val="Medium Grid 1 - Accent 121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1">
    <w:name w:val="Light Grid - Accent 1121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1">
    <w:name w:val="Light Grid - Accent 52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1">
    <w:name w:val="Light Grid - Accent 122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1">
    <w:name w:val="Light List - Accent 52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1">
    <w:name w:val="Light List - Accent 1121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1">
    <w:name w:val="Light Grid - Accent 132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1">
    <w:name w:val="Medium Grid 1 - Accent 321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1">
    <w:name w:val="Grid Table 4 Accent 3111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1">
    <w:name w:val="No List31111"/>
    <w:next w:val="NoList"/>
    <w:uiPriority w:val="99"/>
    <w:unhideWhenUsed/>
    <w:rsid w:val="00C64FC7"/>
  </w:style>
  <w:style w:type="table" w:customStyle="1" w:styleId="MediumGrid1-Accent131111">
    <w:name w:val="Medium Grid 1 - Accent 131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1">
    <w:name w:val="Light Grid - Accent 1131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1">
    <w:name w:val="Light Grid - Accent 53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1">
    <w:name w:val="Light Grid - Accent 123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1">
    <w:name w:val="Light List - Accent 53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1">
    <w:name w:val="Light List - Accent 1131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1">
    <w:name w:val="Light Grid - Accent 133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1">
    <w:name w:val="Medium Grid 1 - Accent 331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1">
    <w:name w:val="Grid Table 4 Accent 3211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1">
    <w:name w:val="Table Grid111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1">
    <w:name w:val="No List5111"/>
    <w:next w:val="NoList"/>
    <w:uiPriority w:val="99"/>
    <w:unhideWhenUsed/>
    <w:rsid w:val="00C64FC7"/>
  </w:style>
  <w:style w:type="table" w:customStyle="1" w:styleId="MediumGrid1-Accent15111">
    <w:name w:val="Medium Grid 1 - Accent 15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1">
    <w:name w:val="Light Grid - Accent 115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1">
    <w:name w:val="Light Grid - Accent 55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1">
    <w:name w:val="Light Grid - Accent 125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1">
    <w:name w:val="Light List - Accent 55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1">
    <w:name w:val="Light List - Accent 115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1">
    <w:name w:val="Light Grid - Accent 135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1">
    <w:name w:val="Medium Grid 1 - Accent 35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1">
    <w:name w:val="No List12111"/>
    <w:next w:val="NoList"/>
    <w:uiPriority w:val="99"/>
    <w:unhideWhenUsed/>
    <w:rsid w:val="00C64FC7"/>
  </w:style>
  <w:style w:type="numbering" w:customStyle="1" w:styleId="NoList22111">
    <w:name w:val="No List22111"/>
    <w:next w:val="NoList"/>
    <w:uiPriority w:val="99"/>
    <w:unhideWhenUsed/>
    <w:rsid w:val="00C64FC7"/>
  </w:style>
  <w:style w:type="numbering" w:customStyle="1" w:styleId="NoList32111">
    <w:name w:val="No List32111"/>
    <w:next w:val="NoList"/>
    <w:uiPriority w:val="99"/>
    <w:unhideWhenUsed/>
    <w:rsid w:val="00C64FC7"/>
  </w:style>
  <w:style w:type="numbering" w:customStyle="1" w:styleId="NoList6111">
    <w:name w:val="No List6111"/>
    <w:next w:val="NoList"/>
    <w:uiPriority w:val="99"/>
    <w:unhideWhenUsed/>
    <w:rsid w:val="00C64FC7"/>
  </w:style>
  <w:style w:type="table" w:customStyle="1" w:styleId="MediumGrid1-Accent16111">
    <w:name w:val="Medium Grid 1 - Accent 16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1">
    <w:name w:val="Light Grid - Accent 116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1">
    <w:name w:val="Light Grid - Accent 56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1">
    <w:name w:val="Light Grid - Accent 126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1">
    <w:name w:val="Light List - Accent 56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1">
    <w:name w:val="Light List - Accent 116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1">
    <w:name w:val="Light Grid - Accent 136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1">
    <w:name w:val="Medium Grid 1 - Accent 36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1">
    <w:name w:val="No List13111"/>
    <w:next w:val="NoList"/>
    <w:uiPriority w:val="99"/>
    <w:unhideWhenUsed/>
    <w:rsid w:val="00C64FC7"/>
  </w:style>
  <w:style w:type="numbering" w:customStyle="1" w:styleId="NoList23111">
    <w:name w:val="No List23111"/>
    <w:next w:val="NoList"/>
    <w:uiPriority w:val="99"/>
    <w:unhideWhenUsed/>
    <w:rsid w:val="00C64FC7"/>
  </w:style>
  <w:style w:type="numbering" w:customStyle="1" w:styleId="NoList33111">
    <w:name w:val="No List33111"/>
    <w:next w:val="NoList"/>
    <w:uiPriority w:val="99"/>
    <w:unhideWhenUsed/>
    <w:rsid w:val="00C64FC7"/>
  </w:style>
  <w:style w:type="numbering" w:customStyle="1" w:styleId="NoList811">
    <w:name w:val="No List811"/>
    <w:next w:val="NoList"/>
    <w:uiPriority w:val="99"/>
    <w:unhideWhenUsed/>
    <w:rsid w:val="00C64FC7"/>
  </w:style>
  <w:style w:type="table" w:customStyle="1" w:styleId="TableGrid611">
    <w:name w:val="Table Grid6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11">
    <w:name w:val="Medium Grid 3 - Accent 14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1">
    <w:name w:val="Medium Grid 1 - Accent 18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1">
    <w:name w:val="Light Grid - Accent 118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1">
    <w:name w:val="Light Grid - Accent 58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1">
    <w:name w:val="Light Grid - Accent 128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1">
    <w:name w:val="Light List - Accent 58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1">
    <w:name w:val="Light List - Accent 118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1">
    <w:name w:val="Light Grid - Accent 13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1">
    <w:name w:val="Medium Grid 1 - Accent 38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1">
    <w:name w:val="No List1511"/>
    <w:next w:val="NoList"/>
    <w:uiPriority w:val="99"/>
    <w:unhideWhenUsed/>
    <w:rsid w:val="00C64FC7"/>
  </w:style>
  <w:style w:type="table" w:customStyle="1" w:styleId="MediumGrid1-Accent11411">
    <w:name w:val="Medium Grid 1 - Accent 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1">
    <w:name w:val="Light Grid - Accent 1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1">
    <w:name w:val="Light Grid - Accent 514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1">
    <w:name w:val="Light Grid - Accent 12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1">
    <w:name w:val="Light List - Accent 514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1">
    <w:name w:val="Light List - Accent 11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1">
    <w:name w:val="Light Grid - Accent 13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1">
    <w:name w:val="Medium Grid 1 - Accent 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1">
    <w:name w:val="Grid Table 4 - Accent 3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1">
    <w:name w:val="No List2511"/>
    <w:next w:val="NoList"/>
    <w:uiPriority w:val="99"/>
    <w:unhideWhenUsed/>
    <w:rsid w:val="00C64FC7"/>
  </w:style>
  <w:style w:type="table" w:customStyle="1" w:styleId="MediumGrid1-Accent12411">
    <w:name w:val="Medium Grid 1 - Accent 12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1">
    <w:name w:val="Light Grid - Accent 112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1">
    <w:name w:val="Light Grid - Accent 52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1">
    <w:name w:val="Light Grid - Accent 122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1">
    <w:name w:val="Light List - Accent 52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1">
    <w:name w:val="Light List - Accent 112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1">
    <w:name w:val="Light Grid - Accent 132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1">
    <w:name w:val="Medium Grid 1 - Accent 32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1">
    <w:name w:val="Grid Table 4 Accent 3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1">
    <w:name w:val="No List3511"/>
    <w:next w:val="NoList"/>
    <w:uiPriority w:val="99"/>
    <w:unhideWhenUsed/>
    <w:rsid w:val="00C64FC7"/>
  </w:style>
  <w:style w:type="table" w:customStyle="1" w:styleId="MediumGrid1-Accent13411">
    <w:name w:val="Medium Grid 1 - Accent 13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1">
    <w:name w:val="Light Grid - Accent 113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1">
    <w:name w:val="Light Grid - Accent 53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1">
    <w:name w:val="Light Grid - Accent 123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1">
    <w:name w:val="Light List - Accent 53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1">
    <w:name w:val="Light List - Accent 113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1">
    <w:name w:val="Light Grid - Accent 133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1">
    <w:name w:val="Medium Grid 1 - Accent 33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1">
    <w:name w:val="Grid Table 4 Accent 32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1">
    <w:name w:val="Table Grid14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unhideWhenUsed/>
    <w:rsid w:val="00C64FC7"/>
  </w:style>
  <w:style w:type="table" w:customStyle="1" w:styleId="MediumGrid1-Accent14211">
    <w:name w:val="Medium Grid 1 - Accent 14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1">
    <w:name w:val="Light Grid - Accent 114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1">
    <w:name w:val="Light Grid - Accent 54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1">
    <w:name w:val="Light Grid - Accent 124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1">
    <w:name w:val="Light List - Accent 54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1">
    <w:name w:val="Light List - Accent 114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1">
    <w:name w:val="Light Grid - Accent 134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1">
    <w:name w:val="Medium Grid 1 - Accent 34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1">
    <w:name w:val="Table Grid212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11">
    <w:name w:val="Medium Grid 3 - Accent 112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1">
    <w:name w:val="No List11211"/>
    <w:next w:val="NoList"/>
    <w:uiPriority w:val="99"/>
    <w:unhideWhenUsed/>
    <w:rsid w:val="00C64FC7"/>
  </w:style>
  <w:style w:type="table" w:customStyle="1" w:styleId="MediumGrid1-Accent111211">
    <w:name w:val="Medium Grid 1 - Accent 1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1">
    <w:name w:val="Light Grid - Accent 11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1">
    <w:name w:val="Light Grid - Accent 5112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1">
    <w:name w:val="Light Grid - Accent 12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1">
    <w:name w:val="Light List - Accent 5112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1">
    <w:name w:val="Light List - Accent 111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1">
    <w:name w:val="Light Grid - Accent 13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1">
    <w:name w:val="Medium Grid 1 - Accent 31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1">
    <w:name w:val="Grid Table 4 - Accent 31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1">
    <w:name w:val="No List21211"/>
    <w:next w:val="NoList"/>
    <w:uiPriority w:val="99"/>
    <w:unhideWhenUsed/>
    <w:rsid w:val="00C64FC7"/>
  </w:style>
  <w:style w:type="table" w:customStyle="1" w:styleId="MediumGrid1-Accent121211">
    <w:name w:val="Medium Grid 1 - Accent 12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1">
    <w:name w:val="Light Grid - Accent 1121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1">
    <w:name w:val="Light Grid - Accent 52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1">
    <w:name w:val="Light Grid - Accent 122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1">
    <w:name w:val="Light List - Accent 52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1">
    <w:name w:val="Light List - Accent 112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1">
    <w:name w:val="Light Grid - Accent 132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1">
    <w:name w:val="Medium Grid 1 - Accent 32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1">
    <w:name w:val="Grid Table 4 Accent 31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1">
    <w:name w:val="No List31211"/>
    <w:next w:val="NoList"/>
    <w:uiPriority w:val="99"/>
    <w:unhideWhenUsed/>
    <w:rsid w:val="00C64FC7"/>
  </w:style>
  <w:style w:type="table" w:customStyle="1" w:styleId="MediumGrid1-Accent131211">
    <w:name w:val="Medium Grid 1 - Accent 13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1">
    <w:name w:val="Light Grid - Accent 1131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1">
    <w:name w:val="Light Grid - Accent 53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1">
    <w:name w:val="Light Grid - Accent 123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1">
    <w:name w:val="Light List - Accent 53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1">
    <w:name w:val="Light List - Accent 113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1">
    <w:name w:val="Light Grid - Accent 133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1">
    <w:name w:val="Medium Grid 1 - Accent 3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1">
    <w:name w:val="Grid Table 4 Accent 32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1">
    <w:name w:val="Table Grid112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unhideWhenUsed/>
    <w:rsid w:val="00C64FC7"/>
  </w:style>
  <w:style w:type="table" w:customStyle="1" w:styleId="MediumGrid1-Accent15211">
    <w:name w:val="Medium Grid 1 - Accent 15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1">
    <w:name w:val="Light Grid - Accent 115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1">
    <w:name w:val="Light Grid - Accent 55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1">
    <w:name w:val="Light Grid - Accent 125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1">
    <w:name w:val="Light List - Accent 55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1">
    <w:name w:val="Light List - Accent 115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1">
    <w:name w:val="Light Grid - Accent 135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1">
    <w:name w:val="Medium Grid 1 - Accent 35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1">
    <w:name w:val="No List12211"/>
    <w:next w:val="NoList"/>
    <w:uiPriority w:val="99"/>
    <w:unhideWhenUsed/>
    <w:rsid w:val="00C64FC7"/>
  </w:style>
  <w:style w:type="numbering" w:customStyle="1" w:styleId="NoList22211">
    <w:name w:val="No List22211"/>
    <w:next w:val="NoList"/>
    <w:uiPriority w:val="99"/>
    <w:unhideWhenUsed/>
    <w:rsid w:val="00C64FC7"/>
  </w:style>
  <w:style w:type="numbering" w:customStyle="1" w:styleId="NoList32211">
    <w:name w:val="No List32211"/>
    <w:next w:val="NoList"/>
    <w:uiPriority w:val="99"/>
    <w:unhideWhenUsed/>
    <w:rsid w:val="00C64FC7"/>
  </w:style>
  <w:style w:type="numbering" w:customStyle="1" w:styleId="NoList6211">
    <w:name w:val="No List6211"/>
    <w:next w:val="NoList"/>
    <w:uiPriority w:val="99"/>
    <w:unhideWhenUsed/>
    <w:rsid w:val="00C64FC7"/>
  </w:style>
  <w:style w:type="table" w:customStyle="1" w:styleId="MediumGrid1-Accent16211">
    <w:name w:val="Medium Grid 1 - Accent 16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1">
    <w:name w:val="Light Grid - Accent 116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1">
    <w:name w:val="Light Grid - Accent 56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1">
    <w:name w:val="Light Grid - Accent 126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1">
    <w:name w:val="Light List - Accent 56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1">
    <w:name w:val="Light List - Accent 116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1">
    <w:name w:val="Light Grid - Accent 136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1">
    <w:name w:val="Medium Grid 1 - Accent 36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1">
    <w:name w:val="No List13211"/>
    <w:next w:val="NoList"/>
    <w:uiPriority w:val="99"/>
    <w:unhideWhenUsed/>
    <w:rsid w:val="00C64FC7"/>
  </w:style>
  <w:style w:type="numbering" w:customStyle="1" w:styleId="NoList23211">
    <w:name w:val="No List23211"/>
    <w:next w:val="NoList"/>
    <w:uiPriority w:val="99"/>
    <w:unhideWhenUsed/>
    <w:rsid w:val="00C64FC7"/>
  </w:style>
  <w:style w:type="numbering" w:customStyle="1" w:styleId="NoList33211">
    <w:name w:val="No List33211"/>
    <w:next w:val="NoList"/>
    <w:uiPriority w:val="99"/>
    <w:unhideWhenUsed/>
    <w:rsid w:val="00C64FC7"/>
  </w:style>
  <w:style w:type="numbering" w:customStyle="1" w:styleId="NoList911">
    <w:name w:val="No List911"/>
    <w:next w:val="NoList"/>
    <w:uiPriority w:val="99"/>
    <w:unhideWhenUsed/>
    <w:rsid w:val="00C64FC7"/>
  </w:style>
  <w:style w:type="table" w:customStyle="1" w:styleId="TableGrid711">
    <w:name w:val="Table Grid7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11">
    <w:name w:val="Medium Grid 3 - Accent 1511"/>
    <w:basedOn w:val="TableNormal"/>
    <w:next w:val="MediumGrid3-Accent1"/>
    <w:uiPriority w:val="69"/>
    <w:locked/>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1">
    <w:name w:val="Medium Grid 1 - Accent 19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1">
    <w:name w:val="Light Grid - Accent 119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1">
    <w:name w:val="Light Grid - Accent 59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1">
    <w:name w:val="Light Grid - Accent 129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1">
    <w:name w:val="Light List - Accent 59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1">
    <w:name w:val="Light List - Accent 119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1">
    <w:name w:val="Light Grid - Accent 139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1">
    <w:name w:val="Medium Grid 1 - Accent 39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1">
    <w:name w:val="No List1611"/>
    <w:next w:val="NoList"/>
    <w:uiPriority w:val="99"/>
    <w:unhideWhenUsed/>
    <w:rsid w:val="00C64FC7"/>
  </w:style>
  <w:style w:type="table" w:customStyle="1" w:styleId="MediumGrid1-Accent11511">
    <w:name w:val="Medium Grid 1 - Accent 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1">
    <w:name w:val="Light Grid - Accent 1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1">
    <w:name w:val="Light Grid - Accent 515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1">
    <w:name w:val="Light Grid - Accent 12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1">
    <w:name w:val="Light List - Accent 515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1">
    <w:name w:val="Light List - Accent 11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1">
    <w:name w:val="Light Grid - Accent 13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1">
    <w:name w:val="Medium Grid 1 - Accent 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1">
    <w:name w:val="Grid Table 4 - Accent 3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1">
    <w:name w:val="No List2611"/>
    <w:next w:val="NoList"/>
    <w:uiPriority w:val="99"/>
    <w:unhideWhenUsed/>
    <w:rsid w:val="00C64FC7"/>
  </w:style>
  <w:style w:type="table" w:customStyle="1" w:styleId="MediumGrid1-Accent12511">
    <w:name w:val="Medium Grid 1 - Accent 12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1">
    <w:name w:val="Light Grid - Accent 112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1">
    <w:name w:val="Light Grid - Accent 52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1">
    <w:name w:val="Light Grid - Accent 122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1">
    <w:name w:val="Light List - Accent 52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1">
    <w:name w:val="Light List - Accent 112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1">
    <w:name w:val="Light Grid - Accent 132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1">
    <w:name w:val="Medium Grid 1 - Accent 32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1">
    <w:name w:val="Grid Table 4 Accent 3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1">
    <w:name w:val="No List3611"/>
    <w:next w:val="NoList"/>
    <w:uiPriority w:val="99"/>
    <w:unhideWhenUsed/>
    <w:rsid w:val="00C64FC7"/>
  </w:style>
  <w:style w:type="table" w:customStyle="1" w:styleId="MediumGrid1-Accent13511">
    <w:name w:val="Medium Grid 1 - Accent 13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1">
    <w:name w:val="Light Grid - Accent 113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1">
    <w:name w:val="Light Grid - Accent 53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1">
    <w:name w:val="Light Grid - Accent 123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1">
    <w:name w:val="Light List - Accent 53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1">
    <w:name w:val="Light List - Accent 113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1">
    <w:name w:val="Light Grid - Accent 133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1">
    <w:name w:val="Medium Grid 1 - Accent 33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1">
    <w:name w:val="Grid Table 4 Accent 32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1">
    <w:name w:val="Table Grid15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unhideWhenUsed/>
    <w:rsid w:val="00C64FC7"/>
  </w:style>
  <w:style w:type="table" w:customStyle="1" w:styleId="MediumGrid1-Accent14311">
    <w:name w:val="Medium Grid 1 - Accent 14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1">
    <w:name w:val="Light Grid - Accent 114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1">
    <w:name w:val="Light Grid - Accent 54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1">
    <w:name w:val="Light Grid - Accent 124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1">
    <w:name w:val="Light List - Accent 54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1">
    <w:name w:val="Light List - Accent 114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1">
    <w:name w:val="Light Grid - Accent 134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1">
    <w:name w:val="Medium Grid 1 - Accent 34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1">
    <w:name w:val="Table Grid213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11">
    <w:name w:val="Medium Grid 3 - Accent 113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1">
    <w:name w:val="No List11311"/>
    <w:next w:val="NoList"/>
    <w:uiPriority w:val="99"/>
    <w:unhideWhenUsed/>
    <w:rsid w:val="00C64FC7"/>
  </w:style>
  <w:style w:type="table" w:customStyle="1" w:styleId="MediumGrid1-Accent111311">
    <w:name w:val="Medium Grid 1 - Accent 1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1">
    <w:name w:val="Light Grid - Accent 11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1">
    <w:name w:val="Light Grid - Accent 5113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1">
    <w:name w:val="Light Grid - Accent 12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1">
    <w:name w:val="Light List - Accent 5113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1">
    <w:name w:val="Light List - Accent 111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1">
    <w:name w:val="Light Grid - Accent 13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1">
    <w:name w:val="Medium Grid 1 - Accent 31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1">
    <w:name w:val="Grid Table 4 - Accent 31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1">
    <w:name w:val="No List21311"/>
    <w:next w:val="NoList"/>
    <w:uiPriority w:val="99"/>
    <w:unhideWhenUsed/>
    <w:rsid w:val="00C64FC7"/>
  </w:style>
  <w:style w:type="table" w:customStyle="1" w:styleId="MediumGrid1-Accent121311">
    <w:name w:val="Medium Grid 1 - Accent 12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1">
    <w:name w:val="Light Grid - Accent 1121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1">
    <w:name w:val="Light Grid - Accent 52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1">
    <w:name w:val="Light Grid - Accent 122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1">
    <w:name w:val="Light List - Accent 52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1">
    <w:name w:val="Light List - Accent 112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1">
    <w:name w:val="Light Grid - Accent 132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1">
    <w:name w:val="Medium Grid 1 - Accent 32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1">
    <w:name w:val="Grid Table 4 Accent 31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1">
    <w:name w:val="No List31311"/>
    <w:next w:val="NoList"/>
    <w:uiPriority w:val="99"/>
    <w:unhideWhenUsed/>
    <w:rsid w:val="00C64FC7"/>
  </w:style>
  <w:style w:type="table" w:customStyle="1" w:styleId="MediumGrid1-Accent131311">
    <w:name w:val="Medium Grid 1 - Accent 13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1">
    <w:name w:val="Light Grid - Accent 1131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1">
    <w:name w:val="Light Grid - Accent 53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1">
    <w:name w:val="Light Grid - Accent 123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1">
    <w:name w:val="Light List - Accent 53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1">
    <w:name w:val="Light List - Accent 113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1">
    <w:name w:val="Light Grid - Accent 133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1">
    <w:name w:val="Medium Grid 1 - Accent 3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1">
    <w:name w:val="Grid Table 4 Accent 32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1">
    <w:name w:val="Table Grid113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unhideWhenUsed/>
    <w:rsid w:val="00C64FC7"/>
  </w:style>
  <w:style w:type="table" w:customStyle="1" w:styleId="MediumGrid1-Accent15311">
    <w:name w:val="Medium Grid 1 - Accent 15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1">
    <w:name w:val="Light Grid - Accent 115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1">
    <w:name w:val="Light Grid - Accent 55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1">
    <w:name w:val="Light Grid - Accent 125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1">
    <w:name w:val="Light List - Accent 55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1">
    <w:name w:val="Light List - Accent 115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1">
    <w:name w:val="Light Grid - Accent 135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1">
    <w:name w:val="Medium Grid 1 - Accent 35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1">
    <w:name w:val="No List12311"/>
    <w:next w:val="NoList"/>
    <w:uiPriority w:val="99"/>
    <w:unhideWhenUsed/>
    <w:rsid w:val="00C64FC7"/>
  </w:style>
  <w:style w:type="numbering" w:customStyle="1" w:styleId="NoList22311">
    <w:name w:val="No List22311"/>
    <w:next w:val="NoList"/>
    <w:uiPriority w:val="99"/>
    <w:unhideWhenUsed/>
    <w:rsid w:val="00C64FC7"/>
  </w:style>
  <w:style w:type="numbering" w:customStyle="1" w:styleId="NoList32311">
    <w:name w:val="No List32311"/>
    <w:next w:val="NoList"/>
    <w:uiPriority w:val="99"/>
    <w:unhideWhenUsed/>
    <w:rsid w:val="00C64FC7"/>
  </w:style>
  <w:style w:type="numbering" w:customStyle="1" w:styleId="NoList6311">
    <w:name w:val="No List6311"/>
    <w:next w:val="NoList"/>
    <w:uiPriority w:val="99"/>
    <w:unhideWhenUsed/>
    <w:rsid w:val="00C64FC7"/>
  </w:style>
  <w:style w:type="table" w:customStyle="1" w:styleId="MediumGrid1-Accent16311">
    <w:name w:val="Medium Grid 1 - Accent 16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1">
    <w:name w:val="Light Grid - Accent 116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1">
    <w:name w:val="Light Grid - Accent 56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1">
    <w:name w:val="Light Grid - Accent 126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1">
    <w:name w:val="Light List - Accent 56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1">
    <w:name w:val="Light List - Accent 116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1">
    <w:name w:val="Light Grid - Accent 136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1">
    <w:name w:val="Medium Grid 1 - Accent 36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1">
    <w:name w:val="No List13311"/>
    <w:next w:val="NoList"/>
    <w:uiPriority w:val="99"/>
    <w:unhideWhenUsed/>
    <w:rsid w:val="00C64FC7"/>
  </w:style>
  <w:style w:type="numbering" w:customStyle="1" w:styleId="NoList23311">
    <w:name w:val="No List23311"/>
    <w:next w:val="NoList"/>
    <w:uiPriority w:val="99"/>
    <w:unhideWhenUsed/>
    <w:rsid w:val="00C64FC7"/>
  </w:style>
  <w:style w:type="numbering" w:customStyle="1" w:styleId="NoList33311">
    <w:name w:val="No List33311"/>
    <w:next w:val="NoList"/>
    <w:uiPriority w:val="99"/>
    <w:unhideWhenUsed/>
    <w:rsid w:val="00C64FC7"/>
  </w:style>
  <w:style w:type="numbering" w:customStyle="1" w:styleId="NoList1011">
    <w:name w:val="No List1011"/>
    <w:next w:val="NoList"/>
    <w:uiPriority w:val="99"/>
    <w:unhideWhenUsed/>
    <w:rsid w:val="00C64FC7"/>
  </w:style>
  <w:style w:type="table" w:customStyle="1" w:styleId="TableGrid811">
    <w:name w:val="Table Grid8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11">
    <w:name w:val="Medium Grid 3 - Accent 16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1">
    <w:name w:val="Medium Grid 1 - Accent 110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1">
    <w:name w:val="Light Grid - Accent 1110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1">
    <w:name w:val="Light Grid - Accent 510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1">
    <w:name w:val="Light Grid - Accent 1210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1">
    <w:name w:val="Light List - Accent 510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1">
    <w:name w:val="Light List - Accent 1110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1">
    <w:name w:val="Light Grid - Accent 1310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1">
    <w:name w:val="Medium Grid 1 - Accent 310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1">
    <w:name w:val="No List1711"/>
    <w:next w:val="NoList"/>
    <w:uiPriority w:val="99"/>
    <w:unhideWhenUsed/>
    <w:rsid w:val="00C64FC7"/>
  </w:style>
  <w:style w:type="table" w:customStyle="1" w:styleId="MediumGrid1-Accent11611">
    <w:name w:val="Medium Grid 1 - Accent 116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1">
    <w:name w:val="Light Grid - Accent 111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1">
    <w:name w:val="Light Grid - Accent 516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1">
    <w:name w:val="Light Grid - Accent 121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1">
    <w:name w:val="Light List - Accent 516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1">
    <w:name w:val="Light List - Accent 1116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1">
    <w:name w:val="Light Grid - Accent 131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1">
    <w:name w:val="Medium Grid 1 - Accent 316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1">
    <w:name w:val="Grid Table 4 - Accent 316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1">
    <w:name w:val="No List2711"/>
    <w:next w:val="NoList"/>
    <w:uiPriority w:val="99"/>
    <w:unhideWhenUsed/>
    <w:rsid w:val="00C64FC7"/>
  </w:style>
  <w:style w:type="table" w:customStyle="1" w:styleId="MediumGrid1-Accent12611">
    <w:name w:val="Medium Grid 1 - Accent 126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1">
    <w:name w:val="Light Grid - Accent 1126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1">
    <w:name w:val="Light Grid - Accent 52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1">
    <w:name w:val="Light Grid - Accent 122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1">
    <w:name w:val="Light List - Accent 52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1">
    <w:name w:val="Light List - Accent 1126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1">
    <w:name w:val="Light Grid - Accent 132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1">
    <w:name w:val="Medium Grid 1 - Accent 326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1">
    <w:name w:val="Grid Table 4 Accent 316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1">
    <w:name w:val="No List3711"/>
    <w:next w:val="NoList"/>
    <w:uiPriority w:val="99"/>
    <w:unhideWhenUsed/>
    <w:rsid w:val="00C64FC7"/>
  </w:style>
  <w:style w:type="table" w:customStyle="1" w:styleId="MediumGrid1-Accent13611">
    <w:name w:val="Medium Grid 1 - Accent 136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1">
    <w:name w:val="Light Grid - Accent 1136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1">
    <w:name w:val="Light Grid - Accent 53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1">
    <w:name w:val="Light Grid - Accent 123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1">
    <w:name w:val="Light List - Accent 53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1">
    <w:name w:val="Light List - Accent 1136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1">
    <w:name w:val="Light Grid - Accent 133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1">
    <w:name w:val="Medium Grid 1 - Accent 336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1">
    <w:name w:val="Grid Table 4 Accent 326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1">
    <w:name w:val="Table Grid16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NoList"/>
    <w:uiPriority w:val="99"/>
    <w:unhideWhenUsed/>
    <w:rsid w:val="00C64FC7"/>
  </w:style>
  <w:style w:type="table" w:customStyle="1" w:styleId="MediumGrid1-Accent14411">
    <w:name w:val="Medium Grid 1 - Accent 14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1">
    <w:name w:val="Light Grid - Accent 114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1">
    <w:name w:val="Light Grid - Accent 54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1">
    <w:name w:val="Light Grid - Accent 124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1">
    <w:name w:val="Light List - Accent 54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1">
    <w:name w:val="Light List - Accent 114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1">
    <w:name w:val="Light Grid - Accent 134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1">
    <w:name w:val="Medium Grid 1 - Accent 34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1">
    <w:name w:val="Table Grid214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11">
    <w:name w:val="Medium Grid 3 - Accent 114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1">
    <w:name w:val="No List11411"/>
    <w:next w:val="NoList"/>
    <w:uiPriority w:val="99"/>
    <w:unhideWhenUsed/>
    <w:rsid w:val="00C64FC7"/>
  </w:style>
  <w:style w:type="table" w:customStyle="1" w:styleId="MediumGrid1-Accent111411">
    <w:name w:val="Medium Grid 1 - Accent 1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1">
    <w:name w:val="Light Grid - Accent 11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1">
    <w:name w:val="Light Grid - Accent 5114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1">
    <w:name w:val="Light Grid - Accent 12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1">
    <w:name w:val="Light List - Accent 5114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1">
    <w:name w:val="Light List - Accent 111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1">
    <w:name w:val="Light Grid - Accent 13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1">
    <w:name w:val="Medium Grid 1 - Accent 31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1">
    <w:name w:val="Grid Table 4 - Accent 31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1">
    <w:name w:val="No List21411"/>
    <w:next w:val="NoList"/>
    <w:uiPriority w:val="99"/>
    <w:unhideWhenUsed/>
    <w:rsid w:val="00C64FC7"/>
  </w:style>
  <w:style w:type="table" w:customStyle="1" w:styleId="MediumGrid1-Accent121411">
    <w:name w:val="Medium Grid 1 - Accent 12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1">
    <w:name w:val="Light Grid - Accent 1121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1">
    <w:name w:val="Light Grid - Accent 52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1">
    <w:name w:val="Light Grid - Accent 122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1">
    <w:name w:val="Light List - Accent 52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1">
    <w:name w:val="Light List - Accent 112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1">
    <w:name w:val="Light Grid - Accent 132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1">
    <w:name w:val="Medium Grid 1 - Accent 32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1">
    <w:name w:val="Grid Table 4 Accent 31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1">
    <w:name w:val="No List31411"/>
    <w:next w:val="NoList"/>
    <w:uiPriority w:val="99"/>
    <w:unhideWhenUsed/>
    <w:rsid w:val="00C64FC7"/>
  </w:style>
  <w:style w:type="table" w:customStyle="1" w:styleId="MediumGrid1-Accent131411">
    <w:name w:val="Medium Grid 1 - Accent 13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1">
    <w:name w:val="Light Grid - Accent 1131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1">
    <w:name w:val="Light Grid - Accent 53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1">
    <w:name w:val="Light Grid - Accent 123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1">
    <w:name w:val="Light List - Accent 53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1">
    <w:name w:val="Light List - Accent 113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1">
    <w:name w:val="Light Grid - Accent 133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1">
    <w:name w:val="Medium Grid 1 - Accent 3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1">
    <w:name w:val="Grid Table 4 Accent 32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1">
    <w:name w:val="Table Grid114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1">
    <w:name w:val="No List5411"/>
    <w:next w:val="NoList"/>
    <w:uiPriority w:val="99"/>
    <w:unhideWhenUsed/>
    <w:rsid w:val="00C64FC7"/>
  </w:style>
  <w:style w:type="table" w:customStyle="1" w:styleId="MediumGrid1-Accent15411">
    <w:name w:val="Medium Grid 1 - Accent 15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1">
    <w:name w:val="Light Grid - Accent 115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1">
    <w:name w:val="Light Grid - Accent 55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1">
    <w:name w:val="Light Grid - Accent 125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1">
    <w:name w:val="Light List - Accent 55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1">
    <w:name w:val="Light List - Accent 115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1">
    <w:name w:val="Light Grid - Accent 135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1">
    <w:name w:val="Medium Grid 1 - Accent 35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1">
    <w:name w:val="No List12411"/>
    <w:next w:val="NoList"/>
    <w:uiPriority w:val="99"/>
    <w:unhideWhenUsed/>
    <w:rsid w:val="00C64FC7"/>
  </w:style>
  <w:style w:type="numbering" w:customStyle="1" w:styleId="NoList22411">
    <w:name w:val="No List22411"/>
    <w:next w:val="NoList"/>
    <w:uiPriority w:val="99"/>
    <w:unhideWhenUsed/>
    <w:rsid w:val="00C64FC7"/>
  </w:style>
  <w:style w:type="numbering" w:customStyle="1" w:styleId="NoList32411">
    <w:name w:val="No List32411"/>
    <w:next w:val="NoList"/>
    <w:uiPriority w:val="99"/>
    <w:unhideWhenUsed/>
    <w:rsid w:val="00C64FC7"/>
  </w:style>
  <w:style w:type="numbering" w:customStyle="1" w:styleId="NoList6411">
    <w:name w:val="No List6411"/>
    <w:next w:val="NoList"/>
    <w:uiPriority w:val="99"/>
    <w:unhideWhenUsed/>
    <w:rsid w:val="00C64FC7"/>
  </w:style>
  <w:style w:type="table" w:customStyle="1" w:styleId="MediumGrid1-Accent16411">
    <w:name w:val="Medium Grid 1 - Accent 16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1">
    <w:name w:val="Light Grid - Accent 116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1">
    <w:name w:val="Light Grid - Accent 56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1">
    <w:name w:val="Light Grid - Accent 126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1">
    <w:name w:val="Light List - Accent 56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1">
    <w:name w:val="Light List - Accent 116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1">
    <w:name w:val="Light Grid - Accent 136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1">
    <w:name w:val="Medium Grid 1 - Accent 36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1">
    <w:name w:val="No List13411"/>
    <w:next w:val="NoList"/>
    <w:uiPriority w:val="99"/>
    <w:unhideWhenUsed/>
    <w:rsid w:val="00C64FC7"/>
  </w:style>
  <w:style w:type="numbering" w:customStyle="1" w:styleId="NoList23411">
    <w:name w:val="No List23411"/>
    <w:next w:val="NoList"/>
    <w:uiPriority w:val="99"/>
    <w:unhideWhenUsed/>
    <w:rsid w:val="00C64FC7"/>
  </w:style>
  <w:style w:type="numbering" w:customStyle="1" w:styleId="NoList33411">
    <w:name w:val="No List33411"/>
    <w:next w:val="NoList"/>
    <w:uiPriority w:val="99"/>
    <w:unhideWhenUsed/>
    <w:rsid w:val="00C64FC7"/>
  </w:style>
  <w:style w:type="numbering" w:customStyle="1" w:styleId="NoList1811">
    <w:name w:val="No List1811"/>
    <w:next w:val="NoList"/>
    <w:uiPriority w:val="99"/>
    <w:unhideWhenUsed/>
    <w:rsid w:val="00C64FC7"/>
  </w:style>
  <w:style w:type="table" w:customStyle="1" w:styleId="TableGrid911">
    <w:name w:val="Table Grid9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11">
    <w:name w:val="Medium Grid 3 - Accent 17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1">
    <w:name w:val="Medium Grid 1 - Accent 1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1">
    <w:name w:val="Light Grid - Accent 1117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1">
    <w:name w:val="Light Grid - Accent 51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1">
    <w:name w:val="Light Grid - Accent 1217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1">
    <w:name w:val="Light List - Accent 51711"/>
    <w:basedOn w:val="TableNormal"/>
    <w:next w:val="LightList-Accent5"/>
    <w:uiPriority w:val="61"/>
    <w:locked/>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1">
    <w:name w:val="Light List - Accent 1117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1">
    <w:name w:val="Light Grid - Accent 131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1">
    <w:name w:val="Medium Grid 1 - Accent 31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1">
    <w:name w:val="No List1911"/>
    <w:next w:val="NoList"/>
    <w:uiPriority w:val="99"/>
    <w:unhideWhenUsed/>
    <w:rsid w:val="00C64FC7"/>
  </w:style>
  <w:style w:type="table" w:customStyle="1" w:styleId="MediumGrid1-Accent11811">
    <w:name w:val="Medium Grid 1 - Accent 118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1">
    <w:name w:val="Light Grid - Accent 111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1">
    <w:name w:val="Light Grid - Accent 518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1">
    <w:name w:val="Light Grid - Accent 121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1">
    <w:name w:val="Light List - Accent 518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1">
    <w:name w:val="Light List - Accent 1118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1">
    <w:name w:val="Light Grid - Accent 131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1">
    <w:name w:val="Medium Grid 1 - Accent 318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1">
    <w:name w:val="Grid Table 4 - Accent 317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1">
    <w:name w:val="No List2811"/>
    <w:next w:val="NoList"/>
    <w:uiPriority w:val="99"/>
    <w:unhideWhenUsed/>
    <w:rsid w:val="00C64FC7"/>
  </w:style>
  <w:style w:type="table" w:customStyle="1" w:styleId="MediumGrid1-Accent12711">
    <w:name w:val="Medium Grid 1 - Accent 127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1">
    <w:name w:val="Light Grid - Accent 1127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1">
    <w:name w:val="Light Grid - Accent 52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1">
    <w:name w:val="Light Grid - Accent 122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1">
    <w:name w:val="Light List - Accent 52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1">
    <w:name w:val="Light List - Accent 1127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1">
    <w:name w:val="Light Grid - Accent 132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1">
    <w:name w:val="Medium Grid 1 - Accent 32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1">
    <w:name w:val="Grid Table 4 Accent 317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1">
    <w:name w:val="No List3811"/>
    <w:next w:val="NoList"/>
    <w:uiPriority w:val="99"/>
    <w:unhideWhenUsed/>
    <w:rsid w:val="00C64FC7"/>
  </w:style>
  <w:style w:type="table" w:customStyle="1" w:styleId="MediumGrid1-Accent13711">
    <w:name w:val="Medium Grid 1 - Accent 137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1">
    <w:name w:val="Light Grid - Accent 1137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1">
    <w:name w:val="Light Grid - Accent 53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1">
    <w:name w:val="Light Grid - Accent 123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1">
    <w:name w:val="Light List - Accent 53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1">
    <w:name w:val="Light List - Accent 1137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1">
    <w:name w:val="Light Grid - Accent 133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1">
    <w:name w:val="Medium Grid 1 - Accent 33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1">
    <w:name w:val="Grid Table 4 Accent 327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1">
    <w:name w:val="Table Grid17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1">
    <w:name w:val="Table Grid26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1">
    <w:name w:val="No List4511"/>
    <w:next w:val="NoList"/>
    <w:uiPriority w:val="99"/>
    <w:unhideWhenUsed/>
    <w:rsid w:val="00C64FC7"/>
  </w:style>
  <w:style w:type="table" w:customStyle="1" w:styleId="MediumGrid1-Accent14511">
    <w:name w:val="Medium Grid 1 - Accent 14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1">
    <w:name w:val="Light Grid - Accent 114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1">
    <w:name w:val="Light Grid - Accent 54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1">
    <w:name w:val="Light Grid - Accent 124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1">
    <w:name w:val="Light List - Accent 54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1">
    <w:name w:val="Light List - Accent 114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1">
    <w:name w:val="Light Grid - Accent 134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1">
    <w:name w:val="Medium Grid 1 - Accent 34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1">
    <w:name w:val="Table Grid215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11">
    <w:name w:val="Medium Grid 3 - Accent 115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1">
    <w:name w:val="No List11511"/>
    <w:next w:val="NoList"/>
    <w:uiPriority w:val="99"/>
    <w:unhideWhenUsed/>
    <w:rsid w:val="00C64FC7"/>
  </w:style>
  <w:style w:type="table" w:customStyle="1" w:styleId="MediumGrid1-Accent111511">
    <w:name w:val="Medium Grid 1 - Accent 1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1">
    <w:name w:val="Light Grid - Accent 11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1">
    <w:name w:val="Light Grid - Accent 5115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1">
    <w:name w:val="Light Grid - Accent 12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1">
    <w:name w:val="Light List - Accent 5115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1">
    <w:name w:val="Light List - Accent 111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1">
    <w:name w:val="Light Grid - Accent 13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1">
    <w:name w:val="Medium Grid 1 - Accent 31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1">
    <w:name w:val="Grid Table 4 - Accent 31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1">
    <w:name w:val="No List21511"/>
    <w:next w:val="NoList"/>
    <w:uiPriority w:val="99"/>
    <w:unhideWhenUsed/>
    <w:rsid w:val="00C64FC7"/>
  </w:style>
  <w:style w:type="table" w:customStyle="1" w:styleId="MediumGrid1-Accent121511">
    <w:name w:val="Medium Grid 1 - Accent 12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1">
    <w:name w:val="Light Grid - Accent 1121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1">
    <w:name w:val="Light Grid - Accent 52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1">
    <w:name w:val="Light Grid - Accent 122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1">
    <w:name w:val="Light List - Accent 52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1">
    <w:name w:val="Light List - Accent 112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1">
    <w:name w:val="Light Grid - Accent 132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1">
    <w:name w:val="Medium Grid 1 - Accent 32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1">
    <w:name w:val="Grid Table 4 Accent 31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1">
    <w:name w:val="No List31511"/>
    <w:next w:val="NoList"/>
    <w:uiPriority w:val="99"/>
    <w:unhideWhenUsed/>
    <w:rsid w:val="00C64FC7"/>
  </w:style>
  <w:style w:type="table" w:customStyle="1" w:styleId="MediumGrid1-Accent131511">
    <w:name w:val="Medium Grid 1 - Accent 13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1">
    <w:name w:val="Light Grid - Accent 1131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1">
    <w:name w:val="Light Grid - Accent 53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1">
    <w:name w:val="Light Grid - Accent 123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1">
    <w:name w:val="Light List - Accent 53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1">
    <w:name w:val="Light List - Accent 113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1">
    <w:name w:val="Light Grid - Accent 133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1">
    <w:name w:val="Medium Grid 1 - Accent 3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1">
    <w:name w:val="Grid Table 4 Accent 32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1">
    <w:name w:val="Table Grid115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1">
    <w:name w:val="No List5511"/>
    <w:next w:val="NoList"/>
    <w:uiPriority w:val="99"/>
    <w:unhideWhenUsed/>
    <w:rsid w:val="00C64FC7"/>
  </w:style>
  <w:style w:type="table" w:customStyle="1" w:styleId="MediumGrid1-Accent15511">
    <w:name w:val="Medium Grid 1 - Accent 15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1">
    <w:name w:val="Light Grid - Accent 115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1">
    <w:name w:val="Light Grid - Accent 55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1">
    <w:name w:val="Light Grid - Accent 125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1">
    <w:name w:val="Light List - Accent 55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1">
    <w:name w:val="Light List - Accent 115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1">
    <w:name w:val="Light Grid - Accent 135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1">
    <w:name w:val="Medium Grid 1 - Accent 35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1">
    <w:name w:val="No List12511"/>
    <w:next w:val="NoList"/>
    <w:uiPriority w:val="99"/>
    <w:unhideWhenUsed/>
    <w:rsid w:val="00C64FC7"/>
  </w:style>
  <w:style w:type="numbering" w:customStyle="1" w:styleId="NoList22511">
    <w:name w:val="No List22511"/>
    <w:next w:val="NoList"/>
    <w:uiPriority w:val="99"/>
    <w:unhideWhenUsed/>
    <w:rsid w:val="00C64FC7"/>
  </w:style>
  <w:style w:type="numbering" w:customStyle="1" w:styleId="NoList32511">
    <w:name w:val="No List32511"/>
    <w:next w:val="NoList"/>
    <w:uiPriority w:val="99"/>
    <w:unhideWhenUsed/>
    <w:rsid w:val="00C64FC7"/>
  </w:style>
  <w:style w:type="numbering" w:customStyle="1" w:styleId="NoList6511">
    <w:name w:val="No List6511"/>
    <w:next w:val="NoList"/>
    <w:uiPriority w:val="99"/>
    <w:unhideWhenUsed/>
    <w:rsid w:val="00C64FC7"/>
  </w:style>
  <w:style w:type="table" w:customStyle="1" w:styleId="MediumGrid1-Accent16511">
    <w:name w:val="Medium Grid 1 - Accent 16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1">
    <w:name w:val="Light Grid - Accent 116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1">
    <w:name w:val="Light Grid - Accent 56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1">
    <w:name w:val="Light Grid - Accent 126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1">
    <w:name w:val="Light List - Accent 56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1">
    <w:name w:val="Light List - Accent 116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1">
    <w:name w:val="Light Grid - Accent 136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1">
    <w:name w:val="Medium Grid 1 - Accent 36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1">
    <w:name w:val="No List13511"/>
    <w:next w:val="NoList"/>
    <w:uiPriority w:val="99"/>
    <w:unhideWhenUsed/>
    <w:rsid w:val="00C64FC7"/>
  </w:style>
  <w:style w:type="numbering" w:customStyle="1" w:styleId="NoList23511">
    <w:name w:val="No List23511"/>
    <w:next w:val="NoList"/>
    <w:uiPriority w:val="99"/>
    <w:unhideWhenUsed/>
    <w:rsid w:val="00C64FC7"/>
  </w:style>
  <w:style w:type="numbering" w:customStyle="1" w:styleId="NoList33511">
    <w:name w:val="No List33511"/>
    <w:next w:val="NoList"/>
    <w:uiPriority w:val="99"/>
    <w:unhideWhenUsed/>
    <w:rsid w:val="00C64FC7"/>
  </w:style>
  <w:style w:type="numbering" w:customStyle="1" w:styleId="NoList40">
    <w:name w:val="No List40"/>
    <w:next w:val="NoList"/>
    <w:uiPriority w:val="99"/>
    <w:unhideWhenUsed/>
    <w:rsid w:val="00C64FC7"/>
  </w:style>
  <w:style w:type="table" w:customStyle="1" w:styleId="TableGrid20">
    <w:name w:val="Table Grid20"/>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0">
    <w:name w:val="Medium Grid 3 - Accent 110"/>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30">
    <w:name w:val="Medium Grid 1 - Accent 13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30">
    <w:name w:val="Light Grid - Accent 1130"/>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30">
    <w:name w:val="Light Grid - Accent 53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30">
    <w:name w:val="Light Grid - Accent 1230"/>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0">
    <w:name w:val="Light List - Accent 53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30">
    <w:name w:val="Light List - Accent 1130"/>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30">
    <w:name w:val="Light Grid - Accent 133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30">
    <w:name w:val="Medium Grid 1 - Accent 33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9">
    <w:name w:val="No List119"/>
    <w:next w:val="NoList"/>
    <w:uiPriority w:val="99"/>
    <w:unhideWhenUsed/>
    <w:rsid w:val="00C64FC7"/>
  </w:style>
  <w:style w:type="table" w:customStyle="1" w:styleId="MediumGrid1-Accent1119">
    <w:name w:val="Medium Grid 1 - Accent 1119"/>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9">
    <w:name w:val="Light Grid - Accent 1111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9">
    <w:name w:val="Light Grid - Accent 5119"/>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9">
    <w:name w:val="Light Grid - Accent 1211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9">
    <w:name w:val="Light List - Accent 5119"/>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9">
    <w:name w:val="Light List - Accent 11119"/>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9">
    <w:name w:val="Light Grid - Accent 1311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9">
    <w:name w:val="Medium Grid 1 - Accent 3119"/>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0">
    <w:name w:val="Grid Table 4 - Accent 3110"/>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8">
    <w:name w:val="No List218"/>
    <w:next w:val="NoList"/>
    <w:uiPriority w:val="99"/>
    <w:unhideWhenUsed/>
    <w:rsid w:val="00C64FC7"/>
  </w:style>
  <w:style w:type="table" w:customStyle="1" w:styleId="MediumGrid1-Accent1210">
    <w:name w:val="Medium Grid 1 - Accent 1210"/>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0">
    <w:name w:val="Light Grid - Accent 11210"/>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0">
    <w:name w:val="Light Grid - Accent 52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0">
    <w:name w:val="Light Grid - Accent 122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0">
    <w:name w:val="Light List - Accent 52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0">
    <w:name w:val="Light List - Accent 11210"/>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0">
    <w:name w:val="Light Grid - Accent 132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0">
    <w:name w:val="Medium Grid 1 - Accent 321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0">
    <w:name w:val="Grid Table 4 Accent 3110"/>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8">
    <w:name w:val="No List318"/>
    <w:next w:val="NoList"/>
    <w:uiPriority w:val="99"/>
    <w:unhideWhenUsed/>
    <w:rsid w:val="00C64FC7"/>
  </w:style>
  <w:style w:type="table" w:customStyle="1" w:styleId="MediumGrid1-Accent1310">
    <w:name w:val="Medium Grid 1 - Accent 1310"/>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0">
    <w:name w:val="Light Grid - Accent 11310"/>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0">
    <w:name w:val="Light Grid - Accent 53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0">
    <w:name w:val="Light Grid - Accent 123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0">
    <w:name w:val="Light List - Accent 53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0">
    <w:name w:val="Light List - Accent 11310"/>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0">
    <w:name w:val="Light Grid - Accent 133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0">
    <w:name w:val="Medium Grid 1 - Accent 331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0">
    <w:name w:val="Grid Table 4 Accent 3210"/>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8">
    <w:name w:val="Table Grid118"/>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unhideWhenUsed/>
    <w:rsid w:val="00C64FC7"/>
  </w:style>
  <w:style w:type="table" w:customStyle="1" w:styleId="MediumGrid1-Accent148">
    <w:name w:val="Medium Grid 1 - Accent 14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8">
    <w:name w:val="Light Grid - Accent 114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8">
    <w:name w:val="Light Grid - Accent 54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8">
    <w:name w:val="Light Grid - Accent 124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8">
    <w:name w:val="Light List - Accent 54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8">
    <w:name w:val="Light List - Accent 114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8">
    <w:name w:val="Light Grid - Accent 134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8">
    <w:name w:val="Medium Grid 1 - Accent 34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3">
    <w:name w:val="Table Grid3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8">
    <w:name w:val="Medium Grid 3 - Accent 118"/>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0">
    <w:name w:val="No List1110"/>
    <w:next w:val="NoList"/>
    <w:uiPriority w:val="99"/>
    <w:unhideWhenUsed/>
    <w:rsid w:val="00C64FC7"/>
  </w:style>
  <w:style w:type="table" w:customStyle="1" w:styleId="MediumGrid1-Accent11110">
    <w:name w:val="Medium Grid 1 - Accent 11110"/>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0">
    <w:name w:val="Light Grid - Accent 1111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0">
    <w:name w:val="Light Grid - Accent 51110"/>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0">
    <w:name w:val="Light Grid - Accent 1211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0">
    <w:name w:val="Light List - Accent 51110"/>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0">
    <w:name w:val="Light List - Accent 111110"/>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0">
    <w:name w:val="Light Grid - Accent 1311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0">
    <w:name w:val="Medium Grid 1 - Accent 3111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8">
    <w:name w:val="Grid Table 4 - Accent 3118"/>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9">
    <w:name w:val="No List219"/>
    <w:next w:val="NoList"/>
    <w:uiPriority w:val="99"/>
    <w:unhideWhenUsed/>
    <w:rsid w:val="00C64FC7"/>
  </w:style>
  <w:style w:type="table" w:customStyle="1" w:styleId="MediumGrid1-Accent1218">
    <w:name w:val="Medium Grid 1 - Accent 121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8">
    <w:name w:val="Light Grid - Accent 1121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8">
    <w:name w:val="Light Grid - Accent 52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8">
    <w:name w:val="Light Grid - Accent 122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8">
    <w:name w:val="Light List - Accent 52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8">
    <w:name w:val="Light List - Accent 1121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8">
    <w:name w:val="Light Grid - Accent 132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8">
    <w:name w:val="Medium Grid 1 - Accent 321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8">
    <w:name w:val="Grid Table 4 Accent 3118"/>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9">
    <w:name w:val="No List319"/>
    <w:next w:val="NoList"/>
    <w:uiPriority w:val="99"/>
    <w:unhideWhenUsed/>
    <w:rsid w:val="00C64FC7"/>
  </w:style>
  <w:style w:type="table" w:customStyle="1" w:styleId="MediumGrid1-Accent1318">
    <w:name w:val="Medium Grid 1 - Accent 131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8">
    <w:name w:val="Light Grid - Accent 1131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8">
    <w:name w:val="Light Grid - Accent 53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8">
    <w:name w:val="Light Grid - Accent 123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8">
    <w:name w:val="Light List - Accent 53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8">
    <w:name w:val="Light List - Accent 1131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8">
    <w:name w:val="Light Grid - Accent 133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8">
    <w:name w:val="Medium Grid 1 - Accent 331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8">
    <w:name w:val="Grid Table 4 Accent 3218"/>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9">
    <w:name w:val="Table Grid119"/>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unhideWhenUsed/>
    <w:rsid w:val="00C64FC7"/>
  </w:style>
  <w:style w:type="table" w:customStyle="1" w:styleId="TableGrid43">
    <w:name w:val="Table Grid43"/>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3">
    <w:name w:val="Medium Grid 3 - Accent 12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8">
    <w:name w:val="Medium Grid 1 - Accent 158"/>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8">
    <w:name w:val="Light Grid - Accent 1158"/>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8">
    <w:name w:val="Light Grid - Accent 558"/>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8">
    <w:name w:val="Light Grid - Accent 1258"/>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8">
    <w:name w:val="Light List - Accent 558"/>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8">
    <w:name w:val="Light List - Accent 1158"/>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8">
    <w:name w:val="Light Grid - Accent 135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8">
    <w:name w:val="Medium Grid 1 - Accent 35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8">
    <w:name w:val="No List128"/>
    <w:next w:val="NoList"/>
    <w:uiPriority w:val="99"/>
    <w:unhideWhenUsed/>
    <w:rsid w:val="00C64FC7"/>
  </w:style>
  <w:style w:type="table" w:customStyle="1" w:styleId="MediumGrid1-Accent1123">
    <w:name w:val="Medium Grid 1 - Accent 1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3">
    <w:name w:val="Light Grid - Accent 1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3">
    <w:name w:val="Light Grid - Accent 512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3">
    <w:name w:val="Light Grid - Accent 12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3">
    <w:name w:val="Light List - Accent 512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3">
    <w:name w:val="Light List - Accent 11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3">
    <w:name w:val="Light Grid - Accent 13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3">
    <w:name w:val="Medium Grid 1 - Accent 3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3">
    <w:name w:val="Grid Table 4 - Accent 3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8">
    <w:name w:val="No List228"/>
    <w:next w:val="NoList"/>
    <w:uiPriority w:val="99"/>
    <w:unhideWhenUsed/>
    <w:rsid w:val="00C64FC7"/>
  </w:style>
  <w:style w:type="table" w:customStyle="1" w:styleId="MediumGrid1-Accent1223">
    <w:name w:val="Medium Grid 1 - Accent 12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3">
    <w:name w:val="Light Grid - Accent 112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3">
    <w:name w:val="Light Grid - Accent 52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3">
    <w:name w:val="Light Grid - Accent 122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3">
    <w:name w:val="Light List - Accent 52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3">
    <w:name w:val="Light List - Accent 112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3">
    <w:name w:val="Light Grid - Accent 132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3">
    <w:name w:val="Medium Grid 1 - Accent 32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3">
    <w:name w:val="Grid Table 4 Accent 3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8">
    <w:name w:val="No List328"/>
    <w:next w:val="NoList"/>
    <w:uiPriority w:val="99"/>
    <w:unhideWhenUsed/>
    <w:rsid w:val="00C64FC7"/>
  </w:style>
  <w:style w:type="table" w:customStyle="1" w:styleId="MediumGrid1-Accent1323">
    <w:name w:val="Medium Grid 1 - Accent 13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3">
    <w:name w:val="Light Grid - Accent 113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3">
    <w:name w:val="Light Grid - Accent 53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3">
    <w:name w:val="Light Grid - Accent 123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3">
    <w:name w:val="Light List - Accent 53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3">
    <w:name w:val="Light List - Accent 113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3">
    <w:name w:val="Light Grid - Accent 133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3">
    <w:name w:val="Medium Grid 1 - Accent 33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3">
    <w:name w:val="Grid Table 4 Accent 32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3">
    <w:name w:val="Table Grid12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unhideWhenUsed/>
    <w:rsid w:val="00C64FC7"/>
  </w:style>
  <w:style w:type="table" w:customStyle="1" w:styleId="MediumGrid1-Accent168">
    <w:name w:val="Medium Grid 1 - Accent 16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8">
    <w:name w:val="Light Grid - Accent 116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8">
    <w:name w:val="Light Grid - Accent 56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8">
    <w:name w:val="Light Grid - Accent 126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8">
    <w:name w:val="Light List - Accent 56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8">
    <w:name w:val="Light List - Accent 116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8">
    <w:name w:val="Light Grid - Accent 136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8">
    <w:name w:val="Medium Grid 1 - Accent 36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8">
    <w:name w:val="No List138"/>
    <w:next w:val="NoList"/>
    <w:uiPriority w:val="99"/>
    <w:unhideWhenUsed/>
    <w:rsid w:val="00C64FC7"/>
  </w:style>
  <w:style w:type="numbering" w:customStyle="1" w:styleId="NoList238">
    <w:name w:val="No List238"/>
    <w:next w:val="NoList"/>
    <w:uiPriority w:val="99"/>
    <w:unhideWhenUsed/>
    <w:rsid w:val="00C64FC7"/>
  </w:style>
  <w:style w:type="numbering" w:customStyle="1" w:styleId="NoList338">
    <w:name w:val="No List338"/>
    <w:next w:val="NoList"/>
    <w:uiPriority w:val="99"/>
    <w:unhideWhenUsed/>
    <w:rsid w:val="00C64FC7"/>
  </w:style>
  <w:style w:type="numbering" w:customStyle="1" w:styleId="NoList73">
    <w:name w:val="No List73"/>
    <w:next w:val="NoList"/>
    <w:uiPriority w:val="99"/>
    <w:unhideWhenUsed/>
    <w:rsid w:val="00C64FC7"/>
  </w:style>
  <w:style w:type="table" w:customStyle="1" w:styleId="TableGrid53">
    <w:name w:val="Table Grid5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3">
    <w:name w:val="Medium Grid 3 - Accent 13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3">
    <w:name w:val="Medium Grid 1 - Accent 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3">
    <w:name w:val="Light Grid - Accent 117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3">
    <w:name w:val="Light Grid - Accent 5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3">
    <w:name w:val="Light Grid - Accent 127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3">
    <w:name w:val="Light List - Accent 5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3">
    <w:name w:val="Light List - Accent 117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3">
    <w:name w:val="Light Grid - Accent 13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3">
    <w:name w:val="Medium Grid 1 - Accent 3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3">
    <w:name w:val="No List143"/>
    <w:next w:val="NoList"/>
    <w:uiPriority w:val="99"/>
    <w:unhideWhenUsed/>
    <w:rsid w:val="00C64FC7"/>
  </w:style>
  <w:style w:type="table" w:customStyle="1" w:styleId="MediumGrid1-Accent1133">
    <w:name w:val="Medium Grid 1 - Accent 1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3">
    <w:name w:val="Light Grid - Accent 1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3">
    <w:name w:val="Light Grid - Accent 513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3">
    <w:name w:val="Light Grid - Accent 12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3">
    <w:name w:val="Light List - Accent 513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3">
    <w:name w:val="Light List - Accent 11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3">
    <w:name w:val="Light Grid - Accent 13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3">
    <w:name w:val="Medium Grid 1 - Accent 3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3">
    <w:name w:val="Grid Table 4 - Accent 3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3">
    <w:name w:val="No List243"/>
    <w:next w:val="NoList"/>
    <w:uiPriority w:val="99"/>
    <w:unhideWhenUsed/>
    <w:rsid w:val="00C64FC7"/>
  </w:style>
  <w:style w:type="table" w:customStyle="1" w:styleId="MediumGrid1-Accent1233">
    <w:name w:val="Medium Grid 1 - Accent 12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3">
    <w:name w:val="Light Grid - Accent 112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3">
    <w:name w:val="Light Grid - Accent 52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3">
    <w:name w:val="Light Grid - Accent 122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3">
    <w:name w:val="Light List - Accent 52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3">
    <w:name w:val="Light List - Accent 112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3">
    <w:name w:val="Light Grid - Accent 132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3">
    <w:name w:val="Medium Grid 1 - Accent 32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3">
    <w:name w:val="Grid Table 4 Accent 3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3">
    <w:name w:val="No List343"/>
    <w:next w:val="NoList"/>
    <w:uiPriority w:val="99"/>
    <w:unhideWhenUsed/>
    <w:rsid w:val="00C64FC7"/>
  </w:style>
  <w:style w:type="table" w:customStyle="1" w:styleId="MediumGrid1-Accent1333">
    <w:name w:val="Medium Grid 1 - Accent 13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3">
    <w:name w:val="Light Grid - Accent 113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3">
    <w:name w:val="Light Grid - Accent 53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3">
    <w:name w:val="Light Grid - Accent 123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3">
    <w:name w:val="Light List - Accent 53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3">
    <w:name w:val="Light List - Accent 113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3">
    <w:name w:val="Light Grid - Accent 133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3">
    <w:name w:val="Medium Grid 1 - Accent 33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3">
    <w:name w:val="Grid Table 4 Accent 32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3">
    <w:name w:val="Table Grid13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unhideWhenUsed/>
    <w:rsid w:val="00C64FC7"/>
  </w:style>
  <w:style w:type="table" w:customStyle="1" w:styleId="MediumGrid1-Accent1413">
    <w:name w:val="Medium Grid 1 - Accent 14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3">
    <w:name w:val="Light Grid - Accent 114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3">
    <w:name w:val="Light Grid - Accent 54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3">
    <w:name w:val="Light Grid - Accent 124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3">
    <w:name w:val="Light List - Accent 54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3">
    <w:name w:val="Light List - Accent 114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3">
    <w:name w:val="Light Grid - Accent 134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3">
    <w:name w:val="Medium Grid 1 - Accent 34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3">
    <w:name w:val="Table Grid211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3">
    <w:name w:val="Medium Grid 3 - Accent 111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3">
    <w:name w:val="No List1113"/>
    <w:next w:val="NoList"/>
    <w:uiPriority w:val="99"/>
    <w:unhideWhenUsed/>
    <w:rsid w:val="00C64FC7"/>
  </w:style>
  <w:style w:type="table" w:customStyle="1" w:styleId="MediumGrid1-Accent11113">
    <w:name w:val="Medium Grid 1 - Accent 111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3">
    <w:name w:val="Light Grid - Accent 111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3">
    <w:name w:val="Light Grid - Accent 5111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3">
    <w:name w:val="Light Grid - Accent 121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3">
    <w:name w:val="Light List - Accent 5111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3">
    <w:name w:val="Light List - Accent 1111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3">
    <w:name w:val="Light Grid - Accent 131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3">
    <w:name w:val="Medium Grid 1 - Accent 311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3">
    <w:name w:val="Grid Table 4 - Accent 3111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3">
    <w:name w:val="No List2113"/>
    <w:next w:val="NoList"/>
    <w:uiPriority w:val="99"/>
    <w:unhideWhenUsed/>
    <w:rsid w:val="00C64FC7"/>
  </w:style>
  <w:style w:type="table" w:customStyle="1" w:styleId="MediumGrid1-Accent12113">
    <w:name w:val="Medium Grid 1 - Accent 121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3">
    <w:name w:val="Light Grid - Accent 1121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3">
    <w:name w:val="Light Grid - Accent 52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3">
    <w:name w:val="Light Grid - Accent 122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3">
    <w:name w:val="Light List - Accent 52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3">
    <w:name w:val="Light List - Accent 1121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3">
    <w:name w:val="Light Grid - Accent 132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3">
    <w:name w:val="Medium Grid 1 - Accent 321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3">
    <w:name w:val="Grid Table 4 Accent 3111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3">
    <w:name w:val="No List3113"/>
    <w:next w:val="NoList"/>
    <w:uiPriority w:val="99"/>
    <w:unhideWhenUsed/>
    <w:rsid w:val="00C64FC7"/>
  </w:style>
  <w:style w:type="table" w:customStyle="1" w:styleId="MediumGrid1-Accent13113">
    <w:name w:val="Medium Grid 1 - Accent 131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3">
    <w:name w:val="Light Grid - Accent 1131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3">
    <w:name w:val="Light Grid - Accent 53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3">
    <w:name w:val="Light Grid - Accent 123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3">
    <w:name w:val="Light List - Accent 53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3">
    <w:name w:val="Light List - Accent 1131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3">
    <w:name w:val="Light Grid - Accent 133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3">
    <w:name w:val="Medium Grid 1 - Accent 331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3">
    <w:name w:val="Grid Table 4 Accent 3211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3">
    <w:name w:val="Table Grid111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unhideWhenUsed/>
    <w:rsid w:val="00C64FC7"/>
  </w:style>
  <w:style w:type="table" w:customStyle="1" w:styleId="MediumGrid1-Accent1513">
    <w:name w:val="Medium Grid 1 - Accent 15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3">
    <w:name w:val="Light Grid - Accent 115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3">
    <w:name w:val="Light Grid - Accent 55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3">
    <w:name w:val="Light Grid - Accent 125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3">
    <w:name w:val="Light List - Accent 55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3">
    <w:name w:val="Light List - Accent 115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3">
    <w:name w:val="Light Grid - Accent 135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3">
    <w:name w:val="Medium Grid 1 - Accent 35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3">
    <w:name w:val="No List1213"/>
    <w:next w:val="NoList"/>
    <w:uiPriority w:val="99"/>
    <w:unhideWhenUsed/>
    <w:rsid w:val="00C64FC7"/>
  </w:style>
  <w:style w:type="numbering" w:customStyle="1" w:styleId="NoList2213">
    <w:name w:val="No List2213"/>
    <w:next w:val="NoList"/>
    <w:uiPriority w:val="99"/>
    <w:unhideWhenUsed/>
    <w:rsid w:val="00C64FC7"/>
  </w:style>
  <w:style w:type="numbering" w:customStyle="1" w:styleId="NoList3213">
    <w:name w:val="No List3213"/>
    <w:next w:val="NoList"/>
    <w:uiPriority w:val="99"/>
    <w:unhideWhenUsed/>
    <w:rsid w:val="00C64FC7"/>
  </w:style>
  <w:style w:type="numbering" w:customStyle="1" w:styleId="NoList613">
    <w:name w:val="No List613"/>
    <w:next w:val="NoList"/>
    <w:uiPriority w:val="99"/>
    <w:unhideWhenUsed/>
    <w:rsid w:val="00C64FC7"/>
  </w:style>
  <w:style w:type="table" w:customStyle="1" w:styleId="MediumGrid1-Accent1613">
    <w:name w:val="Medium Grid 1 - Accent 16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3">
    <w:name w:val="Light Grid - Accent 116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3">
    <w:name w:val="Light Grid - Accent 56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3">
    <w:name w:val="Light Grid - Accent 126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3">
    <w:name w:val="Light List - Accent 56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3">
    <w:name w:val="Light List - Accent 116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3">
    <w:name w:val="Light Grid - Accent 136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3">
    <w:name w:val="Medium Grid 1 - Accent 36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3">
    <w:name w:val="No List1313"/>
    <w:next w:val="NoList"/>
    <w:uiPriority w:val="99"/>
    <w:unhideWhenUsed/>
    <w:rsid w:val="00C64FC7"/>
  </w:style>
  <w:style w:type="numbering" w:customStyle="1" w:styleId="NoList2313">
    <w:name w:val="No List2313"/>
    <w:next w:val="NoList"/>
    <w:uiPriority w:val="99"/>
    <w:unhideWhenUsed/>
    <w:rsid w:val="00C64FC7"/>
  </w:style>
  <w:style w:type="numbering" w:customStyle="1" w:styleId="NoList3313">
    <w:name w:val="No List3313"/>
    <w:next w:val="NoList"/>
    <w:uiPriority w:val="99"/>
    <w:unhideWhenUsed/>
    <w:rsid w:val="00C64FC7"/>
  </w:style>
  <w:style w:type="numbering" w:customStyle="1" w:styleId="NoList83">
    <w:name w:val="No List83"/>
    <w:next w:val="NoList"/>
    <w:uiPriority w:val="99"/>
    <w:unhideWhenUsed/>
    <w:rsid w:val="00C64FC7"/>
  </w:style>
  <w:style w:type="table" w:customStyle="1" w:styleId="TableGrid63">
    <w:name w:val="Table Grid6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3">
    <w:name w:val="Medium Grid 3 - Accent 14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3">
    <w:name w:val="Medium Grid 1 - Accent 18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3">
    <w:name w:val="Light Grid - Accent 118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3">
    <w:name w:val="Light Grid - Accent 58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3">
    <w:name w:val="Light Grid - Accent 128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3">
    <w:name w:val="Light List - Accent 58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3">
    <w:name w:val="Light List - Accent 118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3">
    <w:name w:val="Light Grid - Accent 13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3">
    <w:name w:val="Medium Grid 1 - Accent 38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3">
    <w:name w:val="No List153"/>
    <w:next w:val="NoList"/>
    <w:uiPriority w:val="99"/>
    <w:unhideWhenUsed/>
    <w:rsid w:val="00C64FC7"/>
  </w:style>
  <w:style w:type="table" w:customStyle="1" w:styleId="MediumGrid1-Accent1143">
    <w:name w:val="Medium Grid 1 - Accent 1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3">
    <w:name w:val="Light Grid - Accent 1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3">
    <w:name w:val="Light Grid - Accent 514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3">
    <w:name w:val="Light Grid - Accent 12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3">
    <w:name w:val="Light List - Accent 514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3">
    <w:name w:val="Light List - Accent 11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3">
    <w:name w:val="Light Grid - Accent 13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3">
    <w:name w:val="Medium Grid 1 - Accent 3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3">
    <w:name w:val="Grid Table 4 - Accent 3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3">
    <w:name w:val="No List253"/>
    <w:next w:val="NoList"/>
    <w:uiPriority w:val="99"/>
    <w:unhideWhenUsed/>
    <w:rsid w:val="00C64FC7"/>
  </w:style>
  <w:style w:type="table" w:customStyle="1" w:styleId="MediumGrid1-Accent1243">
    <w:name w:val="Medium Grid 1 - Accent 12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3">
    <w:name w:val="Light Grid - Accent 112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3">
    <w:name w:val="Light Grid - Accent 52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3">
    <w:name w:val="Light Grid - Accent 122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3">
    <w:name w:val="Light List - Accent 52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3">
    <w:name w:val="Light List - Accent 112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3">
    <w:name w:val="Light Grid - Accent 132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3">
    <w:name w:val="Medium Grid 1 - Accent 32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3">
    <w:name w:val="Grid Table 4 Accent 3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3">
    <w:name w:val="No List353"/>
    <w:next w:val="NoList"/>
    <w:uiPriority w:val="99"/>
    <w:unhideWhenUsed/>
    <w:rsid w:val="00C64FC7"/>
  </w:style>
  <w:style w:type="table" w:customStyle="1" w:styleId="MediumGrid1-Accent1343">
    <w:name w:val="Medium Grid 1 - Accent 13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3">
    <w:name w:val="Light Grid - Accent 113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3">
    <w:name w:val="Light Grid - Accent 53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3">
    <w:name w:val="Light Grid - Accent 123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3">
    <w:name w:val="Light List - Accent 53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3">
    <w:name w:val="Light List - Accent 113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3">
    <w:name w:val="Light Grid - Accent 133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3">
    <w:name w:val="Medium Grid 1 - Accent 33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3">
    <w:name w:val="Grid Table 4 Accent 32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3">
    <w:name w:val="Table Grid14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unhideWhenUsed/>
    <w:rsid w:val="00C64FC7"/>
  </w:style>
  <w:style w:type="table" w:customStyle="1" w:styleId="MediumGrid1-Accent1423">
    <w:name w:val="Medium Grid 1 - Accent 14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3">
    <w:name w:val="Light Grid - Accent 114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3">
    <w:name w:val="Light Grid - Accent 54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3">
    <w:name w:val="Light Grid - Accent 124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3">
    <w:name w:val="Light List - Accent 54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3">
    <w:name w:val="Light List - Accent 114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3">
    <w:name w:val="Light Grid - Accent 134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3">
    <w:name w:val="Medium Grid 1 - Accent 34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3">
    <w:name w:val="Table Grid212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3">
    <w:name w:val="Medium Grid 3 - Accent 112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3">
    <w:name w:val="No List1123"/>
    <w:next w:val="NoList"/>
    <w:uiPriority w:val="99"/>
    <w:unhideWhenUsed/>
    <w:rsid w:val="00C64FC7"/>
  </w:style>
  <w:style w:type="table" w:customStyle="1" w:styleId="MediumGrid1-Accent11123">
    <w:name w:val="Medium Grid 1 - Accent 11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3">
    <w:name w:val="Light Grid - Accent 11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3">
    <w:name w:val="Light Grid - Accent 5112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3">
    <w:name w:val="Light Grid - Accent 12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3">
    <w:name w:val="Light List - Accent 5112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3">
    <w:name w:val="Light List - Accent 111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3">
    <w:name w:val="Light Grid - Accent 13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3">
    <w:name w:val="Medium Grid 1 - Accent 31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3">
    <w:name w:val="Grid Table 4 - Accent 31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3">
    <w:name w:val="No List2123"/>
    <w:next w:val="NoList"/>
    <w:uiPriority w:val="99"/>
    <w:unhideWhenUsed/>
    <w:rsid w:val="00C64FC7"/>
  </w:style>
  <w:style w:type="table" w:customStyle="1" w:styleId="MediumGrid1-Accent12123">
    <w:name w:val="Medium Grid 1 - Accent 12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3">
    <w:name w:val="Light Grid - Accent 1121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3">
    <w:name w:val="Light Grid - Accent 52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3">
    <w:name w:val="Light Grid - Accent 122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3">
    <w:name w:val="Light List - Accent 52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3">
    <w:name w:val="Light List - Accent 112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3">
    <w:name w:val="Light Grid - Accent 132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3">
    <w:name w:val="Medium Grid 1 - Accent 32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3">
    <w:name w:val="Grid Table 4 Accent 31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3">
    <w:name w:val="No List3123"/>
    <w:next w:val="NoList"/>
    <w:uiPriority w:val="99"/>
    <w:unhideWhenUsed/>
    <w:rsid w:val="00C64FC7"/>
  </w:style>
  <w:style w:type="table" w:customStyle="1" w:styleId="MediumGrid1-Accent13123">
    <w:name w:val="Medium Grid 1 - Accent 13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3">
    <w:name w:val="Light Grid - Accent 1131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3">
    <w:name w:val="Light Grid - Accent 53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3">
    <w:name w:val="Light Grid - Accent 123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3">
    <w:name w:val="Light List - Accent 53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3">
    <w:name w:val="Light List - Accent 113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3">
    <w:name w:val="Light Grid - Accent 133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3">
    <w:name w:val="Medium Grid 1 - Accent 33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3">
    <w:name w:val="Grid Table 4 Accent 32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3">
    <w:name w:val="Table Grid112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unhideWhenUsed/>
    <w:rsid w:val="00C64FC7"/>
  </w:style>
  <w:style w:type="table" w:customStyle="1" w:styleId="MediumGrid1-Accent1523">
    <w:name w:val="Medium Grid 1 - Accent 15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3">
    <w:name w:val="Light Grid - Accent 115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3">
    <w:name w:val="Light Grid - Accent 55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3">
    <w:name w:val="Light Grid - Accent 125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3">
    <w:name w:val="Light List - Accent 55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3">
    <w:name w:val="Light List - Accent 115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3">
    <w:name w:val="Light Grid - Accent 135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3">
    <w:name w:val="Medium Grid 1 - Accent 35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3">
    <w:name w:val="No List1223"/>
    <w:next w:val="NoList"/>
    <w:uiPriority w:val="99"/>
    <w:unhideWhenUsed/>
    <w:rsid w:val="00C64FC7"/>
  </w:style>
  <w:style w:type="numbering" w:customStyle="1" w:styleId="NoList2223">
    <w:name w:val="No List2223"/>
    <w:next w:val="NoList"/>
    <w:uiPriority w:val="99"/>
    <w:unhideWhenUsed/>
    <w:rsid w:val="00C64FC7"/>
  </w:style>
  <w:style w:type="numbering" w:customStyle="1" w:styleId="NoList3223">
    <w:name w:val="No List3223"/>
    <w:next w:val="NoList"/>
    <w:uiPriority w:val="99"/>
    <w:unhideWhenUsed/>
    <w:rsid w:val="00C64FC7"/>
  </w:style>
  <w:style w:type="numbering" w:customStyle="1" w:styleId="NoList623">
    <w:name w:val="No List623"/>
    <w:next w:val="NoList"/>
    <w:uiPriority w:val="99"/>
    <w:unhideWhenUsed/>
    <w:rsid w:val="00C64FC7"/>
  </w:style>
  <w:style w:type="table" w:customStyle="1" w:styleId="MediumGrid1-Accent1623">
    <w:name w:val="Medium Grid 1 - Accent 16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3">
    <w:name w:val="Light Grid - Accent 116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3">
    <w:name w:val="Light Grid - Accent 56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3">
    <w:name w:val="Light Grid - Accent 126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3">
    <w:name w:val="Light List - Accent 56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3">
    <w:name w:val="Light List - Accent 116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3">
    <w:name w:val="Light Grid - Accent 136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3">
    <w:name w:val="Medium Grid 1 - Accent 36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3">
    <w:name w:val="No List1323"/>
    <w:next w:val="NoList"/>
    <w:uiPriority w:val="99"/>
    <w:unhideWhenUsed/>
    <w:rsid w:val="00C64FC7"/>
  </w:style>
  <w:style w:type="numbering" w:customStyle="1" w:styleId="NoList2323">
    <w:name w:val="No List2323"/>
    <w:next w:val="NoList"/>
    <w:uiPriority w:val="99"/>
    <w:unhideWhenUsed/>
    <w:rsid w:val="00C64FC7"/>
  </w:style>
  <w:style w:type="numbering" w:customStyle="1" w:styleId="NoList3323">
    <w:name w:val="No List3323"/>
    <w:next w:val="NoList"/>
    <w:uiPriority w:val="99"/>
    <w:unhideWhenUsed/>
    <w:rsid w:val="00C64FC7"/>
  </w:style>
  <w:style w:type="numbering" w:customStyle="1" w:styleId="NoList93">
    <w:name w:val="No List93"/>
    <w:next w:val="NoList"/>
    <w:uiPriority w:val="99"/>
    <w:unhideWhenUsed/>
    <w:rsid w:val="00C64FC7"/>
  </w:style>
  <w:style w:type="table" w:customStyle="1" w:styleId="TableGrid73">
    <w:name w:val="Table Grid7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3">
    <w:name w:val="Medium Grid 3 - Accent 15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3">
    <w:name w:val="Medium Grid 1 - Accent 19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3">
    <w:name w:val="Light Grid - Accent 119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3">
    <w:name w:val="Light Grid - Accent 59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3">
    <w:name w:val="Light Grid - Accent 129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3">
    <w:name w:val="Light List - Accent 59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3">
    <w:name w:val="Light List - Accent 119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3">
    <w:name w:val="Light Grid - Accent 139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3">
    <w:name w:val="Medium Grid 1 - Accent 39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3">
    <w:name w:val="No List163"/>
    <w:next w:val="NoList"/>
    <w:uiPriority w:val="99"/>
    <w:unhideWhenUsed/>
    <w:rsid w:val="00C64FC7"/>
  </w:style>
  <w:style w:type="table" w:customStyle="1" w:styleId="MediumGrid1-Accent1153">
    <w:name w:val="Medium Grid 1 - Accent 1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3">
    <w:name w:val="Light Grid - Accent 1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3">
    <w:name w:val="Light Grid - Accent 515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3">
    <w:name w:val="Light Grid - Accent 12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3">
    <w:name w:val="Light List - Accent 515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3">
    <w:name w:val="Light List - Accent 11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3">
    <w:name w:val="Light Grid - Accent 13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3">
    <w:name w:val="Medium Grid 1 - Accent 3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3">
    <w:name w:val="Grid Table 4 - Accent 3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3">
    <w:name w:val="No List263"/>
    <w:next w:val="NoList"/>
    <w:uiPriority w:val="99"/>
    <w:unhideWhenUsed/>
    <w:rsid w:val="00C64FC7"/>
  </w:style>
  <w:style w:type="table" w:customStyle="1" w:styleId="MediumGrid1-Accent1253">
    <w:name w:val="Medium Grid 1 - Accent 12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3">
    <w:name w:val="Light Grid - Accent 112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3">
    <w:name w:val="Light Grid - Accent 52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3">
    <w:name w:val="Light Grid - Accent 122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3">
    <w:name w:val="Light List - Accent 52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3">
    <w:name w:val="Light List - Accent 112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3">
    <w:name w:val="Light Grid - Accent 132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3">
    <w:name w:val="Medium Grid 1 - Accent 32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3">
    <w:name w:val="Grid Table 4 Accent 3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3">
    <w:name w:val="No List363"/>
    <w:next w:val="NoList"/>
    <w:uiPriority w:val="99"/>
    <w:unhideWhenUsed/>
    <w:rsid w:val="00C64FC7"/>
  </w:style>
  <w:style w:type="table" w:customStyle="1" w:styleId="MediumGrid1-Accent1353">
    <w:name w:val="Medium Grid 1 - Accent 13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3">
    <w:name w:val="Light Grid - Accent 113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3">
    <w:name w:val="Light Grid - Accent 53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3">
    <w:name w:val="Light Grid - Accent 123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3">
    <w:name w:val="Light List - Accent 53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3">
    <w:name w:val="Light List - Accent 113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3">
    <w:name w:val="Light Grid - Accent 133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3">
    <w:name w:val="Medium Grid 1 - Accent 33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3">
    <w:name w:val="Grid Table 4 Accent 32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3">
    <w:name w:val="Table Grid15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unhideWhenUsed/>
    <w:rsid w:val="00C64FC7"/>
  </w:style>
  <w:style w:type="table" w:customStyle="1" w:styleId="MediumGrid1-Accent1433">
    <w:name w:val="Medium Grid 1 - Accent 14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3">
    <w:name w:val="Light Grid - Accent 114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3">
    <w:name w:val="Light Grid - Accent 54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3">
    <w:name w:val="Light Grid - Accent 124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3">
    <w:name w:val="Light List - Accent 54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3">
    <w:name w:val="Light List - Accent 114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3">
    <w:name w:val="Light Grid - Accent 134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3">
    <w:name w:val="Medium Grid 1 - Accent 34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3">
    <w:name w:val="Table Grid213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3">
    <w:name w:val="Medium Grid 3 - Accent 113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3">
    <w:name w:val="No List1133"/>
    <w:next w:val="NoList"/>
    <w:uiPriority w:val="99"/>
    <w:unhideWhenUsed/>
    <w:rsid w:val="00C64FC7"/>
  </w:style>
  <w:style w:type="table" w:customStyle="1" w:styleId="MediumGrid1-Accent11133">
    <w:name w:val="Medium Grid 1 - Accent 11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3">
    <w:name w:val="Light Grid - Accent 11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3">
    <w:name w:val="Light Grid - Accent 5113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3">
    <w:name w:val="Light Grid - Accent 12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3">
    <w:name w:val="Light List - Accent 5113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3">
    <w:name w:val="Light List - Accent 111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3">
    <w:name w:val="Light Grid - Accent 13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3">
    <w:name w:val="Medium Grid 1 - Accent 31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3">
    <w:name w:val="Grid Table 4 - Accent 31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3">
    <w:name w:val="No List2133"/>
    <w:next w:val="NoList"/>
    <w:uiPriority w:val="99"/>
    <w:unhideWhenUsed/>
    <w:rsid w:val="00C64FC7"/>
  </w:style>
  <w:style w:type="table" w:customStyle="1" w:styleId="MediumGrid1-Accent12133">
    <w:name w:val="Medium Grid 1 - Accent 12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3">
    <w:name w:val="Light Grid - Accent 1121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3">
    <w:name w:val="Light Grid - Accent 52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3">
    <w:name w:val="Light Grid - Accent 122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3">
    <w:name w:val="Light List - Accent 52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3">
    <w:name w:val="Light List - Accent 112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3">
    <w:name w:val="Light Grid - Accent 132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3">
    <w:name w:val="Medium Grid 1 - Accent 32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3">
    <w:name w:val="Grid Table 4 Accent 31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3">
    <w:name w:val="No List3133"/>
    <w:next w:val="NoList"/>
    <w:uiPriority w:val="99"/>
    <w:unhideWhenUsed/>
    <w:rsid w:val="00C64FC7"/>
  </w:style>
  <w:style w:type="table" w:customStyle="1" w:styleId="MediumGrid1-Accent13133">
    <w:name w:val="Medium Grid 1 - Accent 13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3">
    <w:name w:val="Light Grid - Accent 1131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3">
    <w:name w:val="Light Grid - Accent 53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3">
    <w:name w:val="Light Grid - Accent 123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3">
    <w:name w:val="Light List - Accent 53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3">
    <w:name w:val="Light List - Accent 113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3">
    <w:name w:val="Light Grid - Accent 133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3">
    <w:name w:val="Medium Grid 1 - Accent 33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3">
    <w:name w:val="Grid Table 4 Accent 32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3">
    <w:name w:val="Table Grid113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unhideWhenUsed/>
    <w:rsid w:val="00C64FC7"/>
  </w:style>
  <w:style w:type="table" w:customStyle="1" w:styleId="MediumGrid1-Accent1533">
    <w:name w:val="Medium Grid 1 - Accent 15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3">
    <w:name w:val="Light Grid - Accent 115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3">
    <w:name w:val="Light Grid - Accent 55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3">
    <w:name w:val="Light Grid - Accent 125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3">
    <w:name w:val="Light List - Accent 55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3">
    <w:name w:val="Light List - Accent 115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3">
    <w:name w:val="Light Grid - Accent 135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3">
    <w:name w:val="Medium Grid 1 - Accent 35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3">
    <w:name w:val="No List1233"/>
    <w:next w:val="NoList"/>
    <w:uiPriority w:val="99"/>
    <w:unhideWhenUsed/>
    <w:rsid w:val="00C64FC7"/>
  </w:style>
  <w:style w:type="numbering" w:customStyle="1" w:styleId="NoList2233">
    <w:name w:val="No List2233"/>
    <w:next w:val="NoList"/>
    <w:uiPriority w:val="99"/>
    <w:unhideWhenUsed/>
    <w:rsid w:val="00C64FC7"/>
  </w:style>
  <w:style w:type="numbering" w:customStyle="1" w:styleId="NoList3233">
    <w:name w:val="No List3233"/>
    <w:next w:val="NoList"/>
    <w:uiPriority w:val="99"/>
    <w:unhideWhenUsed/>
    <w:rsid w:val="00C64FC7"/>
  </w:style>
  <w:style w:type="numbering" w:customStyle="1" w:styleId="NoList633">
    <w:name w:val="No List633"/>
    <w:next w:val="NoList"/>
    <w:uiPriority w:val="99"/>
    <w:unhideWhenUsed/>
    <w:rsid w:val="00C64FC7"/>
  </w:style>
  <w:style w:type="table" w:customStyle="1" w:styleId="MediumGrid1-Accent1633">
    <w:name w:val="Medium Grid 1 - Accent 16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3">
    <w:name w:val="Light Grid - Accent 116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3">
    <w:name w:val="Light Grid - Accent 56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3">
    <w:name w:val="Light Grid - Accent 126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3">
    <w:name w:val="Light List - Accent 56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3">
    <w:name w:val="Light List - Accent 116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3">
    <w:name w:val="Light Grid - Accent 136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3">
    <w:name w:val="Medium Grid 1 - Accent 36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3">
    <w:name w:val="No List1333"/>
    <w:next w:val="NoList"/>
    <w:uiPriority w:val="99"/>
    <w:unhideWhenUsed/>
    <w:rsid w:val="00C64FC7"/>
  </w:style>
  <w:style w:type="numbering" w:customStyle="1" w:styleId="NoList2333">
    <w:name w:val="No List2333"/>
    <w:next w:val="NoList"/>
    <w:uiPriority w:val="99"/>
    <w:unhideWhenUsed/>
    <w:rsid w:val="00C64FC7"/>
  </w:style>
  <w:style w:type="numbering" w:customStyle="1" w:styleId="NoList3333">
    <w:name w:val="No List3333"/>
    <w:next w:val="NoList"/>
    <w:uiPriority w:val="99"/>
    <w:unhideWhenUsed/>
    <w:rsid w:val="00C64FC7"/>
  </w:style>
  <w:style w:type="numbering" w:customStyle="1" w:styleId="NoList103">
    <w:name w:val="No List103"/>
    <w:next w:val="NoList"/>
    <w:uiPriority w:val="99"/>
    <w:unhideWhenUsed/>
    <w:rsid w:val="00C64FC7"/>
  </w:style>
  <w:style w:type="table" w:customStyle="1" w:styleId="TableGrid83">
    <w:name w:val="Table Grid8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3">
    <w:name w:val="Medium Grid 3 - Accent 16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3">
    <w:name w:val="Medium Grid 1 - Accent 110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3">
    <w:name w:val="Light Grid - Accent 1110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3">
    <w:name w:val="Light Grid - Accent 510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3">
    <w:name w:val="Light Grid - Accent 1210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3">
    <w:name w:val="Light List - Accent 510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3">
    <w:name w:val="Light List - Accent 1110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3">
    <w:name w:val="Light Grid - Accent 1310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3">
    <w:name w:val="Medium Grid 1 - Accent 310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3">
    <w:name w:val="No List173"/>
    <w:next w:val="NoList"/>
    <w:uiPriority w:val="99"/>
    <w:unhideWhenUsed/>
    <w:rsid w:val="00C64FC7"/>
  </w:style>
  <w:style w:type="table" w:customStyle="1" w:styleId="MediumGrid1-Accent1163">
    <w:name w:val="Medium Grid 1 - Accent 116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3">
    <w:name w:val="Light Grid - Accent 111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3">
    <w:name w:val="Light Grid - Accent 516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3">
    <w:name w:val="Light Grid - Accent 121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3">
    <w:name w:val="Light List - Accent 516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3">
    <w:name w:val="Light List - Accent 1116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3">
    <w:name w:val="Light Grid - Accent 131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3">
    <w:name w:val="Medium Grid 1 - Accent 316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3">
    <w:name w:val="Grid Table 4 - Accent 316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3">
    <w:name w:val="No List273"/>
    <w:next w:val="NoList"/>
    <w:uiPriority w:val="99"/>
    <w:unhideWhenUsed/>
    <w:rsid w:val="00C64FC7"/>
  </w:style>
  <w:style w:type="table" w:customStyle="1" w:styleId="MediumGrid1-Accent1263">
    <w:name w:val="Medium Grid 1 - Accent 126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3">
    <w:name w:val="Light Grid - Accent 1126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3">
    <w:name w:val="Light Grid - Accent 52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3">
    <w:name w:val="Light Grid - Accent 122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3">
    <w:name w:val="Light List - Accent 52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3">
    <w:name w:val="Light List - Accent 1126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3">
    <w:name w:val="Light Grid - Accent 132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3">
    <w:name w:val="Medium Grid 1 - Accent 326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3">
    <w:name w:val="Grid Table 4 Accent 316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3">
    <w:name w:val="No List373"/>
    <w:next w:val="NoList"/>
    <w:uiPriority w:val="99"/>
    <w:unhideWhenUsed/>
    <w:rsid w:val="00C64FC7"/>
  </w:style>
  <w:style w:type="table" w:customStyle="1" w:styleId="MediumGrid1-Accent1363">
    <w:name w:val="Medium Grid 1 - Accent 136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3">
    <w:name w:val="Light Grid - Accent 1136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3">
    <w:name w:val="Light Grid - Accent 53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3">
    <w:name w:val="Light Grid - Accent 123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3">
    <w:name w:val="Light List - Accent 53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3">
    <w:name w:val="Light List - Accent 1136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3">
    <w:name w:val="Light Grid - Accent 133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3">
    <w:name w:val="Medium Grid 1 - Accent 336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3">
    <w:name w:val="Grid Table 4 Accent 326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3">
    <w:name w:val="Table Grid16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unhideWhenUsed/>
    <w:rsid w:val="00C64FC7"/>
  </w:style>
  <w:style w:type="table" w:customStyle="1" w:styleId="MediumGrid1-Accent1443">
    <w:name w:val="Medium Grid 1 - Accent 14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3">
    <w:name w:val="Light Grid - Accent 114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3">
    <w:name w:val="Light Grid - Accent 54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3">
    <w:name w:val="Light Grid - Accent 124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3">
    <w:name w:val="Light List - Accent 54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3">
    <w:name w:val="Light List - Accent 114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3">
    <w:name w:val="Light Grid - Accent 134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3">
    <w:name w:val="Medium Grid 1 - Accent 34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3">
    <w:name w:val="Table Grid214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3">
    <w:name w:val="Medium Grid 3 - Accent 114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3">
    <w:name w:val="No List1143"/>
    <w:next w:val="NoList"/>
    <w:uiPriority w:val="99"/>
    <w:unhideWhenUsed/>
    <w:rsid w:val="00C64FC7"/>
  </w:style>
  <w:style w:type="table" w:customStyle="1" w:styleId="MediumGrid1-Accent11143">
    <w:name w:val="Medium Grid 1 - Accent 11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3">
    <w:name w:val="Light Grid - Accent 11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3">
    <w:name w:val="Light Grid - Accent 5114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3">
    <w:name w:val="Light Grid - Accent 12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3">
    <w:name w:val="Light List - Accent 5114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3">
    <w:name w:val="Light List - Accent 111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3">
    <w:name w:val="Light Grid - Accent 13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3">
    <w:name w:val="Medium Grid 1 - Accent 31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3">
    <w:name w:val="Grid Table 4 - Accent 31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3">
    <w:name w:val="No List2143"/>
    <w:next w:val="NoList"/>
    <w:uiPriority w:val="99"/>
    <w:unhideWhenUsed/>
    <w:rsid w:val="00C64FC7"/>
  </w:style>
  <w:style w:type="table" w:customStyle="1" w:styleId="MediumGrid1-Accent12143">
    <w:name w:val="Medium Grid 1 - Accent 12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3">
    <w:name w:val="Light Grid - Accent 1121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3">
    <w:name w:val="Light Grid - Accent 52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3">
    <w:name w:val="Light Grid - Accent 122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3">
    <w:name w:val="Light List - Accent 52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3">
    <w:name w:val="Light List - Accent 112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3">
    <w:name w:val="Light Grid - Accent 132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3">
    <w:name w:val="Medium Grid 1 - Accent 32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3">
    <w:name w:val="Grid Table 4 Accent 31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3">
    <w:name w:val="No List3143"/>
    <w:next w:val="NoList"/>
    <w:uiPriority w:val="99"/>
    <w:unhideWhenUsed/>
    <w:rsid w:val="00C64FC7"/>
  </w:style>
  <w:style w:type="table" w:customStyle="1" w:styleId="MediumGrid1-Accent13143">
    <w:name w:val="Medium Grid 1 - Accent 13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3">
    <w:name w:val="Light Grid - Accent 1131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3">
    <w:name w:val="Light Grid - Accent 53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3">
    <w:name w:val="Light Grid - Accent 123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3">
    <w:name w:val="Light List - Accent 53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3">
    <w:name w:val="Light List - Accent 113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3">
    <w:name w:val="Light Grid - Accent 133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3">
    <w:name w:val="Medium Grid 1 - Accent 33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3">
    <w:name w:val="Grid Table 4 Accent 32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3">
    <w:name w:val="Table Grid114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unhideWhenUsed/>
    <w:rsid w:val="00C64FC7"/>
  </w:style>
  <w:style w:type="table" w:customStyle="1" w:styleId="MediumGrid1-Accent1543">
    <w:name w:val="Medium Grid 1 - Accent 15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3">
    <w:name w:val="Light Grid - Accent 115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3">
    <w:name w:val="Light Grid - Accent 55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3">
    <w:name w:val="Light Grid - Accent 125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3">
    <w:name w:val="Light List - Accent 55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3">
    <w:name w:val="Light List - Accent 115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3">
    <w:name w:val="Light Grid - Accent 135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3">
    <w:name w:val="Medium Grid 1 - Accent 35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3">
    <w:name w:val="No List1243"/>
    <w:next w:val="NoList"/>
    <w:uiPriority w:val="99"/>
    <w:unhideWhenUsed/>
    <w:rsid w:val="00C64FC7"/>
  </w:style>
  <w:style w:type="numbering" w:customStyle="1" w:styleId="NoList2243">
    <w:name w:val="No List2243"/>
    <w:next w:val="NoList"/>
    <w:uiPriority w:val="99"/>
    <w:unhideWhenUsed/>
    <w:rsid w:val="00C64FC7"/>
  </w:style>
  <w:style w:type="numbering" w:customStyle="1" w:styleId="NoList3243">
    <w:name w:val="No List3243"/>
    <w:next w:val="NoList"/>
    <w:uiPriority w:val="99"/>
    <w:unhideWhenUsed/>
    <w:rsid w:val="00C64FC7"/>
  </w:style>
  <w:style w:type="numbering" w:customStyle="1" w:styleId="NoList643">
    <w:name w:val="No List643"/>
    <w:next w:val="NoList"/>
    <w:uiPriority w:val="99"/>
    <w:unhideWhenUsed/>
    <w:rsid w:val="00C64FC7"/>
  </w:style>
  <w:style w:type="table" w:customStyle="1" w:styleId="MediumGrid1-Accent1643">
    <w:name w:val="Medium Grid 1 - Accent 16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3">
    <w:name w:val="Light Grid - Accent 116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3">
    <w:name w:val="Light Grid - Accent 56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3">
    <w:name w:val="Light Grid - Accent 126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3">
    <w:name w:val="Light List - Accent 56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3">
    <w:name w:val="Light List - Accent 116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3">
    <w:name w:val="Light Grid - Accent 136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3">
    <w:name w:val="Medium Grid 1 - Accent 36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3">
    <w:name w:val="No List1343"/>
    <w:next w:val="NoList"/>
    <w:uiPriority w:val="99"/>
    <w:unhideWhenUsed/>
    <w:rsid w:val="00C64FC7"/>
  </w:style>
  <w:style w:type="numbering" w:customStyle="1" w:styleId="NoList2343">
    <w:name w:val="No List2343"/>
    <w:next w:val="NoList"/>
    <w:uiPriority w:val="99"/>
    <w:unhideWhenUsed/>
    <w:rsid w:val="00C64FC7"/>
  </w:style>
  <w:style w:type="numbering" w:customStyle="1" w:styleId="NoList3343">
    <w:name w:val="No List3343"/>
    <w:next w:val="NoList"/>
    <w:uiPriority w:val="99"/>
    <w:unhideWhenUsed/>
    <w:rsid w:val="00C64FC7"/>
  </w:style>
  <w:style w:type="numbering" w:customStyle="1" w:styleId="NoList183">
    <w:name w:val="No List183"/>
    <w:next w:val="NoList"/>
    <w:uiPriority w:val="99"/>
    <w:unhideWhenUsed/>
    <w:rsid w:val="00C64FC7"/>
  </w:style>
  <w:style w:type="table" w:customStyle="1" w:styleId="TableGrid93">
    <w:name w:val="Table Grid9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3">
    <w:name w:val="Medium Grid 3 - Accent 17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3">
    <w:name w:val="Medium Grid 1 - Accent 1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3">
    <w:name w:val="Light Grid - Accent 1117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3">
    <w:name w:val="Light Grid - Accent 51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3">
    <w:name w:val="Light Grid - Accent 1217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3">
    <w:name w:val="Light List - Accent 51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3">
    <w:name w:val="Light List - Accent 1117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3">
    <w:name w:val="Light Grid - Accent 131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3">
    <w:name w:val="Medium Grid 1 - Accent 31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3">
    <w:name w:val="No List193"/>
    <w:next w:val="NoList"/>
    <w:uiPriority w:val="99"/>
    <w:unhideWhenUsed/>
    <w:rsid w:val="00C64FC7"/>
  </w:style>
  <w:style w:type="table" w:customStyle="1" w:styleId="MediumGrid1-Accent1183">
    <w:name w:val="Medium Grid 1 - Accent 118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3">
    <w:name w:val="Light Grid - Accent 111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3">
    <w:name w:val="Light Grid - Accent 518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3">
    <w:name w:val="Light Grid - Accent 121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3">
    <w:name w:val="Light List - Accent 518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3">
    <w:name w:val="Light List - Accent 1118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3">
    <w:name w:val="Light Grid - Accent 131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3">
    <w:name w:val="Medium Grid 1 - Accent 318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3">
    <w:name w:val="Grid Table 4 - Accent 317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3">
    <w:name w:val="No List283"/>
    <w:next w:val="NoList"/>
    <w:uiPriority w:val="99"/>
    <w:unhideWhenUsed/>
    <w:rsid w:val="00C64FC7"/>
  </w:style>
  <w:style w:type="table" w:customStyle="1" w:styleId="MediumGrid1-Accent1273">
    <w:name w:val="Medium Grid 1 - Accent 127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3">
    <w:name w:val="Light Grid - Accent 1127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3">
    <w:name w:val="Light Grid - Accent 52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3">
    <w:name w:val="Light Grid - Accent 122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3">
    <w:name w:val="Light List - Accent 52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3">
    <w:name w:val="Light List - Accent 1127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3">
    <w:name w:val="Light Grid - Accent 132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3">
    <w:name w:val="Medium Grid 1 - Accent 32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3">
    <w:name w:val="Grid Table 4 Accent 317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3">
    <w:name w:val="No List383"/>
    <w:next w:val="NoList"/>
    <w:uiPriority w:val="99"/>
    <w:unhideWhenUsed/>
    <w:rsid w:val="00C64FC7"/>
  </w:style>
  <w:style w:type="table" w:customStyle="1" w:styleId="MediumGrid1-Accent1373">
    <w:name w:val="Medium Grid 1 - Accent 137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3">
    <w:name w:val="Light Grid - Accent 1137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3">
    <w:name w:val="Light Grid - Accent 53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3">
    <w:name w:val="Light Grid - Accent 123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3">
    <w:name w:val="Light List - Accent 53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3">
    <w:name w:val="Light List - Accent 1137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3">
    <w:name w:val="Light Grid - Accent 133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3">
    <w:name w:val="Medium Grid 1 - Accent 33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3">
    <w:name w:val="Grid Table 4 Accent 327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3">
    <w:name w:val="Table Grid17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3">
    <w:name w:val="No List453"/>
    <w:next w:val="NoList"/>
    <w:uiPriority w:val="99"/>
    <w:unhideWhenUsed/>
    <w:rsid w:val="00C64FC7"/>
  </w:style>
  <w:style w:type="table" w:customStyle="1" w:styleId="MediumGrid1-Accent1453">
    <w:name w:val="Medium Grid 1 - Accent 14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3">
    <w:name w:val="Light Grid - Accent 114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3">
    <w:name w:val="Light Grid - Accent 54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3">
    <w:name w:val="Light Grid - Accent 124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3">
    <w:name w:val="Light List - Accent 54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3">
    <w:name w:val="Light List - Accent 114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3">
    <w:name w:val="Light Grid - Accent 134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3">
    <w:name w:val="Medium Grid 1 - Accent 34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3">
    <w:name w:val="Table Grid215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3">
    <w:name w:val="Medium Grid 3 - Accent 115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3">
    <w:name w:val="No List1153"/>
    <w:next w:val="NoList"/>
    <w:uiPriority w:val="99"/>
    <w:unhideWhenUsed/>
    <w:rsid w:val="00C64FC7"/>
  </w:style>
  <w:style w:type="table" w:customStyle="1" w:styleId="MediumGrid1-Accent11153">
    <w:name w:val="Medium Grid 1 - Accent 11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3">
    <w:name w:val="Light Grid - Accent 11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3">
    <w:name w:val="Light Grid - Accent 5115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3">
    <w:name w:val="Light Grid - Accent 12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3">
    <w:name w:val="Light List - Accent 5115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3">
    <w:name w:val="Light List - Accent 111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3">
    <w:name w:val="Light Grid - Accent 13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3">
    <w:name w:val="Medium Grid 1 - Accent 31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3">
    <w:name w:val="Grid Table 4 - Accent 31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3">
    <w:name w:val="No List2153"/>
    <w:next w:val="NoList"/>
    <w:uiPriority w:val="99"/>
    <w:unhideWhenUsed/>
    <w:rsid w:val="00C64FC7"/>
  </w:style>
  <w:style w:type="table" w:customStyle="1" w:styleId="MediumGrid1-Accent12153">
    <w:name w:val="Medium Grid 1 - Accent 12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3">
    <w:name w:val="Light Grid - Accent 1121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3">
    <w:name w:val="Light Grid - Accent 52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3">
    <w:name w:val="Light Grid - Accent 122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3">
    <w:name w:val="Light List - Accent 52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3">
    <w:name w:val="Light List - Accent 112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3">
    <w:name w:val="Light Grid - Accent 132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3">
    <w:name w:val="Medium Grid 1 - Accent 32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3">
    <w:name w:val="Grid Table 4 Accent 31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3">
    <w:name w:val="No List3153"/>
    <w:next w:val="NoList"/>
    <w:uiPriority w:val="99"/>
    <w:unhideWhenUsed/>
    <w:rsid w:val="00C64FC7"/>
  </w:style>
  <w:style w:type="table" w:customStyle="1" w:styleId="MediumGrid1-Accent13153">
    <w:name w:val="Medium Grid 1 - Accent 13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3">
    <w:name w:val="Light Grid - Accent 1131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3">
    <w:name w:val="Light Grid - Accent 53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3">
    <w:name w:val="Light Grid - Accent 123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3">
    <w:name w:val="Light List - Accent 53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3">
    <w:name w:val="Light List - Accent 113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3">
    <w:name w:val="Light Grid - Accent 133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3">
    <w:name w:val="Medium Grid 1 - Accent 33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3">
    <w:name w:val="Grid Table 4 Accent 32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3">
    <w:name w:val="Table Grid115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3">
    <w:name w:val="No List553"/>
    <w:next w:val="NoList"/>
    <w:uiPriority w:val="99"/>
    <w:unhideWhenUsed/>
    <w:rsid w:val="00C64FC7"/>
  </w:style>
  <w:style w:type="table" w:customStyle="1" w:styleId="MediumGrid1-Accent1553">
    <w:name w:val="Medium Grid 1 - Accent 15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3">
    <w:name w:val="Light Grid - Accent 115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3">
    <w:name w:val="Light Grid - Accent 55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3">
    <w:name w:val="Light Grid - Accent 125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3">
    <w:name w:val="Light List - Accent 55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3">
    <w:name w:val="Light List - Accent 115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3">
    <w:name w:val="Light Grid - Accent 135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3">
    <w:name w:val="Medium Grid 1 - Accent 35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3">
    <w:name w:val="No List1253"/>
    <w:next w:val="NoList"/>
    <w:uiPriority w:val="99"/>
    <w:unhideWhenUsed/>
    <w:rsid w:val="00C64FC7"/>
  </w:style>
  <w:style w:type="numbering" w:customStyle="1" w:styleId="NoList2253">
    <w:name w:val="No List2253"/>
    <w:next w:val="NoList"/>
    <w:uiPriority w:val="99"/>
    <w:unhideWhenUsed/>
    <w:rsid w:val="00C64FC7"/>
  </w:style>
  <w:style w:type="numbering" w:customStyle="1" w:styleId="NoList3253">
    <w:name w:val="No List3253"/>
    <w:next w:val="NoList"/>
    <w:uiPriority w:val="99"/>
    <w:unhideWhenUsed/>
    <w:rsid w:val="00C64FC7"/>
  </w:style>
  <w:style w:type="numbering" w:customStyle="1" w:styleId="NoList653">
    <w:name w:val="No List653"/>
    <w:next w:val="NoList"/>
    <w:uiPriority w:val="99"/>
    <w:unhideWhenUsed/>
    <w:rsid w:val="00C64FC7"/>
  </w:style>
  <w:style w:type="table" w:customStyle="1" w:styleId="MediumGrid1-Accent1653">
    <w:name w:val="Medium Grid 1 - Accent 16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3">
    <w:name w:val="Light Grid - Accent 116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3">
    <w:name w:val="Light Grid - Accent 56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3">
    <w:name w:val="Light Grid - Accent 126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3">
    <w:name w:val="Light List - Accent 56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3">
    <w:name w:val="Light List - Accent 116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3">
    <w:name w:val="Light Grid - Accent 136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3">
    <w:name w:val="Medium Grid 1 - Accent 36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3">
    <w:name w:val="No List1353"/>
    <w:next w:val="NoList"/>
    <w:uiPriority w:val="99"/>
    <w:unhideWhenUsed/>
    <w:rsid w:val="00C64FC7"/>
  </w:style>
  <w:style w:type="numbering" w:customStyle="1" w:styleId="NoList2353">
    <w:name w:val="No List2353"/>
    <w:next w:val="NoList"/>
    <w:uiPriority w:val="99"/>
    <w:unhideWhenUsed/>
    <w:rsid w:val="00C64FC7"/>
  </w:style>
  <w:style w:type="numbering" w:customStyle="1" w:styleId="NoList3353">
    <w:name w:val="No List3353"/>
    <w:next w:val="NoList"/>
    <w:uiPriority w:val="99"/>
    <w:unhideWhenUsed/>
    <w:rsid w:val="00C64FC7"/>
  </w:style>
  <w:style w:type="numbering" w:customStyle="1" w:styleId="NoList202">
    <w:name w:val="No List202"/>
    <w:next w:val="NoList"/>
    <w:uiPriority w:val="99"/>
    <w:unhideWhenUsed/>
    <w:rsid w:val="00C64FC7"/>
  </w:style>
  <w:style w:type="table" w:customStyle="1" w:styleId="TableGrid102">
    <w:name w:val="Table Grid10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82">
    <w:name w:val="Medium Grid 3 - Accent 18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2">
    <w:name w:val="Medium Grid 1 - Accent 1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2">
    <w:name w:val="Light Grid - Accent 1119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2">
    <w:name w:val="Light Grid - Accent 51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2">
    <w:name w:val="Light Grid - Accent 1219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2">
    <w:name w:val="Light List - Accent 51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2">
    <w:name w:val="Light List - Accent 1119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2">
    <w:name w:val="Light Grid - Accent 1319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2">
    <w:name w:val="Medium Grid 1 - Accent 319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2">
    <w:name w:val="No List1102"/>
    <w:next w:val="NoList"/>
    <w:uiPriority w:val="99"/>
    <w:unhideWhenUsed/>
    <w:rsid w:val="00C64FC7"/>
  </w:style>
  <w:style w:type="table" w:customStyle="1" w:styleId="MediumGrid1-Accent11102">
    <w:name w:val="Medium Grid 1 - Accent 1110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2">
    <w:name w:val="Light Grid - Accent 111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2">
    <w:name w:val="Light Grid - Accent 5110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2">
    <w:name w:val="Light Grid - Accent 121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2">
    <w:name w:val="Light List - Accent 5110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2">
    <w:name w:val="Light List - Accent 11110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2">
    <w:name w:val="Light Grid - Accent 131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2">
    <w:name w:val="Medium Grid 1 - Accent 3110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2">
    <w:name w:val="Grid Table 4 - Accent 318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2">
    <w:name w:val="No List292"/>
    <w:next w:val="NoList"/>
    <w:uiPriority w:val="99"/>
    <w:unhideWhenUsed/>
    <w:rsid w:val="00C64FC7"/>
  </w:style>
  <w:style w:type="table" w:customStyle="1" w:styleId="MediumGrid1-Accent1282">
    <w:name w:val="Medium Grid 1 - Accent 128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2">
    <w:name w:val="Light Grid - Accent 1128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2">
    <w:name w:val="Light Grid - Accent 52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2">
    <w:name w:val="Light Grid - Accent 122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2">
    <w:name w:val="Light List - Accent 52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2">
    <w:name w:val="Light List - Accent 1128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2">
    <w:name w:val="Light Grid - Accent 132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2">
    <w:name w:val="Medium Grid 1 - Accent 32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2">
    <w:name w:val="Grid Table 4 Accent 318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2">
    <w:name w:val="No List392"/>
    <w:next w:val="NoList"/>
    <w:uiPriority w:val="99"/>
    <w:unhideWhenUsed/>
    <w:rsid w:val="00C64FC7"/>
  </w:style>
  <w:style w:type="table" w:customStyle="1" w:styleId="MediumGrid1-Accent1382">
    <w:name w:val="Medium Grid 1 - Accent 138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2">
    <w:name w:val="Light Grid - Accent 1138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2">
    <w:name w:val="Light Grid - Accent 53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2">
    <w:name w:val="Light Grid - Accent 123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2">
    <w:name w:val="Light List - Accent 53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2">
    <w:name w:val="Light List - Accent 1138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2">
    <w:name w:val="Light Grid - Accent 133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2">
    <w:name w:val="Medium Grid 1 - Accent 33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2">
    <w:name w:val="Grid Table 4 Accent 328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2">
    <w:name w:val="Table Grid18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
    <w:name w:val="Table Grid27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unhideWhenUsed/>
    <w:rsid w:val="00C64FC7"/>
  </w:style>
  <w:style w:type="table" w:customStyle="1" w:styleId="MediumGrid1-Accent1462">
    <w:name w:val="Medium Grid 1 - Accent 14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2">
    <w:name w:val="Light Grid - Accent 114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2">
    <w:name w:val="Light Grid - Accent 54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2">
    <w:name w:val="Light Grid - Accent 124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2">
    <w:name w:val="Light List - Accent 54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2">
    <w:name w:val="Light List - Accent 114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2">
    <w:name w:val="Light Grid - Accent 134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2">
    <w:name w:val="Medium Grid 1 - Accent 34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2">
    <w:name w:val="Table Grid3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62">
    <w:name w:val="Medium Grid 3 - Accent 116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2">
    <w:name w:val="No List1162"/>
    <w:next w:val="NoList"/>
    <w:uiPriority w:val="99"/>
    <w:unhideWhenUsed/>
    <w:rsid w:val="00C64FC7"/>
  </w:style>
  <w:style w:type="table" w:customStyle="1" w:styleId="MediumGrid1-Accent11162">
    <w:name w:val="Medium Grid 1 - Accent 11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2">
    <w:name w:val="Light Grid - Accent 11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2">
    <w:name w:val="Light Grid - Accent 5116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2">
    <w:name w:val="Light Grid - Accent 12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2">
    <w:name w:val="Light List - Accent 5116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2">
    <w:name w:val="Light List - Accent 111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2">
    <w:name w:val="Light Grid - Accent 13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2">
    <w:name w:val="Medium Grid 1 - Accent 31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2">
    <w:name w:val="Grid Table 4 - Accent 31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2">
    <w:name w:val="No List2162"/>
    <w:next w:val="NoList"/>
    <w:uiPriority w:val="99"/>
    <w:unhideWhenUsed/>
    <w:rsid w:val="00C64FC7"/>
  </w:style>
  <w:style w:type="table" w:customStyle="1" w:styleId="MediumGrid1-Accent12162">
    <w:name w:val="Medium Grid 1 - Accent 12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2">
    <w:name w:val="Light Grid - Accent 1121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2">
    <w:name w:val="Light Grid - Accent 52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2">
    <w:name w:val="Light Grid - Accent 122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2">
    <w:name w:val="Light List - Accent 52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2">
    <w:name w:val="Light List - Accent 112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2">
    <w:name w:val="Light Grid - Accent 132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2">
    <w:name w:val="Medium Grid 1 - Accent 32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2">
    <w:name w:val="Grid Table 4 Accent 31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2">
    <w:name w:val="No List3162"/>
    <w:next w:val="NoList"/>
    <w:uiPriority w:val="99"/>
    <w:unhideWhenUsed/>
    <w:rsid w:val="00C64FC7"/>
  </w:style>
  <w:style w:type="table" w:customStyle="1" w:styleId="MediumGrid1-Accent13162">
    <w:name w:val="Medium Grid 1 - Accent 13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2">
    <w:name w:val="Light Grid - Accent 1131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2">
    <w:name w:val="Light Grid - Accent 53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2">
    <w:name w:val="Light Grid - Accent 123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2">
    <w:name w:val="Light List - Accent 53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2">
    <w:name w:val="Light List - Accent 113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2">
    <w:name w:val="Light Grid - Accent 133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2">
    <w:name w:val="Medium Grid 1 - Accent 33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2">
    <w:name w:val="Grid Table 4 Accent 32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2">
    <w:name w:val="Table Grid116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2">
    <w:name w:val="No List562"/>
    <w:next w:val="NoList"/>
    <w:uiPriority w:val="99"/>
    <w:unhideWhenUsed/>
    <w:rsid w:val="00C64FC7"/>
  </w:style>
  <w:style w:type="table" w:customStyle="1" w:styleId="TableGrid412">
    <w:name w:val="Table Grid412"/>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12">
    <w:name w:val="Medium Grid 3 - Accent 12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2">
    <w:name w:val="Medium Grid 1 - Accent 156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2">
    <w:name w:val="Light Grid - Accent 1156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2">
    <w:name w:val="Light Grid - Accent 556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2">
    <w:name w:val="Light Grid - Accent 1256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2">
    <w:name w:val="Light List - Accent 556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2">
    <w:name w:val="Light List - Accent 1156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2">
    <w:name w:val="Light Grid - Accent 135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2">
    <w:name w:val="Medium Grid 1 - Accent 35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2">
    <w:name w:val="No List1262"/>
    <w:next w:val="NoList"/>
    <w:uiPriority w:val="99"/>
    <w:unhideWhenUsed/>
    <w:rsid w:val="00C64FC7"/>
  </w:style>
  <w:style w:type="table" w:customStyle="1" w:styleId="MediumGrid1-Accent11212">
    <w:name w:val="Medium Grid 1 - Accent 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2">
    <w:name w:val="Light Grid - Accent 1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2">
    <w:name w:val="Light Grid - Accent 512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2">
    <w:name w:val="Light Grid - Accent 12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2">
    <w:name w:val="Light List - Accent 512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2">
    <w:name w:val="Light List - Accent 11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2">
    <w:name w:val="Light Grid - Accent 13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2">
    <w:name w:val="Medium Grid 1 - Accent 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2">
    <w:name w:val="Grid Table 4 - Accent 3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2">
    <w:name w:val="No List2262"/>
    <w:next w:val="NoList"/>
    <w:uiPriority w:val="99"/>
    <w:unhideWhenUsed/>
    <w:rsid w:val="00C64FC7"/>
  </w:style>
  <w:style w:type="table" w:customStyle="1" w:styleId="MediumGrid1-Accent12212">
    <w:name w:val="Medium Grid 1 - Accent 12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2">
    <w:name w:val="Light Grid - Accent 112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2">
    <w:name w:val="Light Grid - Accent 52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2">
    <w:name w:val="Light Grid - Accent 122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2">
    <w:name w:val="Light List - Accent 52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2">
    <w:name w:val="Light List - Accent 112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2">
    <w:name w:val="Light Grid - Accent 132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2">
    <w:name w:val="Medium Grid 1 - Accent 32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2">
    <w:name w:val="Grid Table 4 Accent 3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2">
    <w:name w:val="No List3262"/>
    <w:next w:val="NoList"/>
    <w:uiPriority w:val="99"/>
    <w:unhideWhenUsed/>
    <w:rsid w:val="00C64FC7"/>
  </w:style>
  <w:style w:type="table" w:customStyle="1" w:styleId="MediumGrid1-Accent13212">
    <w:name w:val="Medium Grid 1 - Accent 13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2">
    <w:name w:val="Light Grid - Accent 113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2">
    <w:name w:val="Light Grid - Accent 53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2">
    <w:name w:val="Light Grid - Accent 123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2">
    <w:name w:val="Light List - Accent 53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2">
    <w:name w:val="Light List - Accent 113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2">
    <w:name w:val="Light Grid - Accent 133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2">
    <w:name w:val="Medium Grid 1 - Accent 33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2">
    <w:name w:val="Grid Table 4 Accent 32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2">
    <w:name w:val="Table Grid12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 Grid2162"/>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unhideWhenUsed/>
    <w:rsid w:val="00C64FC7"/>
  </w:style>
  <w:style w:type="table" w:customStyle="1" w:styleId="MediumGrid1-Accent1662">
    <w:name w:val="Medium Grid 1 - Accent 16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2">
    <w:name w:val="Light Grid - Accent 116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2">
    <w:name w:val="Light Grid - Accent 56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2">
    <w:name w:val="Light Grid - Accent 126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2">
    <w:name w:val="Light List - Accent 56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2">
    <w:name w:val="Light List - Accent 116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2">
    <w:name w:val="Light Grid - Accent 136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2">
    <w:name w:val="Medium Grid 1 - Accent 36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2">
    <w:name w:val="No List1362"/>
    <w:next w:val="NoList"/>
    <w:uiPriority w:val="99"/>
    <w:unhideWhenUsed/>
    <w:rsid w:val="00C64FC7"/>
  </w:style>
  <w:style w:type="numbering" w:customStyle="1" w:styleId="NoList2362">
    <w:name w:val="No List2362"/>
    <w:next w:val="NoList"/>
    <w:uiPriority w:val="99"/>
    <w:unhideWhenUsed/>
    <w:rsid w:val="00C64FC7"/>
  </w:style>
  <w:style w:type="numbering" w:customStyle="1" w:styleId="NoList3362">
    <w:name w:val="No List3362"/>
    <w:next w:val="NoList"/>
    <w:uiPriority w:val="99"/>
    <w:unhideWhenUsed/>
    <w:rsid w:val="00C64FC7"/>
  </w:style>
  <w:style w:type="numbering" w:customStyle="1" w:styleId="NoList712">
    <w:name w:val="No List712"/>
    <w:next w:val="NoList"/>
    <w:uiPriority w:val="99"/>
    <w:unhideWhenUsed/>
    <w:rsid w:val="00C64FC7"/>
  </w:style>
  <w:style w:type="table" w:customStyle="1" w:styleId="TableGrid512">
    <w:name w:val="Table Grid5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12">
    <w:name w:val="Medium Grid 3 - Accent 13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2">
    <w:name w:val="Medium Grid 1 - Accent 17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2">
    <w:name w:val="Light Grid - Accent 117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2">
    <w:name w:val="Light Grid - Accent 57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2">
    <w:name w:val="Light Grid - Accent 127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2">
    <w:name w:val="Light List - Accent 57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2">
    <w:name w:val="Light List - Accent 117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2">
    <w:name w:val="Light Grid - Accent 137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2">
    <w:name w:val="Medium Grid 1 - Accent 37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2">
    <w:name w:val="No List1412"/>
    <w:next w:val="NoList"/>
    <w:uiPriority w:val="99"/>
    <w:unhideWhenUsed/>
    <w:rsid w:val="00C64FC7"/>
  </w:style>
  <w:style w:type="table" w:customStyle="1" w:styleId="MediumGrid1-Accent11312">
    <w:name w:val="Medium Grid 1 - Accent 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2">
    <w:name w:val="Light Grid - Accent 1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2">
    <w:name w:val="Light Grid - Accent 513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2">
    <w:name w:val="Light Grid - Accent 12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2">
    <w:name w:val="Light List - Accent 513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2">
    <w:name w:val="Light List - Accent 11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2">
    <w:name w:val="Light Grid - Accent 13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2">
    <w:name w:val="Medium Grid 1 - Accent 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2">
    <w:name w:val="Grid Table 4 - Accent 3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2">
    <w:name w:val="No List2412"/>
    <w:next w:val="NoList"/>
    <w:uiPriority w:val="99"/>
    <w:unhideWhenUsed/>
    <w:rsid w:val="00C64FC7"/>
  </w:style>
  <w:style w:type="table" w:customStyle="1" w:styleId="MediumGrid1-Accent12312">
    <w:name w:val="Medium Grid 1 - Accent 12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2">
    <w:name w:val="Light Grid - Accent 112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2">
    <w:name w:val="Light Grid - Accent 52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2">
    <w:name w:val="Light Grid - Accent 122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2">
    <w:name w:val="Light List - Accent 52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2">
    <w:name w:val="Light List - Accent 112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2">
    <w:name w:val="Light Grid - Accent 132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2">
    <w:name w:val="Medium Grid 1 - Accent 32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2">
    <w:name w:val="Grid Table 4 Accent 3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2">
    <w:name w:val="No List3412"/>
    <w:next w:val="NoList"/>
    <w:uiPriority w:val="99"/>
    <w:unhideWhenUsed/>
    <w:rsid w:val="00C64FC7"/>
  </w:style>
  <w:style w:type="table" w:customStyle="1" w:styleId="MediumGrid1-Accent13312">
    <w:name w:val="Medium Grid 1 - Accent 13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2">
    <w:name w:val="Light Grid - Accent 113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2">
    <w:name w:val="Light Grid - Accent 53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2">
    <w:name w:val="Light Grid - Accent 123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2">
    <w:name w:val="Light List - Accent 53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2">
    <w:name w:val="Light List - Accent 113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2">
    <w:name w:val="Light Grid - Accent 133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2">
    <w:name w:val="Medium Grid 1 - Accent 33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2">
    <w:name w:val="Grid Table 4 Accent 32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2">
    <w:name w:val="Table Grid13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
    <w:name w:val="No List4112"/>
    <w:next w:val="NoList"/>
    <w:uiPriority w:val="99"/>
    <w:unhideWhenUsed/>
    <w:rsid w:val="00C64FC7"/>
  </w:style>
  <w:style w:type="table" w:customStyle="1" w:styleId="MediumGrid1-Accent14112">
    <w:name w:val="Medium Grid 1 - Accent 14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2">
    <w:name w:val="Light Grid - Accent 114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2">
    <w:name w:val="Light Grid - Accent 54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2">
    <w:name w:val="Light Grid - Accent 124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2">
    <w:name w:val="Light List - Accent 54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2">
    <w:name w:val="Light List - Accent 114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2">
    <w:name w:val="Light Grid - Accent 134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2">
    <w:name w:val="Medium Grid 1 - Accent 34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2">
    <w:name w:val="Table Grid211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12">
    <w:name w:val="Medium Grid 3 - Accent 111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2">
    <w:name w:val="No List11112"/>
    <w:next w:val="NoList"/>
    <w:uiPriority w:val="99"/>
    <w:unhideWhenUsed/>
    <w:rsid w:val="00C64FC7"/>
  </w:style>
  <w:style w:type="table" w:customStyle="1" w:styleId="MediumGrid1-Accent111112">
    <w:name w:val="Medium Grid 1 - Accent 1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2">
    <w:name w:val="Light Grid - Accent 11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2">
    <w:name w:val="Light Grid - Accent 5111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2">
    <w:name w:val="Light Grid - Accent 12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2">
    <w:name w:val="Light List - Accent 5111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2">
    <w:name w:val="Light List - Accent 111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2">
    <w:name w:val="Light Grid - Accent 13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2">
    <w:name w:val="Medium Grid 1 - Accent 31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2">
    <w:name w:val="Grid Table 4 - Accent 31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2">
    <w:name w:val="No List21112"/>
    <w:next w:val="NoList"/>
    <w:uiPriority w:val="99"/>
    <w:unhideWhenUsed/>
    <w:rsid w:val="00C64FC7"/>
  </w:style>
  <w:style w:type="table" w:customStyle="1" w:styleId="MediumGrid1-Accent121112">
    <w:name w:val="Medium Grid 1 - Accent 12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2">
    <w:name w:val="Light Grid - Accent 1121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2">
    <w:name w:val="Light Grid - Accent 52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2">
    <w:name w:val="Light Grid - Accent 122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2">
    <w:name w:val="Light List - Accent 52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2">
    <w:name w:val="Light List - Accent 112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2">
    <w:name w:val="Light Grid - Accent 132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2">
    <w:name w:val="Medium Grid 1 - Accent 32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2">
    <w:name w:val="Grid Table 4 Accent 31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2">
    <w:name w:val="No List31112"/>
    <w:next w:val="NoList"/>
    <w:uiPriority w:val="99"/>
    <w:unhideWhenUsed/>
    <w:rsid w:val="00C64FC7"/>
  </w:style>
  <w:style w:type="table" w:customStyle="1" w:styleId="MediumGrid1-Accent131112">
    <w:name w:val="Medium Grid 1 - Accent 13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2">
    <w:name w:val="Light Grid - Accent 1131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2">
    <w:name w:val="Light Grid - Accent 53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2">
    <w:name w:val="Light Grid - Accent 123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2">
    <w:name w:val="Light List - Accent 53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2">
    <w:name w:val="Light List - Accent 113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2">
    <w:name w:val="Light Grid - Accent 133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2">
    <w:name w:val="Medium Grid 1 - Accent 3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2">
    <w:name w:val="Grid Table 4 Accent 32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2">
    <w:name w:val="Table Grid111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2">
    <w:name w:val="No List5112"/>
    <w:next w:val="NoList"/>
    <w:uiPriority w:val="99"/>
    <w:unhideWhenUsed/>
    <w:rsid w:val="00C64FC7"/>
  </w:style>
  <w:style w:type="table" w:customStyle="1" w:styleId="MediumGrid1-Accent15112">
    <w:name w:val="Medium Grid 1 - Accent 15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2">
    <w:name w:val="Light Grid - Accent 115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2">
    <w:name w:val="Light Grid - Accent 55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2">
    <w:name w:val="Light Grid - Accent 125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2">
    <w:name w:val="Light List - Accent 55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2">
    <w:name w:val="Light List - Accent 115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2">
    <w:name w:val="Light Grid - Accent 135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2">
    <w:name w:val="Medium Grid 1 - Accent 35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2">
    <w:name w:val="No List12112"/>
    <w:next w:val="NoList"/>
    <w:uiPriority w:val="99"/>
    <w:unhideWhenUsed/>
    <w:rsid w:val="00C64FC7"/>
  </w:style>
  <w:style w:type="numbering" w:customStyle="1" w:styleId="NoList22112">
    <w:name w:val="No List22112"/>
    <w:next w:val="NoList"/>
    <w:uiPriority w:val="99"/>
    <w:unhideWhenUsed/>
    <w:rsid w:val="00C64FC7"/>
  </w:style>
  <w:style w:type="numbering" w:customStyle="1" w:styleId="NoList32112">
    <w:name w:val="No List32112"/>
    <w:next w:val="NoList"/>
    <w:uiPriority w:val="99"/>
    <w:unhideWhenUsed/>
    <w:rsid w:val="00C64FC7"/>
  </w:style>
  <w:style w:type="numbering" w:customStyle="1" w:styleId="NoList6112">
    <w:name w:val="No List6112"/>
    <w:next w:val="NoList"/>
    <w:uiPriority w:val="99"/>
    <w:unhideWhenUsed/>
    <w:rsid w:val="00C64FC7"/>
  </w:style>
  <w:style w:type="table" w:customStyle="1" w:styleId="MediumGrid1-Accent16112">
    <w:name w:val="Medium Grid 1 - Accent 16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2">
    <w:name w:val="Light Grid - Accent 116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2">
    <w:name w:val="Light Grid - Accent 56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2">
    <w:name w:val="Light Grid - Accent 126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2">
    <w:name w:val="Light List - Accent 56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2">
    <w:name w:val="Light List - Accent 116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2">
    <w:name w:val="Light Grid - Accent 136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2">
    <w:name w:val="Medium Grid 1 - Accent 36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2">
    <w:name w:val="No List13112"/>
    <w:next w:val="NoList"/>
    <w:uiPriority w:val="99"/>
    <w:unhideWhenUsed/>
    <w:rsid w:val="00C64FC7"/>
  </w:style>
  <w:style w:type="numbering" w:customStyle="1" w:styleId="NoList23112">
    <w:name w:val="No List23112"/>
    <w:next w:val="NoList"/>
    <w:uiPriority w:val="99"/>
    <w:unhideWhenUsed/>
    <w:rsid w:val="00C64FC7"/>
  </w:style>
  <w:style w:type="numbering" w:customStyle="1" w:styleId="NoList33112">
    <w:name w:val="No List33112"/>
    <w:next w:val="NoList"/>
    <w:uiPriority w:val="99"/>
    <w:unhideWhenUsed/>
    <w:rsid w:val="00C64FC7"/>
  </w:style>
  <w:style w:type="numbering" w:customStyle="1" w:styleId="NoList812">
    <w:name w:val="No List812"/>
    <w:next w:val="NoList"/>
    <w:uiPriority w:val="99"/>
    <w:unhideWhenUsed/>
    <w:rsid w:val="00C64FC7"/>
  </w:style>
  <w:style w:type="table" w:customStyle="1" w:styleId="TableGrid612">
    <w:name w:val="Table Grid6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12">
    <w:name w:val="Medium Grid 3 - Accent 14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2">
    <w:name w:val="Medium Grid 1 - Accent 18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2">
    <w:name w:val="Light Grid - Accent 118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2">
    <w:name w:val="Light Grid - Accent 58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2">
    <w:name w:val="Light Grid - Accent 128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2">
    <w:name w:val="Light List - Accent 58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2">
    <w:name w:val="Light List - Accent 118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2">
    <w:name w:val="Light Grid - Accent 138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2">
    <w:name w:val="Medium Grid 1 - Accent 38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2">
    <w:name w:val="No List1512"/>
    <w:next w:val="NoList"/>
    <w:uiPriority w:val="99"/>
    <w:unhideWhenUsed/>
    <w:rsid w:val="00C64FC7"/>
  </w:style>
  <w:style w:type="table" w:customStyle="1" w:styleId="MediumGrid1-Accent11412">
    <w:name w:val="Medium Grid 1 - Accent 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2">
    <w:name w:val="Light Grid - Accent 1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2">
    <w:name w:val="Light Grid - Accent 514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2">
    <w:name w:val="Light Grid - Accent 12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2">
    <w:name w:val="Light List - Accent 514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2">
    <w:name w:val="Light List - Accent 111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2">
    <w:name w:val="Light Grid - Accent 13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2">
    <w:name w:val="Medium Grid 1 - Accent 31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2">
    <w:name w:val="Grid Table 4 - Accent 31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2">
    <w:name w:val="No List2512"/>
    <w:next w:val="NoList"/>
    <w:uiPriority w:val="99"/>
    <w:unhideWhenUsed/>
    <w:rsid w:val="00C64FC7"/>
  </w:style>
  <w:style w:type="table" w:customStyle="1" w:styleId="MediumGrid1-Accent12412">
    <w:name w:val="Medium Grid 1 - Accent 12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2">
    <w:name w:val="Light Grid - Accent 112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2">
    <w:name w:val="Light Grid - Accent 52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2">
    <w:name w:val="Light Grid - Accent 122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2">
    <w:name w:val="Light List - Accent 52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2">
    <w:name w:val="Light List - Accent 112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2">
    <w:name w:val="Light Grid - Accent 132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2">
    <w:name w:val="Medium Grid 1 - Accent 32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2">
    <w:name w:val="Grid Table 4 Accent 31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2">
    <w:name w:val="No List3512"/>
    <w:next w:val="NoList"/>
    <w:uiPriority w:val="99"/>
    <w:unhideWhenUsed/>
    <w:rsid w:val="00C64FC7"/>
  </w:style>
  <w:style w:type="table" w:customStyle="1" w:styleId="MediumGrid1-Accent13412">
    <w:name w:val="Medium Grid 1 - Accent 13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2">
    <w:name w:val="Light Grid - Accent 113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2">
    <w:name w:val="Light Grid - Accent 53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2">
    <w:name w:val="Light Grid - Accent 123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2">
    <w:name w:val="Light List - Accent 53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2">
    <w:name w:val="Light List - Accent 113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2">
    <w:name w:val="Light Grid - Accent 133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2">
    <w:name w:val="Medium Grid 1 - Accent 33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2">
    <w:name w:val="Grid Table 4 Accent 32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2">
    <w:name w:val="Table Grid14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unhideWhenUsed/>
    <w:rsid w:val="00C64FC7"/>
  </w:style>
  <w:style w:type="table" w:customStyle="1" w:styleId="MediumGrid1-Accent14212">
    <w:name w:val="Medium Grid 1 - Accent 14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2">
    <w:name w:val="Light Grid - Accent 114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2">
    <w:name w:val="Light Grid - Accent 54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2">
    <w:name w:val="Light Grid - Accent 124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2">
    <w:name w:val="Light List - Accent 54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2">
    <w:name w:val="Light List - Accent 114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2">
    <w:name w:val="Light Grid - Accent 134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2">
    <w:name w:val="Medium Grid 1 - Accent 34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2">
    <w:name w:val="Table Grid212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12">
    <w:name w:val="Medium Grid 3 - Accent 112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2">
    <w:name w:val="No List11212"/>
    <w:next w:val="NoList"/>
    <w:uiPriority w:val="99"/>
    <w:unhideWhenUsed/>
    <w:rsid w:val="00C64FC7"/>
  </w:style>
  <w:style w:type="table" w:customStyle="1" w:styleId="MediumGrid1-Accent111212">
    <w:name w:val="Medium Grid 1 - Accent 1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2">
    <w:name w:val="Light Grid - Accent 11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2">
    <w:name w:val="Light Grid - Accent 5112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2">
    <w:name w:val="Light Grid - Accent 12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2">
    <w:name w:val="Light List - Accent 5112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2">
    <w:name w:val="Light List - Accent 111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2">
    <w:name w:val="Light Grid - Accent 13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2">
    <w:name w:val="Medium Grid 1 - Accent 31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2">
    <w:name w:val="Grid Table 4 - Accent 31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2">
    <w:name w:val="No List21212"/>
    <w:next w:val="NoList"/>
    <w:uiPriority w:val="99"/>
    <w:unhideWhenUsed/>
    <w:rsid w:val="00C64FC7"/>
  </w:style>
  <w:style w:type="table" w:customStyle="1" w:styleId="MediumGrid1-Accent121212">
    <w:name w:val="Medium Grid 1 - Accent 12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2">
    <w:name w:val="Light Grid - Accent 1121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2">
    <w:name w:val="Light Grid - Accent 52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2">
    <w:name w:val="Light Grid - Accent 122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2">
    <w:name w:val="Light List - Accent 52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2">
    <w:name w:val="Light List - Accent 112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2">
    <w:name w:val="Light Grid - Accent 132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2">
    <w:name w:val="Medium Grid 1 - Accent 32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2">
    <w:name w:val="Grid Table 4 Accent 31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2">
    <w:name w:val="No List31212"/>
    <w:next w:val="NoList"/>
    <w:uiPriority w:val="99"/>
    <w:unhideWhenUsed/>
    <w:rsid w:val="00C64FC7"/>
  </w:style>
  <w:style w:type="table" w:customStyle="1" w:styleId="MediumGrid1-Accent131212">
    <w:name w:val="Medium Grid 1 - Accent 13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2">
    <w:name w:val="Light Grid - Accent 1131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2">
    <w:name w:val="Light Grid - Accent 53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2">
    <w:name w:val="Light Grid - Accent 123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2">
    <w:name w:val="Light List - Accent 53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2">
    <w:name w:val="Light List - Accent 113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2">
    <w:name w:val="Light Grid - Accent 133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2">
    <w:name w:val="Medium Grid 1 - Accent 3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2">
    <w:name w:val="Grid Table 4 Accent 32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2">
    <w:name w:val="Table Grid112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unhideWhenUsed/>
    <w:rsid w:val="00C64FC7"/>
  </w:style>
  <w:style w:type="table" w:customStyle="1" w:styleId="MediumGrid1-Accent15212">
    <w:name w:val="Medium Grid 1 - Accent 15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2">
    <w:name w:val="Light Grid - Accent 115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2">
    <w:name w:val="Light Grid - Accent 55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2">
    <w:name w:val="Light Grid - Accent 125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2">
    <w:name w:val="Light List - Accent 55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2">
    <w:name w:val="Light List - Accent 115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2">
    <w:name w:val="Light Grid - Accent 135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2">
    <w:name w:val="Medium Grid 1 - Accent 35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2">
    <w:name w:val="No List12212"/>
    <w:next w:val="NoList"/>
    <w:uiPriority w:val="99"/>
    <w:unhideWhenUsed/>
    <w:rsid w:val="00C64FC7"/>
  </w:style>
  <w:style w:type="numbering" w:customStyle="1" w:styleId="NoList22212">
    <w:name w:val="No List22212"/>
    <w:next w:val="NoList"/>
    <w:uiPriority w:val="99"/>
    <w:unhideWhenUsed/>
    <w:rsid w:val="00C64FC7"/>
  </w:style>
  <w:style w:type="numbering" w:customStyle="1" w:styleId="NoList32212">
    <w:name w:val="No List32212"/>
    <w:next w:val="NoList"/>
    <w:uiPriority w:val="99"/>
    <w:unhideWhenUsed/>
    <w:rsid w:val="00C64FC7"/>
  </w:style>
  <w:style w:type="numbering" w:customStyle="1" w:styleId="NoList6212">
    <w:name w:val="No List6212"/>
    <w:next w:val="NoList"/>
    <w:uiPriority w:val="99"/>
    <w:unhideWhenUsed/>
    <w:rsid w:val="00C64FC7"/>
  </w:style>
  <w:style w:type="table" w:customStyle="1" w:styleId="MediumGrid1-Accent16212">
    <w:name w:val="Medium Grid 1 - Accent 16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2">
    <w:name w:val="Light Grid - Accent 116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2">
    <w:name w:val="Light Grid - Accent 56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2">
    <w:name w:val="Light Grid - Accent 126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2">
    <w:name w:val="Light List - Accent 56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2">
    <w:name w:val="Light List - Accent 116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2">
    <w:name w:val="Light Grid - Accent 136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2">
    <w:name w:val="Medium Grid 1 - Accent 36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2">
    <w:name w:val="No List13212"/>
    <w:next w:val="NoList"/>
    <w:uiPriority w:val="99"/>
    <w:unhideWhenUsed/>
    <w:rsid w:val="00C64FC7"/>
  </w:style>
  <w:style w:type="numbering" w:customStyle="1" w:styleId="NoList23212">
    <w:name w:val="No List23212"/>
    <w:next w:val="NoList"/>
    <w:uiPriority w:val="99"/>
    <w:unhideWhenUsed/>
    <w:rsid w:val="00C64FC7"/>
  </w:style>
  <w:style w:type="numbering" w:customStyle="1" w:styleId="NoList33212">
    <w:name w:val="No List33212"/>
    <w:next w:val="NoList"/>
    <w:uiPriority w:val="99"/>
    <w:unhideWhenUsed/>
    <w:rsid w:val="00C64FC7"/>
  </w:style>
  <w:style w:type="numbering" w:customStyle="1" w:styleId="NoList912">
    <w:name w:val="No List912"/>
    <w:next w:val="NoList"/>
    <w:uiPriority w:val="99"/>
    <w:unhideWhenUsed/>
    <w:rsid w:val="00C64FC7"/>
  </w:style>
  <w:style w:type="table" w:customStyle="1" w:styleId="TableGrid712">
    <w:name w:val="Table Grid7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12">
    <w:name w:val="Medium Grid 3 - Accent 1512"/>
    <w:basedOn w:val="TableNormal"/>
    <w:next w:val="MediumGrid3-Accent1"/>
    <w:uiPriority w:val="69"/>
    <w:locked/>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2">
    <w:name w:val="Medium Grid 1 - Accent 19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2">
    <w:name w:val="Light Grid - Accent 119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2">
    <w:name w:val="Light Grid - Accent 59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2">
    <w:name w:val="Light Grid - Accent 129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2">
    <w:name w:val="Light List - Accent 59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2">
    <w:name w:val="Light List - Accent 119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2">
    <w:name w:val="Light Grid - Accent 139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2">
    <w:name w:val="Medium Grid 1 - Accent 39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2">
    <w:name w:val="No List1612"/>
    <w:next w:val="NoList"/>
    <w:uiPriority w:val="99"/>
    <w:unhideWhenUsed/>
    <w:rsid w:val="00C64FC7"/>
  </w:style>
  <w:style w:type="table" w:customStyle="1" w:styleId="MediumGrid1-Accent11512">
    <w:name w:val="Medium Grid 1 - Accent 11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2">
    <w:name w:val="Light Grid - Accent 111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2">
    <w:name w:val="Light Grid - Accent 515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2">
    <w:name w:val="Light Grid - Accent 121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2">
    <w:name w:val="Light List - Accent 515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2">
    <w:name w:val="Light List - Accent 111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2">
    <w:name w:val="Light Grid - Accent 131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2">
    <w:name w:val="Medium Grid 1 - Accent 31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2">
    <w:name w:val="Grid Table 4 - Accent 315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2">
    <w:name w:val="No List2612"/>
    <w:next w:val="NoList"/>
    <w:uiPriority w:val="99"/>
    <w:unhideWhenUsed/>
    <w:rsid w:val="00C64FC7"/>
  </w:style>
  <w:style w:type="table" w:customStyle="1" w:styleId="MediumGrid1-Accent12512">
    <w:name w:val="Medium Grid 1 - Accent 12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2">
    <w:name w:val="Light Grid - Accent 1125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2">
    <w:name w:val="Light Grid - Accent 52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2">
    <w:name w:val="Light Grid - Accent 122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2">
    <w:name w:val="Light List - Accent 52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2">
    <w:name w:val="Light List - Accent 112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2">
    <w:name w:val="Light Grid - Accent 132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2">
    <w:name w:val="Medium Grid 1 - Accent 32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2">
    <w:name w:val="Grid Table 4 Accent 315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2">
    <w:name w:val="No List3612"/>
    <w:next w:val="NoList"/>
    <w:uiPriority w:val="99"/>
    <w:unhideWhenUsed/>
    <w:rsid w:val="00C64FC7"/>
  </w:style>
  <w:style w:type="table" w:customStyle="1" w:styleId="MediumGrid1-Accent13512">
    <w:name w:val="Medium Grid 1 - Accent 13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2">
    <w:name w:val="Light Grid - Accent 1135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2">
    <w:name w:val="Light Grid - Accent 53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2">
    <w:name w:val="Light Grid - Accent 123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2">
    <w:name w:val="Light List - Accent 53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2">
    <w:name w:val="Light List - Accent 113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2">
    <w:name w:val="Light Grid - Accent 133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2">
    <w:name w:val="Medium Grid 1 - Accent 33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2">
    <w:name w:val="Grid Table 4 Accent 325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2">
    <w:name w:val="Table Grid15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NoList"/>
    <w:uiPriority w:val="99"/>
    <w:unhideWhenUsed/>
    <w:rsid w:val="00C64FC7"/>
  </w:style>
  <w:style w:type="table" w:customStyle="1" w:styleId="MediumGrid1-Accent14312">
    <w:name w:val="Medium Grid 1 - Accent 14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2">
    <w:name w:val="Light Grid - Accent 114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2">
    <w:name w:val="Light Grid - Accent 54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2">
    <w:name w:val="Light Grid - Accent 124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2">
    <w:name w:val="Light List - Accent 54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2">
    <w:name w:val="Light List - Accent 114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2">
    <w:name w:val="Light Grid - Accent 134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2">
    <w:name w:val="Medium Grid 1 - Accent 34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2">
    <w:name w:val="Table Grid213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12">
    <w:name w:val="Medium Grid 3 - Accent 113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2">
    <w:name w:val="No List11312"/>
    <w:next w:val="NoList"/>
    <w:uiPriority w:val="99"/>
    <w:unhideWhenUsed/>
    <w:rsid w:val="00C64FC7"/>
  </w:style>
  <w:style w:type="table" w:customStyle="1" w:styleId="MediumGrid1-Accent111312">
    <w:name w:val="Medium Grid 1 - Accent 1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2">
    <w:name w:val="Light Grid - Accent 11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2">
    <w:name w:val="Light Grid - Accent 5113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2">
    <w:name w:val="Light Grid - Accent 12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2">
    <w:name w:val="Light List - Accent 5113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2">
    <w:name w:val="Light List - Accent 111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2">
    <w:name w:val="Light Grid - Accent 13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2">
    <w:name w:val="Medium Grid 1 - Accent 31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2">
    <w:name w:val="Grid Table 4 - Accent 31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2">
    <w:name w:val="No List21312"/>
    <w:next w:val="NoList"/>
    <w:uiPriority w:val="99"/>
    <w:unhideWhenUsed/>
    <w:rsid w:val="00C64FC7"/>
  </w:style>
  <w:style w:type="table" w:customStyle="1" w:styleId="MediumGrid1-Accent121312">
    <w:name w:val="Medium Grid 1 - Accent 12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2">
    <w:name w:val="Light Grid - Accent 1121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2">
    <w:name w:val="Light Grid - Accent 52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2">
    <w:name w:val="Light Grid - Accent 122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2">
    <w:name w:val="Light List - Accent 52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2">
    <w:name w:val="Light List - Accent 112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2">
    <w:name w:val="Light Grid - Accent 132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2">
    <w:name w:val="Medium Grid 1 - Accent 32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2">
    <w:name w:val="Grid Table 4 Accent 31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2">
    <w:name w:val="No List31312"/>
    <w:next w:val="NoList"/>
    <w:uiPriority w:val="99"/>
    <w:unhideWhenUsed/>
    <w:rsid w:val="00C64FC7"/>
  </w:style>
  <w:style w:type="table" w:customStyle="1" w:styleId="MediumGrid1-Accent131312">
    <w:name w:val="Medium Grid 1 - Accent 13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2">
    <w:name w:val="Light Grid - Accent 1131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2">
    <w:name w:val="Light Grid - Accent 53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2">
    <w:name w:val="Light Grid - Accent 123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2">
    <w:name w:val="Light List - Accent 53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2">
    <w:name w:val="Light List - Accent 113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2">
    <w:name w:val="Light Grid - Accent 133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2">
    <w:name w:val="Medium Grid 1 - Accent 3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2">
    <w:name w:val="Grid Table 4 Accent 32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2">
    <w:name w:val="Table Grid113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2">
    <w:name w:val="No List5312"/>
    <w:next w:val="NoList"/>
    <w:uiPriority w:val="99"/>
    <w:unhideWhenUsed/>
    <w:rsid w:val="00C64FC7"/>
  </w:style>
  <w:style w:type="table" w:customStyle="1" w:styleId="MediumGrid1-Accent15312">
    <w:name w:val="Medium Grid 1 - Accent 15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2">
    <w:name w:val="Light Grid - Accent 115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2">
    <w:name w:val="Light Grid - Accent 55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2">
    <w:name w:val="Light Grid - Accent 125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2">
    <w:name w:val="Light List - Accent 55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2">
    <w:name w:val="Light List - Accent 115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2">
    <w:name w:val="Light Grid - Accent 135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2">
    <w:name w:val="Medium Grid 1 - Accent 35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2">
    <w:name w:val="No List12312"/>
    <w:next w:val="NoList"/>
    <w:uiPriority w:val="99"/>
    <w:unhideWhenUsed/>
    <w:rsid w:val="00C64FC7"/>
  </w:style>
  <w:style w:type="numbering" w:customStyle="1" w:styleId="NoList22312">
    <w:name w:val="No List22312"/>
    <w:next w:val="NoList"/>
    <w:uiPriority w:val="99"/>
    <w:unhideWhenUsed/>
    <w:rsid w:val="00C64FC7"/>
  </w:style>
  <w:style w:type="numbering" w:customStyle="1" w:styleId="NoList32312">
    <w:name w:val="No List32312"/>
    <w:next w:val="NoList"/>
    <w:uiPriority w:val="99"/>
    <w:unhideWhenUsed/>
    <w:rsid w:val="00C64FC7"/>
  </w:style>
  <w:style w:type="numbering" w:customStyle="1" w:styleId="NoList6312">
    <w:name w:val="No List6312"/>
    <w:next w:val="NoList"/>
    <w:uiPriority w:val="99"/>
    <w:unhideWhenUsed/>
    <w:rsid w:val="00C64FC7"/>
  </w:style>
  <w:style w:type="table" w:customStyle="1" w:styleId="MediumGrid1-Accent16312">
    <w:name w:val="Medium Grid 1 - Accent 16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2">
    <w:name w:val="Light Grid - Accent 116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2">
    <w:name w:val="Light Grid - Accent 56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2">
    <w:name w:val="Light Grid - Accent 126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2">
    <w:name w:val="Light List - Accent 56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2">
    <w:name w:val="Light List - Accent 116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2">
    <w:name w:val="Light Grid - Accent 136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2">
    <w:name w:val="Medium Grid 1 - Accent 36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2">
    <w:name w:val="No List13312"/>
    <w:next w:val="NoList"/>
    <w:uiPriority w:val="99"/>
    <w:unhideWhenUsed/>
    <w:rsid w:val="00C64FC7"/>
  </w:style>
  <w:style w:type="numbering" w:customStyle="1" w:styleId="NoList23312">
    <w:name w:val="No List23312"/>
    <w:next w:val="NoList"/>
    <w:uiPriority w:val="99"/>
    <w:unhideWhenUsed/>
    <w:rsid w:val="00C64FC7"/>
  </w:style>
  <w:style w:type="numbering" w:customStyle="1" w:styleId="NoList33312">
    <w:name w:val="No List33312"/>
    <w:next w:val="NoList"/>
    <w:uiPriority w:val="99"/>
    <w:unhideWhenUsed/>
    <w:rsid w:val="00C64FC7"/>
  </w:style>
  <w:style w:type="numbering" w:customStyle="1" w:styleId="NoList1012">
    <w:name w:val="No List1012"/>
    <w:next w:val="NoList"/>
    <w:uiPriority w:val="99"/>
    <w:unhideWhenUsed/>
    <w:rsid w:val="00C64FC7"/>
  </w:style>
  <w:style w:type="table" w:customStyle="1" w:styleId="TableGrid812">
    <w:name w:val="Table Grid8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12">
    <w:name w:val="Medium Grid 3 - Accent 16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2">
    <w:name w:val="Medium Grid 1 - Accent 110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2">
    <w:name w:val="Light Grid - Accent 1110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2">
    <w:name w:val="Light Grid - Accent 510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2">
    <w:name w:val="Light Grid - Accent 1210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2">
    <w:name w:val="Light List - Accent 510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2">
    <w:name w:val="Light List - Accent 1110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2">
    <w:name w:val="Light Grid - Accent 1310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2">
    <w:name w:val="Medium Grid 1 - Accent 310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2">
    <w:name w:val="No List1712"/>
    <w:next w:val="NoList"/>
    <w:uiPriority w:val="99"/>
    <w:unhideWhenUsed/>
    <w:rsid w:val="00C64FC7"/>
  </w:style>
  <w:style w:type="table" w:customStyle="1" w:styleId="MediumGrid1-Accent11612">
    <w:name w:val="Medium Grid 1 - Accent 11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2">
    <w:name w:val="Light Grid - Accent 111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2">
    <w:name w:val="Light Grid - Accent 516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2">
    <w:name w:val="Light Grid - Accent 121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2">
    <w:name w:val="Light List - Accent 516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2">
    <w:name w:val="Light List - Accent 111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2">
    <w:name w:val="Light Grid - Accent 131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2">
    <w:name w:val="Medium Grid 1 - Accent 31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2">
    <w:name w:val="Grid Table 4 - Accent 316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2">
    <w:name w:val="No List2712"/>
    <w:next w:val="NoList"/>
    <w:uiPriority w:val="99"/>
    <w:unhideWhenUsed/>
    <w:rsid w:val="00C64FC7"/>
  </w:style>
  <w:style w:type="table" w:customStyle="1" w:styleId="MediumGrid1-Accent12612">
    <w:name w:val="Medium Grid 1 - Accent 12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2">
    <w:name w:val="Light Grid - Accent 1126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2">
    <w:name w:val="Light Grid - Accent 52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2">
    <w:name w:val="Light Grid - Accent 122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2">
    <w:name w:val="Light List - Accent 52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2">
    <w:name w:val="Light List - Accent 112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2">
    <w:name w:val="Light Grid - Accent 132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2">
    <w:name w:val="Medium Grid 1 - Accent 32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2">
    <w:name w:val="Grid Table 4 Accent 316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2">
    <w:name w:val="No List3712"/>
    <w:next w:val="NoList"/>
    <w:uiPriority w:val="99"/>
    <w:unhideWhenUsed/>
    <w:rsid w:val="00C64FC7"/>
  </w:style>
  <w:style w:type="table" w:customStyle="1" w:styleId="MediumGrid1-Accent13612">
    <w:name w:val="Medium Grid 1 - Accent 13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2">
    <w:name w:val="Light Grid - Accent 1136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2">
    <w:name w:val="Light Grid - Accent 53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2">
    <w:name w:val="Light Grid - Accent 123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2">
    <w:name w:val="Light List - Accent 53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2">
    <w:name w:val="Light List - Accent 113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2">
    <w:name w:val="Light Grid - Accent 133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2">
    <w:name w:val="Medium Grid 1 - Accent 33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2">
    <w:name w:val="Grid Table 4 Accent 326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2">
    <w:name w:val="Table Grid16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2">
    <w:name w:val="No List4412"/>
    <w:next w:val="NoList"/>
    <w:uiPriority w:val="99"/>
    <w:unhideWhenUsed/>
    <w:rsid w:val="00C64FC7"/>
  </w:style>
  <w:style w:type="table" w:customStyle="1" w:styleId="MediumGrid1-Accent14412">
    <w:name w:val="Medium Grid 1 - Accent 14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2">
    <w:name w:val="Light Grid - Accent 114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2">
    <w:name w:val="Light Grid - Accent 54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2">
    <w:name w:val="Light Grid - Accent 124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2">
    <w:name w:val="Light List - Accent 54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2">
    <w:name w:val="Light List - Accent 114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2">
    <w:name w:val="Light Grid - Accent 134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2">
    <w:name w:val="Medium Grid 1 - Accent 34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2">
    <w:name w:val="Table Grid214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12">
    <w:name w:val="Medium Grid 3 - Accent 114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2">
    <w:name w:val="No List11412"/>
    <w:next w:val="NoList"/>
    <w:uiPriority w:val="99"/>
    <w:unhideWhenUsed/>
    <w:rsid w:val="00C64FC7"/>
  </w:style>
  <w:style w:type="table" w:customStyle="1" w:styleId="MediumGrid1-Accent111412">
    <w:name w:val="Medium Grid 1 - Accent 1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2">
    <w:name w:val="Light Grid - Accent 11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2">
    <w:name w:val="Light Grid - Accent 5114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2">
    <w:name w:val="Light Grid - Accent 12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2">
    <w:name w:val="Light List - Accent 5114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2">
    <w:name w:val="Light List - Accent 1111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2">
    <w:name w:val="Light Grid - Accent 13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2">
    <w:name w:val="Medium Grid 1 - Accent 311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2">
    <w:name w:val="Grid Table 4 - Accent 311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2">
    <w:name w:val="No List21412"/>
    <w:next w:val="NoList"/>
    <w:uiPriority w:val="99"/>
    <w:semiHidden/>
    <w:unhideWhenUsed/>
    <w:rsid w:val="00C64FC7"/>
  </w:style>
  <w:style w:type="table" w:customStyle="1" w:styleId="MediumGrid1-Accent121412">
    <w:name w:val="Medium Grid 1 - Accent 12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2">
    <w:name w:val="Light Grid - Accent 1121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2">
    <w:name w:val="Light Grid - Accent 521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2">
    <w:name w:val="Light Grid - Accent 122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2">
    <w:name w:val="Light List - Accent 521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900">
      <w:bodyDiv w:val="1"/>
      <w:marLeft w:val="0"/>
      <w:marRight w:val="0"/>
      <w:marTop w:val="0"/>
      <w:marBottom w:val="0"/>
      <w:divBdr>
        <w:top w:val="none" w:sz="0" w:space="0" w:color="auto"/>
        <w:left w:val="none" w:sz="0" w:space="0" w:color="auto"/>
        <w:bottom w:val="none" w:sz="0" w:space="0" w:color="auto"/>
        <w:right w:val="none" w:sz="0" w:space="0" w:color="auto"/>
      </w:divBdr>
    </w:div>
    <w:div w:id="9843139">
      <w:bodyDiv w:val="1"/>
      <w:marLeft w:val="0"/>
      <w:marRight w:val="0"/>
      <w:marTop w:val="0"/>
      <w:marBottom w:val="0"/>
      <w:divBdr>
        <w:top w:val="none" w:sz="0" w:space="0" w:color="auto"/>
        <w:left w:val="none" w:sz="0" w:space="0" w:color="auto"/>
        <w:bottom w:val="none" w:sz="0" w:space="0" w:color="auto"/>
        <w:right w:val="none" w:sz="0" w:space="0" w:color="auto"/>
      </w:divBdr>
    </w:div>
    <w:div w:id="10227050">
      <w:bodyDiv w:val="1"/>
      <w:marLeft w:val="0"/>
      <w:marRight w:val="0"/>
      <w:marTop w:val="0"/>
      <w:marBottom w:val="0"/>
      <w:divBdr>
        <w:top w:val="none" w:sz="0" w:space="0" w:color="auto"/>
        <w:left w:val="none" w:sz="0" w:space="0" w:color="auto"/>
        <w:bottom w:val="none" w:sz="0" w:space="0" w:color="auto"/>
        <w:right w:val="none" w:sz="0" w:space="0" w:color="auto"/>
      </w:divBdr>
    </w:div>
    <w:div w:id="10881054">
      <w:bodyDiv w:val="1"/>
      <w:marLeft w:val="0"/>
      <w:marRight w:val="0"/>
      <w:marTop w:val="0"/>
      <w:marBottom w:val="0"/>
      <w:divBdr>
        <w:top w:val="none" w:sz="0" w:space="0" w:color="auto"/>
        <w:left w:val="none" w:sz="0" w:space="0" w:color="auto"/>
        <w:bottom w:val="none" w:sz="0" w:space="0" w:color="auto"/>
        <w:right w:val="none" w:sz="0" w:space="0" w:color="auto"/>
      </w:divBdr>
    </w:div>
    <w:div w:id="11609932">
      <w:bodyDiv w:val="1"/>
      <w:marLeft w:val="0"/>
      <w:marRight w:val="0"/>
      <w:marTop w:val="0"/>
      <w:marBottom w:val="0"/>
      <w:divBdr>
        <w:top w:val="none" w:sz="0" w:space="0" w:color="auto"/>
        <w:left w:val="none" w:sz="0" w:space="0" w:color="auto"/>
        <w:bottom w:val="none" w:sz="0" w:space="0" w:color="auto"/>
        <w:right w:val="none" w:sz="0" w:space="0" w:color="auto"/>
      </w:divBdr>
    </w:div>
    <w:div w:id="12388553">
      <w:bodyDiv w:val="1"/>
      <w:marLeft w:val="0"/>
      <w:marRight w:val="0"/>
      <w:marTop w:val="0"/>
      <w:marBottom w:val="0"/>
      <w:divBdr>
        <w:top w:val="none" w:sz="0" w:space="0" w:color="auto"/>
        <w:left w:val="none" w:sz="0" w:space="0" w:color="auto"/>
        <w:bottom w:val="none" w:sz="0" w:space="0" w:color="auto"/>
        <w:right w:val="none" w:sz="0" w:space="0" w:color="auto"/>
      </w:divBdr>
    </w:div>
    <w:div w:id="13310316">
      <w:bodyDiv w:val="1"/>
      <w:marLeft w:val="0"/>
      <w:marRight w:val="0"/>
      <w:marTop w:val="0"/>
      <w:marBottom w:val="0"/>
      <w:divBdr>
        <w:top w:val="none" w:sz="0" w:space="0" w:color="auto"/>
        <w:left w:val="none" w:sz="0" w:space="0" w:color="auto"/>
        <w:bottom w:val="none" w:sz="0" w:space="0" w:color="auto"/>
        <w:right w:val="none" w:sz="0" w:space="0" w:color="auto"/>
      </w:divBdr>
    </w:div>
    <w:div w:id="13578146">
      <w:bodyDiv w:val="1"/>
      <w:marLeft w:val="0"/>
      <w:marRight w:val="0"/>
      <w:marTop w:val="0"/>
      <w:marBottom w:val="0"/>
      <w:divBdr>
        <w:top w:val="none" w:sz="0" w:space="0" w:color="auto"/>
        <w:left w:val="none" w:sz="0" w:space="0" w:color="auto"/>
        <w:bottom w:val="none" w:sz="0" w:space="0" w:color="auto"/>
        <w:right w:val="none" w:sz="0" w:space="0" w:color="auto"/>
      </w:divBdr>
      <w:divsChild>
        <w:div w:id="2105369961">
          <w:marLeft w:val="0"/>
          <w:marRight w:val="0"/>
          <w:marTop w:val="0"/>
          <w:marBottom w:val="0"/>
          <w:divBdr>
            <w:top w:val="none" w:sz="0" w:space="0" w:color="auto"/>
            <w:left w:val="none" w:sz="0" w:space="0" w:color="auto"/>
            <w:bottom w:val="none" w:sz="0" w:space="0" w:color="auto"/>
            <w:right w:val="none" w:sz="0" w:space="0" w:color="auto"/>
          </w:divBdr>
        </w:div>
      </w:divsChild>
    </w:div>
    <w:div w:id="14576221">
      <w:bodyDiv w:val="1"/>
      <w:marLeft w:val="0"/>
      <w:marRight w:val="0"/>
      <w:marTop w:val="0"/>
      <w:marBottom w:val="0"/>
      <w:divBdr>
        <w:top w:val="none" w:sz="0" w:space="0" w:color="auto"/>
        <w:left w:val="none" w:sz="0" w:space="0" w:color="auto"/>
        <w:bottom w:val="none" w:sz="0" w:space="0" w:color="auto"/>
        <w:right w:val="none" w:sz="0" w:space="0" w:color="auto"/>
      </w:divBdr>
    </w:div>
    <w:div w:id="17707175">
      <w:bodyDiv w:val="1"/>
      <w:marLeft w:val="0"/>
      <w:marRight w:val="0"/>
      <w:marTop w:val="0"/>
      <w:marBottom w:val="0"/>
      <w:divBdr>
        <w:top w:val="none" w:sz="0" w:space="0" w:color="auto"/>
        <w:left w:val="none" w:sz="0" w:space="0" w:color="auto"/>
        <w:bottom w:val="none" w:sz="0" w:space="0" w:color="auto"/>
        <w:right w:val="none" w:sz="0" w:space="0" w:color="auto"/>
      </w:divBdr>
    </w:div>
    <w:div w:id="19207987">
      <w:bodyDiv w:val="1"/>
      <w:marLeft w:val="0"/>
      <w:marRight w:val="0"/>
      <w:marTop w:val="0"/>
      <w:marBottom w:val="0"/>
      <w:divBdr>
        <w:top w:val="none" w:sz="0" w:space="0" w:color="auto"/>
        <w:left w:val="none" w:sz="0" w:space="0" w:color="auto"/>
        <w:bottom w:val="none" w:sz="0" w:space="0" w:color="auto"/>
        <w:right w:val="none" w:sz="0" w:space="0" w:color="auto"/>
      </w:divBdr>
    </w:div>
    <w:div w:id="19475855">
      <w:bodyDiv w:val="1"/>
      <w:marLeft w:val="0"/>
      <w:marRight w:val="0"/>
      <w:marTop w:val="0"/>
      <w:marBottom w:val="0"/>
      <w:divBdr>
        <w:top w:val="none" w:sz="0" w:space="0" w:color="auto"/>
        <w:left w:val="none" w:sz="0" w:space="0" w:color="auto"/>
        <w:bottom w:val="none" w:sz="0" w:space="0" w:color="auto"/>
        <w:right w:val="none" w:sz="0" w:space="0" w:color="auto"/>
      </w:divBdr>
    </w:div>
    <w:div w:id="21442526">
      <w:bodyDiv w:val="1"/>
      <w:marLeft w:val="0"/>
      <w:marRight w:val="0"/>
      <w:marTop w:val="0"/>
      <w:marBottom w:val="0"/>
      <w:divBdr>
        <w:top w:val="none" w:sz="0" w:space="0" w:color="auto"/>
        <w:left w:val="none" w:sz="0" w:space="0" w:color="auto"/>
        <w:bottom w:val="none" w:sz="0" w:space="0" w:color="auto"/>
        <w:right w:val="none" w:sz="0" w:space="0" w:color="auto"/>
      </w:divBdr>
    </w:div>
    <w:div w:id="26377685">
      <w:bodyDiv w:val="1"/>
      <w:marLeft w:val="0"/>
      <w:marRight w:val="0"/>
      <w:marTop w:val="0"/>
      <w:marBottom w:val="0"/>
      <w:divBdr>
        <w:top w:val="none" w:sz="0" w:space="0" w:color="auto"/>
        <w:left w:val="none" w:sz="0" w:space="0" w:color="auto"/>
        <w:bottom w:val="none" w:sz="0" w:space="0" w:color="auto"/>
        <w:right w:val="none" w:sz="0" w:space="0" w:color="auto"/>
      </w:divBdr>
    </w:div>
    <w:div w:id="28579509">
      <w:bodyDiv w:val="1"/>
      <w:marLeft w:val="0"/>
      <w:marRight w:val="0"/>
      <w:marTop w:val="0"/>
      <w:marBottom w:val="0"/>
      <w:divBdr>
        <w:top w:val="none" w:sz="0" w:space="0" w:color="auto"/>
        <w:left w:val="none" w:sz="0" w:space="0" w:color="auto"/>
        <w:bottom w:val="none" w:sz="0" w:space="0" w:color="auto"/>
        <w:right w:val="none" w:sz="0" w:space="0" w:color="auto"/>
      </w:divBdr>
    </w:div>
    <w:div w:id="29842464">
      <w:bodyDiv w:val="1"/>
      <w:marLeft w:val="0"/>
      <w:marRight w:val="0"/>
      <w:marTop w:val="0"/>
      <w:marBottom w:val="0"/>
      <w:divBdr>
        <w:top w:val="none" w:sz="0" w:space="0" w:color="auto"/>
        <w:left w:val="none" w:sz="0" w:space="0" w:color="auto"/>
        <w:bottom w:val="none" w:sz="0" w:space="0" w:color="auto"/>
        <w:right w:val="none" w:sz="0" w:space="0" w:color="auto"/>
      </w:divBdr>
    </w:div>
    <w:div w:id="30031797">
      <w:bodyDiv w:val="1"/>
      <w:marLeft w:val="0"/>
      <w:marRight w:val="0"/>
      <w:marTop w:val="0"/>
      <w:marBottom w:val="0"/>
      <w:divBdr>
        <w:top w:val="none" w:sz="0" w:space="0" w:color="auto"/>
        <w:left w:val="none" w:sz="0" w:space="0" w:color="auto"/>
        <w:bottom w:val="none" w:sz="0" w:space="0" w:color="auto"/>
        <w:right w:val="none" w:sz="0" w:space="0" w:color="auto"/>
      </w:divBdr>
    </w:div>
    <w:div w:id="30688402">
      <w:bodyDiv w:val="1"/>
      <w:marLeft w:val="0"/>
      <w:marRight w:val="0"/>
      <w:marTop w:val="0"/>
      <w:marBottom w:val="0"/>
      <w:divBdr>
        <w:top w:val="none" w:sz="0" w:space="0" w:color="auto"/>
        <w:left w:val="none" w:sz="0" w:space="0" w:color="auto"/>
        <w:bottom w:val="none" w:sz="0" w:space="0" w:color="auto"/>
        <w:right w:val="none" w:sz="0" w:space="0" w:color="auto"/>
      </w:divBdr>
    </w:div>
    <w:div w:id="31350755">
      <w:bodyDiv w:val="1"/>
      <w:marLeft w:val="0"/>
      <w:marRight w:val="0"/>
      <w:marTop w:val="0"/>
      <w:marBottom w:val="0"/>
      <w:divBdr>
        <w:top w:val="none" w:sz="0" w:space="0" w:color="auto"/>
        <w:left w:val="none" w:sz="0" w:space="0" w:color="auto"/>
        <w:bottom w:val="none" w:sz="0" w:space="0" w:color="auto"/>
        <w:right w:val="none" w:sz="0" w:space="0" w:color="auto"/>
      </w:divBdr>
    </w:div>
    <w:div w:id="32584182">
      <w:bodyDiv w:val="1"/>
      <w:marLeft w:val="0"/>
      <w:marRight w:val="0"/>
      <w:marTop w:val="0"/>
      <w:marBottom w:val="0"/>
      <w:divBdr>
        <w:top w:val="none" w:sz="0" w:space="0" w:color="auto"/>
        <w:left w:val="none" w:sz="0" w:space="0" w:color="auto"/>
        <w:bottom w:val="none" w:sz="0" w:space="0" w:color="auto"/>
        <w:right w:val="none" w:sz="0" w:space="0" w:color="auto"/>
      </w:divBdr>
    </w:div>
    <w:div w:id="33315537">
      <w:bodyDiv w:val="1"/>
      <w:marLeft w:val="0"/>
      <w:marRight w:val="0"/>
      <w:marTop w:val="0"/>
      <w:marBottom w:val="0"/>
      <w:divBdr>
        <w:top w:val="none" w:sz="0" w:space="0" w:color="auto"/>
        <w:left w:val="none" w:sz="0" w:space="0" w:color="auto"/>
        <w:bottom w:val="none" w:sz="0" w:space="0" w:color="auto"/>
        <w:right w:val="none" w:sz="0" w:space="0" w:color="auto"/>
      </w:divBdr>
      <w:divsChild>
        <w:div w:id="58554659">
          <w:marLeft w:val="0"/>
          <w:marRight w:val="0"/>
          <w:marTop w:val="0"/>
          <w:marBottom w:val="0"/>
          <w:divBdr>
            <w:top w:val="none" w:sz="0" w:space="0" w:color="auto"/>
            <w:left w:val="none" w:sz="0" w:space="0" w:color="auto"/>
            <w:bottom w:val="none" w:sz="0" w:space="0" w:color="auto"/>
            <w:right w:val="none" w:sz="0" w:space="0" w:color="auto"/>
          </w:divBdr>
        </w:div>
        <w:div w:id="304824829">
          <w:marLeft w:val="0"/>
          <w:marRight w:val="0"/>
          <w:marTop w:val="0"/>
          <w:marBottom w:val="0"/>
          <w:divBdr>
            <w:top w:val="none" w:sz="0" w:space="0" w:color="auto"/>
            <w:left w:val="none" w:sz="0" w:space="0" w:color="auto"/>
            <w:bottom w:val="none" w:sz="0" w:space="0" w:color="auto"/>
            <w:right w:val="none" w:sz="0" w:space="0" w:color="auto"/>
          </w:divBdr>
        </w:div>
        <w:div w:id="413475020">
          <w:marLeft w:val="0"/>
          <w:marRight w:val="0"/>
          <w:marTop w:val="0"/>
          <w:marBottom w:val="0"/>
          <w:divBdr>
            <w:top w:val="none" w:sz="0" w:space="0" w:color="auto"/>
            <w:left w:val="none" w:sz="0" w:space="0" w:color="auto"/>
            <w:bottom w:val="none" w:sz="0" w:space="0" w:color="auto"/>
            <w:right w:val="none" w:sz="0" w:space="0" w:color="auto"/>
          </w:divBdr>
        </w:div>
        <w:div w:id="463542758">
          <w:marLeft w:val="0"/>
          <w:marRight w:val="0"/>
          <w:marTop w:val="0"/>
          <w:marBottom w:val="0"/>
          <w:divBdr>
            <w:top w:val="none" w:sz="0" w:space="0" w:color="auto"/>
            <w:left w:val="none" w:sz="0" w:space="0" w:color="auto"/>
            <w:bottom w:val="none" w:sz="0" w:space="0" w:color="auto"/>
            <w:right w:val="none" w:sz="0" w:space="0" w:color="auto"/>
          </w:divBdr>
        </w:div>
        <w:div w:id="670988903">
          <w:marLeft w:val="0"/>
          <w:marRight w:val="0"/>
          <w:marTop w:val="0"/>
          <w:marBottom w:val="0"/>
          <w:divBdr>
            <w:top w:val="none" w:sz="0" w:space="0" w:color="auto"/>
            <w:left w:val="none" w:sz="0" w:space="0" w:color="auto"/>
            <w:bottom w:val="none" w:sz="0" w:space="0" w:color="auto"/>
            <w:right w:val="none" w:sz="0" w:space="0" w:color="auto"/>
          </w:divBdr>
        </w:div>
        <w:div w:id="764770610">
          <w:marLeft w:val="0"/>
          <w:marRight w:val="0"/>
          <w:marTop w:val="0"/>
          <w:marBottom w:val="0"/>
          <w:divBdr>
            <w:top w:val="none" w:sz="0" w:space="0" w:color="auto"/>
            <w:left w:val="none" w:sz="0" w:space="0" w:color="auto"/>
            <w:bottom w:val="none" w:sz="0" w:space="0" w:color="auto"/>
            <w:right w:val="none" w:sz="0" w:space="0" w:color="auto"/>
          </w:divBdr>
        </w:div>
        <w:div w:id="767821550">
          <w:marLeft w:val="0"/>
          <w:marRight w:val="0"/>
          <w:marTop w:val="0"/>
          <w:marBottom w:val="0"/>
          <w:divBdr>
            <w:top w:val="none" w:sz="0" w:space="0" w:color="auto"/>
            <w:left w:val="none" w:sz="0" w:space="0" w:color="auto"/>
            <w:bottom w:val="none" w:sz="0" w:space="0" w:color="auto"/>
            <w:right w:val="none" w:sz="0" w:space="0" w:color="auto"/>
          </w:divBdr>
        </w:div>
        <w:div w:id="827667789">
          <w:marLeft w:val="0"/>
          <w:marRight w:val="0"/>
          <w:marTop w:val="0"/>
          <w:marBottom w:val="0"/>
          <w:divBdr>
            <w:top w:val="none" w:sz="0" w:space="0" w:color="auto"/>
            <w:left w:val="none" w:sz="0" w:space="0" w:color="auto"/>
            <w:bottom w:val="none" w:sz="0" w:space="0" w:color="auto"/>
            <w:right w:val="none" w:sz="0" w:space="0" w:color="auto"/>
          </w:divBdr>
        </w:div>
        <w:div w:id="831024916">
          <w:marLeft w:val="0"/>
          <w:marRight w:val="0"/>
          <w:marTop w:val="0"/>
          <w:marBottom w:val="0"/>
          <w:divBdr>
            <w:top w:val="none" w:sz="0" w:space="0" w:color="auto"/>
            <w:left w:val="none" w:sz="0" w:space="0" w:color="auto"/>
            <w:bottom w:val="none" w:sz="0" w:space="0" w:color="auto"/>
            <w:right w:val="none" w:sz="0" w:space="0" w:color="auto"/>
          </w:divBdr>
        </w:div>
        <w:div w:id="847597016">
          <w:marLeft w:val="0"/>
          <w:marRight w:val="0"/>
          <w:marTop w:val="0"/>
          <w:marBottom w:val="0"/>
          <w:divBdr>
            <w:top w:val="none" w:sz="0" w:space="0" w:color="auto"/>
            <w:left w:val="none" w:sz="0" w:space="0" w:color="auto"/>
            <w:bottom w:val="none" w:sz="0" w:space="0" w:color="auto"/>
            <w:right w:val="none" w:sz="0" w:space="0" w:color="auto"/>
          </w:divBdr>
        </w:div>
        <w:div w:id="1132092421">
          <w:marLeft w:val="0"/>
          <w:marRight w:val="0"/>
          <w:marTop w:val="0"/>
          <w:marBottom w:val="0"/>
          <w:divBdr>
            <w:top w:val="none" w:sz="0" w:space="0" w:color="auto"/>
            <w:left w:val="none" w:sz="0" w:space="0" w:color="auto"/>
            <w:bottom w:val="none" w:sz="0" w:space="0" w:color="auto"/>
            <w:right w:val="none" w:sz="0" w:space="0" w:color="auto"/>
          </w:divBdr>
        </w:div>
        <w:div w:id="1180465105">
          <w:marLeft w:val="0"/>
          <w:marRight w:val="0"/>
          <w:marTop w:val="0"/>
          <w:marBottom w:val="0"/>
          <w:divBdr>
            <w:top w:val="none" w:sz="0" w:space="0" w:color="auto"/>
            <w:left w:val="none" w:sz="0" w:space="0" w:color="auto"/>
            <w:bottom w:val="none" w:sz="0" w:space="0" w:color="auto"/>
            <w:right w:val="none" w:sz="0" w:space="0" w:color="auto"/>
          </w:divBdr>
        </w:div>
        <w:div w:id="1285037378">
          <w:marLeft w:val="0"/>
          <w:marRight w:val="0"/>
          <w:marTop w:val="0"/>
          <w:marBottom w:val="0"/>
          <w:divBdr>
            <w:top w:val="none" w:sz="0" w:space="0" w:color="auto"/>
            <w:left w:val="none" w:sz="0" w:space="0" w:color="auto"/>
            <w:bottom w:val="none" w:sz="0" w:space="0" w:color="auto"/>
            <w:right w:val="none" w:sz="0" w:space="0" w:color="auto"/>
          </w:divBdr>
        </w:div>
        <w:div w:id="1385062433">
          <w:marLeft w:val="0"/>
          <w:marRight w:val="0"/>
          <w:marTop w:val="0"/>
          <w:marBottom w:val="0"/>
          <w:divBdr>
            <w:top w:val="none" w:sz="0" w:space="0" w:color="auto"/>
            <w:left w:val="none" w:sz="0" w:space="0" w:color="auto"/>
            <w:bottom w:val="none" w:sz="0" w:space="0" w:color="auto"/>
            <w:right w:val="none" w:sz="0" w:space="0" w:color="auto"/>
          </w:divBdr>
        </w:div>
        <w:div w:id="1386640956">
          <w:marLeft w:val="0"/>
          <w:marRight w:val="0"/>
          <w:marTop w:val="0"/>
          <w:marBottom w:val="0"/>
          <w:divBdr>
            <w:top w:val="none" w:sz="0" w:space="0" w:color="auto"/>
            <w:left w:val="none" w:sz="0" w:space="0" w:color="auto"/>
            <w:bottom w:val="none" w:sz="0" w:space="0" w:color="auto"/>
            <w:right w:val="none" w:sz="0" w:space="0" w:color="auto"/>
          </w:divBdr>
        </w:div>
        <w:div w:id="1569459871">
          <w:marLeft w:val="0"/>
          <w:marRight w:val="0"/>
          <w:marTop w:val="0"/>
          <w:marBottom w:val="0"/>
          <w:divBdr>
            <w:top w:val="none" w:sz="0" w:space="0" w:color="auto"/>
            <w:left w:val="none" w:sz="0" w:space="0" w:color="auto"/>
            <w:bottom w:val="none" w:sz="0" w:space="0" w:color="auto"/>
            <w:right w:val="none" w:sz="0" w:space="0" w:color="auto"/>
          </w:divBdr>
        </w:div>
        <w:div w:id="1650010697">
          <w:marLeft w:val="0"/>
          <w:marRight w:val="0"/>
          <w:marTop w:val="0"/>
          <w:marBottom w:val="0"/>
          <w:divBdr>
            <w:top w:val="none" w:sz="0" w:space="0" w:color="auto"/>
            <w:left w:val="none" w:sz="0" w:space="0" w:color="auto"/>
            <w:bottom w:val="none" w:sz="0" w:space="0" w:color="auto"/>
            <w:right w:val="none" w:sz="0" w:space="0" w:color="auto"/>
          </w:divBdr>
        </w:div>
        <w:div w:id="1688943621">
          <w:marLeft w:val="0"/>
          <w:marRight w:val="0"/>
          <w:marTop w:val="0"/>
          <w:marBottom w:val="0"/>
          <w:divBdr>
            <w:top w:val="none" w:sz="0" w:space="0" w:color="auto"/>
            <w:left w:val="none" w:sz="0" w:space="0" w:color="auto"/>
            <w:bottom w:val="none" w:sz="0" w:space="0" w:color="auto"/>
            <w:right w:val="none" w:sz="0" w:space="0" w:color="auto"/>
          </w:divBdr>
        </w:div>
        <w:div w:id="1726680702">
          <w:marLeft w:val="0"/>
          <w:marRight w:val="0"/>
          <w:marTop w:val="0"/>
          <w:marBottom w:val="0"/>
          <w:divBdr>
            <w:top w:val="none" w:sz="0" w:space="0" w:color="auto"/>
            <w:left w:val="none" w:sz="0" w:space="0" w:color="auto"/>
            <w:bottom w:val="none" w:sz="0" w:space="0" w:color="auto"/>
            <w:right w:val="none" w:sz="0" w:space="0" w:color="auto"/>
          </w:divBdr>
        </w:div>
        <w:div w:id="1780366795">
          <w:marLeft w:val="0"/>
          <w:marRight w:val="0"/>
          <w:marTop w:val="0"/>
          <w:marBottom w:val="0"/>
          <w:divBdr>
            <w:top w:val="none" w:sz="0" w:space="0" w:color="auto"/>
            <w:left w:val="none" w:sz="0" w:space="0" w:color="auto"/>
            <w:bottom w:val="none" w:sz="0" w:space="0" w:color="auto"/>
            <w:right w:val="none" w:sz="0" w:space="0" w:color="auto"/>
          </w:divBdr>
        </w:div>
        <w:div w:id="1843623163">
          <w:marLeft w:val="0"/>
          <w:marRight w:val="0"/>
          <w:marTop w:val="0"/>
          <w:marBottom w:val="0"/>
          <w:divBdr>
            <w:top w:val="none" w:sz="0" w:space="0" w:color="auto"/>
            <w:left w:val="none" w:sz="0" w:space="0" w:color="auto"/>
            <w:bottom w:val="none" w:sz="0" w:space="0" w:color="auto"/>
            <w:right w:val="none" w:sz="0" w:space="0" w:color="auto"/>
          </w:divBdr>
        </w:div>
        <w:div w:id="1944070104">
          <w:marLeft w:val="0"/>
          <w:marRight w:val="0"/>
          <w:marTop w:val="0"/>
          <w:marBottom w:val="0"/>
          <w:divBdr>
            <w:top w:val="none" w:sz="0" w:space="0" w:color="auto"/>
            <w:left w:val="none" w:sz="0" w:space="0" w:color="auto"/>
            <w:bottom w:val="none" w:sz="0" w:space="0" w:color="auto"/>
            <w:right w:val="none" w:sz="0" w:space="0" w:color="auto"/>
          </w:divBdr>
        </w:div>
        <w:div w:id="2015722103">
          <w:marLeft w:val="0"/>
          <w:marRight w:val="0"/>
          <w:marTop w:val="0"/>
          <w:marBottom w:val="0"/>
          <w:divBdr>
            <w:top w:val="none" w:sz="0" w:space="0" w:color="auto"/>
            <w:left w:val="none" w:sz="0" w:space="0" w:color="auto"/>
            <w:bottom w:val="none" w:sz="0" w:space="0" w:color="auto"/>
            <w:right w:val="none" w:sz="0" w:space="0" w:color="auto"/>
          </w:divBdr>
        </w:div>
        <w:div w:id="2123573788">
          <w:marLeft w:val="0"/>
          <w:marRight w:val="0"/>
          <w:marTop w:val="0"/>
          <w:marBottom w:val="0"/>
          <w:divBdr>
            <w:top w:val="none" w:sz="0" w:space="0" w:color="auto"/>
            <w:left w:val="none" w:sz="0" w:space="0" w:color="auto"/>
            <w:bottom w:val="none" w:sz="0" w:space="0" w:color="auto"/>
            <w:right w:val="none" w:sz="0" w:space="0" w:color="auto"/>
          </w:divBdr>
        </w:div>
      </w:divsChild>
    </w:div>
    <w:div w:id="34622816">
      <w:bodyDiv w:val="1"/>
      <w:marLeft w:val="0"/>
      <w:marRight w:val="0"/>
      <w:marTop w:val="0"/>
      <w:marBottom w:val="0"/>
      <w:divBdr>
        <w:top w:val="none" w:sz="0" w:space="0" w:color="auto"/>
        <w:left w:val="none" w:sz="0" w:space="0" w:color="auto"/>
        <w:bottom w:val="none" w:sz="0" w:space="0" w:color="auto"/>
        <w:right w:val="none" w:sz="0" w:space="0" w:color="auto"/>
      </w:divBdr>
    </w:div>
    <w:div w:id="38748654">
      <w:bodyDiv w:val="1"/>
      <w:marLeft w:val="0"/>
      <w:marRight w:val="0"/>
      <w:marTop w:val="0"/>
      <w:marBottom w:val="0"/>
      <w:divBdr>
        <w:top w:val="none" w:sz="0" w:space="0" w:color="auto"/>
        <w:left w:val="none" w:sz="0" w:space="0" w:color="auto"/>
        <w:bottom w:val="none" w:sz="0" w:space="0" w:color="auto"/>
        <w:right w:val="none" w:sz="0" w:space="0" w:color="auto"/>
      </w:divBdr>
    </w:div>
    <w:div w:id="42826555">
      <w:bodyDiv w:val="1"/>
      <w:marLeft w:val="0"/>
      <w:marRight w:val="0"/>
      <w:marTop w:val="0"/>
      <w:marBottom w:val="0"/>
      <w:divBdr>
        <w:top w:val="none" w:sz="0" w:space="0" w:color="auto"/>
        <w:left w:val="none" w:sz="0" w:space="0" w:color="auto"/>
        <w:bottom w:val="none" w:sz="0" w:space="0" w:color="auto"/>
        <w:right w:val="none" w:sz="0" w:space="0" w:color="auto"/>
      </w:divBdr>
    </w:div>
    <w:div w:id="44527007">
      <w:bodyDiv w:val="1"/>
      <w:marLeft w:val="0"/>
      <w:marRight w:val="0"/>
      <w:marTop w:val="0"/>
      <w:marBottom w:val="0"/>
      <w:divBdr>
        <w:top w:val="none" w:sz="0" w:space="0" w:color="auto"/>
        <w:left w:val="none" w:sz="0" w:space="0" w:color="auto"/>
        <w:bottom w:val="none" w:sz="0" w:space="0" w:color="auto"/>
        <w:right w:val="none" w:sz="0" w:space="0" w:color="auto"/>
      </w:divBdr>
    </w:div>
    <w:div w:id="51082171">
      <w:bodyDiv w:val="1"/>
      <w:marLeft w:val="0"/>
      <w:marRight w:val="0"/>
      <w:marTop w:val="0"/>
      <w:marBottom w:val="0"/>
      <w:divBdr>
        <w:top w:val="none" w:sz="0" w:space="0" w:color="auto"/>
        <w:left w:val="none" w:sz="0" w:space="0" w:color="auto"/>
        <w:bottom w:val="none" w:sz="0" w:space="0" w:color="auto"/>
        <w:right w:val="none" w:sz="0" w:space="0" w:color="auto"/>
      </w:divBdr>
    </w:div>
    <w:div w:id="54356867">
      <w:bodyDiv w:val="1"/>
      <w:marLeft w:val="0"/>
      <w:marRight w:val="0"/>
      <w:marTop w:val="0"/>
      <w:marBottom w:val="0"/>
      <w:divBdr>
        <w:top w:val="none" w:sz="0" w:space="0" w:color="auto"/>
        <w:left w:val="none" w:sz="0" w:space="0" w:color="auto"/>
        <w:bottom w:val="none" w:sz="0" w:space="0" w:color="auto"/>
        <w:right w:val="none" w:sz="0" w:space="0" w:color="auto"/>
      </w:divBdr>
    </w:div>
    <w:div w:id="54550347">
      <w:bodyDiv w:val="1"/>
      <w:marLeft w:val="0"/>
      <w:marRight w:val="0"/>
      <w:marTop w:val="0"/>
      <w:marBottom w:val="0"/>
      <w:divBdr>
        <w:top w:val="none" w:sz="0" w:space="0" w:color="auto"/>
        <w:left w:val="none" w:sz="0" w:space="0" w:color="auto"/>
        <w:bottom w:val="none" w:sz="0" w:space="0" w:color="auto"/>
        <w:right w:val="none" w:sz="0" w:space="0" w:color="auto"/>
      </w:divBdr>
    </w:div>
    <w:div w:id="58673668">
      <w:bodyDiv w:val="1"/>
      <w:marLeft w:val="0"/>
      <w:marRight w:val="0"/>
      <w:marTop w:val="0"/>
      <w:marBottom w:val="0"/>
      <w:divBdr>
        <w:top w:val="none" w:sz="0" w:space="0" w:color="auto"/>
        <w:left w:val="none" w:sz="0" w:space="0" w:color="auto"/>
        <w:bottom w:val="none" w:sz="0" w:space="0" w:color="auto"/>
        <w:right w:val="none" w:sz="0" w:space="0" w:color="auto"/>
      </w:divBdr>
    </w:div>
    <w:div w:id="64572798">
      <w:bodyDiv w:val="1"/>
      <w:marLeft w:val="0"/>
      <w:marRight w:val="0"/>
      <w:marTop w:val="0"/>
      <w:marBottom w:val="0"/>
      <w:divBdr>
        <w:top w:val="none" w:sz="0" w:space="0" w:color="auto"/>
        <w:left w:val="none" w:sz="0" w:space="0" w:color="auto"/>
        <w:bottom w:val="none" w:sz="0" w:space="0" w:color="auto"/>
        <w:right w:val="none" w:sz="0" w:space="0" w:color="auto"/>
      </w:divBdr>
    </w:div>
    <w:div w:id="64762157">
      <w:bodyDiv w:val="1"/>
      <w:marLeft w:val="0"/>
      <w:marRight w:val="0"/>
      <w:marTop w:val="0"/>
      <w:marBottom w:val="0"/>
      <w:divBdr>
        <w:top w:val="none" w:sz="0" w:space="0" w:color="auto"/>
        <w:left w:val="none" w:sz="0" w:space="0" w:color="auto"/>
        <w:bottom w:val="none" w:sz="0" w:space="0" w:color="auto"/>
        <w:right w:val="none" w:sz="0" w:space="0" w:color="auto"/>
      </w:divBdr>
      <w:divsChild>
        <w:div w:id="1615012710">
          <w:marLeft w:val="0"/>
          <w:marRight w:val="0"/>
          <w:marTop w:val="0"/>
          <w:marBottom w:val="0"/>
          <w:divBdr>
            <w:top w:val="none" w:sz="0" w:space="0" w:color="auto"/>
            <w:left w:val="none" w:sz="0" w:space="0" w:color="auto"/>
            <w:bottom w:val="none" w:sz="0" w:space="0" w:color="auto"/>
            <w:right w:val="none" w:sz="0" w:space="0" w:color="auto"/>
          </w:divBdr>
        </w:div>
      </w:divsChild>
    </w:div>
    <w:div w:id="65155814">
      <w:bodyDiv w:val="1"/>
      <w:marLeft w:val="0"/>
      <w:marRight w:val="0"/>
      <w:marTop w:val="0"/>
      <w:marBottom w:val="0"/>
      <w:divBdr>
        <w:top w:val="none" w:sz="0" w:space="0" w:color="auto"/>
        <w:left w:val="none" w:sz="0" w:space="0" w:color="auto"/>
        <w:bottom w:val="none" w:sz="0" w:space="0" w:color="auto"/>
        <w:right w:val="none" w:sz="0" w:space="0" w:color="auto"/>
      </w:divBdr>
    </w:div>
    <w:div w:id="66343589">
      <w:bodyDiv w:val="1"/>
      <w:marLeft w:val="0"/>
      <w:marRight w:val="0"/>
      <w:marTop w:val="0"/>
      <w:marBottom w:val="0"/>
      <w:divBdr>
        <w:top w:val="none" w:sz="0" w:space="0" w:color="auto"/>
        <w:left w:val="none" w:sz="0" w:space="0" w:color="auto"/>
        <w:bottom w:val="none" w:sz="0" w:space="0" w:color="auto"/>
        <w:right w:val="none" w:sz="0" w:space="0" w:color="auto"/>
      </w:divBdr>
    </w:div>
    <w:div w:id="71195577">
      <w:bodyDiv w:val="1"/>
      <w:marLeft w:val="0"/>
      <w:marRight w:val="0"/>
      <w:marTop w:val="0"/>
      <w:marBottom w:val="0"/>
      <w:divBdr>
        <w:top w:val="none" w:sz="0" w:space="0" w:color="auto"/>
        <w:left w:val="none" w:sz="0" w:space="0" w:color="auto"/>
        <w:bottom w:val="none" w:sz="0" w:space="0" w:color="auto"/>
        <w:right w:val="none" w:sz="0" w:space="0" w:color="auto"/>
      </w:divBdr>
    </w:div>
    <w:div w:id="72046671">
      <w:bodyDiv w:val="1"/>
      <w:marLeft w:val="0"/>
      <w:marRight w:val="0"/>
      <w:marTop w:val="0"/>
      <w:marBottom w:val="0"/>
      <w:divBdr>
        <w:top w:val="none" w:sz="0" w:space="0" w:color="auto"/>
        <w:left w:val="none" w:sz="0" w:space="0" w:color="auto"/>
        <w:bottom w:val="none" w:sz="0" w:space="0" w:color="auto"/>
        <w:right w:val="none" w:sz="0" w:space="0" w:color="auto"/>
      </w:divBdr>
    </w:div>
    <w:div w:id="72970213">
      <w:bodyDiv w:val="1"/>
      <w:marLeft w:val="0"/>
      <w:marRight w:val="0"/>
      <w:marTop w:val="0"/>
      <w:marBottom w:val="0"/>
      <w:divBdr>
        <w:top w:val="none" w:sz="0" w:space="0" w:color="auto"/>
        <w:left w:val="none" w:sz="0" w:space="0" w:color="auto"/>
        <w:bottom w:val="none" w:sz="0" w:space="0" w:color="auto"/>
        <w:right w:val="none" w:sz="0" w:space="0" w:color="auto"/>
      </w:divBdr>
    </w:div>
    <w:div w:id="73279492">
      <w:bodyDiv w:val="1"/>
      <w:marLeft w:val="0"/>
      <w:marRight w:val="0"/>
      <w:marTop w:val="0"/>
      <w:marBottom w:val="0"/>
      <w:divBdr>
        <w:top w:val="none" w:sz="0" w:space="0" w:color="auto"/>
        <w:left w:val="none" w:sz="0" w:space="0" w:color="auto"/>
        <w:bottom w:val="none" w:sz="0" w:space="0" w:color="auto"/>
        <w:right w:val="none" w:sz="0" w:space="0" w:color="auto"/>
      </w:divBdr>
    </w:div>
    <w:div w:id="74254284">
      <w:bodyDiv w:val="1"/>
      <w:marLeft w:val="0"/>
      <w:marRight w:val="0"/>
      <w:marTop w:val="0"/>
      <w:marBottom w:val="0"/>
      <w:divBdr>
        <w:top w:val="none" w:sz="0" w:space="0" w:color="auto"/>
        <w:left w:val="none" w:sz="0" w:space="0" w:color="auto"/>
        <w:bottom w:val="none" w:sz="0" w:space="0" w:color="auto"/>
        <w:right w:val="none" w:sz="0" w:space="0" w:color="auto"/>
      </w:divBdr>
    </w:div>
    <w:div w:id="74280638">
      <w:bodyDiv w:val="1"/>
      <w:marLeft w:val="0"/>
      <w:marRight w:val="0"/>
      <w:marTop w:val="0"/>
      <w:marBottom w:val="0"/>
      <w:divBdr>
        <w:top w:val="none" w:sz="0" w:space="0" w:color="auto"/>
        <w:left w:val="none" w:sz="0" w:space="0" w:color="auto"/>
        <w:bottom w:val="none" w:sz="0" w:space="0" w:color="auto"/>
        <w:right w:val="none" w:sz="0" w:space="0" w:color="auto"/>
      </w:divBdr>
    </w:div>
    <w:div w:id="77794269">
      <w:bodyDiv w:val="1"/>
      <w:marLeft w:val="0"/>
      <w:marRight w:val="0"/>
      <w:marTop w:val="0"/>
      <w:marBottom w:val="0"/>
      <w:divBdr>
        <w:top w:val="none" w:sz="0" w:space="0" w:color="auto"/>
        <w:left w:val="none" w:sz="0" w:space="0" w:color="auto"/>
        <w:bottom w:val="none" w:sz="0" w:space="0" w:color="auto"/>
        <w:right w:val="none" w:sz="0" w:space="0" w:color="auto"/>
      </w:divBdr>
    </w:div>
    <w:div w:id="78141133">
      <w:bodyDiv w:val="1"/>
      <w:marLeft w:val="0"/>
      <w:marRight w:val="0"/>
      <w:marTop w:val="0"/>
      <w:marBottom w:val="0"/>
      <w:divBdr>
        <w:top w:val="none" w:sz="0" w:space="0" w:color="auto"/>
        <w:left w:val="none" w:sz="0" w:space="0" w:color="auto"/>
        <w:bottom w:val="none" w:sz="0" w:space="0" w:color="auto"/>
        <w:right w:val="none" w:sz="0" w:space="0" w:color="auto"/>
      </w:divBdr>
    </w:div>
    <w:div w:id="78143174">
      <w:bodyDiv w:val="1"/>
      <w:marLeft w:val="0"/>
      <w:marRight w:val="0"/>
      <w:marTop w:val="0"/>
      <w:marBottom w:val="0"/>
      <w:divBdr>
        <w:top w:val="none" w:sz="0" w:space="0" w:color="auto"/>
        <w:left w:val="none" w:sz="0" w:space="0" w:color="auto"/>
        <w:bottom w:val="none" w:sz="0" w:space="0" w:color="auto"/>
        <w:right w:val="none" w:sz="0" w:space="0" w:color="auto"/>
      </w:divBdr>
    </w:div>
    <w:div w:id="83497711">
      <w:bodyDiv w:val="1"/>
      <w:marLeft w:val="0"/>
      <w:marRight w:val="0"/>
      <w:marTop w:val="0"/>
      <w:marBottom w:val="0"/>
      <w:divBdr>
        <w:top w:val="none" w:sz="0" w:space="0" w:color="auto"/>
        <w:left w:val="none" w:sz="0" w:space="0" w:color="auto"/>
        <w:bottom w:val="none" w:sz="0" w:space="0" w:color="auto"/>
        <w:right w:val="none" w:sz="0" w:space="0" w:color="auto"/>
      </w:divBdr>
    </w:div>
    <w:div w:id="86271895">
      <w:bodyDiv w:val="1"/>
      <w:marLeft w:val="0"/>
      <w:marRight w:val="0"/>
      <w:marTop w:val="0"/>
      <w:marBottom w:val="0"/>
      <w:divBdr>
        <w:top w:val="none" w:sz="0" w:space="0" w:color="auto"/>
        <w:left w:val="none" w:sz="0" w:space="0" w:color="auto"/>
        <w:bottom w:val="none" w:sz="0" w:space="0" w:color="auto"/>
        <w:right w:val="none" w:sz="0" w:space="0" w:color="auto"/>
      </w:divBdr>
    </w:div>
    <w:div w:id="86274064">
      <w:bodyDiv w:val="1"/>
      <w:marLeft w:val="0"/>
      <w:marRight w:val="0"/>
      <w:marTop w:val="0"/>
      <w:marBottom w:val="0"/>
      <w:divBdr>
        <w:top w:val="none" w:sz="0" w:space="0" w:color="auto"/>
        <w:left w:val="none" w:sz="0" w:space="0" w:color="auto"/>
        <w:bottom w:val="none" w:sz="0" w:space="0" w:color="auto"/>
        <w:right w:val="none" w:sz="0" w:space="0" w:color="auto"/>
      </w:divBdr>
    </w:div>
    <w:div w:id="86509318">
      <w:bodyDiv w:val="1"/>
      <w:marLeft w:val="0"/>
      <w:marRight w:val="0"/>
      <w:marTop w:val="0"/>
      <w:marBottom w:val="0"/>
      <w:divBdr>
        <w:top w:val="none" w:sz="0" w:space="0" w:color="auto"/>
        <w:left w:val="none" w:sz="0" w:space="0" w:color="auto"/>
        <w:bottom w:val="none" w:sz="0" w:space="0" w:color="auto"/>
        <w:right w:val="none" w:sz="0" w:space="0" w:color="auto"/>
      </w:divBdr>
    </w:div>
    <w:div w:id="87847649">
      <w:bodyDiv w:val="1"/>
      <w:marLeft w:val="0"/>
      <w:marRight w:val="0"/>
      <w:marTop w:val="0"/>
      <w:marBottom w:val="0"/>
      <w:divBdr>
        <w:top w:val="none" w:sz="0" w:space="0" w:color="auto"/>
        <w:left w:val="none" w:sz="0" w:space="0" w:color="auto"/>
        <w:bottom w:val="none" w:sz="0" w:space="0" w:color="auto"/>
        <w:right w:val="none" w:sz="0" w:space="0" w:color="auto"/>
      </w:divBdr>
    </w:div>
    <w:div w:id="91901644">
      <w:bodyDiv w:val="1"/>
      <w:marLeft w:val="0"/>
      <w:marRight w:val="0"/>
      <w:marTop w:val="0"/>
      <w:marBottom w:val="0"/>
      <w:divBdr>
        <w:top w:val="none" w:sz="0" w:space="0" w:color="auto"/>
        <w:left w:val="none" w:sz="0" w:space="0" w:color="auto"/>
        <w:bottom w:val="none" w:sz="0" w:space="0" w:color="auto"/>
        <w:right w:val="none" w:sz="0" w:space="0" w:color="auto"/>
      </w:divBdr>
    </w:div>
    <w:div w:id="94207537">
      <w:bodyDiv w:val="1"/>
      <w:marLeft w:val="0"/>
      <w:marRight w:val="0"/>
      <w:marTop w:val="0"/>
      <w:marBottom w:val="0"/>
      <w:divBdr>
        <w:top w:val="none" w:sz="0" w:space="0" w:color="auto"/>
        <w:left w:val="none" w:sz="0" w:space="0" w:color="auto"/>
        <w:bottom w:val="none" w:sz="0" w:space="0" w:color="auto"/>
        <w:right w:val="none" w:sz="0" w:space="0" w:color="auto"/>
      </w:divBdr>
    </w:div>
    <w:div w:id="95370907">
      <w:bodyDiv w:val="1"/>
      <w:marLeft w:val="0"/>
      <w:marRight w:val="0"/>
      <w:marTop w:val="0"/>
      <w:marBottom w:val="0"/>
      <w:divBdr>
        <w:top w:val="none" w:sz="0" w:space="0" w:color="auto"/>
        <w:left w:val="none" w:sz="0" w:space="0" w:color="auto"/>
        <w:bottom w:val="none" w:sz="0" w:space="0" w:color="auto"/>
        <w:right w:val="none" w:sz="0" w:space="0" w:color="auto"/>
      </w:divBdr>
    </w:div>
    <w:div w:id="96216600">
      <w:bodyDiv w:val="1"/>
      <w:marLeft w:val="0"/>
      <w:marRight w:val="0"/>
      <w:marTop w:val="0"/>
      <w:marBottom w:val="0"/>
      <w:divBdr>
        <w:top w:val="none" w:sz="0" w:space="0" w:color="auto"/>
        <w:left w:val="none" w:sz="0" w:space="0" w:color="auto"/>
        <w:bottom w:val="none" w:sz="0" w:space="0" w:color="auto"/>
        <w:right w:val="none" w:sz="0" w:space="0" w:color="auto"/>
      </w:divBdr>
    </w:div>
    <w:div w:id="100342425">
      <w:bodyDiv w:val="1"/>
      <w:marLeft w:val="0"/>
      <w:marRight w:val="0"/>
      <w:marTop w:val="0"/>
      <w:marBottom w:val="0"/>
      <w:divBdr>
        <w:top w:val="none" w:sz="0" w:space="0" w:color="auto"/>
        <w:left w:val="none" w:sz="0" w:space="0" w:color="auto"/>
        <w:bottom w:val="none" w:sz="0" w:space="0" w:color="auto"/>
        <w:right w:val="none" w:sz="0" w:space="0" w:color="auto"/>
      </w:divBdr>
    </w:div>
    <w:div w:id="102119371">
      <w:bodyDiv w:val="1"/>
      <w:marLeft w:val="0"/>
      <w:marRight w:val="0"/>
      <w:marTop w:val="0"/>
      <w:marBottom w:val="0"/>
      <w:divBdr>
        <w:top w:val="none" w:sz="0" w:space="0" w:color="auto"/>
        <w:left w:val="none" w:sz="0" w:space="0" w:color="auto"/>
        <w:bottom w:val="none" w:sz="0" w:space="0" w:color="auto"/>
        <w:right w:val="none" w:sz="0" w:space="0" w:color="auto"/>
      </w:divBdr>
    </w:div>
    <w:div w:id="104859289">
      <w:bodyDiv w:val="1"/>
      <w:marLeft w:val="0"/>
      <w:marRight w:val="0"/>
      <w:marTop w:val="0"/>
      <w:marBottom w:val="0"/>
      <w:divBdr>
        <w:top w:val="none" w:sz="0" w:space="0" w:color="auto"/>
        <w:left w:val="none" w:sz="0" w:space="0" w:color="auto"/>
        <w:bottom w:val="none" w:sz="0" w:space="0" w:color="auto"/>
        <w:right w:val="none" w:sz="0" w:space="0" w:color="auto"/>
      </w:divBdr>
    </w:div>
    <w:div w:id="107357389">
      <w:bodyDiv w:val="1"/>
      <w:marLeft w:val="0"/>
      <w:marRight w:val="0"/>
      <w:marTop w:val="0"/>
      <w:marBottom w:val="0"/>
      <w:divBdr>
        <w:top w:val="none" w:sz="0" w:space="0" w:color="auto"/>
        <w:left w:val="none" w:sz="0" w:space="0" w:color="auto"/>
        <w:bottom w:val="none" w:sz="0" w:space="0" w:color="auto"/>
        <w:right w:val="none" w:sz="0" w:space="0" w:color="auto"/>
      </w:divBdr>
    </w:div>
    <w:div w:id="108210149">
      <w:bodyDiv w:val="1"/>
      <w:marLeft w:val="0"/>
      <w:marRight w:val="0"/>
      <w:marTop w:val="0"/>
      <w:marBottom w:val="0"/>
      <w:divBdr>
        <w:top w:val="none" w:sz="0" w:space="0" w:color="auto"/>
        <w:left w:val="none" w:sz="0" w:space="0" w:color="auto"/>
        <w:bottom w:val="none" w:sz="0" w:space="0" w:color="auto"/>
        <w:right w:val="none" w:sz="0" w:space="0" w:color="auto"/>
      </w:divBdr>
    </w:div>
    <w:div w:id="116459435">
      <w:bodyDiv w:val="1"/>
      <w:marLeft w:val="0"/>
      <w:marRight w:val="0"/>
      <w:marTop w:val="0"/>
      <w:marBottom w:val="0"/>
      <w:divBdr>
        <w:top w:val="none" w:sz="0" w:space="0" w:color="auto"/>
        <w:left w:val="none" w:sz="0" w:space="0" w:color="auto"/>
        <w:bottom w:val="none" w:sz="0" w:space="0" w:color="auto"/>
        <w:right w:val="none" w:sz="0" w:space="0" w:color="auto"/>
      </w:divBdr>
    </w:div>
    <w:div w:id="116532062">
      <w:bodyDiv w:val="1"/>
      <w:marLeft w:val="0"/>
      <w:marRight w:val="0"/>
      <w:marTop w:val="0"/>
      <w:marBottom w:val="0"/>
      <w:divBdr>
        <w:top w:val="none" w:sz="0" w:space="0" w:color="auto"/>
        <w:left w:val="none" w:sz="0" w:space="0" w:color="auto"/>
        <w:bottom w:val="none" w:sz="0" w:space="0" w:color="auto"/>
        <w:right w:val="none" w:sz="0" w:space="0" w:color="auto"/>
      </w:divBdr>
    </w:div>
    <w:div w:id="119541647">
      <w:bodyDiv w:val="1"/>
      <w:marLeft w:val="0"/>
      <w:marRight w:val="0"/>
      <w:marTop w:val="0"/>
      <w:marBottom w:val="0"/>
      <w:divBdr>
        <w:top w:val="none" w:sz="0" w:space="0" w:color="auto"/>
        <w:left w:val="none" w:sz="0" w:space="0" w:color="auto"/>
        <w:bottom w:val="none" w:sz="0" w:space="0" w:color="auto"/>
        <w:right w:val="none" w:sz="0" w:space="0" w:color="auto"/>
      </w:divBdr>
    </w:div>
    <w:div w:id="121578532">
      <w:bodyDiv w:val="1"/>
      <w:marLeft w:val="0"/>
      <w:marRight w:val="0"/>
      <w:marTop w:val="0"/>
      <w:marBottom w:val="0"/>
      <w:divBdr>
        <w:top w:val="none" w:sz="0" w:space="0" w:color="auto"/>
        <w:left w:val="none" w:sz="0" w:space="0" w:color="auto"/>
        <w:bottom w:val="none" w:sz="0" w:space="0" w:color="auto"/>
        <w:right w:val="none" w:sz="0" w:space="0" w:color="auto"/>
      </w:divBdr>
    </w:div>
    <w:div w:id="123541782">
      <w:bodyDiv w:val="1"/>
      <w:marLeft w:val="0"/>
      <w:marRight w:val="0"/>
      <w:marTop w:val="0"/>
      <w:marBottom w:val="0"/>
      <w:divBdr>
        <w:top w:val="none" w:sz="0" w:space="0" w:color="auto"/>
        <w:left w:val="none" w:sz="0" w:space="0" w:color="auto"/>
        <w:bottom w:val="none" w:sz="0" w:space="0" w:color="auto"/>
        <w:right w:val="none" w:sz="0" w:space="0" w:color="auto"/>
      </w:divBdr>
    </w:div>
    <w:div w:id="126122111">
      <w:bodyDiv w:val="1"/>
      <w:marLeft w:val="0"/>
      <w:marRight w:val="0"/>
      <w:marTop w:val="0"/>
      <w:marBottom w:val="0"/>
      <w:divBdr>
        <w:top w:val="none" w:sz="0" w:space="0" w:color="auto"/>
        <w:left w:val="none" w:sz="0" w:space="0" w:color="auto"/>
        <w:bottom w:val="none" w:sz="0" w:space="0" w:color="auto"/>
        <w:right w:val="none" w:sz="0" w:space="0" w:color="auto"/>
      </w:divBdr>
    </w:div>
    <w:div w:id="127018056">
      <w:bodyDiv w:val="1"/>
      <w:marLeft w:val="0"/>
      <w:marRight w:val="0"/>
      <w:marTop w:val="0"/>
      <w:marBottom w:val="0"/>
      <w:divBdr>
        <w:top w:val="none" w:sz="0" w:space="0" w:color="auto"/>
        <w:left w:val="none" w:sz="0" w:space="0" w:color="auto"/>
        <w:bottom w:val="none" w:sz="0" w:space="0" w:color="auto"/>
        <w:right w:val="none" w:sz="0" w:space="0" w:color="auto"/>
      </w:divBdr>
    </w:div>
    <w:div w:id="127213224">
      <w:bodyDiv w:val="1"/>
      <w:marLeft w:val="0"/>
      <w:marRight w:val="0"/>
      <w:marTop w:val="0"/>
      <w:marBottom w:val="0"/>
      <w:divBdr>
        <w:top w:val="none" w:sz="0" w:space="0" w:color="auto"/>
        <w:left w:val="none" w:sz="0" w:space="0" w:color="auto"/>
        <w:bottom w:val="none" w:sz="0" w:space="0" w:color="auto"/>
        <w:right w:val="none" w:sz="0" w:space="0" w:color="auto"/>
      </w:divBdr>
    </w:div>
    <w:div w:id="127403914">
      <w:bodyDiv w:val="1"/>
      <w:marLeft w:val="0"/>
      <w:marRight w:val="0"/>
      <w:marTop w:val="0"/>
      <w:marBottom w:val="0"/>
      <w:divBdr>
        <w:top w:val="none" w:sz="0" w:space="0" w:color="auto"/>
        <w:left w:val="none" w:sz="0" w:space="0" w:color="auto"/>
        <w:bottom w:val="none" w:sz="0" w:space="0" w:color="auto"/>
        <w:right w:val="none" w:sz="0" w:space="0" w:color="auto"/>
      </w:divBdr>
    </w:div>
    <w:div w:id="131095717">
      <w:bodyDiv w:val="1"/>
      <w:marLeft w:val="0"/>
      <w:marRight w:val="0"/>
      <w:marTop w:val="0"/>
      <w:marBottom w:val="0"/>
      <w:divBdr>
        <w:top w:val="none" w:sz="0" w:space="0" w:color="auto"/>
        <w:left w:val="none" w:sz="0" w:space="0" w:color="auto"/>
        <w:bottom w:val="none" w:sz="0" w:space="0" w:color="auto"/>
        <w:right w:val="none" w:sz="0" w:space="0" w:color="auto"/>
      </w:divBdr>
    </w:div>
    <w:div w:id="132873667">
      <w:bodyDiv w:val="1"/>
      <w:marLeft w:val="0"/>
      <w:marRight w:val="0"/>
      <w:marTop w:val="0"/>
      <w:marBottom w:val="0"/>
      <w:divBdr>
        <w:top w:val="none" w:sz="0" w:space="0" w:color="auto"/>
        <w:left w:val="none" w:sz="0" w:space="0" w:color="auto"/>
        <w:bottom w:val="none" w:sz="0" w:space="0" w:color="auto"/>
        <w:right w:val="none" w:sz="0" w:space="0" w:color="auto"/>
      </w:divBdr>
    </w:div>
    <w:div w:id="133067749">
      <w:bodyDiv w:val="1"/>
      <w:marLeft w:val="0"/>
      <w:marRight w:val="0"/>
      <w:marTop w:val="0"/>
      <w:marBottom w:val="0"/>
      <w:divBdr>
        <w:top w:val="none" w:sz="0" w:space="0" w:color="auto"/>
        <w:left w:val="none" w:sz="0" w:space="0" w:color="auto"/>
        <w:bottom w:val="none" w:sz="0" w:space="0" w:color="auto"/>
        <w:right w:val="none" w:sz="0" w:space="0" w:color="auto"/>
      </w:divBdr>
    </w:div>
    <w:div w:id="134763259">
      <w:bodyDiv w:val="1"/>
      <w:marLeft w:val="0"/>
      <w:marRight w:val="0"/>
      <w:marTop w:val="0"/>
      <w:marBottom w:val="0"/>
      <w:divBdr>
        <w:top w:val="none" w:sz="0" w:space="0" w:color="auto"/>
        <w:left w:val="none" w:sz="0" w:space="0" w:color="auto"/>
        <w:bottom w:val="none" w:sz="0" w:space="0" w:color="auto"/>
        <w:right w:val="none" w:sz="0" w:space="0" w:color="auto"/>
      </w:divBdr>
      <w:divsChild>
        <w:div w:id="170611104">
          <w:marLeft w:val="0"/>
          <w:marRight w:val="83"/>
          <w:marTop w:val="0"/>
          <w:marBottom w:val="0"/>
          <w:divBdr>
            <w:top w:val="none" w:sz="0" w:space="0" w:color="auto"/>
            <w:left w:val="none" w:sz="0" w:space="0" w:color="auto"/>
            <w:bottom w:val="none" w:sz="0" w:space="0" w:color="auto"/>
            <w:right w:val="none" w:sz="0" w:space="0" w:color="auto"/>
          </w:divBdr>
        </w:div>
        <w:div w:id="1727146921">
          <w:marLeft w:val="0"/>
          <w:marRight w:val="0"/>
          <w:marTop w:val="0"/>
          <w:marBottom w:val="0"/>
          <w:divBdr>
            <w:top w:val="none" w:sz="0" w:space="0" w:color="auto"/>
            <w:left w:val="none" w:sz="0" w:space="0" w:color="auto"/>
            <w:bottom w:val="none" w:sz="0" w:space="0" w:color="auto"/>
            <w:right w:val="none" w:sz="0" w:space="0" w:color="auto"/>
          </w:divBdr>
          <w:divsChild>
            <w:div w:id="1770270629">
              <w:marLeft w:val="0"/>
              <w:marRight w:val="0"/>
              <w:marTop w:val="0"/>
              <w:marBottom w:val="0"/>
              <w:divBdr>
                <w:top w:val="none" w:sz="0" w:space="0" w:color="auto"/>
                <w:left w:val="none" w:sz="0" w:space="0" w:color="auto"/>
                <w:bottom w:val="none" w:sz="0" w:space="0" w:color="auto"/>
                <w:right w:val="none" w:sz="0" w:space="0" w:color="auto"/>
              </w:divBdr>
              <w:divsChild>
                <w:div w:id="1221552515">
                  <w:marLeft w:val="0"/>
                  <w:marRight w:val="0"/>
                  <w:marTop w:val="0"/>
                  <w:marBottom w:val="0"/>
                  <w:divBdr>
                    <w:top w:val="none" w:sz="0" w:space="0" w:color="auto"/>
                    <w:left w:val="none" w:sz="0" w:space="0" w:color="auto"/>
                    <w:bottom w:val="none" w:sz="0" w:space="0" w:color="auto"/>
                    <w:right w:val="none" w:sz="0" w:space="0" w:color="auto"/>
                  </w:divBdr>
                </w:div>
                <w:div w:id="1938443985">
                  <w:marLeft w:val="0"/>
                  <w:marRight w:val="0"/>
                  <w:marTop w:val="0"/>
                  <w:marBottom w:val="0"/>
                  <w:divBdr>
                    <w:top w:val="none" w:sz="0" w:space="0" w:color="auto"/>
                    <w:left w:val="none" w:sz="0" w:space="0" w:color="auto"/>
                    <w:bottom w:val="none" w:sz="0" w:space="0" w:color="auto"/>
                    <w:right w:val="none" w:sz="0" w:space="0" w:color="auto"/>
                  </w:divBdr>
                  <w:divsChild>
                    <w:div w:id="187302444">
                      <w:marLeft w:val="0"/>
                      <w:marRight w:val="0"/>
                      <w:marTop w:val="0"/>
                      <w:marBottom w:val="0"/>
                      <w:divBdr>
                        <w:top w:val="none" w:sz="0" w:space="0" w:color="auto"/>
                        <w:left w:val="none" w:sz="0" w:space="0" w:color="auto"/>
                        <w:bottom w:val="none" w:sz="0" w:space="0" w:color="auto"/>
                        <w:right w:val="none" w:sz="0" w:space="0" w:color="auto"/>
                      </w:divBdr>
                    </w:div>
                    <w:div w:id="1297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101">
      <w:bodyDiv w:val="1"/>
      <w:marLeft w:val="0"/>
      <w:marRight w:val="0"/>
      <w:marTop w:val="0"/>
      <w:marBottom w:val="0"/>
      <w:divBdr>
        <w:top w:val="none" w:sz="0" w:space="0" w:color="auto"/>
        <w:left w:val="none" w:sz="0" w:space="0" w:color="auto"/>
        <w:bottom w:val="none" w:sz="0" w:space="0" w:color="auto"/>
        <w:right w:val="none" w:sz="0" w:space="0" w:color="auto"/>
      </w:divBdr>
    </w:div>
    <w:div w:id="137772914">
      <w:bodyDiv w:val="1"/>
      <w:marLeft w:val="0"/>
      <w:marRight w:val="0"/>
      <w:marTop w:val="0"/>
      <w:marBottom w:val="0"/>
      <w:divBdr>
        <w:top w:val="none" w:sz="0" w:space="0" w:color="auto"/>
        <w:left w:val="none" w:sz="0" w:space="0" w:color="auto"/>
        <w:bottom w:val="none" w:sz="0" w:space="0" w:color="auto"/>
        <w:right w:val="none" w:sz="0" w:space="0" w:color="auto"/>
      </w:divBdr>
    </w:div>
    <w:div w:id="142477579">
      <w:bodyDiv w:val="1"/>
      <w:marLeft w:val="0"/>
      <w:marRight w:val="0"/>
      <w:marTop w:val="0"/>
      <w:marBottom w:val="0"/>
      <w:divBdr>
        <w:top w:val="none" w:sz="0" w:space="0" w:color="auto"/>
        <w:left w:val="none" w:sz="0" w:space="0" w:color="auto"/>
        <w:bottom w:val="none" w:sz="0" w:space="0" w:color="auto"/>
        <w:right w:val="none" w:sz="0" w:space="0" w:color="auto"/>
      </w:divBdr>
    </w:div>
    <w:div w:id="142619773">
      <w:bodyDiv w:val="1"/>
      <w:marLeft w:val="0"/>
      <w:marRight w:val="0"/>
      <w:marTop w:val="0"/>
      <w:marBottom w:val="0"/>
      <w:divBdr>
        <w:top w:val="none" w:sz="0" w:space="0" w:color="auto"/>
        <w:left w:val="none" w:sz="0" w:space="0" w:color="auto"/>
        <w:bottom w:val="none" w:sz="0" w:space="0" w:color="auto"/>
        <w:right w:val="none" w:sz="0" w:space="0" w:color="auto"/>
      </w:divBdr>
    </w:div>
    <w:div w:id="144856199">
      <w:bodyDiv w:val="1"/>
      <w:marLeft w:val="0"/>
      <w:marRight w:val="0"/>
      <w:marTop w:val="0"/>
      <w:marBottom w:val="0"/>
      <w:divBdr>
        <w:top w:val="none" w:sz="0" w:space="0" w:color="auto"/>
        <w:left w:val="none" w:sz="0" w:space="0" w:color="auto"/>
        <w:bottom w:val="none" w:sz="0" w:space="0" w:color="auto"/>
        <w:right w:val="none" w:sz="0" w:space="0" w:color="auto"/>
      </w:divBdr>
    </w:div>
    <w:div w:id="145169973">
      <w:bodyDiv w:val="1"/>
      <w:marLeft w:val="0"/>
      <w:marRight w:val="0"/>
      <w:marTop w:val="0"/>
      <w:marBottom w:val="0"/>
      <w:divBdr>
        <w:top w:val="none" w:sz="0" w:space="0" w:color="auto"/>
        <w:left w:val="none" w:sz="0" w:space="0" w:color="auto"/>
        <w:bottom w:val="none" w:sz="0" w:space="0" w:color="auto"/>
        <w:right w:val="none" w:sz="0" w:space="0" w:color="auto"/>
      </w:divBdr>
    </w:div>
    <w:div w:id="145899346">
      <w:bodyDiv w:val="1"/>
      <w:marLeft w:val="0"/>
      <w:marRight w:val="0"/>
      <w:marTop w:val="0"/>
      <w:marBottom w:val="0"/>
      <w:divBdr>
        <w:top w:val="none" w:sz="0" w:space="0" w:color="auto"/>
        <w:left w:val="none" w:sz="0" w:space="0" w:color="auto"/>
        <w:bottom w:val="none" w:sz="0" w:space="0" w:color="auto"/>
        <w:right w:val="none" w:sz="0" w:space="0" w:color="auto"/>
      </w:divBdr>
    </w:div>
    <w:div w:id="146362950">
      <w:bodyDiv w:val="1"/>
      <w:marLeft w:val="0"/>
      <w:marRight w:val="0"/>
      <w:marTop w:val="0"/>
      <w:marBottom w:val="0"/>
      <w:divBdr>
        <w:top w:val="none" w:sz="0" w:space="0" w:color="auto"/>
        <w:left w:val="none" w:sz="0" w:space="0" w:color="auto"/>
        <w:bottom w:val="none" w:sz="0" w:space="0" w:color="auto"/>
        <w:right w:val="none" w:sz="0" w:space="0" w:color="auto"/>
      </w:divBdr>
    </w:div>
    <w:div w:id="152071680">
      <w:bodyDiv w:val="1"/>
      <w:marLeft w:val="0"/>
      <w:marRight w:val="0"/>
      <w:marTop w:val="0"/>
      <w:marBottom w:val="0"/>
      <w:divBdr>
        <w:top w:val="none" w:sz="0" w:space="0" w:color="auto"/>
        <w:left w:val="none" w:sz="0" w:space="0" w:color="auto"/>
        <w:bottom w:val="none" w:sz="0" w:space="0" w:color="auto"/>
        <w:right w:val="none" w:sz="0" w:space="0" w:color="auto"/>
      </w:divBdr>
    </w:div>
    <w:div w:id="152377278">
      <w:bodyDiv w:val="1"/>
      <w:marLeft w:val="0"/>
      <w:marRight w:val="0"/>
      <w:marTop w:val="0"/>
      <w:marBottom w:val="0"/>
      <w:divBdr>
        <w:top w:val="none" w:sz="0" w:space="0" w:color="auto"/>
        <w:left w:val="none" w:sz="0" w:space="0" w:color="auto"/>
        <w:bottom w:val="none" w:sz="0" w:space="0" w:color="auto"/>
        <w:right w:val="none" w:sz="0" w:space="0" w:color="auto"/>
      </w:divBdr>
    </w:div>
    <w:div w:id="152575220">
      <w:bodyDiv w:val="1"/>
      <w:marLeft w:val="0"/>
      <w:marRight w:val="0"/>
      <w:marTop w:val="0"/>
      <w:marBottom w:val="0"/>
      <w:divBdr>
        <w:top w:val="none" w:sz="0" w:space="0" w:color="auto"/>
        <w:left w:val="none" w:sz="0" w:space="0" w:color="auto"/>
        <w:bottom w:val="none" w:sz="0" w:space="0" w:color="auto"/>
        <w:right w:val="none" w:sz="0" w:space="0" w:color="auto"/>
      </w:divBdr>
    </w:div>
    <w:div w:id="153306833">
      <w:bodyDiv w:val="1"/>
      <w:marLeft w:val="0"/>
      <w:marRight w:val="0"/>
      <w:marTop w:val="0"/>
      <w:marBottom w:val="0"/>
      <w:divBdr>
        <w:top w:val="none" w:sz="0" w:space="0" w:color="auto"/>
        <w:left w:val="none" w:sz="0" w:space="0" w:color="auto"/>
        <w:bottom w:val="none" w:sz="0" w:space="0" w:color="auto"/>
        <w:right w:val="none" w:sz="0" w:space="0" w:color="auto"/>
      </w:divBdr>
    </w:div>
    <w:div w:id="159851390">
      <w:bodyDiv w:val="1"/>
      <w:marLeft w:val="0"/>
      <w:marRight w:val="0"/>
      <w:marTop w:val="0"/>
      <w:marBottom w:val="0"/>
      <w:divBdr>
        <w:top w:val="none" w:sz="0" w:space="0" w:color="auto"/>
        <w:left w:val="none" w:sz="0" w:space="0" w:color="auto"/>
        <w:bottom w:val="none" w:sz="0" w:space="0" w:color="auto"/>
        <w:right w:val="none" w:sz="0" w:space="0" w:color="auto"/>
      </w:divBdr>
    </w:div>
    <w:div w:id="160778333">
      <w:bodyDiv w:val="1"/>
      <w:marLeft w:val="0"/>
      <w:marRight w:val="0"/>
      <w:marTop w:val="0"/>
      <w:marBottom w:val="0"/>
      <w:divBdr>
        <w:top w:val="none" w:sz="0" w:space="0" w:color="auto"/>
        <w:left w:val="none" w:sz="0" w:space="0" w:color="auto"/>
        <w:bottom w:val="none" w:sz="0" w:space="0" w:color="auto"/>
        <w:right w:val="none" w:sz="0" w:space="0" w:color="auto"/>
      </w:divBdr>
    </w:div>
    <w:div w:id="162862210">
      <w:bodyDiv w:val="1"/>
      <w:marLeft w:val="0"/>
      <w:marRight w:val="0"/>
      <w:marTop w:val="0"/>
      <w:marBottom w:val="0"/>
      <w:divBdr>
        <w:top w:val="none" w:sz="0" w:space="0" w:color="auto"/>
        <w:left w:val="none" w:sz="0" w:space="0" w:color="auto"/>
        <w:bottom w:val="none" w:sz="0" w:space="0" w:color="auto"/>
        <w:right w:val="none" w:sz="0" w:space="0" w:color="auto"/>
      </w:divBdr>
    </w:div>
    <w:div w:id="163211436">
      <w:bodyDiv w:val="1"/>
      <w:marLeft w:val="0"/>
      <w:marRight w:val="0"/>
      <w:marTop w:val="0"/>
      <w:marBottom w:val="0"/>
      <w:divBdr>
        <w:top w:val="none" w:sz="0" w:space="0" w:color="auto"/>
        <w:left w:val="none" w:sz="0" w:space="0" w:color="auto"/>
        <w:bottom w:val="none" w:sz="0" w:space="0" w:color="auto"/>
        <w:right w:val="none" w:sz="0" w:space="0" w:color="auto"/>
      </w:divBdr>
    </w:div>
    <w:div w:id="163521453">
      <w:bodyDiv w:val="1"/>
      <w:marLeft w:val="0"/>
      <w:marRight w:val="0"/>
      <w:marTop w:val="0"/>
      <w:marBottom w:val="0"/>
      <w:divBdr>
        <w:top w:val="none" w:sz="0" w:space="0" w:color="auto"/>
        <w:left w:val="none" w:sz="0" w:space="0" w:color="auto"/>
        <w:bottom w:val="none" w:sz="0" w:space="0" w:color="auto"/>
        <w:right w:val="none" w:sz="0" w:space="0" w:color="auto"/>
      </w:divBdr>
    </w:div>
    <w:div w:id="165900742">
      <w:bodyDiv w:val="1"/>
      <w:marLeft w:val="0"/>
      <w:marRight w:val="0"/>
      <w:marTop w:val="0"/>
      <w:marBottom w:val="0"/>
      <w:divBdr>
        <w:top w:val="none" w:sz="0" w:space="0" w:color="auto"/>
        <w:left w:val="none" w:sz="0" w:space="0" w:color="auto"/>
        <w:bottom w:val="none" w:sz="0" w:space="0" w:color="auto"/>
        <w:right w:val="none" w:sz="0" w:space="0" w:color="auto"/>
      </w:divBdr>
    </w:div>
    <w:div w:id="166291667">
      <w:bodyDiv w:val="1"/>
      <w:marLeft w:val="0"/>
      <w:marRight w:val="0"/>
      <w:marTop w:val="0"/>
      <w:marBottom w:val="0"/>
      <w:divBdr>
        <w:top w:val="none" w:sz="0" w:space="0" w:color="auto"/>
        <w:left w:val="none" w:sz="0" w:space="0" w:color="auto"/>
        <w:bottom w:val="none" w:sz="0" w:space="0" w:color="auto"/>
        <w:right w:val="none" w:sz="0" w:space="0" w:color="auto"/>
      </w:divBdr>
    </w:div>
    <w:div w:id="171840804">
      <w:bodyDiv w:val="1"/>
      <w:marLeft w:val="0"/>
      <w:marRight w:val="0"/>
      <w:marTop w:val="0"/>
      <w:marBottom w:val="0"/>
      <w:divBdr>
        <w:top w:val="none" w:sz="0" w:space="0" w:color="auto"/>
        <w:left w:val="none" w:sz="0" w:space="0" w:color="auto"/>
        <w:bottom w:val="none" w:sz="0" w:space="0" w:color="auto"/>
        <w:right w:val="none" w:sz="0" w:space="0" w:color="auto"/>
      </w:divBdr>
    </w:div>
    <w:div w:id="173305058">
      <w:bodyDiv w:val="1"/>
      <w:marLeft w:val="0"/>
      <w:marRight w:val="0"/>
      <w:marTop w:val="0"/>
      <w:marBottom w:val="0"/>
      <w:divBdr>
        <w:top w:val="none" w:sz="0" w:space="0" w:color="auto"/>
        <w:left w:val="none" w:sz="0" w:space="0" w:color="auto"/>
        <w:bottom w:val="none" w:sz="0" w:space="0" w:color="auto"/>
        <w:right w:val="none" w:sz="0" w:space="0" w:color="auto"/>
      </w:divBdr>
    </w:div>
    <w:div w:id="176775140">
      <w:bodyDiv w:val="1"/>
      <w:marLeft w:val="0"/>
      <w:marRight w:val="0"/>
      <w:marTop w:val="0"/>
      <w:marBottom w:val="0"/>
      <w:divBdr>
        <w:top w:val="none" w:sz="0" w:space="0" w:color="auto"/>
        <w:left w:val="none" w:sz="0" w:space="0" w:color="auto"/>
        <w:bottom w:val="none" w:sz="0" w:space="0" w:color="auto"/>
        <w:right w:val="none" w:sz="0" w:space="0" w:color="auto"/>
      </w:divBdr>
    </w:div>
    <w:div w:id="179046478">
      <w:bodyDiv w:val="1"/>
      <w:marLeft w:val="0"/>
      <w:marRight w:val="0"/>
      <w:marTop w:val="0"/>
      <w:marBottom w:val="0"/>
      <w:divBdr>
        <w:top w:val="none" w:sz="0" w:space="0" w:color="auto"/>
        <w:left w:val="none" w:sz="0" w:space="0" w:color="auto"/>
        <w:bottom w:val="none" w:sz="0" w:space="0" w:color="auto"/>
        <w:right w:val="none" w:sz="0" w:space="0" w:color="auto"/>
      </w:divBdr>
    </w:div>
    <w:div w:id="179247669">
      <w:bodyDiv w:val="1"/>
      <w:marLeft w:val="0"/>
      <w:marRight w:val="0"/>
      <w:marTop w:val="0"/>
      <w:marBottom w:val="0"/>
      <w:divBdr>
        <w:top w:val="none" w:sz="0" w:space="0" w:color="auto"/>
        <w:left w:val="none" w:sz="0" w:space="0" w:color="auto"/>
        <w:bottom w:val="none" w:sz="0" w:space="0" w:color="auto"/>
        <w:right w:val="none" w:sz="0" w:space="0" w:color="auto"/>
      </w:divBdr>
    </w:div>
    <w:div w:id="179665496">
      <w:bodyDiv w:val="1"/>
      <w:marLeft w:val="0"/>
      <w:marRight w:val="0"/>
      <w:marTop w:val="0"/>
      <w:marBottom w:val="0"/>
      <w:divBdr>
        <w:top w:val="none" w:sz="0" w:space="0" w:color="auto"/>
        <w:left w:val="none" w:sz="0" w:space="0" w:color="auto"/>
        <w:bottom w:val="none" w:sz="0" w:space="0" w:color="auto"/>
        <w:right w:val="none" w:sz="0" w:space="0" w:color="auto"/>
      </w:divBdr>
    </w:div>
    <w:div w:id="180360846">
      <w:bodyDiv w:val="1"/>
      <w:marLeft w:val="0"/>
      <w:marRight w:val="0"/>
      <w:marTop w:val="0"/>
      <w:marBottom w:val="0"/>
      <w:divBdr>
        <w:top w:val="none" w:sz="0" w:space="0" w:color="auto"/>
        <w:left w:val="none" w:sz="0" w:space="0" w:color="auto"/>
        <w:bottom w:val="none" w:sz="0" w:space="0" w:color="auto"/>
        <w:right w:val="none" w:sz="0" w:space="0" w:color="auto"/>
      </w:divBdr>
    </w:div>
    <w:div w:id="180823727">
      <w:bodyDiv w:val="1"/>
      <w:marLeft w:val="0"/>
      <w:marRight w:val="0"/>
      <w:marTop w:val="0"/>
      <w:marBottom w:val="0"/>
      <w:divBdr>
        <w:top w:val="none" w:sz="0" w:space="0" w:color="auto"/>
        <w:left w:val="none" w:sz="0" w:space="0" w:color="auto"/>
        <w:bottom w:val="none" w:sz="0" w:space="0" w:color="auto"/>
        <w:right w:val="none" w:sz="0" w:space="0" w:color="auto"/>
      </w:divBdr>
    </w:div>
    <w:div w:id="184055054">
      <w:bodyDiv w:val="1"/>
      <w:marLeft w:val="0"/>
      <w:marRight w:val="0"/>
      <w:marTop w:val="0"/>
      <w:marBottom w:val="0"/>
      <w:divBdr>
        <w:top w:val="none" w:sz="0" w:space="0" w:color="auto"/>
        <w:left w:val="none" w:sz="0" w:space="0" w:color="auto"/>
        <w:bottom w:val="none" w:sz="0" w:space="0" w:color="auto"/>
        <w:right w:val="none" w:sz="0" w:space="0" w:color="auto"/>
      </w:divBdr>
    </w:div>
    <w:div w:id="185217778">
      <w:bodyDiv w:val="1"/>
      <w:marLeft w:val="0"/>
      <w:marRight w:val="0"/>
      <w:marTop w:val="0"/>
      <w:marBottom w:val="0"/>
      <w:divBdr>
        <w:top w:val="none" w:sz="0" w:space="0" w:color="auto"/>
        <w:left w:val="none" w:sz="0" w:space="0" w:color="auto"/>
        <w:bottom w:val="none" w:sz="0" w:space="0" w:color="auto"/>
        <w:right w:val="none" w:sz="0" w:space="0" w:color="auto"/>
      </w:divBdr>
    </w:div>
    <w:div w:id="188374425">
      <w:bodyDiv w:val="1"/>
      <w:marLeft w:val="0"/>
      <w:marRight w:val="0"/>
      <w:marTop w:val="0"/>
      <w:marBottom w:val="0"/>
      <w:divBdr>
        <w:top w:val="none" w:sz="0" w:space="0" w:color="auto"/>
        <w:left w:val="none" w:sz="0" w:space="0" w:color="auto"/>
        <w:bottom w:val="none" w:sz="0" w:space="0" w:color="auto"/>
        <w:right w:val="none" w:sz="0" w:space="0" w:color="auto"/>
      </w:divBdr>
    </w:div>
    <w:div w:id="189295252">
      <w:bodyDiv w:val="1"/>
      <w:marLeft w:val="0"/>
      <w:marRight w:val="0"/>
      <w:marTop w:val="0"/>
      <w:marBottom w:val="0"/>
      <w:divBdr>
        <w:top w:val="none" w:sz="0" w:space="0" w:color="auto"/>
        <w:left w:val="none" w:sz="0" w:space="0" w:color="auto"/>
        <w:bottom w:val="none" w:sz="0" w:space="0" w:color="auto"/>
        <w:right w:val="none" w:sz="0" w:space="0" w:color="auto"/>
      </w:divBdr>
    </w:div>
    <w:div w:id="191503146">
      <w:bodyDiv w:val="1"/>
      <w:marLeft w:val="0"/>
      <w:marRight w:val="0"/>
      <w:marTop w:val="0"/>
      <w:marBottom w:val="0"/>
      <w:divBdr>
        <w:top w:val="none" w:sz="0" w:space="0" w:color="auto"/>
        <w:left w:val="none" w:sz="0" w:space="0" w:color="auto"/>
        <w:bottom w:val="none" w:sz="0" w:space="0" w:color="auto"/>
        <w:right w:val="none" w:sz="0" w:space="0" w:color="auto"/>
      </w:divBdr>
    </w:div>
    <w:div w:id="192617469">
      <w:bodyDiv w:val="1"/>
      <w:marLeft w:val="0"/>
      <w:marRight w:val="0"/>
      <w:marTop w:val="0"/>
      <w:marBottom w:val="0"/>
      <w:divBdr>
        <w:top w:val="none" w:sz="0" w:space="0" w:color="auto"/>
        <w:left w:val="none" w:sz="0" w:space="0" w:color="auto"/>
        <w:bottom w:val="none" w:sz="0" w:space="0" w:color="auto"/>
        <w:right w:val="none" w:sz="0" w:space="0" w:color="auto"/>
      </w:divBdr>
    </w:div>
    <w:div w:id="193346049">
      <w:bodyDiv w:val="1"/>
      <w:marLeft w:val="0"/>
      <w:marRight w:val="0"/>
      <w:marTop w:val="0"/>
      <w:marBottom w:val="0"/>
      <w:divBdr>
        <w:top w:val="none" w:sz="0" w:space="0" w:color="auto"/>
        <w:left w:val="none" w:sz="0" w:space="0" w:color="auto"/>
        <w:bottom w:val="none" w:sz="0" w:space="0" w:color="auto"/>
        <w:right w:val="none" w:sz="0" w:space="0" w:color="auto"/>
      </w:divBdr>
    </w:div>
    <w:div w:id="193882987">
      <w:bodyDiv w:val="1"/>
      <w:marLeft w:val="0"/>
      <w:marRight w:val="0"/>
      <w:marTop w:val="0"/>
      <w:marBottom w:val="0"/>
      <w:divBdr>
        <w:top w:val="none" w:sz="0" w:space="0" w:color="auto"/>
        <w:left w:val="none" w:sz="0" w:space="0" w:color="auto"/>
        <w:bottom w:val="none" w:sz="0" w:space="0" w:color="auto"/>
        <w:right w:val="none" w:sz="0" w:space="0" w:color="auto"/>
      </w:divBdr>
      <w:divsChild>
        <w:div w:id="1632318501">
          <w:marLeft w:val="0"/>
          <w:marRight w:val="0"/>
          <w:marTop w:val="0"/>
          <w:marBottom w:val="0"/>
          <w:divBdr>
            <w:top w:val="none" w:sz="0" w:space="0" w:color="auto"/>
            <w:left w:val="none" w:sz="0" w:space="0" w:color="auto"/>
            <w:bottom w:val="none" w:sz="0" w:space="0" w:color="auto"/>
            <w:right w:val="none" w:sz="0" w:space="0" w:color="auto"/>
          </w:divBdr>
        </w:div>
      </w:divsChild>
    </w:div>
    <w:div w:id="199828448">
      <w:bodyDiv w:val="1"/>
      <w:marLeft w:val="0"/>
      <w:marRight w:val="0"/>
      <w:marTop w:val="0"/>
      <w:marBottom w:val="0"/>
      <w:divBdr>
        <w:top w:val="none" w:sz="0" w:space="0" w:color="auto"/>
        <w:left w:val="none" w:sz="0" w:space="0" w:color="auto"/>
        <w:bottom w:val="none" w:sz="0" w:space="0" w:color="auto"/>
        <w:right w:val="none" w:sz="0" w:space="0" w:color="auto"/>
      </w:divBdr>
    </w:div>
    <w:div w:id="201405758">
      <w:bodyDiv w:val="1"/>
      <w:marLeft w:val="0"/>
      <w:marRight w:val="0"/>
      <w:marTop w:val="0"/>
      <w:marBottom w:val="0"/>
      <w:divBdr>
        <w:top w:val="none" w:sz="0" w:space="0" w:color="auto"/>
        <w:left w:val="none" w:sz="0" w:space="0" w:color="auto"/>
        <w:bottom w:val="none" w:sz="0" w:space="0" w:color="auto"/>
        <w:right w:val="none" w:sz="0" w:space="0" w:color="auto"/>
      </w:divBdr>
    </w:div>
    <w:div w:id="204829559">
      <w:bodyDiv w:val="1"/>
      <w:marLeft w:val="0"/>
      <w:marRight w:val="0"/>
      <w:marTop w:val="0"/>
      <w:marBottom w:val="0"/>
      <w:divBdr>
        <w:top w:val="none" w:sz="0" w:space="0" w:color="auto"/>
        <w:left w:val="none" w:sz="0" w:space="0" w:color="auto"/>
        <w:bottom w:val="none" w:sz="0" w:space="0" w:color="auto"/>
        <w:right w:val="none" w:sz="0" w:space="0" w:color="auto"/>
      </w:divBdr>
    </w:div>
    <w:div w:id="207837922">
      <w:bodyDiv w:val="1"/>
      <w:marLeft w:val="0"/>
      <w:marRight w:val="0"/>
      <w:marTop w:val="0"/>
      <w:marBottom w:val="0"/>
      <w:divBdr>
        <w:top w:val="none" w:sz="0" w:space="0" w:color="auto"/>
        <w:left w:val="none" w:sz="0" w:space="0" w:color="auto"/>
        <w:bottom w:val="none" w:sz="0" w:space="0" w:color="auto"/>
        <w:right w:val="none" w:sz="0" w:space="0" w:color="auto"/>
      </w:divBdr>
    </w:div>
    <w:div w:id="215050540">
      <w:bodyDiv w:val="1"/>
      <w:marLeft w:val="0"/>
      <w:marRight w:val="0"/>
      <w:marTop w:val="0"/>
      <w:marBottom w:val="0"/>
      <w:divBdr>
        <w:top w:val="none" w:sz="0" w:space="0" w:color="auto"/>
        <w:left w:val="none" w:sz="0" w:space="0" w:color="auto"/>
        <w:bottom w:val="none" w:sz="0" w:space="0" w:color="auto"/>
        <w:right w:val="none" w:sz="0" w:space="0" w:color="auto"/>
      </w:divBdr>
    </w:div>
    <w:div w:id="217472511">
      <w:bodyDiv w:val="1"/>
      <w:marLeft w:val="0"/>
      <w:marRight w:val="0"/>
      <w:marTop w:val="0"/>
      <w:marBottom w:val="0"/>
      <w:divBdr>
        <w:top w:val="none" w:sz="0" w:space="0" w:color="auto"/>
        <w:left w:val="none" w:sz="0" w:space="0" w:color="auto"/>
        <w:bottom w:val="none" w:sz="0" w:space="0" w:color="auto"/>
        <w:right w:val="none" w:sz="0" w:space="0" w:color="auto"/>
      </w:divBdr>
    </w:div>
    <w:div w:id="217590888">
      <w:bodyDiv w:val="1"/>
      <w:marLeft w:val="0"/>
      <w:marRight w:val="0"/>
      <w:marTop w:val="0"/>
      <w:marBottom w:val="0"/>
      <w:divBdr>
        <w:top w:val="none" w:sz="0" w:space="0" w:color="auto"/>
        <w:left w:val="none" w:sz="0" w:space="0" w:color="auto"/>
        <w:bottom w:val="none" w:sz="0" w:space="0" w:color="auto"/>
        <w:right w:val="none" w:sz="0" w:space="0" w:color="auto"/>
      </w:divBdr>
    </w:div>
    <w:div w:id="220485982">
      <w:bodyDiv w:val="1"/>
      <w:marLeft w:val="0"/>
      <w:marRight w:val="0"/>
      <w:marTop w:val="0"/>
      <w:marBottom w:val="0"/>
      <w:divBdr>
        <w:top w:val="none" w:sz="0" w:space="0" w:color="auto"/>
        <w:left w:val="none" w:sz="0" w:space="0" w:color="auto"/>
        <w:bottom w:val="none" w:sz="0" w:space="0" w:color="auto"/>
        <w:right w:val="none" w:sz="0" w:space="0" w:color="auto"/>
      </w:divBdr>
    </w:div>
    <w:div w:id="220792788">
      <w:bodyDiv w:val="1"/>
      <w:marLeft w:val="0"/>
      <w:marRight w:val="0"/>
      <w:marTop w:val="0"/>
      <w:marBottom w:val="0"/>
      <w:divBdr>
        <w:top w:val="none" w:sz="0" w:space="0" w:color="auto"/>
        <w:left w:val="none" w:sz="0" w:space="0" w:color="auto"/>
        <w:bottom w:val="none" w:sz="0" w:space="0" w:color="auto"/>
        <w:right w:val="none" w:sz="0" w:space="0" w:color="auto"/>
      </w:divBdr>
    </w:div>
    <w:div w:id="224611064">
      <w:bodyDiv w:val="1"/>
      <w:marLeft w:val="0"/>
      <w:marRight w:val="0"/>
      <w:marTop w:val="0"/>
      <w:marBottom w:val="0"/>
      <w:divBdr>
        <w:top w:val="none" w:sz="0" w:space="0" w:color="auto"/>
        <w:left w:val="none" w:sz="0" w:space="0" w:color="auto"/>
        <w:bottom w:val="none" w:sz="0" w:space="0" w:color="auto"/>
        <w:right w:val="none" w:sz="0" w:space="0" w:color="auto"/>
      </w:divBdr>
    </w:div>
    <w:div w:id="227962458">
      <w:bodyDiv w:val="1"/>
      <w:marLeft w:val="0"/>
      <w:marRight w:val="0"/>
      <w:marTop w:val="0"/>
      <w:marBottom w:val="0"/>
      <w:divBdr>
        <w:top w:val="none" w:sz="0" w:space="0" w:color="auto"/>
        <w:left w:val="none" w:sz="0" w:space="0" w:color="auto"/>
        <w:bottom w:val="none" w:sz="0" w:space="0" w:color="auto"/>
        <w:right w:val="none" w:sz="0" w:space="0" w:color="auto"/>
      </w:divBdr>
    </w:div>
    <w:div w:id="229384865">
      <w:bodyDiv w:val="1"/>
      <w:marLeft w:val="0"/>
      <w:marRight w:val="0"/>
      <w:marTop w:val="0"/>
      <w:marBottom w:val="0"/>
      <w:divBdr>
        <w:top w:val="none" w:sz="0" w:space="0" w:color="auto"/>
        <w:left w:val="none" w:sz="0" w:space="0" w:color="auto"/>
        <w:bottom w:val="none" w:sz="0" w:space="0" w:color="auto"/>
        <w:right w:val="none" w:sz="0" w:space="0" w:color="auto"/>
      </w:divBdr>
    </w:div>
    <w:div w:id="231279912">
      <w:bodyDiv w:val="1"/>
      <w:marLeft w:val="0"/>
      <w:marRight w:val="0"/>
      <w:marTop w:val="0"/>
      <w:marBottom w:val="0"/>
      <w:divBdr>
        <w:top w:val="none" w:sz="0" w:space="0" w:color="auto"/>
        <w:left w:val="none" w:sz="0" w:space="0" w:color="auto"/>
        <w:bottom w:val="none" w:sz="0" w:space="0" w:color="auto"/>
        <w:right w:val="none" w:sz="0" w:space="0" w:color="auto"/>
      </w:divBdr>
    </w:div>
    <w:div w:id="231815199">
      <w:bodyDiv w:val="1"/>
      <w:marLeft w:val="0"/>
      <w:marRight w:val="0"/>
      <w:marTop w:val="0"/>
      <w:marBottom w:val="0"/>
      <w:divBdr>
        <w:top w:val="none" w:sz="0" w:space="0" w:color="auto"/>
        <w:left w:val="none" w:sz="0" w:space="0" w:color="auto"/>
        <w:bottom w:val="none" w:sz="0" w:space="0" w:color="auto"/>
        <w:right w:val="none" w:sz="0" w:space="0" w:color="auto"/>
      </w:divBdr>
    </w:div>
    <w:div w:id="233441735">
      <w:bodyDiv w:val="1"/>
      <w:marLeft w:val="0"/>
      <w:marRight w:val="0"/>
      <w:marTop w:val="0"/>
      <w:marBottom w:val="0"/>
      <w:divBdr>
        <w:top w:val="none" w:sz="0" w:space="0" w:color="auto"/>
        <w:left w:val="none" w:sz="0" w:space="0" w:color="auto"/>
        <w:bottom w:val="none" w:sz="0" w:space="0" w:color="auto"/>
        <w:right w:val="none" w:sz="0" w:space="0" w:color="auto"/>
      </w:divBdr>
    </w:div>
    <w:div w:id="235017036">
      <w:bodyDiv w:val="1"/>
      <w:marLeft w:val="0"/>
      <w:marRight w:val="0"/>
      <w:marTop w:val="0"/>
      <w:marBottom w:val="0"/>
      <w:divBdr>
        <w:top w:val="none" w:sz="0" w:space="0" w:color="auto"/>
        <w:left w:val="none" w:sz="0" w:space="0" w:color="auto"/>
        <w:bottom w:val="none" w:sz="0" w:space="0" w:color="auto"/>
        <w:right w:val="none" w:sz="0" w:space="0" w:color="auto"/>
      </w:divBdr>
    </w:div>
    <w:div w:id="235864833">
      <w:bodyDiv w:val="1"/>
      <w:marLeft w:val="0"/>
      <w:marRight w:val="0"/>
      <w:marTop w:val="0"/>
      <w:marBottom w:val="0"/>
      <w:divBdr>
        <w:top w:val="none" w:sz="0" w:space="0" w:color="auto"/>
        <w:left w:val="none" w:sz="0" w:space="0" w:color="auto"/>
        <w:bottom w:val="none" w:sz="0" w:space="0" w:color="auto"/>
        <w:right w:val="none" w:sz="0" w:space="0" w:color="auto"/>
      </w:divBdr>
    </w:div>
    <w:div w:id="238373744">
      <w:bodyDiv w:val="1"/>
      <w:marLeft w:val="0"/>
      <w:marRight w:val="0"/>
      <w:marTop w:val="0"/>
      <w:marBottom w:val="0"/>
      <w:divBdr>
        <w:top w:val="none" w:sz="0" w:space="0" w:color="auto"/>
        <w:left w:val="none" w:sz="0" w:space="0" w:color="auto"/>
        <w:bottom w:val="none" w:sz="0" w:space="0" w:color="auto"/>
        <w:right w:val="none" w:sz="0" w:space="0" w:color="auto"/>
      </w:divBdr>
    </w:div>
    <w:div w:id="242882377">
      <w:bodyDiv w:val="1"/>
      <w:marLeft w:val="0"/>
      <w:marRight w:val="0"/>
      <w:marTop w:val="0"/>
      <w:marBottom w:val="0"/>
      <w:divBdr>
        <w:top w:val="none" w:sz="0" w:space="0" w:color="auto"/>
        <w:left w:val="none" w:sz="0" w:space="0" w:color="auto"/>
        <w:bottom w:val="none" w:sz="0" w:space="0" w:color="auto"/>
        <w:right w:val="none" w:sz="0" w:space="0" w:color="auto"/>
      </w:divBdr>
    </w:div>
    <w:div w:id="244808016">
      <w:bodyDiv w:val="1"/>
      <w:marLeft w:val="0"/>
      <w:marRight w:val="0"/>
      <w:marTop w:val="0"/>
      <w:marBottom w:val="0"/>
      <w:divBdr>
        <w:top w:val="none" w:sz="0" w:space="0" w:color="auto"/>
        <w:left w:val="none" w:sz="0" w:space="0" w:color="auto"/>
        <w:bottom w:val="none" w:sz="0" w:space="0" w:color="auto"/>
        <w:right w:val="none" w:sz="0" w:space="0" w:color="auto"/>
      </w:divBdr>
      <w:divsChild>
        <w:div w:id="1518231279">
          <w:marLeft w:val="0"/>
          <w:marRight w:val="0"/>
          <w:marTop w:val="0"/>
          <w:marBottom w:val="0"/>
          <w:divBdr>
            <w:top w:val="none" w:sz="0" w:space="0" w:color="auto"/>
            <w:left w:val="none" w:sz="0" w:space="0" w:color="auto"/>
            <w:bottom w:val="none" w:sz="0" w:space="0" w:color="auto"/>
            <w:right w:val="none" w:sz="0" w:space="0" w:color="auto"/>
          </w:divBdr>
          <w:divsChild>
            <w:div w:id="287704891">
              <w:marLeft w:val="0"/>
              <w:marRight w:val="0"/>
              <w:marTop w:val="0"/>
              <w:marBottom w:val="0"/>
              <w:divBdr>
                <w:top w:val="none" w:sz="0" w:space="0" w:color="auto"/>
                <w:left w:val="none" w:sz="0" w:space="0" w:color="auto"/>
                <w:bottom w:val="none" w:sz="0" w:space="0" w:color="auto"/>
                <w:right w:val="none" w:sz="0" w:space="0" w:color="auto"/>
              </w:divBdr>
              <w:divsChild>
                <w:div w:id="16266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32327">
          <w:marLeft w:val="0"/>
          <w:marRight w:val="0"/>
          <w:marTop w:val="0"/>
          <w:marBottom w:val="0"/>
          <w:divBdr>
            <w:top w:val="none" w:sz="0" w:space="0" w:color="auto"/>
            <w:left w:val="none" w:sz="0" w:space="0" w:color="auto"/>
            <w:bottom w:val="none" w:sz="0" w:space="0" w:color="auto"/>
            <w:right w:val="none" w:sz="0" w:space="0" w:color="auto"/>
          </w:divBdr>
        </w:div>
      </w:divsChild>
    </w:div>
    <w:div w:id="246811412">
      <w:bodyDiv w:val="1"/>
      <w:marLeft w:val="0"/>
      <w:marRight w:val="0"/>
      <w:marTop w:val="0"/>
      <w:marBottom w:val="0"/>
      <w:divBdr>
        <w:top w:val="none" w:sz="0" w:space="0" w:color="auto"/>
        <w:left w:val="none" w:sz="0" w:space="0" w:color="auto"/>
        <w:bottom w:val="none" w:sz="0" w:space="0" w:color="auto"/>
        <w:right w:val="none" w:sz="0" w:space="0" w:color="auto"/>
      </w:divBdr>
    </w:div>
    <w:div w:id="252277797">
      <w:bodyDiv w:val="1"/>
      <w:marLeft w:val="0"/>
      <w:marRight w:val="0"/>
      <w:marTop w:val="0"/>
      <w:marBottom w:val="0"/>
      <w:divBdr>
        <w:top w:val="none" w:sz="0" w:space="0" w:color="auto"/>
        <w:left w:val="none" w:sz="0" w:space="0" w:color="auto"/>
        <w:bottom w:val="none" w:sz="0" w:space="0" w:color="auto"/>
        <w:right w:val="none" w:sz="0" w:space="0" w:color="auto"/>
      </w:divBdr>
    </w:div>
    <w:div w:id="260651718">
      <w:bodyDiv w:val="1"/>
      <w:marLeft w:val="0"/>
      <w:marRight w:val="0"/>
      <w:marTop w:val="0"/>
      <w:marBottom w:val="0"/>
      <w:divBdr>
        <w:top w:val="none" w:sz="0" w:space="0" w:color="auto"/>
        <w:left w:val="none" w:sz="0" w:space="0" w:color="auto"/>
        <w:bottom w:val="none" w:sz="0" w:space="0" w:color="auto"/>
        <w:right w:val="none" w:sz="0" w:space="0" w:color="auto"/>
      </w:divBdr>
    </w:div>
    <w:div w:id="264073735">
      <w:bodyDiv w:val="1"/>
      <w:marLeft w:val="0"/>
      <w:marRight w:val="0"/>
      <w:marTop w:val="0"/>
      <w:marBottom w:val="0"/>
      <w:divBdr>
        <w:top w:val="none" w:sz="0" w:space="0" w:color="auto"/>
        <w:left w:val="none" w:sz="0" w:space="0" w:color="auto"/>
        <w:bottom w:val="none" w:sz="0" w:space="0" w:color="auto"/>
        <w:right w:val="none" w:sz="0" w:space="0" w:color="auto"/>
      </w:divBdr>
    </w:div>
    <w:div w:id="266618758">
      <w:bodyDiv w:val="1"/>
      <w:marLeft w:val="0"/>
      <w:marRight w:val="0"/>
      <w:marTop w:val="0"/>
      <w:marBottom w:val="0"/>
      <w:divBdr>
        <w:top w:val="none" w:sz="0" w:space="0" w:color="auto"/>
        <w:left w:val="none" w:sz="0" w:space="0" w:color="auto"/>
        <w:bottom w:val="none" w:sz="0" w:space="0" w:color="auto"/>
        <w:right w:val="none" w:sz="0" w:space="0" w:color="auto"/>
      </w:divBdr>
    </w:div>
    <w:div w:id="271980141">
      <w:bodyDiv w:val="1"/>
      <w:marLeft w:val="0"/>
      <w:marRight w:val="0"/>
      <w:marTop w:val="0"/>
      <w:marBottom w:val="0"/>
      <w:divBdr>
        <w:top w:val="none" w:sz="0" w:space="0" w:color="auto"/>
        <w:left w:val="none" w:sz="0" w:space="0" w:color="auto"/>
        <w:bottom w:val="none" w:sz="0" w:space="0" w:color="auto"/>
        <w:right w:val="none" w:sz="0" w:space="0" w:color="auto"/>
      </w:divBdr>
    </w:div>
    <w:div w:id="274681859">
      <w:bodyDiv w:val="1"/>
      <w:marLeft w:val="0"/>
      <w:marRight w:val="0"/>
      <w:marTop w:val="0"/>
      <w:marBottom w:val="0"/>
      <w:divBdr>
        <w:top w:val="none" w:sz="0" w:space="0" w:color="auto"/>
        <w:left w:val="none" w:sz="0" w:space="0" w:color="auto"/>
        <w:bottom w:val="none" w:sz="0" w:space="0" w:color="auto"/>
        <w:right w:val="none" w:sz="0" w:space="0" w:color="auto"/>
      </w:divBdr>
    </w:div>
    <w:div w:id="278757168">
      <w:bodyDiv w:val="1"/>
      <w:marLeft w:val="0"/>
      <w:marRight w:val="0"/>
      <w:marTop w:val="0"/>
      <w:marBottom w:val="0"/>
      <w:divBdr>
        <w:top w:val="none" w:sz="0" w:space="0" w:color="auto"/>
        <w:left w:val="none" w:sz="0" w:space="0" w:color="auto"/>
        <w:bottom w:val="none" w:sz="0" w:space="0" w:color="auto"/>
        <w:right w:val="none" w:sz="0" w:space="0" w:color="auto"/>
      </w:divBdr>
    </w:div>
    <w:div w:id="282661961">
      <w:bodyDiv w:val="1"/>
      <w:marLeft w:val="0"/>
      <w:marRight w:val="0"/>
      <w:marTop w:val="0"/>
      <w:marBottom w:val="0"/>
      <w:divBdr>
        <w:top w:val="none" w:sz="0" w:space="0" w:color="auto"/>
        <w:left w:val="none" w:sz="0" w:space="0" w:color="auto"/>
        <w:bottom w:val="none" w:sz="0" w:space="0" w:color="auto"/>
        <w:right w:val="none" w:sz="0" w:space="0" w:color="auto"/>
      </w:divBdr>
    </w:div>
    <w:div w:id="283578331">
      <w:bodyDiv w:val="1"/>
      <w:marLeft w:val="0"/>
      <w:marRight w:val="0"/>
      <w:marTop w:val="0"/>
      <w:marBottom w:val="0"/>
      <w:divBdr>
        <w:top w:val="none" w:sz="0" w:space="0" w:color="auto"/>
        <w:left w:val="none" w:sz="0" w:space="0" w:color="auto"/>
        <w:bottom w:val="none" w:sz="0" w:space="0" w:color="auto"/>
        <w:right w:val="none" w:sz="0" w:space="0" w:color="auto"/>
      </w:divBdr>
    </w:div>
    <w:div w:id="284044050">
      <w:bodyDiv w:val="1"/>
      <w:marLeft w:val="0"/>
      <w:marRight w:val="0"/>
      <w:marTop w:val="0"/>
      <w:marBottom w:val="0"/>
      <w:divBdr>
        <w:top w:val="none" w:sz="0" w:space="0" w:color="auto"/>
        <w:left w:val="none" w:sz="0" w:space="0" w:color="auto"/>
        <w:bottom w:val="none" w:sz="0" w:space="0" w:color="auto"/>
        <w:right w:val="none" w:sz="0" w:space="0" w:color="auto"/>
      </w:divBdr>
    </w:div>
    <w:div w:id="287703869">
      <w:bodyDiv w:val="1"/>
      <w:marLeft w:val="0"/>
      <w:marRight w:val="0"/>
      <w:marTop w:val="0"/>
      <w:marBottom w:val="0"/>
      <w:divBdr>
        <w:top w:val="none" w:sz="0" w:space="0" w:color="auto"/>
        <w:left w:val="none" w:sz="0" w:space="0" w:color="auto"/>
        <w:bottom w:val="none" w:sz="0" w:space="0" w:color="auto"/>
        <w:right w:val="none" w:sz="0" w:space="0" w:color="auto"/>
      </w:divBdr>
    </w:div>
    <w:div w:id="288973641">
      <w:bodyDiv w:val="1"/>
      <w:marLeft w:val="0"/>
      <w:marRight w:val="0"/>
      <w:marTop w:val="0"/>
      <w:marBottom w:val="0"/>
      <w:divBdr>
        <w:top w:val="none" w:sz="0" w:space="0" w:color="auto"/>
        <w:left w:val="none" w:sz="0" w:space="0" w:color="auto"/>
        <w:bottom w:val="none" w:sz="0" w:space="0" w:color="auto"/>
        <w:right w:val="none" w:sz="0" w:space="0" w:color="auto"/>
      </w:divBdr>
    </w:div>
    <w:div w:id="289629793">
      <w:bodyDiv w:val="1"/>
      <w:marLeft w:val="0"/>
      <w:marRight w:val="0"/>
      <w:marTop w:val="0"/>
      <w:marBottom w:val="0"/>
      <w:divBdr>
        <w:top w:val="none" w:sz="0" w:space="0" w:color="auto"/>
        <w:left w:val="none" w:sz="0" w:space="0" w:color="auto"/>
        <w:bottom w:val="none" w:sz="0" w:space="0" w:color="auto"/>
        <w:right w:val="none" w:sz="0" w:space="0" w:color="auto"/>
      </w:divBdr>
      <w:divsChild>
        <w:div w:id="969170244">
          <w:marLeft w:val="0"/>
          <w:marRight w:val="0"/>
          <w:marTop w:val="0"/>
          <w:marBottom w:val="0"/>
          <w:divBdr>
            <w:top w:val="none" w:sz="0" w:space="0" w:color="auto"/>
            <w:left w:val="none" w:sz="0" w:space="0" w:color="auto"/>
            <w:bottom w:val="none" w:sz="0" w:space="0" w:color="auto"/>
            <w:right w:val="none" w:sz="0" w:space="0" w:color="auto"/>
          </w:divBdr>
        </w:div>
        <w:div w:id="1121610744">
          <w:marLeft w:val="0"/>
          <w:marRight w:val="0"/>
          <w:marTop w:val="0"/>
          <w:marBottom w:val="0"/>
          <w:divBdr>
            <w:top w:val="none" w:sz="0" w:space="0" w:color="auto"/>
            <w:left w:val="none" w:sz="0" w:space="0" w:color="auto"/>
            <w:bottom w:val="none" w:sz="0" w:space="0" w:color="auto"/>
            <w:right w:val="none" w:sz="0" w:space="0" w:color="auto"/>
          </w:divBdr>
        </w:div>
        <w:div w:id="1479030387">
          <w:marLeft w:val="0"/>
          <w:marRight w:val="0"/>
          <w:marTop w:val="0"/>
          <w:marBottom w:val="0"/>
          <w:divBdr>
            <w:top w:val="none" w:sz="0" w:space="0" w:color="auto"/>
            <w:left w:val="none" w:sz="0" w:space="0" w:color="auto"/>
            <w:bottom w:val="none" w:sz="0" w:space="0" w:color="auto"/>
            <w:right w:val="none" w:sz="0" w:space="0" w:color="auto"/>
          </w:divBdr>
        </w:div>
        <w:div w:id="1881163479">
          <w:marLeft w:val="0"/>
          <w:marRight w:val="0"/>
          <w:marTop w:val="0"/>
          <w:marBottom w:val="0"/>
          <w:divBdr>
            <w:top w:val="none" w:sz="0" w:space="0" w:color="auto"/>
            <w:left w:val="none" w:sz="0" w:space="0" w:color="auto"/>
            <w:bottom w:val="none" w:sz="0" w:space="0" w:color="auto"/>
            <w:right w:val="none" w:sz="0" w:space="0" w:color="auto"/>
          </w:divBdr>
        </w:div>
      </w:divsChild>
    </w:div>
    <w:div w:id="292558560">
      <w:bodyDiv w:val="1"/>
      <w:marLeft w:val="0"/>
      <w:marRight w:val="0"/>
      <w:marTop w:val="0"/>
      <w:marBottom w:val="0"/>
      <w:divBdr>
        <w:top w:val="none" w:sz="0" w:space="0" w:color="auto"/>
        <w:left w:val="none" w:sz="0" w:space="0" w:color="auto"/>
        <w:bottom w:val="none" w:sz="0" w:space="0" w:color="auto"/>
        <w:right w:val="none" w:sz="0" w:space="0" w:color="auto"/>
      </w:divBdr>
      <w:divsChild>
        <w:div w:id="1014504050">
          <w:marLeft w:val="0"/>
          <w:marRight w:val="0"/>
          <w:marTop w:val="15"/>
          <w:marBottom w:val="0"/>
          <w:divBdr>
            <w:top w:val="none" w:sz="0" w:space="0" w:color="auto"/>
            <w:left w:val="none" w:sz="0" w:space="0" w:color="auto"/>
            <w:bottom w:val="none" w:sz="0" w:space="0" w:color="auto"/>
            <w:right w:val="none" w:sz="0" w:space="0" w:color="auto"/>
          </w:divBdr>
          <w:divsChild>
            <w:div w:id="832337499">
              <w:marLeft w:val="0"/>
              <w:marRight w:val="0"/>
              <w:marTop w:val="0"/>
              <w:marBottom w:val="0"/>
              <w:divBdr>
                <w:top w:val="none" w:sz="0" w:space="0" w:color="auto"/>
                <w:left w:val="none" w:sz="0" w:space="0" w:color="auto"/>
                <w:bottom w:val="none" w:sz="0" w:space="0" w:color="auto"/>
                <w:right w:val="none" w:sz="0" w:space="0" w:color="auto"/>
              </w:divBdr>
              <w:divsChild>
                <w:div w:id="142934389">
                  <w:marLeft w:val="0"/>
                  <w:marRight w:val="0"/>
                  <w:marTop w:val="0"/>
                  <w:marBottom w:val="0"/>
                  <w:divBdr>
                    <w:top w:val="none" w:sz="0" w:space="0" w:color="auto"/>
                    <w:left w:val="none" w:sz="0" w:space="0" w:color="auto"/>
                    <w:bottom w:val="none" w:sz="0" w:space="0" w:color="auto"/>
                    <w:right w:val="none" w:sz="0" w:space="0" w:color="auto"/>
                  </w:divBdr>
                </w:div>
                <w:div w:id="875774261">
                  <w:marLeft w:val="0"/>
                  <w:marRight w:val="0"/>
                  <w:marTop w:val="0"/>
                  <w:marBottom w:val="0"/>
                  <w:divBdr>
                    <w:top w:val="none" w:sz="0" w:space="0" w:color="auto"/>
                    <w:left w:val="none" w:sz="0" w:space="0" w:color="auto"/>
                    <w:bottom w:val="none" w:sz="0" w:space="0" w:color="auto"/>
                    <w:right w:val="none" w:sz="0" w:space="0" w:color="auto"/>
                  </w:divBdr>
                </w:div>
                <w:div w:id="1232228302">
                  <w:marLeft w:val="0"/>
                  <w:marRight w:val="0"/>
                  <w:marTop w:val="0"/>
                  <w:marBottom w:val="0"/>
                  <w:divBdr>
                    <w:top w:val="none" w:sz="0" w:space="0" w:color="auto"/>
                    <w:left w:val="none" w:sz="0" w:space="0" w:color="auto"/>
                    <w:bottom w:val="none" w:sz="0" w:space="0" w:color="auto"/>
                    <w:right w:val="none" w:sz="0" w:space="0" w:color="auto"/>
                  </w:divBdr>
                </w:div>
                <w:div w:id="1651442000">
                  <w:marLeft w:val="0"/>
                  <w:marRight w:val="0"/>
                  <w:marTop w:val="0"/>
                  <w:marBottom w:val="0"/>
                  <w:divBdr>
                    <w:top w:val="none" w:sz="0" w:space="0" w:color="auto"/>
                    <w:left w:val="none" w:sz="0" w:space="0" w:color="auto"/>
                    <w:bottom w:val="none" w:sz="0" w:space="0" w:color="auto"/>
                    <w:right w:val="none" w:sz="0" w:space="0" w:color="auto"/>
                  </w:divBdr>
                </w:div>
                <w:div w:id="1965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049">
          <w:marLeft w:val="0"/>
          <w:marRight w:val="0"/>
          <w:marTop w:val="15"/>
          <w:marBottom w:val="0"/>
          <w:divBdr>
            <w:top w:val="none" w:sz="0" w:space="0" w:color="auto"/>
            <w:left w:val="none" w:sz="0" w:space="0" w:color="auto"/>
            <w:bottom w:val="none" w:sz="0" w:space="0" w:color="auto"/>
            <w:right w:val="none" w:sz="0" w:space="0" w:color="auto"/>
          </w:divBdr>
          <w:divsChild>
            <w:div w:id="2140368810">
              <w:marLeft w:val="0"/>
              <w:marRight w:val="0"/>
              <w:marTop w:val="0"/>
              <w:marBottom w:val="0"/>
              <w:divBdr>
                <w:top w:val="none" w:sz="0" w:space="0" w:color="auto"/>
                <w:left w:val="none" w:sz="0" w:space="0" w:color="auto"/>
                <w:bottom w:val="none" w:sz="0" w:space="0" w:color="auto"/>
                <w:right w:val="none" w:sz="0" w:space="0" w:color="auto"/>
              </w:divBdr>
              <w:divsChild>
                <w:div w:id="2290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4551">
      <w:bodyDiv w:val="1"/>
      <w:marLeft w:val="0"/>
      <w:marRight w:val="0"/>
      <w:marTop w:val="0"/>
      <w:marBottom w:val="0"/>
      <w:divBdr>
        <w:top w:val="none" w:sz="0" w:space="0" w:color="auto"/>
        <w:left w:val="none" w:sz="0" w:space="0" w:color="auto"/>
        <w:bottom w:val="none" w:sz="0" w:space="0" w:color="auto"/>
        <w:right w:val="none" w:sz="0" w:space="0" w:color="auto"/>
      </w:divBdr>
      <w:divsChild>
        <w:div w:id="1660690898">
          <w:marLeft w:val="0"/>
          <w:marRight w:val="0"/>
          <w:marTop w:val="0"/>
          <w:marBottom w:val="0"/>
          <w:divBdr>
            <w:top w:val="none" w:sz="0" w:space="0" w:color="auto"/>
            <w:left w:val="none" w:sz="0" w:space="0" w:color="auto"/>
            <w:bottom w:val="none" w:sz="0" w:space="0" w:color="auto"/>
            <w:right w:val="none" w:sz="0" w:space="0" w:color="auto"/>
          </w:divBdr>
        </w:div>
      </w:divsChild>
    </w:div>
    <w:div w:id="297027667">
      <w:bodyDiv w:val="1"/>
      <w:marLeft w:val="0"/>
      <w:marRight w:val="0"/>
      <w:marTop w:val="0"/>
      <w:marBottom w:val="0"/>
      <w:divBdr>
        <w:top w:val="none" w:sz="0" w:space="0" w:color="auto"/>
        <w:left w:val="none" w:sz="0" w:space="0" w:color="auto"/>
        <w:bottom w:val="none" w:sz="0" w:space="0" w:color="auto"/>
        <w:right w:val="none" w:sz="0" w:space="0" w:color="auto"/>
      </w:divBdr>
    </w:div>
    <w:div w:id="298387686">
      <w:bodyDiv w:val="1"/>
      <w:marLeft w:val="0"/>
      <w:marRight w:val="0"/>
      <w:marTop w:val="0"/>
      <w:marBottom w:val="0"/>
      <w:divBdr>
        <w:top w:val="none" w:sz="0" w:space="0" w:color="auto"/>
        <w:left w:val="none" w:sz="0" w:space="0" w:color="auto"/>
        <w:bottom w:val="none" w:sz="0" w:space="0" w:color="auto"/>
        <w:right w:val="none" w:sz="0" w:space="0" w:color="auto"/>
      </w:divBdr>
    </w:div>
    <w:div w:id="304435309">
      <w:bodyDiv w:val="1"/>
      <w:marLeft w:val="0"/>
      <w:marRight w:val="0"/>
      <w:marTop w:val="0"/>
      <w:marBottom w:val="0"/>
      <w:divBdr>
        <w:top w:val="none" w:sz="0" w:space="0" w:color="auto"/>
        <w:left w:val="none" w:sz="0" w:space="0" w:color="auto"/>
        <w:bottom w:val="none" w:sz="0" w:space="0" w:color="auto"/>
        <w:right w:val="none" w:sz="0" w:space="0" w:color="auto"/>
      </w:divBdr>
    </w:div>
    <w:div w:id="305667258">
      <w:bodyDiv w:val="1"/>
      <w:marLeft w:val="0"/>
      <w:marRight w:val="0"/>
      <w:marTop w:val="0"/>
      <w:marBottom w:val="0"/>
      <w:divBdr>
        <w:top w:val="none" w:sz="0" w:space="0" w:color="auto"/>
        <w:left w:val="none" w:sz="0" w:space="0" w:color="auto"/>
        <w:bottom w:val="none" w:sz="0" w:space="0" w:color="auto"/>
        <w:right w:val="none" w:sz="0" w:space="0" w:color="auto"/>
      </w:divBdr>
    </w:div>
    <w:div w:id="307367007">
      <w:bodyDiv w:val="1"/>
      <w:marLeft w:val="0"/>
      <w:marRight w:val="0"/>
      <w:marTop w:val="0"/>
      <w:marBottom w:val="0"/>
      <w:divBdr>
        <w:top w:val="none" w:sz="0" w:space="0" w:color="auto"/>
        <w:left w:val="none" w:sz="0" w:space="0" w:color="auto"/>
        <w:bottom w:val="none" w:sz="0" w:space="0" w:color="auto"/>
        <w:right w:val="none" w:sz="0" w:space="0" w:color="auto"/>
      </w:divBdr>
    </w:div>
    <w:div w:id="308021102">
      <w:bodyDiv w:val="1"/>
      <w:marLeft w:val="0"/>
      <w:marRight w:val="0"/>
      <w:marTop w:val="0"/>
      <w:marBottom w:val="0"/>
      <w:divBdr>
        <w:top w:val="none" w:sz="0" w:space="0" w:color="auto"/>
        <w:left w:val="none" w:sz="0" w:space="0" w:color="auto"/>
        <w:bottom w:val="none" w:sz="0" w:space="0" w:color="auto"/>
        <w:right w:val="none" w:sz="0" w:space="0" w:color="auto"/>
      </w:divBdr>
    </w:div>
    <w:div w:id="311370911">
      <w:bodyDiv w:val="1"/>
      <w:marLeft w:val="0"/>
      <w:marRight w:val="0"/>
      <w:marTop w:val="0"/>
      <w:marBottom w:val="0"/>
      <w:divBdr>
        <w:top w:val="none" w:sz="0" w:space="0" w:color="auto"/>
        <w:left w:val="none" w:sz="0" w:space="0" w:color="auto"/>
        <w:bottom w:val="none" w:sz="0" w:space="0" w:color="auto"/>
        <w:right w:val="none" w:sz="0" w:space="0" w:color="auto"/>
      </w:divBdr>
    </w:div>
    <w:div w:id="313142992">
      <w:bodyDiv w:val="1"/>
      <w:marLeft w:val="0"/>
      <w:marRight w:val="0"/>
      <w:marTop w:val="0"/>
      <w:marBottom w:val="0"/>
      <w:divBdr>
        <w:top w:val="none" w:sz="0" w:space="0" w:color="auto"/>
        <w:left w:val="none" w:sz="0" w:space="0" w:color="auto"/>
        <w:bottom w:val="none" w:sz="0" w:space="0" w:color="auto"/>
        <w:right w:val="none" w:sz="0" w:space="0" w:color="auto"/>
      </w:divBdr>
    </w:div>
    <w:div w:id="314146592">
      <w:bodyDiv w:val="1"/>
      <w:marLeft w:val="0"/>
      <w:marRight w:val="0"/>
      <w:marTop w:val="0"/>
      <w:marBottom w:val="0"/>
      <w:divBdr>
        <w:top w:val="none" w:sz="0" w:space="0" w:color="auto"/>
        <w:left w:val="none" w:sz="0" w:space="0" w:color="auto"/>
        <w:bottom w:val="none" w:sz="0" w:space="0" w:color="auto"/>
        <w:right w:val="none" w:sz="0" w:space="0" w:color="auto"/>
      </w:divBdr>
    </w:div>
    <w:div w:id="314839537">
      <w:bodyDiv w:val="1"/>
      <w:marLeft w:val="0"/>
      <w:marRight w:val="0"/>
      <w:marTop w:val="0"/>
      <w:marBottom w:val="0"/>
      <w:divBdr>
        <w:top w:val="none" w:sz="0" w:space="0" w:color="auto"/>
        <w:left w:val="none" w:sz="0" w:space="0" w:color="auto"/>
        <w:bottom w:val="none" w:sz="0" w:space="0" w:color="auto"/>
        <w:right w:val="none" w:sz="0" w:space="0" w:color="auto"/>
      </w:divBdr>
    </w:div>
    <w:div w:id="315107679">
      <w:bodyDiv w:val="1"/>
      <w:marLeft w:val="0"/>
      <w:marRight w:val="0"/>
      <w:marTop w:val="0"/>
      <w:marBottom w:val="0"/>
      <w:divBdr>
        <w:top w:val="none" w:sz="0" w:space="0" w:color="auto"/>
        <w:left w:val="none" w:sz="0" w:space="0" w:color="auto"/>
        <w:bottom w:val="none" w:sz="0" w:space="0" w:color="auto"/>
        <w:right w:val="none" w:sz="0" w:space="0" w:color="auto"/>
      </w:divBdr>
    </w:div>
    <w:div w:id="317464358">
      <w:bodyDiv w:val="1"/>
      <w:marLeft w:val="0"/>
      <w:marRight w:val="0"/>
      <w:marTop w:val="0"/>
      <w:marBottom w:val="0"/>
      <w:divBdr>
        <w:top w:val="none" w:sz="0" w:space="0" w:color="auto"/>
        <w:left w:val="none" w:sz="0" w:space="0" w:color="auto"/>
        <w:bottom w:val="none" w:sz="0" w:space="0" w:color="auto"/>
        <w:right w:val="none" w:sz="0" w:space="0" w:color="auto"/>
      </w:divBdr>
    </w:div>
    <w:div w:id="319818080">
      <w:bodyDiv w:val="1"/>
      <w:marLeft w:val="0"/>
      <w:marRight w:val="0"/>
      <w:marTop w:val="0"/>
      <w:marBottom w:val="0"/>
      <w:divBdr>
        <w:top w:val="none" w:sz="0" w:space="0" w:color="auto"/>
        <w:left w:val="none" w:sz="0" w:space="0" w:color="auto"/>
        <w:bottom w:val="none" w:sz="0" w:space="0" w:color="auto"/>
        <w:right w:val="none" w:sz="0" w:space="0" w:color="auto"/>
      </w:divBdr>
    </w:div>
    <w:div w:id="319845794">
      <w:bodyDiv w:val="1"/>
      <w:marLeft w:val="0"/>
      <w:marRight w:val="0"/>
      <w:marTop w:val="0"/>
      <w:marBottom w:val="0"/>
      <w:divBdr>
        <w:top w:val="none" w:sz="0" w:space="0" w:color="auto"/>
        <w:left w:val="none" w:sz="0" w:space="0" w:color="auto"/>
        <w:bottom w:val="none" w:sz="0" w:space="0" w:color="auto"/>
        <w:right w:val="none" w:sz="0" w:space="0" w:color="auto"/>
      </w:divBdr>
    </w:div>
    <w:div w:id="321545706">
      <w:bodyDiv w:val="1"/>
      <w:marLeft w:val="0"/>
      <w:marRight w:val="0"/>
      <w:marTop w:val="0"/>
      <w:marBottom w:val="0"/>
      <w:divBdr>
        <w:top w:val="none" w:sz="0" w:space="0" w:color="auto"/>
        <w:left w:val="none" w:sz="0" w:space="0" w:color="auto"/>
        <w:bottom w:val="none" w:sz="0" w:space="0" w:color="auto"/>
        <w:right w:val="none" w:sz="0" w:space="0" w:color="auto"/>
      </w:divBdr>
    </w:div>
    <w:div w:id="324482857">
      <w:bodyDiv w:val="1"/>
      <w:marLeft w:val="0"/>
      <w:marRight w:val="0"/>
      <w:marTop w:val="0"/>
      <w:marBottom w:val="0"/>
      <w:divBdr>
        <w:top w:val="none" w:sz="0" w:space="0" w:color="auto"/>
        <w:left w:val="none" w:sz="0" w:space="0" w:color="auto"/>
        <w:bottom w:val="none" w:sz="0" w:space="0" w:color="auto"/>
        <w:right w:val="none" w:sz="0" w:space="0" w:color="auto"/>
      </w:divBdr>
    </w:div>
    <w:div w:id="328218394">
      <w:bodyDiv w:val="1"/>
      <w:marLeft w:val="0"/>
      <w:marRight w:val="0"/>
      <w:marTop w:val="0"/>
      <w:marBottom w:val="0"/>
      <w:divBdr>
        <w:top w:val="none" w:sz="0" w:space="0" w:color="auto"/>
        <w:left w:val="none" w:sz="0" w:space="0" w:color="auto"/>
        <w:bottom w:val="none" w:sz="0" w:space="0" w:color="auto"/>
        <w:right w:val="none" w:sz="0" w:space="0" w:color="auto"/>
      </w:divBdr>
    </w:div>
    <w:div w:id="330375759">
      <w:bodyDiv w:val="1"/>
      <w:marLeft w:val="0"/>
      <w:marRight w:val="0"/>
      <w:marTop w:val="0"/>
      <w:marBottom w:val="0"/>
      <w:divBdr>
        <w:top w:val="none" w:sz="0" w:space="0" w:color="auto"/>
        <w:left w:val="none" w:sz="0" w:space="0" w:color="auto"/>
        <w:bottom w:val="none" w:sz="0" w:space="0" w:color="auto"/>
        <w:right w:val="none" w:sz="0" w:space="0" w:color="auto"/>
      </w:divBdr>
    </w:div>
    <w:div w:id="332924186">
      <w:bodyDiv w:val="1"/>
      <w:marLeft w:val="0"/>
      <w:marRight w:val="0"/>
      <w:marTop w:val="0"/>
      <w:marBottom w:val="0"/>
      <w:divBdr>
        <w:top w:val="none" w:sz="0" w:space="0" w:color="auto"/>
        <w:left w:val="none" w:sz="0" w:space="0" w:color="auto"/>
        <w:bottom w:val="none" w:sz="0" w:space="0" w:color="auto"/>
        <w:right w:val="none" w:sz="0" w:space="0" w:color="auto"/>
      </w:divBdr>
    </w:div>
    <w:div w:id="335108927">
      <w:bodyDiv w:val="1"/>
      <w:marLeft w:val="0"/>
      <w:marRight w:val="0"/>
      <w:marTop w:val="0"/>
      <w:marBottom w:val="0"/>
      <w:divBdr>
        <w:top w:val="none" w:sz="0" w:space="0" w:color="auto"/>
        <w:left w:val="none" w:sz="0" w:space="0" w:color="auto"/>
        <w:bottom w:val="none" w:sz="0" w:space="0" w:color="auto"/>
        <w:right w:val="none" w:sz="0" w:space="0" w:color="auto"/>
      </w:divBdr>
    </w:div>
    <w:div w:id="337080708">
      <w:bodyDiv w:val="1"/>
      <w:marLeft w:val="0"/>
      <w:marRight w:val="0"/>
      <w:marTop w:val="0"/>
      <w:marBottom w:val="0"/>
      <w:divBdr>
        <w:top w:val="none" w:sz="0" w:space="0" w:color="auto"/>
        <w:left w:val="none" w:sz="0" w:space="0" w:color="auto"/>
        <w:bottom w:val="none" w:sz="0" w:space="0" w:color="auto"/>
        <w:right w:val="none" w:sz="0" w:space="0" w:color="auto"/>
      </w:divBdr>
    </w:div>
    <w:div w:id="337149874">
      <w:bodyDiv w:val="1"/>
      <w:marLeft w:val="0"/>
      <w:marRight w:val="0"/>
      <w:marTop w:val="0"/>
      <w:marBottom w:val="0"/>
      <w:divBdr>
        <w:top w:val="none" w:sz="0" w:space="0" w:color="auto"/>
        <w:left w:val="none" w:sz="0" w:space="0" w:color="auto"/>
        <w:bottom w:val="none" w:sz="0" w:space="0" w:color="auto"/>
        <w:right w:val="none" w:sz="0" w:space="0" w:color="auto"/>
      </w:divBdr>
    </w:div>
    <w:div w:id="340667333">
      <w:bodyDiv w:val="1"/>
      <w:marLeft w:val="0"/>
      <w:marRight w:val="0"/>
      <w:marTop w:val="0"/>
      <w:marBottom w:val="0"/>
      <w:divBdr>
        <w:top w:val="none" w:sz="0" w:space="0" w:color="auto"/>
        <w:left w:val="none" w:sz="0" w:space="0" w:color="auto"/>
        <w:bottom w:val="none" w:sz="0" w:space="0" w:color="auto"/>
        <w:right w:val="none" w:sz="0" w:space="0" w:color="auto"/>
      </w:divBdr>
      <w:divsChild>
        <w:div w:id="1327128897">
          <w:marLeft w:val="0"/>
          <w:marRight w:val="0"/>
          <w:marTop w:val="0"/>
          <w:marBottom w:val="0"/>
          <w:divBdr>
            <w:top w:val="none" w:sz="0" w:space="0" w:color="auto"/>
            <w:left w:val="none" w:sz="0" w:space="0" w:color="auto"/>
            <w:bottom w:val="none" w:sz="0" w:space="0" w:color="auto"/>
            <w:right w:val="none" w:sz="0" w:space="0" w:color="auto"/>
          </w:divBdr>
          <w:divsChild>
            <w:div w:id="1847743689">
              <w:marLeft w:val="0"/>
              <w:marRight w:val="0"/>
              <w:marTop w:val="0"/>
              <w:marBottom w:val="0"/>
              <w:divBdr>
                <w:top w:val="none" w:sz="0" w:space="0" w:color="auto"/>
                <w:left w:val="none" w:sz="0" w:space="0" w:color="auto"/>
                <w:bottom w:val="none" w:sz="0" w:space="0" w:color="auto"/>
                <w:right w:val="none" w:sz="0" w:space="0" w:color="auto"/>
              </w:divBdr>
              <w:divsChild>
                <w:div w:id="789977494">
                  <w:marLeft w:val="0"/>
                  <w:marRight w:val="0"/>
                  <w:marTop w:val="15"/>
                  <w:marBottom w:val="0"/>
                  <w:divBdr>
                    <w:top w:val="none" w:sz="0" w:space="0" w:color="auto"/>
                    <w:left w:val="none" w:sz="0" w:space="0" w:color="auto"/>
                    <w:bottom w:val="none" w:sz="0" w:space="0" w:color="auto"/>
                    <w:right w:val="none" w:sz="0" w:space="0" w:color="auto"/>
                  </w:divBdr>
                  <w:divsChild>
                    <w:div w:id="677730455">
                      <w:marLeft w:val="0"/>
                      <w:marRight w:val="0"/>
                      <w:marTop w:val="0"/>
                      <w:marBottom w:val="0"/>
                      <w:divBdr>
                        <w:top w:val="none" w:sz="0" w:space="0" w:color="auto"/>
                        <w:left w:val="none" w:sz="0" w:space="0" w:color="auto"/>
                        <w:bottom w:val="none" w:sz="0" w:space="0" w:color="auto"/>
                        <w:right w:val="none" w:sz="0" w:space="0" w:color="auto"/>
                      </w:divBdr>
                      <w:divsChild>
                        <w:div w:id="2435366">
                          <w:marLeft w:val="0"/>
                          <w:marRight w:val="0"/>
                          <w:marTop w:val="0"/>
                          <w:marBottom w:val="0"/>
                          <w:divBdr>
                            <w:top w:val="none" w:sz="0" w:space="0" w:color="auto"/>
                            <w:left w:val="none" w:sz="0" w:space="0" w:color="auto"/>
                            <w:bottom w:val="none" w:sz="0" w:space="0" w:color="auto"/>
                            <w:right w:val="none" w:sz="0" w:space="0" w:color="auto"/>
                          </w:divBdr>
                        </w:div>
                        <w:div w:id="105347691">
                          <w:marLeft w:val="0"/>
                          <w:marRight w:val="0"/>
                          <w:marTop w:val="0"/>
                          <w:marBottom w:val="0"/>
                          <w:divBdr>
                            <w:top w:val="none" w:sz="0" w:space="0" w:color="auto"/>
                            <w:left w:val="none" w:sz="0" w:space="0" w:color="auto"/>
                            <w:bottom w:val="none" w:sz="0" w:space="0" w:color="auto"/>
                            <w:right w:val="none" w:sz="0" w:space="0" w:color="auto"/>
                          </w:divBdr>
                        </w:div>
                        <w:div w:id="185950991">
                          <w:marLeft w:val="0"/>
                          <w:marRight w:val="0"/>
                          <w:marTop w:val="0"/>
                          <w:marBottom w:val="0"/>
                          <w:divBdr>
                            <w:top w:val="none" w:sz="0" w:space="0" w:color="auto"/>
                            <w:left w:val="none" w:sz="0" w:space="0" w:color="auto"/>
                            <w:bottom w:val="none" w:sz="0" w:space="0" w:color="auto"/>
                            <w:right w:val="none" w:sz="0" w:space="0" w:color="auto"/>
                          </w:divBdr>
                        </w:div>
                        <w:div w:id="196351939">
                          <w:marLeft w:val="0"/>
                          <w:marRight w:val="0"/>
                          <w:marTop w:val="0"/>
                          <w:marBottom w:val="0"/>
                          <w:divBdr>
                            <w:top w:val="none" w:sz="0" w:space="0" w:color="auto"/>
                            <w:left w:val="none" w:sz="0" w:space="0" w:color="auto"/>
                            <w:bottom w:val="none" w:sz="0" w:space="0" w:color="auto"/>
                            <w:right w:val="none" w:sz="0" w:space="0" w:color="auto"/>
                          </w:divBdr>
                        </w:div>
                        <w:div w:id="209922112">
                          <w:marLeft w:val="0"/>
                          <w:marRight w:val="0"/>
                          <w:marTop w:val="0"/>
                          <w:marBottom w:val="0"/>
                          <w:divBdr>
                            <w:top w:val="none" w:sz="0" w:space="0" w:color="auto"/>
                            <w:left w:val="none" w:sz="0" w:space="0" w:color="auto"/>
                            <w:bottom w:val="none" w:sz="0" w:space="0" w:color="auto"/>
                            <w:right w:val="none" w:sz="0" w:space="0" w:color="auto"/>
                          </w:divBdr>
                        </w:div>
                        <w:div w:id="247347765">
                          <w:marLeft w:val="0"/>
                          <w:marRight w:val="0"/>
                          <w:marTop w:val="0"/>
                          <w:marBottom w:val="0"/>
                          <w:divBdr>
                            <w:top w:val="none" w:sz="0" w:space="0" w:color="auto"/>
                            <w:left w:val="none" w:sz="0" w:space="0" w:color="auto"/>
                            <w:bottom w:val="none" w:sz="0" w:space="0" w:color="auto"/>
                            <w:right w:val="none" w:sz="0" w:space="0" w:color="auto"/>
                          </w:divBdr>
                        </w:div>
                        <w:div w:id="266281776">
                          <w:marLeft w:val="0"/>
                          <w:marRight w:val="0"/>
                          <w:marTop w:val="0"/>
                          <w:marBottom w:val="0"/>
                          <w:divBdr>
                            <w:top w:val="none" w:sz="0" w:space="0" w:color="auto"/>
                            <w:left w:val="none" w:sz="0" w:space="0" w:color="auto"/>
                            <w:bottom w:val="none" w:sz="0" w:space="0" w:color="auto"/>
                            <w:right w:val="none" w:sz="0" w:space="0" w:color="auto"/>
                          </w:divBdr>
                        </w:div>
                        <w:div w:id="274404334">
                          <w:marLeft w:val="0"/>
                          <w:marRight w:val="0"/>
                          <w:marTop w:val="0"/>
                          <w:marBottom w:val="0"/>
                          <w:divBdr>
                            <w:top w:val="none" w:sz="0" w:space="0" w:color="auto"/>
                            <w:left w:val="none" w:sz="0" w:space="0" w:color="auto"/>
                            <w:bottom w:val="none" w:sz="0" w:space="0" w:color="auto"/>
                            <w:right w:val="none" w:sz="0" w:space="0" w:color="auto"/>
                          </w:divBdr>
                        </w:div>
                        <w:div w:id="287703785">
                          <w:marLeft w:val="0"/>
                          <w:marRight w:val="0"/>
                          <w:marTop w:val="0"/>
                          <w:marBottom w:val="0"/>
                          <w:divBdr>
                            <w:top w:val="none" w:sz="0" w:space="0" w:color="auto"/>
                            <w:left w:val="none" w:sz="0" w:space="0" w:color="auto"/>
                            <w:bottom w:val="none" w:sz="0" w:space="0" w:color="auto"/>
                            <w:right w:val="none" w:sz="0" w:space="0" w:color="auto"/>
                          </w:divBdr>
                        </w:div>
                        <w:div w:id="319970994">
                          <w:marLeft w:val="0"/>
                          <w:marRight w:val="0"/>
                          <w:marTop w:val="0"/>
                          <w:marBottom w:val="0"/>
                          <w:divBdr>
                            <w:top w:val="none" w:sz="0" w:space="0" w:color="auto"/>
                            <w:left w:val="none" w:sz="0" w:space="0" w:color="auto"/>
                            <w:bottom w:val="none" w:sz="0" w:space="0" w:color="auto"/>
                            <w:right w:val="none" w:sz="0" w:space="0" w:color="auto"/>
                          </w:divBdr>
                        </w:div>
                        <w:div w:id="343635069">
                          <w:marLeft w:val="0"/>
                          <w:marRight w:val="0"/>
                          <w:marTop w:val="0"/>
                          <w:marBottom w:val="0"/>
                          <w:divBdr>
                            <w:top w:val="none" w:sz="0" w:space="0" w:color="auto"/>
                            <w:left w:val="none" w:sz="0" w:space="0" w:color="auto"/>
                            <w:bottom w:val="none" w:sz="0" w:space="0" w:color="auto"/>
                            <w:right w:val="none" w:sz="0" w:space="0" w:color="auto"/>
                          </w:divBdr>
                        </w:div>
                        <w:div w:id="375619183">
                          <w:marLeft w:val="0"/>
                          <w:marRight w:val="0"/>
                          <w:marTop w:val="0"/>
                          <w:marBottom w:val="0"/>
                          <w:divBdr>
                            <w:top w:val="none" w:sz="0" w:space="0" w:color="auto"/>
                            <w:left w:val="none" w:sz="0" w:space="0" w:color="auto"/>
                            <w:bottom w:val="none" w:sz="0" w:space="0" w:color="auto"/>
                            <w:right w:val="none" w:sz="0" w:space="0" w:color="auto"/>
                          </w:divBdr>
                        </w:div>
                        <w:div w:id="391580719">
                          <w:marLeft w:val="0"/>
                          <w:marRight w:val="0"/>
                          <w:marTop w:val="0"/>
                          <w:marBottom w:val="0"/>
                          <w:divBdr>
                            <w:top w:val="none" w:sz="0" w:space="0" w:color="auto"/>
                            <w:left w:val="none" w:sz="0" w:space="0" w:color="auto"/>
                            <w:bottom w:val="none" w:sz="0" w:space="0" w:color="auto"/>
                            <w:right w:val="none" w:sz="0" w:space="0" w:color="auto"/>
                          </w:divBdr>
                        </w:div>
                        <w:div w:id="423303602">
                          <w:marLeft w:val="0"/>
                          <w:marRight w:val="0"/>
                          <w:marTop w:val="0"/>
                          <w:marBottom w:val="0"/>
                          <w:divBdr>
                            <w:top w:val="none" w:sz="0" w:space="0" w:color="auto"/>
                            <w:left w:val="none" w:sz="0" w:space="0" w:color="auto"/>
                            <w:bottom w:val="none" w:sz="0" w:space="0" w:color="auto"/>
                            <w:right w:val="none" w:sz="0" w:space="0" w:color="auto"/>
                          </w:divBdr>
                        </w:div>
                        <w:div w:id="446697801">
                          <w:marLeft w:val="0"/>
                          <w:marRight w:val="0"/>
                          <w:marTop w:val="0"/>
                          <w:marBottom w:val="0"/>
                          <w:divBdr>
                            <w:top w:val="none" w:sz="0" w:space="0" w:color="auto"/>
                            <w:left w:val="none" w:sz="0" w:space="0" w:color="auto"/>
                            <w:bottom w:val="none" w:sz="0" w:space="0" w:color="auto"/>
                            <w:right w:val="none" w:sz="0" w:space="0" w:color="auto"/>
                          </w:divBdr>
                        </w:div>
                        <w:div w:id="459029928">
                          <w:marLeft w:val="0"/>
                          <w:marRight w:val="0"/>
                          <w:marTop w:val="0"/>
                          <w:marBottom w:val="0"/>
                          <w:divBdr>
                            <w:top w:val="none" w:sz="0" w:space="0" w:color="auto"/>
                            <w:left w:val="none" w:sz="0" w:space="0" w:color="auto"/>
                            <w:bottom w:val="none" w:sz="0" w:space="0" w:color="auto"/>
                            <w:right w:val="none" w:sz="0" w:space="0" w:color="auto"/>
                          </w:divBdr>
                        </w:div>
                        <w:div w:id="470753904">
                          <w:marLeft w:val="0"/>
                          <w:marRight w:val="0"/>
                          <w:marTop w:val="0"/>
                          <w:marBottom w:val="0"/>
                          <w:divBdr>
                            <w:top w:val="none" w:sz="0" w:space="0" w:color="auto"/>
                            <w:left w:val="none" w:sz="0" w:space="0" w:color="auto"/>
                            <w:bottom w:val="none" w:sz="0" w:space="0" w:color="auto"/>
                            <w:right w:val="none" w:sz="0" w:space="0" w:color="auto"/>
                          </w:divBdr>
                        </w:div>
                        <w:div w:id="478377538">
                          <w:marLeft w:val="0"/>
                          <w:marRight w:val="0"/>
                          <w:marTop w:val="0"/>
                          <w:marBottom w:val="0"/>
                          <w:divBdr>
                            <w:top w:val="none" w:sz="0" w:space="0" w:color="auto"/>
                            <w:left w:val="none" w:sz="0" w:space="0" w:color="auto"/>
                            <w:bottom w:val="none" w:sz="0" w:space="0" w:color="auto"/>
                            <w:right w:val="none" w:sz="0" w:space="0" w:color="auto"/>
                          </w:divBdr>
                        </w:div>
                        <w:div w:id="492063570">
                          <w:marLeft w:val="0"/>
                          <w:marRight w:val="0"/>
                          <w:marTop w:val="0"/>
                          <w:marBottom w:val="0"/>
                          <w:divBdr>
                            <w:top w:val="none" w:sz="0" w:space="0" w:color="auto"/>
                            <w:left w:val="none" w:sz="0" w:space="0" w:color="auto"/>
                            <w:bottom w:val="none" w:sz="0" w:space="0" w:color="auto"/>
                            <w:right w:val="none" w:sz="0" w:space="0" w:color="auto"/>
                          </w:divBdr>
                        </w:div>
                        <w:div w:id="587422974">
                          <w:marLeft w:val="0"/>
                          <w:marRight w:val="0"/>
                          <w:marTop w:val="0"/>
                          <w:marBottom w:val="0"/>
                          <w:divBdr>
                            <w:top w:val="none" w:sz="0" w:space="0" w:color="auto"/>
                            <w:left w:val="none" w:sz="0" w:space="0" w:color="auto"/>
                            <w:bottom w:val="none" w:sz="0" w:space="0" w:color="auto"/>
                            <w:right w:val="none" w:sz="0" w:space="0" w:color="auto"/>
                          </w:divBdr>
                        </w:div>
                        <w:div w:id="612447131">
                          <w:marLeft w:val="0"/>
                          <w:marRight w:val="0"/>
                          <w:marTop w:val="0"/>
                          <w:marBottom w:val="0"/>
                          <w:divBdr>
                            <w:top w:val="none" w:sz="0" w:space="0" w:color="auto"/>
                            <w:left w:val="none" w:sz="0" w:space="0" w:color="auto"/>
                            <w:bottom w:val="none" w:sz="0" w:space="0" w:color="auto"/>
                            <w:right w:val="none" w:sz="0" w:space="0" w:color="auto"/>
                          </w:divBdr>
                        </w:div>
                        <w:div w:id="645475772">
                          <w:marLeft w:val="0"/>
                          <w:marRight w:val="0"/>
                          <w:marTop w:val="0"/>
                          <w:marBottom w:val="0"/>
                          <w:divBdr>
                            <w:top w:val="none" w:sz="0" w:space="0" w:color="auto"/>
                            <w:left w:val="none" w:sz="0" w:space="0" w:color="auto"/>
                            <w:bottom w:val="none" w:sz="0" w:space="0" w:color="auto"/>
                            <w:right w:val="none" w:sz="0" w:space="0" w:color="auto"/>
                          </w:divBdr>
                        </w:div>
                        <w:div w:id="706561036">
                          <w:marLeft w:val="0"/>
                          <w:marRight w:val="0"/>
                          <w:marTop w:val="0"/>
                          <w:marBottom w:val="0"/>
                          <w:divBdr>
                            <w:top w:val="none" w:sz="0" w:space="0" w:color="auto"/>
                            <w:left w:val="none" w:sz="0" w:space="0" w:color="auto"/>
                            <w:bottom w:val="none" w:sz="0" w:space="0" w:color="auto"/>
                            <w:right w:val="none" w:sz="0" w:space="0" w:color="auto"/>
                          </w:divBdr>
                        </w:div>
                        <w:div w:id="744496552">
                          <w:marLeft w:val="0"/>
                          <w:marRight w:val="0"/>
                          <w:marTop w:val="0"/>
                          <w:marBottom w:val="0"/>
                          <w:divBdr>
                            <w:top w:val="none" w:sz="0" w:space="0" w:color="auto"/>
                            <w:left w:val="none" w:sz="0" w:space="0" w:color="auto"/>
                            <w:bottom w:val="none" w:sz="0" w:space="0" w:color="auto"/>
                            <w:right w:val="none" w:sz="0" w:space="0" w:color="auto"/>
                          </w:divBdr>
                        </w:div>
                        <w:div w:id="747577598">
                          <w:marLeft w:val="0"/>
                          <w:marRight w:val="0"/>
                          <w:marTop w:val="0"/>
                          <w:marBottom w:val="0"/>
                          <w:divBdr>
                            <w:top w:val="none" w:sz="0" w:space="0" w:color="auto"/>
                            <w:left w:val="none" w:sz="0" w:space="0" w:color="auto"/>
                            <w:bottom w:val="none" w:sz="0" w:space="0" w:color="auto"/>
                            <w:right w:val="none" w:sz="0" w:space="0" w:color="auto"/>
                          </w:divBdr>
                        </w:div>
                        <w:div w:id="790825123">
                          <w:marLeft w:val="0"/>
                          <w:marRight w:val="0"/>
                          <w:marTop w:val="0"/>
                          <w:marBottom w:val="0"/>
                          <w:divBdr>
                            <w:top w:val="none" w:sz="0" w:space="0" w:color="auto"/>
                            <w:left w:val="none" w:sz="0" w:space="0" w:color="auto"/>
                            <w:bottom w:val="none" w:sz="0" w:space="0" w:color="auto"/>
                            <w:right w:val="none" w:sz="0" w:space="0" w:color="auto"/>
                          </w:divBdr>
                        </w:div>
                        <w:div w:id="795299047">
                          <w:marLeft w:val="0"/>
                          <w:marRight w:val="0"/>
                          <w:marTop w:val="0"/>
                          <w:marBottom w:val="0"/>
                          <w:divBdr>
                            <w:top w:val="none" w:sz="0" w:space="0" w:color="auto"/>
                            <w:left w:val="none" w:sz="0" w:space="0" w:color="auto"/>
                            <w:bottom w:val="none" w:sz="0" w:space="0" w:color="auto"/>
                            <w:right w:val="none" w:sz="0" w:space="0" w:color="auto"/>
                          </w:divBdr>
                        </w:div>
                        <w:div w:id="796946775">
                          <w:marLeft w:val="0"/>
                          <w:marRight w:val="0"/>
                          <w:marTop w:val="0"/>
                          <w:marBottom w:val="0"/>
                          <w:divBdr>
                            <w:top w:val="none" w:sz="0" w:space="0" w:color="auto"/>
                            <w:left w:val="none" w:sz="0" w:space="0" w:color="auto"/>
                            <w:bottom w:val="none" w:sz="0" w:space="0" w:color="auto"/>
                            <w:right w:val="none" w:sz="0" w:space="0" w:color="auto"/>
                          </w:divBdr>
                        </w:div>
                        <w:div w:id="797407157">
                          <w:marLeft w:val="0"/>
                          <w:marRight w:val="0"/>
                          <w:marTop w:val="0"/>
                          <w:marBottom w:val="0"/>
                          <w:divBdr>
                            <w:top w:val="none" w:sz="0" w:space="0" w:color="auto"/>
                            <w:left w:val="none" w:sz="0" w:space="0" w:color="auto"/>
                            <w:bottom w:val="none" w:sz="0" w:space="0" w:color="auto"/>
                            <w:right w:val="none" w:sz="0" w:space="0" w:color="auto"/>
                          </w:divBdr>
                        </w:div>
                        <w:div w:id="822238447">
                          <w:marLeft w:val="0"/>
                          <w:marRight w:val="0"/>
                          <w:marTop w:val="0"/>
                          <w:marBottom w:val="0"/>
                          <w:divBdr>
                            <w:top w:val="none" w:sz="0" w:space="0" w:color="auto"/>
                            <w:left w:val="none" w:sz="0" w:space="0" w:color="auto"/>
                            <w:bottom w:val="none" w:sz="0" w:space="0" w:color="auto"/>
                            <w:right w:val="none" w:sz="0" w:space="0" w:color="auto"/>
                          </w:divBdr>
                        </w:div>
                        <w:div w:id="880942717">
                          <w:marLeft w:val="0"/>
                          <w:marRight w:val="0"/>
                          <w:marTop w:val="0"/>
                          <w:marBottom w:val="0"/>
                          <w:divBdr>
                            <w:top w:val="none" w:sz="0" w:space="0" w:color="auto"/>
                            <w:left w:val="none" w:sz="0" w:space="0" w:color="auto"/>
                            <w:bottom w:val="none" w:sz="0" w:space="0" w:color="auto"/>
                            <w:right w:val="none" w:sz="0" w:space="0" w:color="auto"/>
                          </w:divBdr>
                        </w:div>
                        <w:div w:id="886374571">
                          <w:marLeft w:val="0"/>
                          <w:marRight w:val="0"/>
                          <w:marTop w:val="0"/>
                          <w:marBottom w:val="0"/>
                          <w:divBdr>
                            <w:top w:val="none" w:sz="0" w:space="0" w:color="auto"/>
                            <w:left w:val="none" w:sz="0" w:space="0" w:color="auto"/>
                            <w:bottom w:val="none" w:sz="0" w:space="0" w:color="auto"/>
                            <w:right w:val="none" w:sz="0" w:space="0" w:color="auto"/>
                          </w:divBdr>
                        </w:div>
                        <w:div w:id="922105207">
                          <w:marLeft w:val="0"/>
                          <w:marRight w:val="0"/>
                          <w:marTop w:val="0"/>
                          <w:marBottom w:val="0"/>
                          <w:divBdr>
                            <w:top w:val="none" w:sz="0" w:space="0" w:color="auto"/>
                            <w:left w:val="none" w:sz="0" w:space="0" w:color="auto"/>
                            <w:bottom w:val="none" w:sz="0" w:space="0" w:color="auto"/>
                            <w:right w:val="none" w:sz="0" w:space="0" w:color="auto"/>
                          </w:divBdr>
                        </w:div>
                        <w:div w:id="923999382">
                          <w:marLeft w:val="0"/>
                          <w:marRight w:val="0"/>
                          <w:marTop w:val="0"/>
                          <w:marBottom w:val="0"/>
                          <w:divBdr>
                            <w:top w:val="none" w:sz="0" w:space="0" w:color="auto"/>
                            <w:left w:val="none" w:sz="0" w:space="0" w:color="auto"/>
                            <w:bottom w:val="none" w:sz="0" w:space="0" w:color="auto"/>
                            <w:right w:val="none" w:sz="0" w:space="0" w:color="auto"/>
                          </w:divBdr>
                        </w:div>
                        <w:div w:id="937061378">
                          <w:marLeft w:val="0"/>
                          <w:marRight w:val="0"/>
                          <w:marTop w:val="0"/>
                          <w:marBottom w:val="0"/>
                          <w:divBdr>
                            <w:top w:val="none" w:sz="0" w:space="0" w:color="auto"/>
                            <w:left w:val="none" w:sz="0" w:space="0" w:color="auto"/>
                            <w:bottom w:val="none" w:sz="0" w:space="0" w:color="auto"/>
                            <w:right w:val="none" w:sz="0" w:space="0" w:color="auto"/>
                          </w:divBdr>
                        </w:div>
                        <w:div w:id="1018233466">
                          <w:marLeft w:val="0"/>
                          <w:marRight w:val="0"/>
                          <w:marTop w:val="0"/>
                          <w:marBottom w:val="0"/>
                          <w:divBdr>
                            <w:top w:val="none" w:sz="0" w:space="0" w:color="auto"/>
                            <w:left w:val="none" w:sz="0" w:space="0" w:color="auto"/>
                            <w:bottom w:val="none" w:sz="0" w:space="0" w:color="auto"/>
                            <w:right w:val="none" w:sz="0" w:space="0" w:color="auto"/>
                          </w:divBdr>
                        </w:div>
                        <w:div w:id="1068071298">
                          <w:marLeft w:val="0"/>
                          <w:marRight w:val="0"/>
                          <w:marTop w:val="0"/>
                          <w:marBottom w:val="0"/>
                          <w:divBdr>
                            <w:top w:val="none" w:sz="0" w:space="0" w:color="auto"/>
                            <w:left w:val="none" w:sz="0" w:space="0" w:color="auto"/>
                            <w:bottom w:val="none" w:sz="0" w:space="0" w:color="auto"/>
                            <w:right w:val="none" w:sz="0" w:space="0" w:color="auto"/>
                          </w:divBdr>
                        </w:div>
                        <w:div w:id="1118375457">
                          <w:marLeft w:val="0"/>
                          <w:marRight w:val="0"/>
                          <w:marTop w:val="0"/>
                          <w:marBottom w:val="0"/>
                          <w:divBdr>
                            <w:top w:val="none" w:sz="0" w:space="0" w:color="auto"/>
                            <w:left w:val="none" w:sz="0" w:space="0" w:color="auto"/>
                            <w:bottom w:val="none" w:sz="0" w:space="0" w:color="auto"/>
                            <w:right w:val="none" w:sz="0" w:space="0" w:color="auto"/>
                          </w:divBdr>
                        </w:div>
                        <w:div w:id="1137651336">
                          <w:marLeft w:val="0"/>
                          <w:marRight w:val="0"/>
                          <w:marTop w:val="0"/>
                          <w:marBottom w:val="0"/>
                          <w:divBdr>
                            <w:top w:val="none" w:sz="0" w:space="0" w:color="auto"/>
                            <w:left w:val="none" w:sz="0" w:space="0" w:color="auto"/>
                            <w:bottom w:val="none" w:sz="0" w:space="0" w:color="auto"/>
                            <w:right w:val="none" w:sz="0" w:space="0" w:color="auto"/>
                          </w:divBdr>
                        </w:div>
                        <w:div w:id="1137993394">
                          <w:marLeft w:val="0"/>
                          <w:marRight w:val="0"/>
                          <w:marTop w:val="0"/>
                          <w:marBottom w:val="0"/>
                          <w:divBdr>
                            <w:top w:val="none" w:sz="0" w:space="0" w:color="auto"/>
                            <w:left w:val="none" w:sz="0" w:space="0" w:color="auto"/>
                            <w:bottom w:val="none" w:sz="0" w:space="0" w:color="auto"/>
                            <w:right w:val="none" w:sz="0" w:space="0" w:color="auto"/>
                          </w:divBdr>
                        </w:div>
                        <w:div w:id="1138645579">
                          <w:marLeft w:val="0"/>
                          <w:marRight w:val="0"/>
                          <w:marTop w:val="0"/>
                          <w:marBottom w:val="0"/>
                          <w:divBdr>
                            <w:top w:val="none" w:sz="0" w:space="0" w:color="auto"/>
                            <w:left w:val="none" w:sz="0" w:space="0" w:color="auto"/>
                            <w:bottom w:val="none" w:sz="0" w:space="0" w:color="auto"/>
                            <w:right w:val="none" w:sz="0" w:space="0" w:color="auto"/>
                          </w:divBdr>
                        </w:div>
                        <w:div w:id="1238713564">
                          <w:marLeft w:val="0"/>
                          <w:marRight w:val="0"/>
                          <w:marTop w:val="0"/>
                          <w:marBottom w:val="0"/>
                          <w:divBdr>
                            <w:top w:val="none" w:sz="0" w:space="0" w:color="auto"/>
                            <w:left w:val="none" w:sz="0" w:space="0" w:color="auto"/>
                            <w:bottom w:val="none" w:sz="0" w:space="0" w:color="auto"/>
                            <w:right w:val="none" w:sz="0" w:space="0" w:color="auto"/>
                          </w:divBdr>
                        </w:div>
                        <w:div w:id="1241018712">
                          <w:marLeft w:val="0"/>
                          <w:marRight w:val="0"/>
                          <w:marTop w:val="0"/>
                          <w:marBottom w:val="0"/>
                          <w:divBdr>
                            <w:top w:val="none" w:sz="0" w:space="0" w:color="auto"/>
                            <w:left w:val="none" w:sz="0" w:space="0" w:color="auto"/>
                            <w:bottom w:val="none" w:sz="0" w:space="0" w:color="auto"/>
                            <w:right w:val="none" w:sz="0" w:space="0" w:color="auto"/>
                          </w:divBdr>
                        </w:div>
                        <w:div w:id="1341855803">
                          <w:marLeft w:val="0"/>
                          <w:marRight w:val="0"/>
                          <w:marTop w:val="0"/>
                          <w:marBottom w:val="0"/>
                          <w:divBdr>
                            <w:top w:val="none" w:sz="0" w:space="0" w:color="auto"/>
                            <w:left w:val="none" w:sz="0" w:space="0" w:color="auto"/>
                            <w:bottom w:val="none" w:sz="0" w:space="0" w:color="auto"/>
                            <w:right w:val="none" w:sz="0" w:space="0" w:color="auto"/>
                          </w:divBdr>
                        </w:div>
                        <w:div w:id="1345398995">
                          <w:marLeft w:val="0"/>
                          <w:marRight w:val="0"/>
                          <w:marTop w:val="0"/>
                          <w:marBottom w:val="0"/>
                          <w:divBdr>
                            <w:top w:val="none" w:sz="0" w:space="0" w:color="auto"/>
                            <w:left w:val="none" w:sz="0" w:space="0" w:color="auto"/>
                            <w:bottom w:val="none" w:sz="0" w:space="0" w:color="auto"/>
                            <w:right w:val="none" w:sz="0" w:space="0" w:color="auto"/>
                          </w:divBdr>
                        </w:div>
                        <w:div w:id="1409618714">
                          <w:marLeft w:val="0"/>
                          <w:marRight w:val="0"/>
                          <w:marTop w:val="0"/>
                          <w:marBottom w:val="0"/>
                          <w:divBdr>
                            <w:top w:val="none" w:sz="0" w:space="0" w:color="auto"/>
                            <w:left w:val="none" w:sz="0" w:space="0" w:color="auto"/>
                            <w:bottom w:val="none" w:sz="0" w:space="0" w:color="auto"/>
                            <w:right w:val="none" w:sz="0" w:space="0" w:color="auto"/>
                          </w:divBdr>
                        </w:div>
                        <w:div w:id="1452280773">
                          <w:marLeft w:val="0"/>
                          <w:marRight w:val="0"/>
                          <w:marTop w:val="0"/>
                          <w:marBottom w:val="0"/>
                          <w:divBdr>
                            <w:top w:val="none" w:sz="0" w:space="0" w:color="auto"/>
                            <w:left w:val="none" w:sz="0" w:space="0" w:color="auto"/>
                            <w:bottom w:val="none" w:sz="0" w:space="0" w:color="auto"/>
                            <w:right w:val="none" w:sz="0" w:space="0" w:color="auto"/>
                          </w:divBdr>
                        </w:div>
                        <w:div w:id="1462533653">
                          <w:marLeft w:val="0"/>
                          <w:marRight w:val="0"/>
                          <w:marTop w:val="0"/>
                          <w:marBottom w:val="0"/>
                          <w:divBdr>
                            <w:top w:val="none" w:sz="0" w:space="0" w:color="auto"/>
                            <w:left w:val="none" w:sz="0" w:space="0" w:color="auto"/>
                            <w:bottom w:val="none" w:sz="0" w:space="0" w:color="auto"/>
                            <w:right w:val="none" w:sz="0" w:space="0" w:color="auto"/>
                          </w:divBdr>
                        </w:div>
                        <w:div w:id="1465005509">
                          <w:marLeft w:val="0"/>
                          <w:marRight w:val="0"/>
                          <w:marTop w:val="0"/>
                          <w:marBottom w:val="0"/>
                          <w:divBdr>
                            <w:top w:val="none" w:sz="0" w:space="0" w:color="auto"/>
                            <w:left w:val="none" w:sz="0" w:space="0" w:color="auto"/>
                            <w:bottom w:val="none" w:sz="0" w:space="0" w:color="auto"/>
                            <w:right w:val="none" w:sz="0" w:space="0" w:color="auto"/>
                          </w:divBdr>
                        </w:div>
                        <w:div w:id="1559972765">
                          <w:marLeft w:val="0"/>
                          <w:marRight w:val="0"/>
                          <w:marTop w:val="0"/>
                          <w:marBottom w:val="0"/>
                          <w:divBdr>
                            <w:top w:val="none" w:sz="0" w:space="0" w:color="auto"/>
                            <w:left w:val="none" w:sz="0" w:space="0" w:color="auto"/>
                            <w:bottom w:val="none" w:sz="0" w:space="0" w:color="auto"/>
                            <w:right w:val="none" w:sz="0" w:space="0" w:color="auto"/>
                          </w:divBdr>
                        </w:div>
                        <w:div w:id="1575165882">
                          <w:marLeft w:val="0"/>
                          <w:marRight w:val="0"/>
                          <w:marTop w:val="0"/>
                          <w:marBottom w:val="0"/>
                          <w:divBdr>
                            <w:top w:val="none" w:sz="0" w:space="0" w:color="auto"/>
                            <w:left w:val="none" w:sz="0" w:space="0" w:color="auto"/>
                            <w:bottom w:val="none" w:sz="0" w:space="0" w:color="auto"/>
                            <w:right w:val="none" w:sz="0" w:space="0" w:color="auto"/>
                          </w:divBdr>
                        </w:div>
                        <w:div w:id="1594512688">
                          <w:marLeft w:val="0"/>
                          <w:marRight w:val="0"/>
                          <w:marTop w:val="0"/>
                          <w:marBottom w:val="0"/>
                          <w:divBdr>
                            <w:top w:val="none" w:sz="0" w:space="0" w:color="auto"/>
                            <w:left w:val="none" w:sz="0" w:space="0" w:color="auto"/>
                            <w:bottom w:val="none" w:sz="0" w:space="0" w:color="auto"/>
                            <w:right w:val="none" w:sz="0" w:space="0" w:color="auto"/>
                          </w:divBdr>
                        </w:div>
                        <w:div w:id="1711766125">
                          <w:marLeft w:val="0"/>
                          <w:marRight w:val="0"/>
                          <w:marTop w:val="0"/>
                          <w:marBottom w:val="0"/>
                          <w:divBdr>
                            <w:top w:val="none" w:sz="0" w:space="0" w:color="auto"/>
                            <w:left w:val="none" w:sz="0" w:space="0" w:color="auto"/>
                            <w:bottom w:val="none" w:sz="0" w:space="0" w:color="auto"/>
                            <w:right w:val="none" w:sz="0" w:space="0" w:color="auto"/>
                          </w:divBdr>
                        </w:div>
                        <w:div w:id="1725760580">
                          <w:marLeft w:val="0"/>
                          <w:marRight w:val="0"/>
                          <w:marTop w:val="0"/>
                          <w:marBottom w:val="0"/>
                          <w:divBdr>
                            <w:top w:val="none" w:sz="0" w:space="0" w:color="auto"/>
                            <w:left w:val="none" w:sz="0" w:space="0" w:color="auto"/>
                            <w:bottom w:val="none" w:sz="0" w:space="0" w:color="auto"/>
                            <w:right w:val="none" w:sz="0" w:space="0" w:color="auto"/>
                          </w:divBdr>
                        </w:div>
                        <w:div w:id="1799839688">
                          <w:marLeft w:val="0"/>
                          <w:marRight w:val="0"/>
                          <w:marTop w:val="0"/>
                          <w:marBottom w:val="0"/>
                          <w:divBdr>
                            <w:top w:val="none" w:sz="0" w:space="0" w:color="auto"/>
                            <w:left w:val="none" w:sz="0" w:space="0" w:color="auto"/>
                            <w:bottom w:val="none" w:sz="0" w:space="0" w:color="auto"/>
                            <w:right w:val="none" w:sz="0" w:space="0" w:color="auto"/>
                          </w:divBdr>
                        </w:div>
                        <w:div w:id="1817407516">
                          <w:marLeft w:val="0"/>
                          <w:marRight w:val="0"/>
                          <w:marTop w:val="0"/>
                          <w:marBottom w:val="0"/>
                          <w:divBdr>
                            <w:top w:val="none" w:sz="0" w:space="0" w:color="auto"/>
                            <w:left w:val="none" w:sz="0" w:space="0" w:color="auto"/>
                            <w:bottom w:val="none" w:sz="0" w:space="0" w:color="auto"/>
                            <w:right w:val="none" w:sz="0" w:space="0" w:color="auto"/>
                          </w:divBdr>
                        </w:div>
                        <w:div w:id="1909147628">
                          <w:marLeft w:val="0"/>
                          <w:marRight w:val="0"/>
                          <w:marTop w:val="0"/>
                          <w:marBottom w:val="0"/>
                          <w:divBdr>
                            <w:top w:val="none" w:sz="0" w:space="0" w:color="auto"/>
                            <w:left w:val="none" w:sz="0" w:space="0" w:color="auto"/>
                            <w:bottom w:val="none" w:sz="0" w:space="0" w:color="auto"/>
                            <w:right w:val="none" w:sz="0" w:space="0" w:color="auto"/>
                          </w:divBdr>
                        </w:div>
                        <w:div w:id="1920095950">
                          <w:marLeft w:val="0"/>
                          <w:marRight w:val="0"/>
                          <w:marTop w:val="0"/>
                          <w:marBottom w:val="0"/>
                          <w:divBdr>
                            <w:top w:val="none" w:sz="0" w:space="0" w:color="auto"/>
                            <w:left w:val="none" w:sz="0" w:space="0" w:color="auto"/>
                            <w:bottom w:val="none" w:sz="0" w:space="0" w:color="auto"/>
                            <w:right w:val="none" w:sz="0" w:space="0" w:color="auto"/>
                          </w:divBdr>
                        </w:div>
                        <w:div w:id="1939018501">
                          <w:marLeft w:val="0"/>
                          <w:marRight w:val="0"/>
                          <w:marTop w:val="0"/>
                          <w:marBottom w:val="0"/>
                          <w:divBdr>
                            <w:top w:val="none" w:sz="0" w:space="0" w:color="auto"/>
                            <w:left w:val="none" w:sz="0" w:space="0" w:color="auto"/>
                            <w:bottom w:val="none" w:sz="0" w:space="0" w:color="auto"/>
                            <w:right w:val="none" w:sz="0" w:space="0" w:color="auto"/>
                          </w:divBdr>
                        </w:div>
                        <w:div w:id="1996179336">
                          <w:marLeft w:val="0"/>
                          <w:marRight w:val="0"/>
                          <w:marTop w:val="0"/>
                          <w:marBottom w:val="0"/>
                          <w:divBdr>
                            <w:top w:val="none" w:sz="0" w:space="0" w:color="auto"/>
                            <w:left w:val="none" w:sz="0" w:space="0" w:color="auto"/>
                            <w:bottom w:val="none" w:sz="0" w:space="0" w:color="auto"/>
                            <w:right w:val="none" w:sz="0" w:space="0" w:color="auto"/>
                          </w:divBdr>
                        </w:div>
                        <w:div w:id="2013216068">
                          <w:marLeft w:val="0"/>
                          <w:marRight w:val="0"/>
                          <w:marTop w:val="0"/>
                          <w:marBottom w:val="0"/>
                          <w:divBdr>
                            <w:top w:val="none" w:sz="0" w:space="0" w:color="auto"/>
                            <w:left w:val="none" w:sz="0" w:space="0" w:color="auto"/>
                            <w:bottom w:val="none" w:sz="0" w:space="0" w:color="auto"/>
                            <w:right w:val="none" w:sz="0" w:space="0" w:color="auto"/>
                          </w:divBdr>
                        </w:div>
                        <w:div w:id="2092852135">
                          <w:marLeft w:val="0"/>
                          <w:marRight w:val="0"/>
                          <w:marTop w:val="0"/>
                          <w:marBottom w:val="0"/>
                          <w:divBdr>
                            <w:top w:val="none" w:sz="0" w:space="0" w:color="auto"/>
                            <w:left w:val="none" w:sz="0" w:space="0" w:color="auto"/>
                            <w:bottom w:val="none" w:sz="0" w:space="0" w:color="auto"/>
                            <w:right w:val="none" w:sz="0" w:space="0" w:color="auto"/>
                          </w:divBdr>
                        </w:div>
                        <w:div w:id="21308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667">
                  <w:marLeft w:val="0"/>
                  <w:marRight w:val="0"/>
                  <w:marTop w:val="15"/>
                  <w:marBottom w:val="0"/>
                  <w:divBdr>
                    <w:top w:val="none" w:sz="0" w:space="0" w:color="auto"/>
                    <w:left w:val="none" w:sz="0" w:space="0" w:color="auto"/>
                    <w:bottom w:val="none" w:sz="0" w:space="0" w:color="auto"/>
                    <w:right w:val="none" w:sz="0" w:space="0" w:color="auto"/>
                  </w:divBdr>
                  <w:divsChild>
                    <w:div w:id="2102408572">
                      <w:marLeft w:val="0"/>
                      <w:marRight w:val="0"/>
                      <w:marTop w:val="0"/>
                      <w:marBottom w:val="0"/>
                      <w:divBdr>
                        <w:top w:val="none" w:sz="0" w:space="0" w:color="auto"/>
                        <w:left w:val="none" w:sz="0" w:space="0" w:color="auto"/>
                        <w:bottom w:val="none" w:sz="0" w:space="0" w:color="auto"/>
                        <w:right w:val="none" w:sz="0" w:space="0" w:color="auto"/>
                      </w:divBdr>
                      <w:divsChild>
                        <w:div w:id="5333317">
                          <w:marLeft w:val="0"/>
                          <w:marRight w:val="0"/>
                          <w:marTop w:val="0"/>
                          <w:marBottom w:val="0"/>
                          <w:divBdr>
                            <w:top w:val="none" w:sz="0" w:space="0" w:color="auto"/>
                            <w:left w:val="none" w:sz="0" w:space="0" w:color="auto"/>
                            <w:bottom w:val="none" w:sz="0" w:space="0" w:color="auto"/>
                            <w:right w:val="none" w:sz="0" w:space="0" w:color="auto"/>
                          </w:divBdr>
                        </w:div>
                        <w:div w:id="32774401">
                          <w:marLeft w:val="0"/>
                          <w:marRight w:val="0"/>
                          <w:marTop w:val="0"/>
                          <w:marBottom w:val="0"/>
                          <w:divBdr>
                            <w:top w:val="none" w:sz="0" w:space="0" w:color="auto"/>
                            <w:left w:val="none" w:sz="0" w:space="0" w:color="auto"/>
                            <w:bottom w:val="none" w:sz="0" w:space="0" w:color="auto"/>
                            <w:right w:val="none" w:sz="0" w:space="0" w:color="auto"/>
                          </w:divBdr>
                        </w:div>
                        <w:div w:id="39524645">
                          <w:marLeft w:val="0"/>
                          <w:marRight w:val="0"/>
                          <w:marTop w:val="0"/>
                          <w:marBottom w:val="0"/>
                          <w:divBdr>
                            <w:top w:val="none" w:sz="0" w:space="0" w:color="auto"/>
                            <w:left w:val="none" w:sz="0" w:space="0" w:color="auto"/>
                            <w:bottom w:val="none" w:sz="0" w:space="0" w:color="auto"/>
                            <w:right w:val="none" w:sz="0" w:space="0" w:color="auto"/>
                          </w:divBdr>
                        </w:div>
                        <w:div w:id="55975043">
                          <w:marLeft w:val="0"/>
                          <w:marRight w:val="0"/>
                          <w:marTop w:val="0"/>
                          <w:marBottom w:val="0"/>
                          <w:divBdr>
                            <w:top w:val="none" w:sz="0" w:space="0" w:color="auto"/>
                            <w:left w:val="none" w:sz="0" w:space="0" w:color="auto"/>
                            <w:bottom w:val="none" w:sz="0" w:space="0" w:color="auto"/>
                            <w:right w:val="none" w:sz="0" w:space="0" w:color="auto"/>
                          </w:divBdr>
                        </w:div>
                        <w:div w:id="63458444">
                          <w:marLeft w:val="0"/>
                          <w:marRight w:val="0"/>
                          <w:marTop w:val="0"/>
                          <w:marBottom w:val="0"/>
                          <w:divBdr>
                            <w:top w:val="none" w:sz="0" w:space="0" w:color="auto"/>
                            <w:left w:val="none" w:sz="0" w:space="0" w:color="auto"/>
                            <w:bottom w:val="none" w:sz="0" w:space="0" w:color="auto"/>
                            <w:right w:val="none" w:sz="0" w:space="0" w:color="auto"/>
                          </w:divBdr>
                        </w:div>
                        <w:div w:id="76949140">
                          <w:marLeft w:val="0"/>
                          <w:marRight w:val="0"/>
                          <w:marTop w:val="0"/>
                          <w:marBottom w:val="0"/>
                          <w:divBdr>
                            <w:top w:val="none" w:sz="0" w:space="0" w:color="auto"/>
                            <w:left w:val="none" w:sz="0" w:space="0" w:color="auto"/>
                            <w:bottom w:val="none" w:sz="0" w:space="0" w:color="auto"/>
                            <w:right w:val="none" w:sz="0" w:space="0" w:color="auto"/>
                          </w:divBdr>
                        </w:div>
                        <w:div w:id="78184695">
                          <w:marLeft w:val="0"/>
                          <w:marRight w:val="0"/>
                          <w:marTop w:val="0"/>
                          <w:marBottom w:val="0"/>
                          <w:divBdr>
                            <w:top w:val="none" w:sz="0" w:space="0" w:color="auto"/>
                            <w:left w:val="none" w:sz="0" w:space="0" w:color="auto"/>
                            <w:bottom w:val="none" w:sz="0" w:space="0" w:color="auto"/>
                            <w:right w:val="none" w:sz="0" w:space="0" w:color="auto"/>
                          </w:divBdr>
                        </w:div>
                        <w:div w:id="98570733">
                          <w:marLeft w:val="0"/>
                          <w:marRight w:val="0"/>
                          <w:marTop w:val="0"/>
                          <w:marBottom w:val="0"/>
                          <w:divBdr>
                            <w:top w:val="none" w:sz="0" w:space="0" w:color="auto"/>
                            <w:left w:val="none" w:sz="0" w:space="0" w:color="auto"/>
                            <w:bottom w:val="none" w:sz="0" w:space="0" w:color="auto"/>
                            <w:right w:val="none" w:sz="0" w:space="0" w:color="auto"/>
                          </w:divBdr>
                        </w:div>
                        <w:div w:id="124544590">
                          <w:marLeft w:val="0"/>
                          <w:marRight w:val="0"/>
                          <w:marTop w:val="0"/>
                          <w:marBottom w:val="0"/>
                          <w:divBdr>
                            <w:top w:val="none" w:sz="0" w:space="0" w:color="auto"/>
                            <w:left w:val="none" w:sz="0" w:space="0" w:color="auto"/>
                            <w:bottom w:val="none" w:sz="0" w:space="0" w:color="auto"/>
                            <w:right w:val="none" w:sz="0" w:space="0" w:color="auto"/>
                          </w:divBdr>
                        </w:div>
                        <w:div w:id="135421176">
                          <w:marLeft w:val="0"/>
                          <w:marRight w:val="0"/>
                          <w:marTop w:val="0"/>
                          <w:marBottom w:val="0"/>
                          <w:divBdr>
                            <w:top w:val="none" w:sz="0" w:space="0" w:color="auto"/>
                            <w:left w:val="none" w:sz="0" w:space="0" w:color="auto"/>
                            <w:bottom w:val="none" w:sz="0" w:space="0" w:color="auto"/>
                            <w:right w:val="none" w:sz="0" w:space="0" w:color="auto"/>
                          </w:divBdr>
                        </w:div>
                        <w:div w:id="148644124">
                          <w:marLeft w:val="0"/>
                          <w:marRight w:val="0"/>
                          <w:marTop w:val="0"/>
                          <w:marBottom w:val="0"/>
                          <w:divBdr>
                            <w:top w:val="none" w:sz="0" w:space="0" w:color="auto"/>
                            <w:left w:val="none" w:sz="0" w:space="0" w:color="auto"/>
                            <w:bottom w:val="none" w:sz="0" w:space="0" w:color="auto"/>
                            <w:right w:val="none" w:sz="0" w:space="0" w:color="auto"/>
                          </w:divBdr>
                        </w:div>
                        <w:div w:id="159393550">
                          <w:marLeft w:val="0"/>
                          <w:marRight w:val="0"/>
                          <w:marTop w:val="0"/>
                          <w:marBottom w:val="0"/>
                          <w:divBdr>
                            <w:top w:val="none" w:sz="0" w:space="0" w:color="auto"/>
                            <w:left w:val="none" w:sz="0" w:space="0" w:color="auto"/>
                            <w:bottom w:val="none" w:sz="0" w:space="0" w:color="auto"/>
                            <w:right w:val="none" w:sz="0" w:space="0" w:color="auto"/>
                          </w:divBdr>
                        </w:div>
                        <w:div w:id="194200945">
                          <w:marLeft w:val="0"/>
                          <w:marRight w:val="0"/>
                          <w:marTop w:val="0"/>
                          <w:marBottom w:val="0"/>
                          <w:divBdr>
                            <w:top w:val="none" w:sz="0" w:space="0" w:color="auto"/>
                            <w:left w:val="none" w:sz="0" w:space="0" w:color="auto"/>
                            <w:bottom w:val="none" w:sz="0" w:space="0" w:color="auto"/>
                            <w:right w:val="none" w:sz="0" w:space="0" w:color="auto"/>
                          </w:divBdr>
                        </w:div>
                        <w:div w:id="235481713">
                          <w:marLeft w:val="0"/>
                          <w:marRight w:val="0"/>
                          <w:marTop w:val="0"/>
                          <w:marBottom w:val="0"/>
                          <w:divBdr>
                            <w:top w:val="none" w:sz="0" w:space="0" w:color="auto"/>
                            <w:left w:val="none" w:sz="0" w:space="0" w:color="auto"/>
                            <w:bottom w:val="none" w:sz="0" w:space="0" w:color="auto"/>
                            <w:right w:val="none" w:sz="0" w:space="0" w:color="auto"/>
                          </w:divBdr>
                        </w:div>
                        <w:div w:id="286739013">
                          <w:marLeft w:val="0"/>
                          <w:marRight w:val="0"/>
                          <w:marTop w:val="0"/>
                          <w:marBottom w:val="0"/>
                          <w:divBdr>
                            <w:top w:val="none" w:sz="0" w:space="0" w:color="auto"/>
                            <w:left w:val="none" w:sz="0" w:space="0" w:color="auto"/>
                            <w:bottom w:val="none" w:sz="0" w:space="0" w:color="auto"/>
                            <w:right w:val="none" w:sz="0" w:space="0" w:color="auto"/>
                          </w:divBdr>
                        </w:div>
                        <w:div w:id="290867463">
                          <w:marLeft w:val="0"/>
                          <w:marRight w:val="0"/>
                          <w:marTop w:val="0"/>
                          <w:marBottom w:val="0"/>
                          <w:divBdr>
                            <w:top w:val="none" w:sz="0" w:space="0" w:color="auto"/>
                            <w:left w:val="none" w:sz="0" w:space="0" w:color="auto"/>
                            <w:bottom w:val="none" w:sz="0" w:space="0" w:color="auto"/>
                            <w:right w:val="none" w:sz="0" w:space="0" w:color="auto"/>
                          </w:divBdr>
                        </w:div>
                        <w:div w:id="293147129">
                          <w:marLeft w:val="0"/>
                          <w:marRight w:val="0"/>
                          <w:marTop w:val="0"/>
                          <w:marBottom w:val="0"/>
                          <w:divBdr>
                            <w:top w:val="none" w:sz="0" w:space="0" w:color="auto"/>
                            <w:left w:val="none" w:sz="0" w:space="0" w:color="auto"/>
                            <w:bottom w:val="none" w:sz="0" w:space="0" w:color="auto"/>
                            <w:right w:val="none" w:sz="0" w:space="0" w:color="auto"/>
                          </w:divBdr>
                        </w:div>
                        <w:div w:id="317729565">
                          <w:marLeft w:val="0"/>
                          <w:marRight w:val="0"/>
                          <w:marTop w:val="0"/>
                          <w:marBottom w:val="0"/>
                          <w:divBdr>
                            <w:top w:val="none" w:sz="0" w:space="0" w:color="auto"/>
                            <w:left w:val="none" w:sz="0" w:space="0" w:color="auto"/>
                            <w:bottom w:val="none" w:sz="0" w:space="0" w:color="auto"/>
                            <w:right w:val="none" w:sz="0" w:space="0" w:color="auto"/>
                          </w:divBdr>
                        </w:div>
                        <w:div w:id="365060294">
                          <w:marLeft w:val="0"/>
                          <w:marRight w:val="0"/>
                          <w:marTop w:val="0"/>
                          <w:marBottom w:val="0"/>
                          <w:divBdr>
                            <w:top w:val="none" w:sz="0" w:space="0" w:color="auto"/>
                            <w:left w:val="none" w:sz="0" w:space="0" w:color="auto"/>
                            <w:bottom w:val="none" w:sz="0" w:space="0" w:color="auto"/>
                            <w:right w:val="none" w:sz="0" w:space="0" w:color="auto"/>
                          </w:divBdr>
                        </w:div>
                        <w:div w:id="408576678">
                          <w:marLeft w:val="0"/>
                          <w:marRight w:val="0"/>
                          <w:marTop w:val="0"/>
                          <w:marBottom w:val="0"/>
                          <w:divBdr>
                            <w:top w:val="none" w:sz="0" w:space="0" w:color="auto"/>
                            <w:left w:val="none" w:sz="0" w:space="0" w:color="auto"/>
                            <w:bottom w:val="none" w:sz="0" w:space="0" w:color="auto"/>
                            <w:right w:val="none" w:sz="0" w:space="0" w:color="auto"/>
                          </w:divBdr>
                        </w:div>
                        <w:div w:id="442505275">
                          <w:marLeft w:val="0"/>
                          <w:marRight w:val="0"/>
                          <w:marTop w:val="0"/>
                          <w:marBottom w:val="0"/>
                          <w:divBdr>
                            <w:top w:val="none" w:sz="0" w:space="0" w:color="auto"/>
                            <w:left w:val="none" w:sz="0" w:space="0" w:color="auto"/>
                            <w:bottom w:val="none" w:sz="0" w:space="0" w:color="auto"/>
                            <w:right w:val="none" w:sz="0" w:space="0" w:color="auto"/>
                          </w:divBdr>
                        </w:div>
                        <w:div w:id="464734396">
                          <w:marLeft w:val="0"/>
                          <w:marRight w:val="0"/>
                          <w:marTop w:val="0"/>
                          <w:marBottom w:val="0"/>
                          <w:divBdr>
                            <w:top w:val="none" w:sz="0" w:space="0" w:color="auto"/>
                            <w:left w:val="none" w:sz="0" w:space="0" w:color="auto"/>
                            <w:bottom w:val="none" w:sz="0" w:space="0" w:color="auto"/>
                            <w:right w:val="none" w:sz="0" w:space="0" w:color="auto"/>
                          </w:divBdr>
                        </w:div>
                        <w:div w:id="491607985">
                          <w:marLeft w:val="0"/>
                          <w:marRight w:val="0"/>
                          <w:marTop w:val="0"/>
                          <w:marBottom w:val="0"/>
                          <w:divBdr>
                            <w:top w:val="none" w:sz="0" w:space="0" w:color="auto"/>
                            <w:left w:val="none" w:sz="0" w:space="0" w:color="auto"/>
                            <w:bottom w:val="none" w:sz="0" w:space="0" w:color="auto"/>
                            <w:right w:val="none" w:sz="0" w:space="0" w:color="auto"/>
                          </w:divBdr>
                        </w:div>
                        <w:div w:id="493229622">
                          <w:marLeft w:val="0"/>
                          <w:marRight w:val="0"/>
                          <w:marTop w:val="0"/>
                          <w:marBottom w:val="0"/>
                          <w:divBdr>
                            <w:top w:val="none" w:sz="0" w:space="0" w:color="auto"/>
                            <w:left w:val="none" w:sz="0" w:space="0" w:color="auto"/>
                            <w:bottom w:val="none" w:sz="0" w:space="0" w:color="auto"/>
                            <w:right w:val="none" w:sz="0" w:space="0" w:color="auto"/>
                          </w:divBdr>
                        </w:div>
                        <w:div w:id="511259426">
                          <w:marLeft w:val="0"/>
                          <w:marRight w:val="0"/>
                          <w:marTop w:val="0"/>
                          <w:marBottom w:val="0"/>
                          <w:divBdr>
                            <w:top w:val="none" w:sz="0" w:space="0" w:color="auto"/>
                            <w:left w:val="none" w:sz="0" w:space="0" w:color="auto"/>
                            <w:bottom w:val="none" w:sz="0" w:space="0" w:color="auto"/>
                            <w:right w:val="none" w:sz="0" w:space="0" w:color="auto"/>
                          </w:divBdr>
                        </w:div>
                        <w:div w:id="533007424">
                          <w:marLeft w:val="0"/>
                          <w:marRight w:val="0"/>
                          <w:marTop w:val="0"/>
                          <w:marBottom w:val="0"/>
                          <w:divBdr>
                            <w:top w:val="none" w:sz="0" w:space="0" w:color="auto"/>
                            <w:left w:val="none" w:sz="0" w:space="0" w:color="auto"/>
                            <w:bottom w:val="none" w:sz="0" w:space="0" w:color="auto"/>
                            <w:right w:val="none" w:sz="0" w:space="0" w:color="auto"/>
                          </w:divBdr>
                        </w:div>
                        <w:div w:id="533159300">
                          <w:marLeft w:val="0"/>
                          <w:marRight w:val="0"/>
                          <w:marTop w:val="0"/>
                          <w:marBottom w:val="0"/>
                          <w:divBdr>
                            <w:top w:val="none" w:sz="0" w:space="0" w:color="auto"/>
                            <w:left w:val="none" w:sz="0" w:space="0" w:color="auto"/>
                            <w:bottom w:val="none" w:sz="0" w:space="0" w:color="auto"/>
                            <w:right w:val="none" w:sz="0" w:space="0" w:color="auto"/>
                          </w:divBdr>
                        </w:div>
                        <w:div w:id="580287115">
                          <w:marLeft w:val="0"/>
                          <w:marRight w:val="0"/>
                          <w:marTop w:val="0"/>
                          <w:marBottom w:val="0"/>
                          <w:divBdr>
                            <w:top w:val="none" w:sz="0" w:space="0" w:color="auto"/>
                            <w:left w:val="none" w:sz="0" w:space="0" w:color="auto"/>
                            <w:bottom w:val="none" w:sz="0" w:space="0" w:color="auto"/>
                            <w:right w:val="none" w:sz="0" w:space="0" w:color="auto"/>
                          </w:divBdr>
                        </w:div>
                        <w:div w:id="643243257">
                          <w:marLeft w:val="0"/>
                          <w:marRight w:val="0"/>
                          <w:marTop w:val="0"/>
                          <w:marBottom w:val="0"/>
                          <w:divBdr>
                            <w:top w:val="none" w:sz="0" w:space="0" w:color="auto"/>
                            <w:left w:val="none" w:sz="0" w:space="0" w:color="auto"/>
                            <w:bottom w:val="none" w:sz="0" w:space="0" w:color="auto"/>
                            <w:right w:val="none" w:sz="0" w:space="0" w:color="auto"/>
                          </w:divBdr>
                        </w:div>
                        <w:div w:id="651181105">
                          <w:marLeft w:val="0"/>
                          <w:marRight w:val="0"/>
                          <w:marTop w:val="0"/>
                          <w:marBottom w:val="0"/>
                          <w:divBdr>
                            <w:top w:val="none" w:sz="0" w:space="0" w:color="auto"/>
                            <w:left w:val="none" w:sz="0" w:space="0" w:color="auto"/>
                            <w:bottom w:val="none" w:sz="0" w:space="0" w:color="auto"/>
                            <w:right w:val="none" w:sz="0" w:space="0" w:color="auto"/>
                          </w:divBdr>
                        </w:div>
                        <w:div w:id="657811695">
                          <w:marLeft w:val="0"/>
                          <w:marRight w:val="0"/>
                          <w:marTop w:val="0"/>
                          <w:marBottom w:val="0"/>
                          <w:divBdr>
                            <w:top w:val="none" w:sz="0" w:space="0" w:color="auto"/>
                            <w:left w:val="none" w:sz="0" w:space="0" w:color="auto"/>
                            <w:bottom w:val="none" w:sz="0" w:space="0" w:color="auto"/>
                            <w:right w:val="none" w:sz="0" w:space="0" w:color="auto"/>
                          </w:divBdr>
                        </w:div>
                        <w:div w:id="665091339">
                          <w:marLeft w:val="0"/>
                          <w:marRight w:val="0"/>
                          <w:marTop w:val="0"/>
                          <w:marBottom w:val="0"/>
                          <w:divBdr>
                            <w:top w:val="none" w:sz="0" w:space="0" w:color="auto"/>
                            <w:left w:val="none" w:sz="0" w:space="0" w:color="auto"/>
                            <w:bottom w:val="none" w:sz="0" w:space="0" w:color="auto"/>
                            <w:right w:val="none" w:sz="0" w:space="0" w:color="auto"/>
                          </w:divBdr>
                        </w:div>
                        <w:div w:id="684595082">
                          <w:marLeft w:val="0"/>
                          <w:marRight w:val="0"/>
                          <w:marTop w:val="0"/>
                          <w:marBottom w:val="0"/>
                          <w:divBdr>
                            <w:top w:val="none" w:sz="0" w:space="0" w:color="auto"/>
                            <w:left w:val="none" w:sz="0" w:space="0" w:color="auto"/>
                            <w:bottom w:val="none" w:sz="0" w:space="0" w:color="auto"/>
                            <w:right w:val="none" w:sz="0" w:space="0" w:color="auto"/>
                          </w:divBdr>
                        </w:div>
                        <w:div w:id="715736232">
                          <w:marLeft w:val="0"/>
                          <w:marRight w:val="0"/>
                          <w:marTop w:val="0"/>
                          <w:marBottom w:val="0"/>
                          <w:divBdr>
                            <w:top w:val="none" w:sz="0" w:space="0" w:color="auto"/>
                            <w:left w:val="none" w:sz="0" w:space="0" w:color="auto"/>
                            <w:bottom w:val="none" w:sz="0" w:space="0" w:color="auto"/>
                            <w:right w:val="none" w:sz="0" w:space="0" w:color="auto"/>
                          </w:divBdr>
                        </w:div>
                        <w:div w:id="740717930">
                          <w:marLeft w:val="0"/>
                          <w:marRight w:val="0"/>
                          <w:marTop w:val="0"/>
                          <w:marBottom w:val="0"/>
                          <w:divBdr>
                            <w:top w:val="none" w:sz="0" w:space="0" w:color="auto"/>
                            <w:left w:val="none" w:sz="0" w:space="0" w:color="auto"/>
                            <w:bottom w:val="none" w:sz="0" w:space="0" w:color="auto"/>
                            <w:right w:val="none" w:sz="0" w:space="0" w:color="auto"/>
                          </w:divBdr>
                        </w:div>
                        <w:div w:id="759446638">
                          <w:marLeft w:val="0"/>
                          <w:marRight w:val="0"/>
                          <w:marTop w:val="0"/>
                          <w:marBottom w:val="0"/>
                          <w:divBdr>
                            <w:top w:val="none" w:sz="0" w:space="0" w:color="auto"/>
                            <w:left w:val="none" w:sz="0" w:space="0" w:color="auto"/>
                            <w:bottom w:val="none" w:sz="0" w:space="0" w:color="auto"/>
                            <w:right w:val="none" w:sz="0" w:space="0" w:color="auto"/>
                          </w:divBdr>
                        </w:div>
                        <w:div w:id="766390496">
                          <w:marLeft w:val="0"/>
                          <w:marRight w:val="0"/>
                          <w:marTop w:val="0"/>
                          <w:marBottom w:val="0"/>
                          <w:divBdr>
                            <w:top w:val="none" w:sz="0" w:space="0" w:color="auto"/>
                            <w:left w:val="none" w:sz="0" w:space="0" w:color="auto"/>
                            <w:bottom w:val="none" w:sz="0" w:space="0" w:color="auto"/>
                            <w:right w:val="none" w:sz="0" w:space="0" w:color="auto"/>
                          </w:divBdr>
                        </w:div>
                        <w:div w:id="799230709">
                          <w:marLeft w:val="0"/>
                          <w:marRight w:val="0"/>
                          <w:marTop w:val="0"/>
                          <w:marBottom w:val="0"/>
                          <w:divBdr>
                            <w:top w:val="none" w:sz="0" w:space="0" w:color="auto"/>
                            <w:left w:val="none" w:sz="0" w:space="0" w:color="auto"/>
                            <w:bottom w:val="none" w:sz="0" w:space="0" w:color="auto"/>
                            <w:right w:val="none" w:sz="0" w:space="0" w:color="auto"/>
                          </w:divBdr>
                        </w:div>
                        <w:div w:id="807431955">
                          <w:marLeft w:val="0"/>
                          <w:marRight w:val="0"/>
                          <w:marTop w:val="0"/>
                          <w:marBottom w:val="0"/>
                          <w:divBdr>
                            <w:top w:val="none" w:sz="0" w:space="0" w:color="auto"/>
                            <w:left w:val="none" w:sz="0" w:space="0" w:color="auto"/>
                            <w:bottom w:val="none" w:sz="0" w:space="0" w:color="auto"/>
                            <w:right w:val="none" w:sz="0" w:space="0" w:color="auto"/>
                          </w:divBdr>
                        </w:div>
                        <w:div w:id="845822401">
                          <w:marLeft w:val="0"/>
                          <w:marRight w:val="0"/>
                          <w:marTop w:val="0"/>
                          <w:marBottom w:val="0"/>
                          <w:divBdr>
                            <w:top w:val="none" w:sz="0" w:space="0" w:color="auto"/>
                            <w:left w:val="none" w:sz="0" w:space="0" w:color="auto"/>
                            <w:bottom w:val="none" w:sz="0" w:space="0" w:color="auto"/>
                            <w:right w:val="none" w:sz="0" w:space="0" w:color="auto"/>
                          </w:divBdr>
                        </w:div>
                        <w:div w:id="900404336">
                          <w:marLeft w:val="0"/>
                          <w:marRight w:val="0"/>
                          <w:marTop w:val="0"/>
                          <w:marBottom w:val="0"/>
                          <w:divBdr>
                            <w:top w:val="none" w:sz="0" w:space="0" w:color="auto"/>
                            <w:left w:val="none" w:sz="0" w:space="0" w:color="auto"/>
                            <w:bottom w:val="none" w:sz="0" w:space="0" w:color="auto"/>
                            <w:right w:val="none" w:sz="0" w:space="0" w:color="auto"/>
                          </w:divBdr>
                        </w:div>
                        <w:div w:id="906184383">
                          <w:marLeft w:val="0"/>
                          <w:marRight w:val="0"/>
                          <w:marTop w:val="0"/>
                          <w:marBottom w:val="0"/>
                          <w:divBdr>
                            <w:top w:val="none" w:sz="0" w:space="0" w:color="auto"/>
                            <w:left w:val="none" w:sz="0" w:space="0" w:color="auto"/>
                            <w:bottom w:val="none" w:sz="0" w:space="0" w:color="auto"/>
                            <w:right w:val="none" w:sz="0" w:space="0" w:color="auto"/>
                          </w:divBdr>
                        </w:div>
                        <w:div w:id="922449498">
                          <w:marLeft w:val="0"/>
                          <w:marRight w:val="0"/>
                          <w:marTop w:val="0"/>
                          <w:marBottom w:val="0"/>
                          <w:divBdr>
                            <w:top w:val="none" w:sz="0" w:space="0" w:color="auto"/>
                            <w:left w:val="none" w:sz="0" w:space="0" w:color="auto"/>
                            <w:bottom w:val="none" w:sz="0" w:space="0" w:color="auto"/>
                            <w:right w:val="none" w:sz="0" w:space="0" w:color="auto"/>
                          </w:divBdr>
                        </w:div>
                        <w:div w:id="963996457">
                          <w:marLeft w:val="0"/>
                          <w:marRight w:val="0"/>
                          <w:marTop w:val="0"/>
                          <w:marBottom w:val="0"/>
                          <w:divBdr>
                            <w:top w:val="none" w:sz="0" w:space="0" w:color="auto"/>
                            <w:left w:val="none" w:sz="0" w:space="0" w:color="auto"/>
                            <w:bottom w:val="none" w:sz="0" w:space="0" w:color="auto"/>
                            <w:right w:val="none" w:sz="0" w:space="0" w:color="auto"/>
                          </w:divBdr>
                        </w:div>
                        <w:div w:id="964895578">
                          <w:marLeft w:val="0"/>
                          <w:marRight w:val="0"/>
                          <w:marTop w:val="0"/>
                          <w:marBottom w:val="0"/>
                          <w:divBdr>
                            <w:top w:val="none" w:sz="0" w:space="0" w:color="auto"/>
                            <w:left w:val="none" w:sz="0" w:space="0" w:color="auto"/>
                            <w:bottom w:val="none" w:sz="0" w:space="0" w:color="auto"/>
                            <w:right w:val="none" w:sz="0" w:space="0" w:color="auto"/>
                          </w:divBdr>
                        </w:div>
                        <w:div w:id="977107402">
                          <w:marLeft w:val="0"/>
                          <w:marRight w:val="0"/>
                          <w:marTop w:val="0"/>
                          <w:marBottom w:val="0"/>
                          <w:divBdr>
                            <w:top w:val="none" w:sz="0" w:space="0" w:color="auto"/>
                            <w:left w:val="none" w:sz="0" w:space="0" w:color="auto"/>
                            <w:bottom w:val="none" w:sz="0" w:space="0" w:color="auto"/>
                            <w:right w:val="none" w:sz="0" w:space="0" w:color="auto"/>
                          </w:divBdr>
                        </w:div>
                        <w:div w:id="1006051716">
                          <w:marLeft w:val="0"/>
                          <w:marRight w:val="0"/>
                          <w:marTop w:val="0"/>
                          <w:marBottom w:val="0"/>
                          <w:divBdr>
                            <w:top w:val="none" w:sz="0" w:space="0" w:color="auto"/>
                            <w:left w:val="none" w:sz="0" w:space="0" w:color="auto"/>
                            <w:bottom w:val="none" w:sz="0" w:space="0" w:color="auto"/>
                            <w:right w:val="none" w:sz="0" w:space="0" w:color="auto"/>
                          </w:divBdr>
                        </w:div>
                        <w:div w:id="1007098252">
                          <w:marLeft w:val="0"/>
                          <w:marRight w:val="0"/>
                          <w:marTop w:val="0"/>
                          <w:marBottom w:val="0"/>
                          <w:divBdr>
                            <w:top w:val="none" w:sz="0" w:space="0" w:color="auto"/>
                            <w:left w:val="none" w:sz="0" w:space="0" w:color="auto"/>
                            <w:bottom w:val="none" w:sz="0" w:space="0" w:color="auto"/>
                            <w:right w:val="none" w:sz="0" w:space="0" w:color="auto"/>
                          </w:divBdr>
                        </w:div>
                        <w:div w:id="1011105747">
                          <w:marLeft w:val="0"/>
                          <w:marRight w:val="0"/>
                          <w:marTop w:val="0"/>
                          <w:marBottom w:val="0"/>
                          <w:divBdr>
                            <w:top w:val="none" w:sz="0" w:space="0" w:color="auto"/>
                            <w:left w:val="none" w:sz="0" w:space="0" w:color="auto"/>
                            <w:bottom w:val="none" w:sz="0" w:space="0" w:color="auto"/>
                            <w:right w:val="none" w:sz="0" w:space="0" w:color="auto"/>
                          </w:divBdr>
                        </w:div>
                        <w:div w:id="1024667941">
                          <w:marLeft w:val="0"/>
                          <w:marRight w:val="0"/>
                          <w:marTop w:val="0"/>
                          <w:marBottom w:val="0"/>
                          <w:divBdr>
                            <w:top w:val="none" w:sz="0" w:space="0" w:color="auto"/>
                            <w:left w:val="none" w:sz="0" w:space="0" w:color="auto"/>
                            <w:bottom w:val="none" w:sz="0" w:space="0" w:color="auto"/>
                            <w:right w:val="none" w:sz="0" w:space="0" w:color="auto"/>
                          </w:divBdr>
                        </w:div>
                        <w:div w:id="1052272976">
                          <w:marLeft w:val="0"/>
                          <w:marRight w:val="0"/>
                          <w:marTop w:val="0"/>
                          <w:marBottom w:val="0"/>
                          <w:divBdr>
                            <w:top w:val="none" w:sz="0" w:space="0" w:color="auto"/>
                            <w:left w:val="none" w:sz="0" w:space="0" w:color="auto"/>
                            <w:bottom w:val="none" w:sz="0" w:space="0" w:color="auto"/>
                            <w:right w:val="none" w:sz="0" w:space="0" w:color="auto"/>
                          </w:divBdr>
                        </w:div>
                        <w:div w:id="1106773537">
                          <w:marLeft w:val="0"/>
                          <w:marRight w:val="0"/>
                          <w:marTop w:val="0"/>
                          <w:marBottom w:val="0"/>
                          <w:divBdr>
                            <w:top w:val="none" w:sz="0" w:space="0" w:color="auto"/>
                            <w:left w:val="none" w:sz="0" w:space="0" w:color="auto"/>
                            <w:bottom w:val="none" w:sz="0" w:space="0" w:color="auto"/>
                            <w:right w:val="none" w:sz="0" w:space="0" w:color="auto"/>
                          </w:divBdr>
                        </w:div>
                        <w:div w:id="1149326352">
                          <w:marLeft w:val="0"/>
                          <w:marRight w:val="0"/>
                          <w:marTop w:val="0"/>
                          <w:marBottom w:val="0"/>
                          <w:divBdr>
                            <w:top w:val="none" w:sz="0" w:space="0" w:color="auto"/>
                            <w:left w:val="none" w:sz="0" w:space="0" w:color="auto"/>
                            <w:bottom w:val="none" w:sz="0" w:space="0" w:color="auto"/>
                            <w:right w:val="none" w:sz="0" w:space="0" w:color="auto"/>
                          </w:divBdr>
                        </w:div>
                        <w:div w:id="1150827592">
                          <w:marLeft w:val="0"/>
                          <w:marRight w:val="0"/>
                          <w:marTop w:val="0"/>
                          <w:marBottom w:val="0"/>
                          <w:divBdr>
                            <w:top w:val="none" w:sz="0" w:space="0" w:color="auto"/>
                            <w:left w:val="none" w:sz="0" w:space="0" w:color="auto"/>
                            <w:bottom w:val="none" w:sz="0" w:space="0" w:color="auto"/>
                            <w:right w:val="none" w:sz="0" w:space="0" w:color="auto"/>
                          </w:divBdr>
                        </w:div>
                        <w:div w:id="1153333513">
                          <w:marLeft w:val="0"/>
                          <w:marRight w:val="0"/>
                          <w:marTop w:val="0"/>
                          <w:marBottom w:val="0"/>
                          <w:divBdr>
                            <w:top w:val="none" w:sz="0" w:space="0" w:color="auto"/>
                            <w:left w:val="none" w:sz="0" w:space="0" w:color="auto"/>
                            <w:bottom w:val="none" w:sz="0" w:space="0" w:color="auto"/>
                            <w:right w:val="none" w:sz="0" w:space="0" w:color="auto"/>
                          </w:divBdr>
                        </w:div>
                        <w:div w:id="1162966562">
                          <w:marLeft w:val="0"/>
                          <w:marRight w:val="0"/>
                          <w:marTop w:val="0"/>
                          <w:marBottom w:val="0"/>
                          <w:divBdr>
                            <w:top w:val="none" w:sz="0" w:space="0" w:color="auto"/>
                            <w:left w:val="none" w:sz="0" w:space="0" w:color="auto"/>
                            <w:bottom w:val="none" w:sz="0" w:space="0" w:color="auto"/>
                            <w:right w:val="none" w:sz="0" w:space="0" w:color="auto"/>
                          </w:divBdr>
                        </w:div>
                        <w:div w:id="1174422515">
                          <w:marLeft w:val="0"/>
                          <w:marRight w:val="0"/>
                          <w:marTop w:val="0"/>
                          <w:marBottom w:val="0"/>
                          <w:divBdr>
                            <w:top w:val="none" w:sz="0" w:space="0" w:color="auto"/>
                            <w:left w:val="none" w:sz="0" w:space="0" w:color="auto"/>
                            <w:bottom w:val="none" w:sz="0" w:space="0" w:color="auto"/>
                            <w:right w:val="none" w:sz="0" w:space="0" w:color="auto"/>
                          </w:divBdr>
                        </w:div>
                        <w:div w:id="1183282227">
                          <w:marLeft w:val="0"/>
                          <w:marRight w:val="0"/>
                          <w:marTop w:val="0"/>
                          <w:marBottom w:val="0"/>
                          <w:divBdr>
                            <w:top w:val="none" w:sz="0" w:space="0" w:color="auto"/>
                            <w:left w:val="none" w:sz="0" w:space="0" w:color="auto"/>
                            <w:bottom w:val="none" w:sz="0" w:space="0" w:color="auto"/>
                            <w:right w:val="none" w:sz="0" w:space="0" w:color="auto"/>
                          </w:divBdr>
                        </w:div>
                        <w:div w:id="1256014659">
                          <w:marLeft w:val="0"/>
                          <w:marRight w:val="0"/>
                          <w:marTop w:val="0"/>
                          <w:marBottom w:val="0"/>
                          <w:divBdr>
                            <w:top w:val="none" w:sz="0" w:space="0" w:color="auto"/>
                            <w:left w:val="none" w:sz="0" w:space="0" w:color="auto"/>
                            <w:bottom w:val="none" w:sz="0" w:space="0" w:color="auto"/>
                            <w:right w:val="none" w:sz="0" w:space="0" w:color="auto"/>
                          </w:divBdr>
                        </w:div>
                        <w:div w:id="1275020329">
                          <w:marLeft w:val="0"/>
                          <w:marRight w:val="0"/>
                          <w:marTop w:val="0"/>
                          <w:marBottom w:val="0"/>
                          <w:divBdr>
                            <w:top w:val="none" w:sz="0" w:space="0" w:color="auto"/>
                            <w:left w:val="none" w:sz="0" w:space="0" w:color="auto"/>
                            <w:bottom w:val="none" w:sz="0" w:space="0" w:color="auto"/>
                            <w:right w:val="none" w:sz="0" w:space="0" w:color="auto"/>
                          </w:divBdr>
                        </w:div>
                        <w:div w:id="1291672600">
                          <w:marLeft w:val="0"/>
                          <w:marRight w:val="0"/>
                          <w:marTop w:val="0"/>
                          <w:marBottom w:val="0"/>
                          <w:divBdr>
                            <w:top w:val="none" w:sz="0" w:space="0" w:color="auto"/>
                            <w:left w:val="none" w:sz="0" w:space="0" w:color="auto"/>
                            <w:bottom w:val="none" w:sz="0" w:space="0" w:color="auto"/>
                            <w:right w:val="none" w:sz="0" w:space="0" w:color="auto"/>
                          </w:divBdr>
                        </w:div>
                        <w:div w:id="1299611549">
                          <w:marLeft w:val="0"/>
                          <w:marRight w:val="0"/>
                          <w:marTop w:val="0"/>
                          <w:marBottom w:val="0"/>
                          <w:divBdr>
                            <w:top w:val="none" w:sz="0" w:space="0" w:color="auto"/>
                            <w:left w:val="none" w:sz="0" w:space="0" w:color="auto"/>
                            <w:bottom w:val="none" w:sz="0" w:space="0" w:color="auto"/>
                            <w:right w:val="none" w:sz="0" w:space="0" w:color="auto"/>
                          </w:divBdr>
                        </w:div>
                        <w:div w:id="1311397076">
                          <w:marLeft w:val="0"/>
                          <w:marRight w:val="0"/>
                          <w:marTop w:val="0"/>
                          <w:marBottom w:val="0"/>
                          <w:divBdr>
                            <w:top w:val="none" w:sz="0" w:space="0" w:color="auto"/>
                            <w:left w:val="none" w:sz="0" w:space="0" w:color="auto"/>
                            <w:bottom w:val="none" w:sz="0" w:space="0" w:color="auto"/>
                            <w:right w:val="none" w:sz="0" w:space="0" w:color="auto"/>
                          </w:divBdr>
                        </w:div>
                        <w:div w:id="1318221746">
                          <w:marLeft w:val="0"/>
                          <w:marRight w:val="0"/>
                          <w:marTop w:val="0"/>
                          <w:marBottom w:val="0"/>
                          <w:divBdr>
                            <w:top w:val="none" w:sz="0" w:space="0" w:color="auto"/>
                            <w:left w:val="none" w:sz="0" w:space="0" w:color="auto"/>
                            <w:bottom w:val="none" w:sz="0" w:space="0" w:color="auto"/>
                            <w:right w:val="none" w:sz="0" w:space="0" w:color="auto"/>
                          </w:divBdr>
                        </w:div>
                        <w:div w:id="1332369528">
                          <w:marLeft w:val="0"/>
                          <w:marRight w:val="0"/>
                          <w:marTop w:val="0"/>
                          <w:marBottom w:val="0"/>
                          <w:divBdr>
                            <w:top w:val="none" w:sz="0" w:space="0" w:color="auto"/>
                            <w:left w:val="none" w:sz="0" w:space="0" w:color="auto"/>
                            <w:bottom w:val="none" w:sz="0" w:space="0" w:color="auto"/>
                            <w:right w:val="none" w:sz="0" w:space="0" w:color="auto"/>
                          </w:divBdr>
                        </w:div>
                        <w:div w:id="1395010739">
                          <w:marLeft w:val="0"/>
                          <w:marRight w:val="0"/>
                          <w:marTop w:val="0"/>
                          <w:marBottom w:val="0"/>
                          <w:divBdr>
                            <w:top w:val="none" w:sz="0" w:space="0" w:color="auto"/>
                            <w:left w:val="none" w:sz="0" w:space="0" w:color="auto"/>
                            <w:bottom w:val="none" w:sz="0" w:space="0" w:color="auto"/>
                            <w:right w:val="none" w:sz="0" w:space="0" w:color="auto"/>
                          </w:divBdr>
                        </w:div>
                        <w:div w:id="1451168013">
                          <w:marLeft w:val="0"/>
                          <w:marRight w:val="0"/>
                          <w:marTop w:val="0"/>
                          <w:marBottom w:val="0"/>
                          <w:divBdr>
                            <w:top w:val="none" w:sz="0" w:space="0" w:color="auto"/>
                            <w:left w:val="none" w:sz="0" w:space="0" w:color="auto"/>
                            <w:bottom w:val="none" w:sz="0" w:space="0" w:color="auto"/>
                            <w:right w:val="none" w:sz="0" w:space="0" w:color="auto"/>
                          </w:divBdr>
                        </w:div>
                        <w:div w:id="1466436234">
                          <w:marLeft w:val="0"/>
                          <w:marRight w:val="0"/>
                          <w:marTop w:val="0"/>
                          <w:marBottom w:val="0"/>
                          <w:divBdr>
                            <w:top w:val="none" w:sz="0" w:space="0" w:color="auto"/>
                            <w:left w:val="none" w:sz="0" w:space="0" w:color="auto"/>
                            <w:bottom w:val="none" w:sz="0" w:space="0" w:color="auto"/>
                            <w:right w:val="none" w:sz="0" w:space="0" w:color="auto"/>
                          </w:divBdr>
                        </w:div>
                        <w:div w:id="1469591170">
                          <w:marLeft w:val="0"/>
                          <w:marRight w:val="0"/>
                          <w:marTop w:val="0"/>
                          <w:marBottom w:val="0"/>
                          <w:divBdr>
                            <w:top w:val="none" w:sz="0" w:space="0" w:color="auto"/>
                            <w:left w:val="none" w:sz="0" w:space="0" w:color="auto"/>
                            <w:bottom w:val="none" w:sz="0" w:space="0" w:color="auto"/>
                            <w:right w:val="none" w:sz="0" w:space="0" w:color="auto"/>
                          </w:divBdr>
                        </w:div>
                        <w:div w:id="1501508083">
                          <w:marLeft w:val="0"/>
                          <w:marRight w:val="0"/>
                          <w:marTop w:val="0"/>
                          <w:marBottom w:val="0"/>
                          <w:divBdr>
                            <w:top w:val="none" w:sz="0" w:space="0" w:color="auto"/>
                            <w:left w:val="none" w:sz="0" w:space="0" w:color="auto"/>
                            <w:bottom w:val="none" w:sz="0" w:space="0" w:color="auto"/>
                            <w:right w:val="none" w:sz="0" w:space="0" w:color="auto"/>
                          </w:divBdr>
                        </w:div>
                        <w:div w:id="1629121534">
                          <w:marLeft w:val="0"/>
                          <w:marRight w:val="0"/>
                          <w:marTop w:val="0"/>
                          <w:marBottom w:val="0"/>
                          <w:divBdr>
                            <w:top w:val="none" w:sz="0" w:space="0" w:color="auto"/>
                            <w:left w:val="none" w:sz="0" w:space="0" w:color="auto"/>
                            <w:bottom w:val="none" w:sz="0" w:space="0" w:color="auto"/>
                            <w:right w:val="none" w:sz="0" w:space="0" w:color="auto"/>
                          </w:divBdr>
                        </w:div>
                        <w:div w:id="1670449496">
                          <w:marLeft w:val="0"/>
                          <w:marRight w:val="0"/>
                          <w:marTop w:val="0"/>
                          <w:marBottom w:val="0"/>
                          <w:divBdr>
                            <w:top w:val="none" w:sz="0" w:space="0" w:color="auto"/>
                            <w:left w:val="none" w:sz="0" w:space="0" w:color="auto"/>
                            <w:bottom w:val="none" w:sz="0" w:space="0" w:color="auto"/>
                            <w:right w:val="none" w:sz="0" w:space="0" w:color="auto"/>
                          </w:divBdr>
                        </w:div>
                        <w:div w:id="1679850435">
                          <w:marLeft w:val="0"/>
                          <w:marRight w:val="0"/>
                          <w:marTop w:val="0"/>
                          <w:marBottom w:val="0"/>
                          <w:divBdr>
                            <w:top w:val="none" w:sz="0" w:space="0" w:color="auto"/>
                            <w:left w:val="none" w:sz="0" w:space="0" w:color="auto"/>
                            <w:bottom w:val="none" w:sz="0" w:space="0" w:color="auto"/>
                            <w:right w:val="none" w:sz="0" w:space="0" w:color="auto"/>
                          </w:divBdr>
                        </w:div>
                        <w:div w:id="1713770227">
                          <w:marLeft w:val="0"/>
                          <w:marRight w:val="0"/>
                          <w:marTop w:val="0"/>
                          <w:marBottom w:val="0"/>
                          <w:divBdr>
                            <w:top w:val="none" w:sz="0" w:space="0" w:color="auto"/>
                            <w:left w:val="none" w:sz="0" w:space="0" w:color="auto"/>
                            <w:bottom w:val="none" w:sz="0" w:space="0" w:color="auto"/>
                            <w:right w:val="none" w:sz="0" w:space="0" w:color="auto"/>
                          </w:divBdr>
                        </w:div>
                        <w:div w:id="1757362472">
                          <w:marLeft w:val="0"/>
                          <w:marRight w:val="0"/>
                          <w:marTop w:val="0"/>
                          <w:marBottom w:val="0"/>
                          <w:divBdr>
                            <w:top w:val="none" w:sz="0" w:space="0" w:color="auto"/>
                            <w:left w:val="none" w:sz="0" w:space="0" w:color="auto"/>
                            <w:bottom w:val="none" w:sz="0" w:space="0" w:color="auto"/>
                            <w:right w:val="none" w:sz="0" w:space="0" w:color="auto"/>
                          </w:divBdr>
                        </w:div>
                        <w:div w:id="1787888119">
                          <w:marLeft w:val="0"/>
                          <w:marRight w:val="0"/>
                          <w:marTop w:val="0"/>
                          <w:marBottom w:val="0"/>
                          <w:divBdr>
                            <w:top w:val="none" w:sz="0" w:space="0" w:color="auto"/>
                            <w:left w:val="none" w:sz="0" w:space="0" w:color="auto"/>
                            <w:bottom w:val="none" w:sz="0" w:space="0" w:color="auto"/>
                            <w:right w:val="none" w:sz="0" w:space="0" w:color="auto"/>
                          </w:divBdr>
                        </w:div>
                        <w:div w:id="1875772354">
                          <w:marLeft w:val="0"/>
                          <w:marRight w:val="0"/>
                          <w:marTop w:val="0"/>
                          <w:marBottom w:val="0"/>
                          <w:divBdr>
                            <w:top w:val="none" w:sz="0" w:space="0" w:color="auto"/>
                            <w:left w:val="none" w:sz="0" w:space="0" w:color="auto"/>
                            <w:bottom w:val="none" w:sz="0" w:space="0" w:color="auto"/>
                            <w:right w:val="none" w:sz="0" w:space="0" w:color="auto"/>
                          </w:divBdr>
                        </w:div>
                        <w:div w:id="1879662474">
                          <w:marLeft w:val="0"/>
                          <w:marRight w:val="0"/>
                          <w:marTop w:val="0"/>
                          <w:marBottom w:val="0"/>
                          <w:divBdr>
                            <w:top w:val="none" w:sz="0" w:space="0" w:color="auto"/>
                            <w:left w:val="none" w:sz="0" w:space="0" w:color="auto"/>
                            <w:bottom w:val="none" w:sz="0" w:space="0" w:color="auto"/>
                            <w:right w:val="none" w:sz="0" w:space="0" w:color="auto"/>
                          </w:divBdr>
                        </w:div>
                        <w:div w:id="1883906779">
                          <w:marLeft w:val="0"/>
                          <w:marRight w:val="0"/>
                          <w:marTop w:val="0"/>
                          <w:marBottom w:val="0"/>
                          <w:divBdr>
                            <w:top w:val="none" w:sz="0" w:space="0" w:color="auto"/>
                            <w:left w:val="none" w:sz="0" w:space="0" w:color="auto"/>
                            <w:bottom w:val="none" w:sz="0" w:space="0" w:color="auto"/>
                            <w:right w:val="none" w:sz="0" w:space="0" w:color="auto"/>
                          </w:divBdr>
                        </w:div>
                        <w:div w:id="1897008679">
                          <w:marLeft w:val="0"/>
                          <w:marRight w:val="0"/>
                          <w:marTop w:val="0"/>
                          <w:marBottom w:val="0"/>
                          <w:divBdr>
                            <w:top w:val="none" w:sz="0" w:space="0" w:color="auto"/>
                            <w:left w:val="none" w:sz="0" w:space="0" w:color="auto"/>
                            <w:bottom w:val="none" w:sz="0" w:space="0" w:color="auto"/>
                            <w:right w:val="none" w:sz="0" w:space="0" w:color="auto"/>
                          </w:divBdr>
                        </w:div>
                        <w:div w:id="1936861380">
                          <w:marLeft w:val="0"/>
                          <w:marRight w:val="0"/>
                          <w:marTop w:val="0"/>
                          <w:marBottom w:val="0"/>
                          <w:divBdr>
                            <w:top w:val="none" w:sz="0" w:space="0" w:color="auto"/>
                            <w:left w:val="none" w:sz="0" w:space="0" w:color="auto"/>
                            <w:bottom w:val="none" w:sz="0" w:space="0" w:color="auto"/>
                            <w:right w:val="none" w:sz="0" w:space="0" w:color="auto"/>
                          </w:divBdr>
                        </w:div>
                        <w:div w:id="1976060397">
                          <w:marLeft w:val="0"/>
                          <w:marRight w:val="0"/>
                          <w:marTop w:val="0"/>
                          <w:marBottom w:val="0"/>
                          <w:divBdr>
                            <w:top w:val="none" w:sz="0" w:space="0" w:color="auto"/>
                            <w:left w:val="none" w:sz="0" w:space="0" w:color="auto"/>
                            <w:bottom w:val="none" w:sz="0" w:space="0" w:color="auto"/>
                            <w:right w:val="none" w:sz="0" w:space="0" w:color="auto"/>
                          </w:divBdr>
                        </w:div>
                        <w:div w:id="2043163006">
                          <w:marLeft w:val="0"/>
                          <w:marRight w:val="0"/>
                          <w:marTop w:val="0"/>
                          <w:marBottom w:val="0"/>
                          <w:divBdr>
                            <w:top w:val="none" w:sz="0" w:space="0" w:color="auto"/>
                            <w:left w:val="none" w:sz="0" w:space="0" w:color="auto"/>
                            <w:bottom w:val="none" w:sz="0" w:space="0" w:color="auto"/>
                            <w:right w:val="none" w:sz="0" w:space="0" w:color="auto"/>
                          </w:divBdr>
                        </w:div>
                        <w:div w:id="2062433386">
                          <w:marLeft w:val="0"/>
                          <w:marRight w:val="0"/>
                          <w:marTop w:val="0"/>
                          <w:marBottom w:val="0"/>
                          <w:divBdr>
                            <w:top w:val="none" w:sz="0" w:space="0" w:color="auto"/>
                            <w:left w:val="none" w:sz="0" w:space="0" w:color="auto"/>
                            <w:bottom w:val="none" w:sz="0" w:space="0" w:color="auto"/>
                            <w:right w:val="none" w:sz="0" w:space="0" w:color="auto"/>
                          </w:divBdr>
                        </w:div>
                        <w:div w:id="2077580785">
                          <w:marLeft w:val="0"/>
                          <w:marRight w:val="0"/>
                          <w:marTop w:val="0"/>
                          <w:marBottom w:val="0"/>
                          <w:divBdr>
                            <w:top w:val="none" w:sz="0" w:space="0" w:color="auto"/>
                            <w:left w:val="none" w:sz="0" w:space="0" w:color="auto"/>
                            <w:bottom w:val="none" w:sz="0" w:space="0" w:color="auto"/>
                            <w:right w:val="none" w:sz="0" w:space="0" w:color="auto"/>
                          </w:divBdr>
                        </w:div>
                        <w:div w:id="21047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357222">
          <w:marLeft w:val="0"/>
          <w:marRight w:val="0"/>
          <w:marTop w:val="0"/>
          <w:marBottom w:val="0"/>
          <w:divBdr>
            <w:top w:val="none" w:sz="0" w:space="0" w:color="auto"/>
            <w:left w:val="none" w:sz="0" w:space="0" w:color="auto"/>
            <w:bottom w:val="none" w:sz="0" w:space="0" w:color="auto"/>
            <w:right w:val="none" w:sz="0" w:space="0" w:color="auto"/>
          </w:divBdr>
          <w:divsChild>
            <w:div w:id="801192617">
              <w:marLeft w:val="0"/>
              <w:marRight w:val="0"/>
              <w:marTop w:val="0"/>
              <w:marBottom w:val="0"/>
              <w:divBdr>
                <w:top w:val="none" w:sz="0" w:space="0" w:color="auto"/>
                <w:left w:val="none" w:sz="0" w:space="0" w:color="auto"/>
                <w:bottom w:val="none" w:sz="0" w:space="0" w:color="auto"/>
                <w:right w:val="none" w:sz="0" w:space="0" w:color="auto"/>
              </w:divBdr>
              <w:divsChild>
                <w:div w:id="1067848533">
                  <w:marLeft w:val="0"/>
                  <w:marRight w:val="0"/>
                  <w:marTop w:val="0"/>
                  <w:marBottom w:val="0"/>
                  <w:divBdr>
                    <w:top w:val="none" w:sz="0" w:space="0" w:color="auto"/>
                    <w:left w:val="none" w:sz="0" w:space="0" w:color="auto"/>
                    <w:bottom w:val="none" w:sz="0" w:space="0" w:color="auto"/>
                    <w:right w:val="none" w:sz="0" w:space="0" w:color="auto"/>
                  </w:divBdr>
                  <w:divsChild>
                    <w:div w:id="588588077">
                      <w:marLeft w:val="-15"/>
                      <w:marRight w:val="0"/>
                      <w:marTop w:val="0"/>
                      <w:marBottom w:val="0"/>
                      <w:divBdr>
                        <w:top w:val="none" w:sz="0" w:space="0" w:color="auto"/>
                        <w:left w:val="none" w:sz="0" w:space="0" w:color="auto"/>
                        <w:bottom w:val="none" w:sz="0" w:space="0" w:color="auto"/>
                        <w:right w:val="none" w:sz="0" w:space="0" w:color="auto"/>
                      </w:divBdr>
                      <w:divsChild>
                        <w:div w:id="1374306690">
                          <w:marLeft w:val="0"/>
                          <w:marRight w:val="30"/>
                          <w:marTop w:val="45"/>
                          <w:marBottom w:val="60"/>
                          <w:divBdr>
                            <w:top w:val="none" w:sz="0" w:space="0" w:color="auto"/>
                            <w:left w:val="none" w:sz="0" w:space="0" w:color="auto"/>
                            <w:bottom w:val="none" w:sz="0" w:space="0" w:color="auto"/>
                            <w:right w:val="none" w:sz="0" w:space="0" w:color="auto"/>
                          </w:divBdr>
                        </w:div>
                      </w:divsChild>
                    </w:div>
                    <w:div w:id="948045099">
                      <w:marLeft w:val="0"/>
                      <w:marRight w:val="0"/>
                      <w:marTop w:val="0"/>
                      <w:marBottom w:val="0"/>
                      <w:divBdr>
                        <w:top w:val="none" w:sz="0" w:space="0" w:color="auto"/>
                        <w:left w:val="none" w:sz="0" w:space="0" w:color="auto"/>
                        <w:bottom w:val="none" w:sz="0" w:space="0" w:color="auto"/>
                        <w:right w:val="none" w:sz="0" w:space="0" w:color="auto"/>
                      </w:divBdr>
                      <w:divsChild>
                        <w:div w:id="16503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7816">
      <w:bodyDiv w:val="1"/>
      <w:marLeft w:val="0"/>
      <w:marRight w:val="0"/>
      <w:marTop w:val="0"/>
      <w:marBottom w:val="0"/>
      <w:divBdr>
        <w:top w:val="none" w:sz="0" w:space="0" w:color="auto"/>
        <w:left w:val="none" w:sz="0" w:space="0" w:color="auto"/>
        <w:bottom w:val="none" w:sz="0" w:space="0" w:color="auto"/>
        <w:right w:val="none" w:sz="0" w:space="0" w:color="auto"/>
      </w:divBdr>
    </w:div>
    <w:div w:id="346058761">
      <w:bodyDiv w:val="1"/>
      <w:marLeft w:val="0"/>
      <w:marRight w:val="0"/>
      <w:marTop w:val="0"/>
      <w:marBottom w:val="0"/>
      <w:divBdr>
        <w:top w:val="none" w:sz="0" w:space="0" w:color="auto"/>
        <w:left w:val="none" w:sz="0" w:space="0" w:color="auto"/>
        <w:bottom w:val="none" w:sz="0" w:space="0" w:color="auto"/>
        <w:right w:val="none" w:sz="0" w:space="0" w:color="auto"/>
      </w:divBdr>
    </w:div>
    <w:div w:id="346103668">
      <w:bodyDiv w:val="1"/>
      <w:marLeft w:val="0"/>
      <w:marRight w:val="0"/>
      <w:marTop w:val="0"/>
      <w:marBottom w:val="0"/>
      <w:divBdr>
        <w:top w:val="none" w:sz="0" w:space="0" w:color="auto"/>
        <w:left w:val="none" w:sz="0" w:space="0" w:color="auto"/>
        <w:bottom w:val="none" w:sz="0" w:space="0" w:color="auto"/>
        <w:right w:val="none" w:sz="0" w:space="0" w:color="auto"/>
      </w:divBdr>
    </w:div>
    <w:div w:id="34887127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49963144">
      <w:bodyDiv w:val="1"/>
      <w:marLeft w:val="0"/>
      <w:marRight w:val="0"/>
      <w:marTop w:val="0"/>
      <w:marBottom w:val="0"/>
      <w:divBdr>
        <w:top w:val="none" w:sz="0" w:space="0" w:color="auto"/>
        <w:left w:val="none" w:sz="0" w:space="0" w:color="auto"/>
        <w:bottom w:val="none" w:sz="0" w:space="0" w:color="auto"/>
        <w:right w:val="none" w:sz="0" w:space="0" w:color="auto"/>
      </w:divBdr>
    </w:div>
    <w:div w:id="352074282">
      <w:bodyDiv w:val="1"/>
      <w:marLeft w:val="0"/>
      <w:marRight w:val="0"/>
      <w:marTop w:val="0"/>
      <w:marBottom w:val="0"/>
      <w:divBdr>
        <w:top w:val="none" w:sz="0" w:space="0" w:color="auto"/>
        <w:left w:val="none" w:sz="0" w:space="0" w:color="auto"/>
        <w:bottom w:val="none" w:sz="0" w:space="0" w:color="auto"/>
        <w:right w:val="none" w:sz="0" w:space="0" w:color="auto"/>
      </w:divBdr>
    </w:div>
    <w:div w:id="356732490">
      <w:bodyDiv w:val="1"/>
      <w:marLeft w:val="0"/>
      <w:marRight w:val="0"/>
      <w:marTop w:val="0"/>
      <w:marBottom w:val="0"/>
      <w:divBdr>
        <w:top w:val="none" w:sz="0" w:space="0" w:color="auto"/>
        <w:left w:val="none" w:sz="0" w:space="0" w:color="auto"/>
        <w:bottom w:val="none" w:sz="0" w:space="0" w:color="auto"/>
        <w:right w:val="none" w:sz="0" w:space="0" w:color="auto"/>
      </w:divBdr>
    </w:div>
    <w:div w:id="357851715">
      <w:bodyDiv w:val="1"/>
      <w:marLeft w:val="0"/>
      <w:marRight w:val="0"/>
      <w:marTop w:val="0"/>
      <w:marBottom w:val="0"/>
      <w:divBdr>
        <w:top w:val="none" w:sz="0" w:space="0" w:color="auto"/>
        <w:left w:val="none" w:sz="0" w:space="0" w:color="auto"/>
        <w:bottom w:val="none" w:sz="0" w:space="0" w:color="auto"/>
        <w:right w:val="none" w:sz="0" w:space="0" w:color="auto"/>
      </w:divBdr>
    </w:div>
    <w:div w:id="359940020">
      <w:bodyDiv w:val="1"/>
      <w:marLeft w:val="0"/>
      <w:marRight w:val="0"/>
      <w:marTop w:val="0"/>
      <w:marBottom w:val="0"/>
      <w:divBdr>
        <w:top w:val="none" w:sz="0" w:space="0" w:color="auto"/>
        <w:left w:val="none" w:sz="0" w:space="0" w:color="auto"/>
        <w:bottom w:val="none" w:sz="0" w:space="0" w:color="auto"/>
        <w:right w:val="none" w:sz="0" w:space="0" w:color="auto"/>
      </w:divBdr>
    </w:div>
    <w:div w:id="361519165">
      <w:bodyDiv w:val="1"/>
      <w:marLeft w:val="0"/>
      <w:marRight w:val="0"/>
      <w:marTop w:val="0"/>
      <w:marBottom w:val="0"/>
      <w:divBdr>
        <w:top w:val="none" w:sz="0" w:space="0" w:color="auto"/>
        <w:left w:val="none" w:sz="0" w:space="0" w:color="auto"/>
        <w:bottom w:val="none" w:sz="0" w:space="0" w:color="auto"/>
        <w:right w:val="none" w:sz="0" w:space="0" w:color="auto"/>
      </w:divBdr>
    </w:div>
    <w:div w:id="365983031">
      <w:bodyDiv w:val="1"/>
      <w:marLeft w:val="0"/>
      <w:marRight w:val="0"/>
      <w:marTop w:val="0"/>
      <w:marBottom w:val="0"/>
      <w:divBdr>
        <w:top w:val="none" w:sz="0" w:space="0" w:color="auto"/>
        <w:left w:val="none" w:sz="0" w:space="0" w:color="auto"/>
        <w:bottom w:val="none" w:sz="0" w:space="0" w:color="auto"/>
        <w:right w:val="none" w:sz="0" w:space="0" w:color="auto"/>
      </w:divBdr>
    </w:div>
    <w:div w:id="371535298">
      <w:bodyDiv w:val="1"/>
      <w:marLeft w:val="0"/>
      <w:marRight w:val="0"/>
      <w:marTop w:val="0"/>
      <w:marBottom w:val="0"/>
      <w:divBdr>
        <w:top w:val="none" w:sz="0" w:space="0" w:color="auto"/>
        <w:left w:val="none" w:sz="0" w:space="0" w:color="auto"/>
        <w:bottom w:val="none" w:sz="0" w:space="0" w:color="auto"/>
        <w:right w:val="none" w:sz="0" w:space="0" w:color="auto"/>
      </w:divBdr>
    </w:div>
    <w:div w:id="371613619">
      <w:bodyDiv w:val="1"/>
      <w:marLeft w:val="0"/>
      <w:marRight w:val="0"/>
      <w:marTop w:val="0"/>
      <w:marBottom w:val="0"/>
      <w:divBdr>
        <w:top w:val="none" w:sz="0" w:space="0" w:color="auto"/>
        <w:left w:val="none" w:sz="0" w:space="0" w:color="auto"/>
        <w:bottom w:val="none" w:sz="0" w:space="0" w:color="auto"/>
        <w:right w:val="none" w:sz="0" w:space="0" w:color="auto"/>
      </w:divBdr>
    </w:div>
    <w:div w:id="379329269">
      <w:bodyDiv w:val="1"/>
      <w:marLeft w:val="0"/>
      <w:marRight w:val="0"/>
      <w:marTop w:val="0"/>
      <w:marBottom w:val="0"/>
      <w:divBdr>
        <w:top w:val="none" w:sz="0" w:space="0" w:color="auto"/>
        <w:left w:val="none" w:sz="0" w:space="0" w:color="auto"/>
        <w:bottom w:val="none" w:sz="0" w:space="0" w:color="auto"/>
        <w:right w:val="none" w:sz="0" w:space="0" w:color="auto"/>
      </w:divBdr>
    </w:div>
    <w:div w:id="382339937">
      <w:bodyDiv w:val="1"/>
      <w:marLeft w:val="0"/>
      <w:marRight w:val="0"/>
      <w:marTop w:val="0"/>
      <w:marBottom w:val="0"/>
      <w:divBdr>
        <w:top w:val="none" w:sz="0" w:space="0" w:color="auto"/>
        <w:left w:val="none" w:sz="0" w:space="0" w:color="auto"/>
        <w:bottom w:val="none" w:sz="0" w:space="0" w:color="auto"/>
        <w:right w:val="none" w:sz="0" w:space="0" w:color="auto"/>
      </w:divBdr>
    </w:div>
    <w:div w:id="382481579">
      <w:bodyDiv w:val="1"/>
      <w:marLeft w:val="0"/>
      <w:marRight w:val="0"/>
      <w:marTop w:val="0"/>
      <w:marBottom w:val="0"/>
      <w:divBdr>
        <w:top w:val="none" w:sz="0" w:space="0" w:color="auto"/>
        <w:left w:val="none" w:sz="0" w:space="0" w:color="auto"/>
        <w:bottom w:val="none" w:sz="0" w:space="0" w:color="auto"/>
        <w:right w:val="none" w:sz="0" w:space="0" w:color="auto"/>
      </w:divBdr>
    </w:div>
    <w:div w:id="389042653">
      <w:bodyDiv w:val="1"/>
      <w:marLeft w:val="0"/>
      <w:marRight w:val="0"/>
      <w:marTop w:val="0"/>
      <w:marBottom w:val="0"/>
      <w:divBdr>
        <w:top w:val="none" w:sz="0" w:space="0" w:color="auto"/>
        <w:left w:val="none" w:sz="0" w:space="0" w:color="auto"/>
        <w:bottom w:val="none" w:sz="0" w:space="0" w:color="auto"/>
        <w:right w:val="none" w:sz="0" w:space="0" w:color="auto"/>
      </w:divBdr>
    </w:div>
    <w:div w:id="390691376">
      <w:bodyDiv w:val="1"/>
      <w:marLeft w:val="0"/>
      <w:marRight w:val="0"/>
      <w:marTop w:val="0"/>
      <w:marBottom w:val="0"/>
      <w:divBdr>
        <w:top w:val="none" w:sz="0" w:space="0" w:color="auto"/>
        <w:left w:val="none" w:sz="0" w:space="0" w:color="auto"/>
        <w:bottom w:val="none" w:sz="0" w:space="0" w:color="auto"/>
        <w:right w:val="none" w:sz="0" w:space="0" w:color="auto"/>
      </w:divBdr>
    </w:div>
    <w:div w:id="391388796">
      <w:bodyDiv w:val="1"/>
      <w:marLeft w:val="0"/>
      <w:marRight w:val="0"/>
      <w:marTop w:val="0"/>
      <w:marBottom w:val="0"/>
      <w:divBdr>
        <w:top w:val="none" w:sz="0" w:space="0" w:color="auto"/>
        <w:left w:val="none" w:sz="0" w:space="0" w:color="auto"/>
        <w:bottom w:val="none" w:sz="0" w:space="0" w:color="auto"/>
        <w:right w:val="none" w:sz="0" w:space="0" w:color="auto"/>
      </w:divBdr>
    </w:div>
    <w:div w:id="394165024">
      <w:bodyDiv w:val="1"/>
      <w:marLeft w:val="0"/>
      <w:marRight w:val="0"/>
      <w:marTop w:val="0"/>
      <w:marBottom w:val="0"/>
      <w:divBdr>
        <w:top w:val="none" w:sz="0" w:space="0" w:color="auto"/>
        <w:left w:val="none" w:sz="0" w:space="0" w:color="auto"/>
        <w:bottom w:val="none" w:sz="0" w:space="0" w:color="auto"/>
        <w:right w:val="none" w:sz="0" w:space="0" w:color="auto"/>
      </w:divBdr>
    </w:div>
    <w:div w:id="401566903">
      <w:bodyDiv w:val="1"/>
      <w:marLeft w:val="0"/>
      <w:marRight w:val="0"/>
      <w:marTop w:val="0"/>
      <w:marBottom w:val="0"/>
      <w:divBdr>
        <w:top w:val="none" w:sz="0" w:space="0" w:color="auto"/>
        <w:left w:val="none" w:sz="0" w:space="0" w:color="auto"/>
        <w:bottom w:val="none" w:sz="0" w:space="0" w:color="auto"/>
        <w:right w:val="none" w:sz="0" w:space="0" w:color="auto"/>
      </w:divBdr>
    </w:div>
    <w:div w:id="409546945">
      <w:bodyDiv w:val="1"/>
      <w:marLeft w:val="0"/>
      <w:marRight w:val="0"/>
      <w:marTop w:val="0"/>
      <w:marBottom w:val="0"/>
      <w:divBdr>
        <w:top w:val="none" w:sz="0" w:space="0" w:color="auto"/>
        <w:left w:val="none" w:sz="0" w:space="0" w:color="auto"/>
        <w:bottom w:val="none" w:sz="0" w:space="0" w:color="auto"/>
        <w:right w:val="none" w:sz="0" w:space="0" w:color="auto"/>
      </w:divBdr>
    </w:div>
    <w:div w:id="412122430">
      <w:bodyDiv w:val="1"/>
      <w:marLeft w:val="0"/>
      <w:marRight w:val="0"/>
      <w:marTop w:val="0"/>
      <w:marBottom w:val="0"/>
      <w:divBdr>
        <w:top w:val="none" w:sz="0" w:space="0" w:color="auto"/>
        <w:left w:val="none" w:sz="0" w:space="0" w:color="auto"/>
        <w:bottom w:val="none" w:sz="0" w:space="0" w:color="auto"/>
        <w:right w:val="none" w:sz="0" w:space="0" w:color="auto"/>
      </w:divBdr>
    </w:div>
    <w:div w:id="413821478">
      <w:bodyDiv w:val="1"/>
      <w:marLeft w:val="0"/>
      <w:marRight w:val="0"/>
      <w:marTop w:val="0"/>
      <w:marBottom w:val="0"/>
      <w:divBdr>
        <w:top w:val="none" w:sz="0" w:space="0" w:color="auto"/>
        <w:left w:val="none" w:sz="0" w:space="0" w:color="auto"/>
        <w:bottom w:val="none" w:sz="0" w:space="0" w:color="auto"/>
        <w:right w:val="none" w:sz="0" w:space="0" w:color="auto"/>
      </w:divBdr>
    </w:div>
    <w:div w:id="414280503">
      <w:bodyDiv w:val="1"/>
      <w:marLeft w:val="0"/>
      <w:marRight w:val="0"/>
      <w:marTop w:val="0"/>
      <w:marBottom w:val="0"/>
      <w:divBdr>
        <w:top w:val="none" w:sz="0" w:space="0" w:color="auto"/>
        <w:left w:val="none" w:sz="0" w:space="0" w:color="auto"/>
        <w:bottom w:val="none" w:sz="0" w:space="0" w:color="auto"/>
        <w:right w:val="none" w:sz="0" w:space="0" w:color="auto"/>
      </w:divBdr>
    </w:div>
    <w:div w:id="416441346">
      <w:bodyDiv w:val="1"/>
      <w:marLeft w:val="0"/>
      <w:marRight w:val="0"/>
      <w:marTop w:val="0"/>
      <w:marBottom w:val="0"/>
      <w:divBdr>
        <w:top w:val="none" w:sz="0" w:space="0" w:color="auto"/>
        <w:left w:val="none" w:sz="0" w:space="0" w:color="auto"/>
        <w:bottom w:val="none" w:sz="0" w:space="0" w:color="auto"/>
        <w:right w:val="none" w:sz="0" w:space="0" w:color="auto"/>
      </w:divBdr>
    </w:div>
    <w:div w:id="420764167">
      <w:bodyDiv w:val="1"/>
      <w:marLeft w:val="0"/>
      <w:marRight w:val="0"/>
      <w:marTop w:val="0"/>
      <w:marBottom w:val="0"/>
      <w:divBdr>
        <w:top w:val="none" w:sz="0" w:space="0" w:color="auto"/>
        <w:left w:val="none" w:sz="0" w:space="0" w:color="auto"/>
        <w:bottom w:val="none" w:sz="0" w:space="0" w:color="auto"/>
        <w:right w:val="none" w:sz="0" w:space="0" w:color="auto"/>
      </w:divBdr>
    </w:div>
    <w:div w:id="421146781">
      <w:bodyDiv w:val="1"/>
      <w:marLeft w:val="0"/>
      <w:marRight w:val="0"/>
      <w:marTop w:val="0"/>
      <w:marBottom w:val="0"/>
      <w:divBdr>
        <w:top w:val="none" w:sz="0" w:space="0" w:color="auto"/>
        <w:left w:val="none" w:sz="0" w:space="0" w:color="auto"/>
        <w:bottom w:val="none" w:sz="0" w:space="0" w:color="auto"/>
        <w:right w:val="none" w:sz="0" w:space="0" w:color="auto"/>
      </w:divBdr>
    </w:div>
    <w:div w:id="423919602">
      <w:bodyDiv w:val="1"/>
      <w:marLeft w:val="0"/>
      <w:marRight w:val="0"/>
      <w:marTop w:val="0"/>
      <w:marBottom w:val="0"/>
      <w:divBdr>
        <w:top w:val="none" w:sz="0" w:space="0" w:color="auto"/>
        <w:left w:val="none" w:sz="0" w:space="0" w:color="auto"/>
        <w:bottom w:val="none" w:sz="0" w:space="0" w:color="auto"/>
        <w:right w:val="none" w:sz="0" w:space="0" w:color="auto"/>
      </w:divBdr>
    </w:div>
    <w:div w:id="427652352">
      <w:bodyDiv w:val="1"/>
      <w:marLeft w:val="0"/>
      <w:marRight w:val="0"/>
      <w:marTop w:val="0"/>
      <w:marBottom w:val="0"/>
      <w:divBdr>
        <w:top w:val="none" w:sz="0" w:space="0" w:color="auto"/>
        <w:left w:val="none" w:sz="0" w:space="0" w:color="auto"/>
        <w:bottom w:val="none" w:sz="0" w:space="0" w:color="auto"/>
        <w:right w:val="none" w:sz="0" w:space="0" w:color="auto"/>
      </w:divBdr>
    </w:div>
    <w:div w:id="430200856">
      <w:bodyDiv w:val="1"/>
      <w:marLeft w:val="0"/>
      <w:marRight w:val="0"/>
      <w:marTop w:val="0"/>
      <w:marBottom w:val="0"/>
      <w:divBdr>
        <w:top w:val="none" w:sz="0" w:space="0" w:color="auto"/>
        <w:left w:val="none" w:sz="0" w:space="0" w:color="auto"/>
        <w:bottom w:val="none" w:sz="0" w:space="0" w:color="auto"/>
        <w:right w:val="none" w:sz="0" w:space="0" w:color="auto"/>
      </w:divBdr>
    </w:div>
    <w:div w:id="434207598">
      <w:bodyDiv w:val="1"/>
      <w:marLeft w:val="0"/>
      <w:marRight w:val="0"/>
      <w:marTop w:val="0"/>
      <w:marBottom w:val="0"/>
      <w:divBdr>
        <w:top w:val="none" w:sz="0" w:space="0" w:color="auto"/>
        <w:left w:val="none" w:sz="0" w:space="0" w:color="auto"/>
        <w:bottom w:val="none" w:sz="0" w:space="0" w:color="auto"/>
        <w:right w:val="none" w:sz="0" w:space="0" w:color="auto"/>
      </w:divBdr>
    </w:div>
    <w:div w:id="434635428">
      <w:bodyDiv w:val="1"/>
      <w:marLeft w:val="0"/>
      <w:marRight w:val="0"/>
      <w:marTop w:val="0"/>
      <w:marBottom w:val="0"/>
      <w:divBdr>
        <w:top w:val="none" w:sz="0" w:space="0" w:color="auto"/>
        <w:left w:val="none" w:sz="0" w:space="0" w:color="auto"/>
        <w:bottom w:val="none" w:sz="0" w:space="0" w:color="auto"/>
        <w:right w:val="none" w:sz="0" w:space="0" w:color="auto"/>
      </w:divBdr>
    </w:div>
    <w:div w:id="443115930">
      <w:bodyDiv w:val="1"/>
      <w:marLeft w:val="0"/>
      <w:marRight w:val="0"/>
      <w:marTop w:val="0"/>
      <w:marBottom w:val="0"/>
      <w:divBdr>
        <w:top w:val="none" w:sz="0" w:space="0" w:color="auto"/>
        <w:left w:val="none" w:sz="0" w:space="0" w:color="auto"/>
        <w:bottom w:val="none" w:sz="0" w:space="0" w:color="auto"/>
        <w:right w:val="none" w:sz="0" w:space="0" w:color="auto"/>
      </w:divBdr>
    </w:div>
    <w:div w:id="446000098">
      <w:bodyDiv w:val="1"/>
      <w:marLeft w:val="0"/>
      <w:marRight w:val="0"/>
      <w:marTop w:val="0"/>
      <w:marBottom w:val="0"/>
      <w:divBdr>
        <w:top w:val="none" w:sz="0" w:space="0" w:color="auto"/>
        <w:left w:val="none" w:sz="0" w:space="0" w:color="auto"/>
        <w:bottom w:val="none" w:sz="0" w:space="0" w:color="auto"/>
        <w:right w:val="none" w:sz="0" w:space="0" w:color="auto"/>
      </w:divBdr>
    </w:div>
    <w:div w:id="450129010">
      <w:bodyDiv w:val="1"/>
      <w:marLeft w:val="0"/>
      <w:marRight w:val="0"/>
      <w:marTop w:val="0"/>
      <w:marBottom w:val="0"/>
      <w:divBdr>
        <w:top w:val="none" w:sz="0" w:space="0" w:color="auto"/>
        <w:left w:val="none" w:sz="0" w:space="0" w:color="auto"/>
        <w:bottom w:val="none" w:sz="0" w:space="0" w:color="auto"/>
        <w:right w:val="none" w:sz="0" w:space="0" w:color="auto"/>
      </w:divBdr>
    </w:div>
    <w:div w:id="451706336">
      <w:bodyDiv w:val="1"/>
      <w:marLeft w:val="0"/>
      <w:marRight w:val="0"/>
      <w:marTop w:val="0"/>
      <w:marBottom w:val="0"/>
      <w:divBdr>
        <w:top w:val="none" w:sz="0" w:space="0" w:color="auto"/>
        <w:left w:val="none" w:sz="0" w:space="0" w:color="auto"/>
        <w:bottom w:val="none" w:sz="0" w:space="0" w:color="auto"/>
        <w:right w:val="none" w:sz="0" w:space="0" w:color="auto"/>
      </w:divBdr>
    </w:div>
    <w:div w:id="452864454">
      <w:bodyDiv w:val="1"/>
      <w:marLeft w:val="0"/>
      <w:marRight w:val="0"/>
      <w:marTop w:val="0"/>
      <w:marBottom w:val="0"/>
      <w:divBdr>
        <w:top w:val="none" w:sz="0" w:space="0" w:color="auto"/>
        <w:left w:val="none" w:sz="0" w:space="0" w:color="auto"/>
        <w:bottom w:val="none" w:sz="0" w:space="0" w:color="auto"/>
        <w:right w:val="none" w:sz="0" w:space="0" w:color="auto"/>
      </w:divBdr>
    </w:div>
    <w:div w:id="457377558">
      <w:bodyDiv w:val="1"/>
      <w:marLeft w:val="0"/>
      <w:marRight w:val="0"/>
      <w:marTop w:val="0"/>
      <w:marBottom w:val="0"/>
      <w:divBdr>
        <w:top w:val="none" w:sz="0" w:space="0" w:color="auto"/>
        <w:left w:val="none" w:sz="0" w:space="0" w:color="auto"/>
        <w:bottom w:val="none" w:sz="0" w:space="0" w:color="auto"/>
        <w:right w:val="none" w:sz="0" w:space="0" w:color="auto"/>
      </w:divBdr>
    </w:div>
    <w:div w:id="458378475">
      <w:bodyDiv w:val="1"/>
      <w:marLeft w:val="0"/>
      <w:marRight w:val="0"/>
      <w:marTop w:val="0"/>
      <w:marBottom w:val="0"/>
      <w:divBdr>
        <w:top w:val="none" w:sz="0" w:space="0" w:color="auto"/>
        <w:left w:val="none" w:sz="0" w:space="0" w:color="auto"/>
        <w:bottom w:val="none" w:sz="0" w:space="0" w:color="auto"/>
        <w:right w:val="none" w:sz="0" w:space="0" w:color="auto"/>
      </w:divBdr>
    </w:div>
    <w:div w:id="458576537">
      <w:bodyDiv w:val="1"/>
      <w:marLeft w:val="0"/>
      <w:marRight w:val="0"/>
      <w:marTop w:val="0"/>
      <w:marBottom w:val="0"/>
      <w:divBdr>
        <w:top w:val="none" w:sz="0" w:space="0" w:color="auto"/>
        <w:left w:val="none" w:sz="0" w:space="0" w:color="auto"/>
        <w:bottom w:val="none" w:sz="0" w:space="0" w:color="auto"/>
        <w:right w:val="none" w:sz="0" w:space="0" w:color="auto"/>
      </w:divBdr>
    </w:div>
    <w:div w:id="461582973">
      <w:bodyDiv w:val="1"/>
      <w:marLeft w:val="0"/>
      <w:marRight w:val="0"/>
      <w:marTop w:val="0"/>
      <w:marBottom w:val="0"/>
      <w:divBdr>
        <w:top w:val="none" w:sz="0" w:space="0" w:color="auto"/>
        <w:left w:val="none" w:sz="0" w:space="0" w:color="auto"/>
        <w:bottom w:val="none" w:sz="0" w:space="0" w:color="auto"/>
        <w:right w:val="none" w:sz="0" w:space="0" w:color="auto"/>
      </w:divBdr>
    </w:div>
    <w:div w:id="467625232">
      <w:bodyDiv w:val="1"/>
      <w:marLeft w:val="0"/>
      <w:marRight w:val="0"/>
      <w:marTop w:val="0"/>
      <w:marBottom w:val="0"/>
      <w:divBdr>
        <w:top w:val="none" w:sz="0" w:space="0" w:color="auto"/>
        <w:left w:val="none" w:sz="0" w:space="0" w:color="auto"/>
        <w:bottom w:val="none" w:sz="0" w:space="0" w:color="auto"/>
        <w:right w:val="none" w:sz="0" w:space="0" w:color="auto"/>
      </w:divBdr>
      <w:divsChild>
        <w:div w:id="2114010480">
          <w:marLeft w:val="0"/>
          <w:marRight w:val="0"/>
          <w:marTop w:val="0"/>
          <w:marBottom w:val="0"/>
          <w:divBdr>
            <w:top w:val="none" w:sz="0" w:space="0" w:color="auto"/>
            <w:left w:val="none" w:sz="0" w:space="0" w:color="auto"/>
            <w:bottom w:val="none" w:sz="0" w:space="0" w:color="auto"/>
            <w:right w:val="none" w:sz="0" w:space="0" w:color="auto"/>
          </w:divBdr>
        </w:div>
      </w:divsChild>
    </w:div>
    <w:div w:id="471412497">
      <w:bodyDiv w:val="1"/>
      <w:marLeft w:val="0"/>
      <w:marRight w:val="0"/>
      <w:marTop w:val="0"/>
      <w:marBottom w:val="0"/>
      <w:divBdr>
        <w:top w:val="none" w:sz="0" w:space="0" w:color="auto"/>
        <w:left w:val="none" w:sz="0" w:space="0" w:color="auto"/>
        <w:bottom w:val="none" w:sz="0" w:space="0" w:color="auto"/>
        <w:right w:val="none" w:sz="0" w:space="0" w:color="auto"/>
      </w:divBdr>
    </w:div>
    <w:div w:id="472719549">
      <w:bodyDiv w:val="1"/>
      <w:marLeft w:val="0"/>
      <w:marRight w:val="0"/>
      <w:marTop w:val="0"/>
      <w:marBottom w:val="0"/>
      <w:divBdr>
        <w:top w:val="none" w:sz="0" w:space="0" w:color="auto"/>
        <w:left w:val="none" w:sz="0" w:space="0" w:color="auto"/>
        <w:bottom w:val="none" w:sz="0" w:space="0" w:color="auto"/>
        <w:right w:val="none" w:sz="0" w:space="0" w:color="auto"/>
      </w:divBdr>
    </w:div>
    <w:div w:id="475336921">
      <w:bodyDiv w:val="1"/>
      <w:marLeft w:val="0"/>
      <w:marRight w:val="0"/>
      <w:marTop w:val="0"/>
      <w:marBottom w:val="0"/>
      <w:divBdr>
        <w:top w:val="none" w:sz="0" w:space="0" w:color="auto"/>
        <w:left w:val="none" w:sz="0" w:space="0" w:color="auto"/>
        <w:bottom w:val="none" w:sz="0" w:space="0" w:color="auto"/>
        <w:right w:val="none" w:sz="0" w:space="0" w:color="auto"/>
      </w:divBdr>
    </w:div>
    <w:div w:id="477846913">
      <w:bodyDiv w:val="1"/>
      <w:marLeft w:val="0"/>
      <w:marRight w:val="0"/>
      <w:marTop w:val="0"/>
      <w:marBottom w:val="0"/>
      <w:divBdr>
        <w:top w:val="none" w:sz="0" w:space="0" w:color="auto"/>
        <w:left w:val="none" w:sz="0" w:space="0" w:color="auto"/>
        <w:bottom w:val="none" w:sz="0" w:space="0" w:color="auto"/>
        <w:right w:val="none" w:sz="0" w:space="0" w:color="auto"/>
      </w:divBdr>
    </w:div>
    <w:div w:id="478039842">
      <w:bodyDiv w:val="1"/>
      <w:marLeft w:val="0"/>
      <w:marRight w:val="0"/>
      <w:marTop w:val="0"/>
      <w:marBottom w:val="0"/>
      <w:divBdr>
        <w:top w:val="none" w:sz="0" w:space="0" w:color="auto"/>
        <w:left w:val="none" w:sz="0" w:space="0" w:color="auto"/>
        <w:bottom w:val="none" w:sz="0" w:space="0" w:color="auto"/>
        <w:right w:val="none" w:sz="0" w:space="0" w:color="auto"/>
      </w:divBdr>
    </w:div>
    <w:div w:id="484199877">
      <w:bodyDiv w:val="1"/>
      <w:marLeft w:val="0"/>
      <w:marRight w:val="0"/>
      <w:marTop w:val="0"/>
      <w:marBottom w:val="0"/>
      <w:divBdr>
        <w:top w:val="none" w:sz="0" w:space="0" w:color="auto"/>
        <w:left w:val="none" w:sz="0" w:space="0" w:color="auto"/>
        <w:bottom w:val="none" w:sz="0" w:space="0" w:color="auto"/>
        <w:right w:val="none" w:sz="0" w:space="0" w:color="auto"/>
      </w:divBdr>
    </w:div>
    <w:div w:id="487406415">
      <w:bodyDiv w:val="1"/>
      <w:marLeft w:val="0"/>
      <w:marRight w:val="0"/>
      <w:marTop w:val="0"/>
      <w:marBottom w:val="0"/>
      <w:divBdr>
        <w:top w:val="none" w:sz="0" w:space="0" w:color="auto"/>
        <w:left w:val="none" w:sz="0" w:space="0" w:color="auto"/>
        <w:bottom w:val="none" w:sz="0" w:space="0" w:color="auto"/>
        <w:right w:val="none" w:sz="0" w:space="0" w:color="auto"/>
      </w:divBdr>
    </w:div>
    <w:div w:id="489832310">
      <w:bodyDiv w:val="1"/>
      <w:marLeft w:val="0"/>
      <w:marRight w:val="0"/>
      <w:marTop w:val="0"/>
      <w:marBottom w:val="0"/>
      <w:divBdr>
        <w:top w:val="none" w:sz="0" w:space="0" w:color="auto"/>
        <w:left w:val="none" w:sz="0" w:space="0" w:color="auto"/>
        <w:bottom w:val="none" w:sz="0" w:space="0" w:color="auto"/>
        <w:right w:val="none" w:sz="0" w:space="0" w:color="auto"/>
      </w:divBdr>
    </w:div>
    <w:div w:id="490294673">
      <w:bodyDiv w:val="1"/>
      <w:marLeft w:val="0"/>
      <w:marRight w:val="0"/>
      <w:marTop w:val="0"/>
      <w:marBottom w:val="0"/>
      <w:divBdr>
        <w:top w:val="none" w:sz="0" w:space="0" w:color="auto"/>
        <w:left w:val="none" w:sz="0" w:space="0" w:color="auto"/>
        <w:bottom w:val="none" w:sz="0" w:space="0" w:color="auto"/>
        <w:right w:val="none" w:sz="0" w:space="0" w:color="auto"/>
      </w:divBdr>
    </w:div>
    <w:div w:id="491877150">
      <w:bodyDiv w:val="1"/>
      <w:marLeft w:val="0"/>
      <w:marRight w:val="0"/>
      <w:marTop w:val="0"/>
      <w:marBottom w:val="0"/>
      <w:divBdr>
        <w:top w:val="none" w:sz="0" w:space="0" w:color="auto"/>
        <w:left w:val="none" w:sz="0" w:space="0" w:color="auto"/>
        <w:bottom w:val="none" w:sz="0" w:space="0" w:color="auto"/>
        <w:right w:val="none" w:sz="0" w:space="0" w:color="auto"/>
      </w:divBdr>
    </w:div>
    <w:div w:id="492724474">
      <w:bodyDiv w:val="1"/>
      <w:marLeft w:val="0"/>
      <w:marRight w:val="0"/>
      <w:marTop w:val="0"/>
      <w:marBottom w:val="0"/>
      <w:divBdr>
        <w:top w:val="none" w:sz="0" w:space="0" w:color="auto"/>
        <w:left w:val="none" w:sz="0" w:space="0" w:color="auto"/>
        <w:bottom w:val="none" w:sz="0" w:space="0" w:color="auto"/>
        <w:right w:val="none" w:sz="0" w:space="0" w:color="auto"/>
      </w:divBdr>
    </w:div>
    <w:div w:id="493762798">
      <w:bodyDiv w:val="1"/>
      <w:marLeft w:val="0"/>
      <w:marRight w:val="0"/>
      <w:marTop w:val="0"/>
      <w:marBottom w:val="0"/>
      <w:divBdr>
        <w:top w:val="none" w:sz="0" w:space="0" w:color="auto"/>
        <w:left w:val="none" w:sz="0" w:space="0" w:color="auto"/>
        <w:bottom w:val="none" w:sz="0" w:space="0" w:color="auto"/>
        <w:right w:val="none" w:sz="0" w:space="0" w:color="auto"/>
      </w:divBdr>
      <w:divsChild>
        <w:div w:id="157311528">
          <w:marLeft w:val="0"/>
          <w:marRight w:val="0"/>
          <w:marTop w:val="0"/>
          <w:marBottom w:val="0"/>
          <w:divBdr>
            <w:top w:val="none" w:sz="0" w:space="0" w:color="auto"/>
            <w:left w:val="none" w:sz="0" w:space="0" w:color="auto"/>
            <w:bottom w:val="none" w:sz="0" w:space="0" w:color="auto"/>
            <w:right w:val="none" w:sz="0" w:space="0" w:color="auto"/>
          </w:divBdr>
        </w:div>
        <w:div w:id="228344989">
          <w:marLeft w:val="0"/>
          <w:marRight w:val="0"/>
          <w:marTop w:val="0"/>
          <w:marBottom w:val="0"/>
          <w:divBdr>
            <w:top w:val="none" w:sz="0" w:space="0" w:color="auto"/>
            <w:left w:val="none" w:sz="0" w:space="0" w:color="auto"/>
            <w:bottom w:val="none" w:sz="0" w:space="0" w:color="auto"/>
            <w:right w:val="none" w:sz="0" w:space="0" w:color="auto"/>
          </w:divBdr>
        </w:div>
        <w:div w:id="283080766">
          <w:marLeft w:val="0"/>
          <w:marRight w:val="0"/>
          <w:marTop w:val="0"/>
          <w:marBottom w:val="0"/>
          <w:divBdr>
            <w:top w:val="none" w:sz="0" w:space="0" w:color="auto"/>
            <w:left w:val="none" w:sz="0" w:space="0" w:color="auto"/>
            <w:bottom w:val="none" w:sz="0" w:space="0" w:color="auto"/>
            <w:right w:val="none" w:sz="0" w:space="0" w:color="auto"/>
          </w:divBdr>
        </w:div>
        <w:div w:id="391318626">
          <w:marLeft w:val="0"/>
          <w:marRight w:val="0"/>
          <w:marTop w:val="0"/>
          <w:marBottom w:val="0"/>
          <w:divBdr>
            <w:top w:val="none" w:sz="0" w:space="0" w:color="auto"/>
            <w:left w:val="none" w:sz="0" w:space="0" w:color="auto"/>
            <w:bottom w:val="none" w:sz="0" w:space="0" w:color="auto"/>
            <w:right w:val="none" w:sz="0" w:space="0" w:color="auto"/>
          </w:divBdr>
        </w:div>
        <w:div w:id="449399322">
          <w:marLeft w:val="0"/>
          <w:marRight w:val="0"/>
          <w:marTop w:val="0"/>
          <w:marBottom w:val="0"/>
          <w:divBdr>
            <w:top w:val="none" w:sz="0" w:space="0" w:color="auto"/>
            <w:left w:val="none" w:sz="0" w:space="0" w:color="auto"/>
            <w:bottom w:val="none" w:sz="0" w:space="0" w:color="auto"/>
            <w:right w:val="none" w:sz="0" w:space="0" w:color="auto"/>
          </w:divBdr>
        </w:div>
        <w:div w:id="645476002">
          <w:marLeft w:val="0"/>
          <w:marRight w:val="0"/>
          <w:marTop w:val="0"/>
          <w:marBottom w:val="0"/>
          <w:divBdr>
            <w:top w:val="none" w:sz="0" w:space="0" w:color="auto"/>
            <w:left w:val="none" w:sz="0" w:space="0" w:color="auto"/>
            <w:bottom w:val="none" w:sz="0" w:space="0" w:color="auto"/>
            <w:right w:val="none" w:sz="0" w:space="0" w:color="auto"/>
          </w:divBdr>
        </w:div>
        <w:div w:id="778061005">
          <w:marLeft w:val="0"/>
          <w:marRight w:val="0"/>
          <w:marTop w:val="0"/>
          <w:marBottom w:val="0"/>
          <w:divBdr>
            <w:top w:val="none" w:sz="0" w:space="0" w:color="auto"/>
            <w:left w:val="none" w:sz="0" w:space="0" w:color="auto"/>
            <w:bottom w:val="none" w:sz="0" w:space="0" w:color="auto"/>
            <w:right w:val="none" w:sz="0" w:space="0" w:color="auto"/>
          </w:divBdr>
        </w:div>
        <w:div w:id="823159641">
          <w:marLeft w:val="0"/>
          <w:marRight w:val="0"/>
          <w:marTop w:val="0"/>
          <w:marBottom w:val="0"/>
          <w:divBdr>
            <w:top w:val="none" w:sz="0" w:space="0" w:color="auto"/>
            <w:left w:val="none" w:sz="0" w:space="0" w:color="auto"/>
            <w:bottom w:val="none" w:sz="0" w:space="0" w:color="auto"/>
            <w:right w:val="none" w:sz="0" w:space="0" w:color="auto"/>
          </w:divBdr>
        </w:div>
        <w:div w:id="1236625037">
          <w:marLeft w:val="0"/>
          <w:marRight w:val="0"/>
          <w:marTop w:val="0"/>
          <w:marBottom w:val="0"/>
          <w:divBdr>
            <w:top w:val="none" w:sz="0" w:space="0" w:color="auto"/>
            <w:left w:val="none" w:sz="0" w:space="0" w:color="auto"/>
            <w:bottom w:val="none" w:sz="0" w:space="0" w:color="auto"/>
            <w:right w:val="none" w:sz="0" w:space="0" w:color="auto"/>
          </w:divBdr>
        </w:div>
        <w:div w:id="1382898333">
          <w:marLeft w:val="0"/>
          <w:marRight w:val="0"/>
          <w:marTop w:val="0"/>
          <w:marBottom w:val="0"/>
          <w:divBdr>
            <w:top w:val="none" w:sz="0" w:space="0" w:color="auto"/>
            <w:left w:val="none" w:sz="0" w:space="0" w:color="auto"/>
            <w:bottom w:val="none" w:sz="0" w:space="0" w:color="auto"/>
            <w:right w:val="none" w:sz="0" w:space="0" w:color="auto"/>
          </w:divBdr>
        </w:div>
        <w:div w:id="1383872336">
          <w:marLeft w:val="0"/>
          <w:marRight w:val="0"/>
          <w:marTop w:val="0"/>
          <w:marBottom w:val="0"/>
          <w:divBdr>
            <w:top w:val="none" w:sz="0" w:space="0" w:color="auto"/>
            <w:left w:val="none" w:sz="0" w:space="0" w:color="auto"/>
            <w:bottom w:val="none" w:sz="0" w:space="0" w:color="auto"/>
            <w:right w:val="none" w:sz="0" w:space="0" w:color="auto"/>
          </w:divBdr>
        </w:div>
        <w:div w:id="1406099961">
          <w:marLeft w:val="0"/>
          <w:marRight w:val="0"/>
          <w:marTop w:val="0"/>
          <w:marBottom w:val="0"/>
          <w:divBdr>
            <w:top w:val="none" w:sz="0" w:space="0" w:color="auto"/>
            <w:left w:val="none" w:sz="0" w:space="0" w:color="auto"/>
            <w:bottom w:val="none" w:sz="0" w:space="0" w:color="auto"/>
            <w:right w:val="none" w:sz="0" w:space="0" w:color="auto"/>
          </w:divBdr>
        </w:div>
        <w:div w:id="1635520180">
          <w:marLeft w:val="0"/>
          <w:marRight w:val="0"/>
          <w:marTop w:val="0"/>
          <w:marBottom w:val="0"/>
          <w:divBdr>
            <w:top w:val="none" w:sz="0" w:space="0" w:color="auto"/>
            <w:left w:val="none" w:sz="0" w:space="0" w:color="auto"/>
            <w:bottom w:val="none" w:sz="0" w:space="0" w:color="auto"/>
            <w:right w:val="none" w:sz="0" w:space="0" w:color="auto"/>
          </w:divBdr>
        </w:div>
      </w:divsChild>
    </w:div>
    <w:div w:id="495465533">
      <w:bodyDiv w:val="1"/>
      <w:marLeft w:val="0"/>
      <w:marRight w:val="0"/>
      <w:marTop w:val="0"/>
      <w:marBottom w:val="0"/>
      <w:divBdr>
        <w:top w:val="none" w:sz="0" w:space="0" w:color="auto"/>
        <w:left w:val="none" w:sz="0" w:space="0" w:color="auto"/>
        <w:bottom w:val="none" w:sz="0" w:space="0" w:color="auto"/>
        <w:right w:val="none" w:sz="0" w:space="0" w:color="auto"/>
      </w:divBdr>
    </w:div>
    <w:div w:id="497966213">
      <w:bodyDiv w:val="1"/>
      <w:marLeft w:val="0"/>
      <w:marRight w:val="0"/>
      <w:marTop w:val="0"/>
      <w:marBottom w:val="0"/>
      <w:divBdr>
        <w:top w:val="none" w:sz="0" w:space="0" w:color="auto"/>
        <w:left w:val="none" w:sz="0" w:space="0" w:color="auto"/>
        <w:bottom w:val="none" w:sz="0" w:space="0" w:color="auto"/>
        <w:right w:val="none" w:sz="0" w:space="0" w:color="auto"/>
      </w:divBdr>
    </w:div>
    <w:div w:id="498544067">
      <w:bodyDiv w:val="1"/>
      <w:marLeft w:val="0"/>
      <w:marRight w:val="0"/>
      <w:marTop w:val="0"/>
      <w:marBottom w:val="0"/>
      <w:divBdr>
        <w:top w:val="none" w:sz="0" w:space="0" w:color="auto"/>
        <w:left w:val="none" w:sz="0" w:space="0" w:color="auto"/>
        <w:bottom w:val="none" w:sz="0" w:space="0" w:color="auto"/>
        <w:right w:val="none" w:sz="0" w:space="0" w:color="auto"/>
      </w:divBdr>
    </w:div>
    <w:div w:id="498618934">
      <w:bodyDiv w:val="1"/>
      <w:marLeft w:val="0"/>
      <w:marRight w:val="0"/>
      <w:marTop w:val="0"/>
      <w:marBottom w:val="0"/>
      <w:divBdr>
        <w:top w:val="none" w:sz="0" w:space="0" w:color="auto"/>
        <w:left w:val="none" w:sz="0" w:space="0" w:color="auto"/>
        <w:bottom w:val="none" w:sz="0" w:space="0" w:color="auto"/>
        <w:right w:val="none" w:sz="0" w:space="0" w:color="auto"/>
      </w:divBdr>
    </w:div>
    <w:div w:id="503738575">
      <w:bodyDiv w:val="1"/>
      <w:marLeft w:val="0"/>
      <w:marRight w:val="0"/>
      <w:marTop w:val="0"/>
      <w:marBottom w:val="0"/>
      <w:divBdr>
        <w:top w:val="none" w:sz="0" w:space="0" w:color="auto"/>
        <w:left w:val="none" w:sz="0" w:space="0" w:color="auto"/>
        <w:bottom w:val="none" w:sz="0" w:space="0" w:color="auto"/>
        <w:right w:val="none" w:sz="0" w:space="0" w:color="auto"/>
      </w:divBdr>
    </w:div>
    <w:div w:id="504059359">
      <w:bodyDiv w:val="1"/>
      <w:marLeft w:val="0"/>
      <w:marRight w:val="0"/>
      <w:marTop w:val="0"/>
      <w:marBottom w:val="0"/>
      <w:divBdr>
        <w:top w:val="none" w:sz="0" w:space="0" w:color="auto"/>
        <w:left w:val="none" w:sz="0" w:space="0" w:color="auto"/>
        <w:bottom w:val="none" w:sz="0" w:space="0" w:color="auto"/>
        <w:right w:val="none" w:sz="0" w:space="0" w:color="auto"/>
      </w:divBdr>
    </w:div>
    <w:div w:id="504367444">
      <w:bodyDiv w:val="1"/>
      <w:marLeft w:val="0"/>
      <w:marRight w:val="0"/>
      <w:marTop w:val="0"/>
      <w:marBottom w:val="0"/>
      <w:divBdr>
        <w:top w:val="none" w:sz="0" w:space="0" w:color="auto"/>
        <w:left w:val="none" w:sz="0" w:space="0" w:color="auto"/>
        <w:bottom w:val="none" w:sz="0" w:space="0" w:color="auto"/>
        <w:right w:val="none" w:sz="0" w:space="0" w:color="auto"/>
      </w:divBdr>
    </w:div>
    <w:div w:id="509488653">
      <w:bodyDiv w:val="1"/>
      <w:marLeft w:val="0"/>
      <w:marRight w:val="0"/>
      <w:marTop w:val="0"/>
      <w:marBottom w:val="0"/>
      <w:divBdr>
        <w:top w:val="none" w:sz="0" w:space="0" w:color="auto"/>
        <w:left w:val="none" w:sz="0" w:space="0" w:color="auto"/>
        <w:bottom w:val="none" w:sz="0" w:space="0" w:color="auto"/>
        <w:right w:val="none" w:sz="0" w:space="0" w:color="auto"/>
      </w:divBdr>
    </w:div>
    <w:div w:id="514809623">
      <w:bodyDiv w:val="1"/>
      <w:marLeft w:val="0"/>
      <w:marRight w:val="0"/>
      <w:marTop w:val="0"/>
      <w:marBottom w:val="0"/>
      <w:divBdr>
        <w:top w:val="none" w:sz="0" w:space="0" w:color="auto"/>
        <w:left w:val="none" w:sz="0" w:space="0" w:color="auto"/>
        <w:bottom w:val="none" w:sz="0" w:space="0" w:color="auto"/>
        <w:right w:val="none" w:sz="0" w:space="0" w:color="auto"/>
      </w:divBdr>
    </w:div>
    <w:div w:id="516044650">
      <w:bodyDiv w:val="1"/>
      <w:marLeft w:val="0"/>
      <w:marRight w:val="0"/>
      <w:marTop w:val="0"/>
      <w:marBottom w:val="0"/>
      <w:divBdr>
        <w:top w:val="none" w:sz="0" w:space="0" w:color="auto"/>
        <w:left w:val="none" w:sz="0" w:space="0" w:color="auto"/>
        <w:bottom w:val="none" w:sz="0" w:space="0" w:color="auto"/>
        <w:right w:val="none" w:sz="0" w:space="0" w:color="auto"/>
      </w:divBdr>
    </w:div>
    <w:div w:id="516887666">
      <w:bodyDiv w:val="1"/>
      <w:marLeft w:val="0"/>
      <w:marRight w:val="0"/>
      <w:marTop w:val="0"/>
      <w:marBottom w:val="0"/>
      <w:divBdr>
        <w:top w:val="none" w:sz="0" w:space="0" w:color="auto"/>
        <w:left w:val="none" w:sz="0" w:space="0" w:color="auto"/>
        <w:bottom w:val="none" w:sz="0" w:space="0" w:color="auto"/>
        <w:right w:val="none" w:sz="0" w:space="0" w:color="auto"/>
      </w:divBdr>
    </w:div>
    <w:div w:id="521936552">
      <w:bodyDiv w:val="1"/>
      <w:marLeft w:val="0"/>
      <w:marRight w:val="0"/>
      <w:marTop w:val="0"/>
      <w:marBottom w:val="0"/>
      <w:divBdr>
        <w:top w:val="none" w:sz="0" w:space="0" w:color="auto"/>
        <w:left w:val="none" w:sz="0" w:space="0" w:color="auto"/>
        <w:bottom w:val="none" w:sz="0" w:space="0" w:color="auto"/>
        <w:right w:val="none" w:sz="0" w:space="0" w:color="auto"/>
      </w:divBdr>
    </w:div>
    <w:div w:id="524442856">
      <w:bodyDiv w:val="1"/>
      <w:marLeft w:val="0"/>
      <w:marRight w:val="0"/>
      <w:marTop w:val="0"/>
      <w:marBottom w:val="0"/>
      <w:divBdr>
        <w:top w:val="none" w:sz="0" w:space="0" w:color="auto"/>
        <w:left w:val="none" w:sz="0" w:space="0" w:color="auto"/>
        <w:bottom w:val="none" w:sz="0" w:space="0" w:color="auto"/>
        <w:right w:val="none" w:sz="0" w:space="0" w:color="auto"/>
      </w:divBdr>
    </w:div>
    <w:div w:id="524830089">
      <w:bodyDiv w:val="1"/>
      <w:marLeft w:val="0"/>
      <w:marRight w:val="0"/>
      <w:marTop w:val="0"/>
      <w:marBottom w:val="0"/>
      <w:divBdr>
        <w:top w:val="none" w:sz="0" w:space="0" w:color="auto"/>
        <w:left w:val="none" w:sz="0" w:space="0" w:color="auto"/>
        <w:bottom w:val="none" w:sz="0" w:space="0" w:color="auto"/>
        <w:right w:val="none" w:sz="0" w:space="0" w:color="auto"/>
      </w:divBdr>
    </w:div>
    <w:div w:id="524901685">
      <w:bodyDiv w:val="1"/>
      <w:marLeft w:val="0"/>
      <w:marRight w:val="0"/>
      <w:marTop w:val="0"/>
      <w:marBottom w:val="0"/>
      <w:divBdr>
        <w:top w:val="none" w:sz="0" w:space="0" w:color="auto"/>
        <w:left w:val="none" w:sz="0" w:space="0" w:color="auto"/>
        <w:bottom w:val="none" w:sz="0" w:space="0" w:color="auto"/>
        <w:right w:val="none" w:sz="0" w:space="0" w:color="auto"/>
      </w:divBdr>
    </w:div>
    <w:div w:id="524902899">
      <w:bodyDiv w:val="1"/>
      <w:marLeft w:val="0"/>
      <w:marRight w:val="0"/>
      <w:marTop w:val="0"/>
      <w:marBottom w:val="0"/>
      <w:divBdr>
        <w:top w:val="none" w:sz="0" w:space="0" w:color="auto"/>
        <w:left w:val="none" w:sz="0" w:space="0" w:color="auto"/>
        <w:bottom w:val="none" w:sz="0" w:space="0" w:color="auto"/>
        <w:right w:val="none" w:sz="0" w:space="0" w:color="auto"/>
      </w:divBdr>
    </w:div>
    <w:div w:id="527958898">
      <w:bodyDiv w:val="1"/>
      <w:marLeft w:val="0"/>
      <w:marRight w:val="0"/>
      <w:marTop w:val="0"/>
      <w:marBottom w:val="0"/>
      <w:divBdr>
        <w:top w:val="none" w:sz="0" w:space="0" w:color="auto"/>
        <w:left w:val="none" w:sz="0" w:space="0" w:color="auto"/>
        <w:bottom w:val="none" w:sz="0" w:space="0" w:color="auto"/>
        <w:right w:val="none" w:sz="0" w:space="0" w:color="auto"/>
      </w:divBdr>
    </w:div>
    <w:div w:id="529143298">
      <w:bodyDiv w:val="1"/>
      <w:marLeft w:val="0"/>
      <w:marRight w:val="0"/>
      <w:marTop w:val="0"/>
      <w:marBottom w:val="0"/>
      <w:divBdr>
        <w:top w:val="none" w:sz="0" w:space="0" w:color="auto"/>
        <w:left w:val="none" w:sz="0" w:space="0" w:color="auto"/>
        <w:bottom w:val="none" w:sz="0" w:space="0" w:color="auto"/>
        <w:right w:val="none" w:sz="0" w:space="0" w:color="auto"/>
      </w:divBdr>
    </w:div>
    <w:div w:id="529682313">
      <w:bodyDiv w:val="1"/>
      <w:marLeft w:val="0"/>
      <w:marRight w:val="0"/>
      <w:marTop w:val="0"/>
      <w:marBottom w:val="0"/>
      <w:divBdr>
        <w:top w:val="none" w:sz="0" w:space="0" w:color="auto"/>
        <w:left w:val="none" w:sz="0" w:space="0" w:color="auto"/>
        <w:bottom w:val="none" w:sz="0" w:space="0" w:color="auto"/>
        <w:right w:val="none" w:sz="0" w:space="0" w:color="auto"/>
      </w:divBdr>
    </w:div>
    <w:div w:id="534192366">
      <w:bodyDiv w:val="1"/>
      <w:marLeft w:val="0"/>
      <w:marRight w:val="0"/>
      <w:marTop w:val="0"/>
      <w:marBottom w:val="0"/>
      <w:divBdr>
        <w:top w:val="none" w:sz="0" w:space="0" w:color="auto"/>
        <w:left w:val="none" w:sz="0" w:space="0" w:color="auto"/>
        <w:bottom w:val="none" w:sz="0" w:space="0" w:color="auto"/>
        <w:right w:val="none" w:sz="0" w:space="0" w:color="auto"/>
      </w:divBdr>
    </w:div>
    <w:div w:id="537208386">
      <w:bodyDiv w:val="1"/>
      <w:marLeft w:val="0"/>
      <w:marRight w:val="0"/>
      <w:marTop w:val="0"/>
      <w:marBottom w:val="0"/>
      <w:divBdr>
        <w:top w:val="none" w:sz="0" w:space="0" w:color="auto"/>
        <w:left w:val="none" w:sz="0" w:space="0" w:color="auto"/>
        <w:bottom w:val="none" w:sz="0" w:space="0" w:color="auto"/>
        <w:right w:val="none" w:sz="0" w:space="0" w:color="auto"/>
      </w:divBdr>
    </w:div>
    <w:div w:id="537350457">
      <w:bodyDiv w:val="1"/>
      <w:marLeft w:val="0"/>
      <w:marRight w:val="0"/>
      <w:marTop w:val="0"/>
      <w:marBottom w:val="0"/>
      <w:divBdr>
        <w:top w:val="none" w:sz="0" w:space="0" w:color="auto"/>
        <w:left w:val="none" w:sz="0" w:space="0" w:color="auto"/>
        <w:bottom w:val="none" w:sz="0" w:space="0" w:color="auto"/>
        <w:right w:val="none" w:sz="0" w:space="0" w:color="auto"/>
      </w:divBdr>
    </w:div>
    <w:div w:id="541022832">
      <w:bodyDiv w:val="1"/>
      <w:marLeft w:val="0"/>
      <w:marRight w:val="0"/>
      <w:marTop w:val="0"/>
      <w:marBottom w:val="0"/>
      <w:divBdr>
        <w:top w:val="none" w:sz="0" w:space="0" w:color="auto"/>
        <w:left w:val="none" w:sz="0" w:space="0" w:color="auto"/>
        <w:bottom w:val="none" w:sz="0" w:space="0" w:color="auto"/>
        <w:right w:val="none" w:sz="0" w:space="0" w:color="auto"/>
      </w:divBdr>
    </w:div>
    <w:div w:id="544022338">
      <w:bodyDiv w:val="1"/>
      <w:marLeft w:val="0"/>
      <w:marRight w:val="0"/>
      <w:marTop w:val="0"/>
      <w:marBottom w:val="0"/>
      <w:divBdr>
        <w:top w:val="none" w:sz="0" w:space="0" w:color="auto"/>
        <w:left w:val="none" w:sz="0" w:space="0" w:color="auto"/>
        <w:bottom w:val="none" w:sz="0" w:space="0" w:color="auto"/>
        <w:right w:val="none" w:sz="0" w:space="0" w:color="auto"/>
      </w:divBdr>
    </w:div>
    <w:div w:id="544685918">
      <w:bodyDiv w:val="1"/>
      <w:marLeft w:val="0"/>
      <w:marRight w:val="0"/>
      <w:marTop w:val="0"/>
      <w:marBottom w:val="0"/>
      <w:divBdr>
        <w:top w:val="none" w:sz="0" w:space="0" w:color="auto"/>
        <w:left w:val="none" w:sz="0" w:space="0" w:color="auto"/>
        <w:bottom w:val="none" w:sz="0" w:space="0" w:color="auto"/>
        <w:right w:val="none" w:sz="0" w:space="0" w:color="auto"/>
      </w:divBdr>
    </w:div>
    <w:div w:id="546842089">
      <w:bodyDiv w:val="1"/>
      <w:marLeft w:val="0"/>
      <w:marRight w:val="0"/>
      <w:marTop w:val="0"/>
      <w:marBottom w:val="0"/>
      <w:divBdr>
        <w:top w:val="none" w:sz="0" w:space="0" w:color="auto"/>
        <w:left w:val="none" w:sz="0" w:space="0" w:color="auto"/>
        <w:bottom w:val="none" w:sz="0" w:space="0" w:color="auto"/>
        <w:right w:val="none" w:sz="0" w:space="0" w:color="auto"/>
      </w:divBdr>
      <w:divsChild>
        <w:div w:id="385182808">
          <w:marLeft w:val="0"/>
          <w:marRight w:val="0"/>
          <w:marTop w:val="0"/>
          <w:marBottom w:val="0"/>
          <w:divBdr>
            <w:top w:val="none" w:sz="0" w:space="0" w:color="auto"/>
            <w:left w:val="none" w:sz="0" w:space="0" w:color="auto"/>
            <w:bottom w:val="none" w:sz="0" w:space="0" w:color="auto"/>
            <w:right w:val="none" w:sz="0" w:space="0" w:color="auto"/>
          </w:divBdr>
          <w:divsChild>
            <w:div w:id="440808192">
              <w:marLeft w:val="0"/>
              <w:marRight w:val="0"/>
              <w:marTop w:val="0"/>
              <w:marBottom w:val="0"/>
              <w:divBdr>
                <w:top w:val="none" w:sz="0" w:space="0" w:color="auto"/>
                <w:left w:val="none" w:sz="0" w:space="0" w:color="auto"/>
                <w:bottom w:val="none" w:sz="0" w:space="0" w:color="auto"/>
                <w:right w:val="none" w:sz="0" w:space="0" w:color="auto"/>
              </w:divBdr>
              <w:divsChild>
                <w:div w:id="269095528">
                  <w:marLeft w:val="0"/>
                  <w:marRight w:val="0"/>
                  <w:marTop w:val="0"/>
                  <w:marBottom w:val="0"/>
                  <w:divBdr>
                    <w:top w:val="none" w:sz="0" w:space="0" w:color="auto"/>
                    <w:left w:val="none" w:sz="0" w:space="0" w:color="auto"/>
                    <w:bottom w:val="none" w:sz="0" w:space="0" w:color="auto"/>
                    <w:right w:val="none" w:sz="0" w:space="0" w:color="auto"/>
                  </w:divBdr>
                </w:div>
                <w:div w:id="270548660">
                  <w:marLeft w:val="0"/>
                  <w:marRight w:val="0"/>
                  <w:marTop w:val="0"/>
                  <w:marBottom w:val="0"/>
                  <w:divBdr>
                    <w:top w:val="none" w:sz="0" w:space="0" w:color="auto"/>
                    <w:left w:val="none" w:sz="0" w:space="0" w:color="auto"/>
                    <w:bottom w:val="none" w:sz="0" w:space="0" w:color="auto"/>
                    <w:right w:val="none" w:sz="0" w:space="0" w:color="auto"/>
                  </w:divBdr>
                  <w:divsChild>
                    <w:div w:id="384456507">
                      <w:marLeft w:val="0"/>
                      <w:marRight w:val="0"/>
                      <w:marTop w:val="0"/>
                      <w:marBottom w:val="0"/>
                      <w:divBdr>
                        <w:top w:val="none" w:sz="0" w:space="0" w:color="auto"/>
                        <w:left w:val="none" w:sz="0" w:space="0" w:color="auto"/>
                        <w:bottom w:val="none" w:sz="0" w:space="0" w:color="auto"/>
                        <w:right w:val="none" w:sz="0" w:space="0" w:color="auto"/>
                      </w:divBdr>
                    </w:div>
                    <w:div w:id="1028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3553">
          <w:marLeft w:val="0"/>
          <w:marRight w:val="83"/>
          <w:marTop w:val="0"/>
          <w:marBottom w:val="0"/>
          <w:divBdr>
            <w:top w:val="none" w:sz="0" w:space="0" w:color="auto"/>
            <w:left w:val="none" w:sz="0" w:space="0" w:color="auto"/>
            <w:bottom w:val="none" w:sz="0" w:space="0" w:color="auto"/>
            <w:right w:val="none" w:sz="0" w:space="0" w:color="auto"/>
          </w:divBdr>
        </w:div>
      </w:divsChild>
    </w:div>
    <w:div w:id="548734638">
      <w:bodyDiv w:val="1"/>
      <w:marLeft w:val="0"/>
      <w:marRight w:val="0"/>
      <w:marTop w:val="0"/>
      <w:marBottom w:val="0"/>
      <w:divBdr>
        <w:top w:val="none" w:sz="0" w:space="0" w:color="auto"/>
        <w:left w:val="none" w:sz="0" w:space="0" w:color="auto"/>
        <w:bottom w:val="none" w:sz="0" w:space="0" w:color="auto"/>
        <w:right w:val="none" w:sz="0" w:space="0" w:color="auto"/>
      </w:divBdr>
    </w:div>
    <w:div w:id="549923105">
      <w:bodyDiv w:val="1"/>
      <w:marLeft w:val="0"/>
      <w:marRight w:val="0"/>
      <w:marTop w:val="0"/>
      <w:marBottom w:val="0"/>
      <w:divBdr>
        <w:top w:val="none" w:sz="0" w:space="0" w:color="auto"/>
        <w:left w:val="none" w:sz="0" w:space="0" w:color="auto"/>
        <w:bottom w:val="none" w:sz="0" w:space="0" w:color="auto"/>
        <w:right w:val="none" w:sz="0" w:space="0" w:color="auto"/>
      </w:divBdr>
    </w:div>
    <w:div w:id="553125478">
      <w:bodyDiv w:val="1"/>
      <w:marLeft w:val="0"/>
      <w:marRight w:val="0"/>
      <w:marTop w:val="0"/>
      <w:marBottom w:val="0"/>
      <w:divBdr>
        <w:top w:val="none" w:sz="0" w:space="0" w:color="auto"/>
        <w:left w:val="none" w:sz="0" w:space="0" w:color="auto"/>
        <w:bottom w:val="none" w:sz="0" w:space="0" w:color="auto"/>
        <w:right w:val="none" w:sz="0" w:space="0" w:color="auto"/>
      </w:divBdr>
    </w:div>
    <w:div w:id="553933637">
      <w:bodyDiv w:val="1"/>
      <w:marLeft w:val="0"/>
      <w:marRight w:val="0"/>
      <w:marTop w:val="0"/>
      <w:marBottom w:val="0"/>
      <w:divBdr>
        <w:top w:val="none" w:sz="0" w:space="0" w:color="auto"/>
        <w:left w:val="none" w:sz="0" w:space="0" w:color="auto"/>
        <w:bottom w:val="none" w:sz="0" w:space="0" w:color="auto"/>
        <w:right w:val="none" w:sz="0" w:space="0" w:color="auto"/>
      </w:divBdr>
      <w:divsChild>
        <w:div w:id="617419825">
          <w:marLeft w:val="0"/>
          <w:marRight w:val="0"/>
          <w:marTop w:val="0"/>
          <w:marBottom w:val="0"/>
          <w:divBdr>
            <w:top w:val="none" w:sz="0" w:space="0" w:color="auto"/>
            <w:left w:val="none" w:sz="0" w:space="0" w:color="auto"/>
            <w:bottom w:val="none" w:sz="0" w:space="0" w:color="auto"/>
            <w:right w:val="none" w:sz="0" w:space="0" w:color="auto"/>
          </w:divBdr>
        </w:div>
      </w:divsChild>
    </w:div>
    <w:div w:id="554586611">
      <w:bodyDiv w:val="1"/>
      <w:marLeft w:val="0"/>
      <w:marRight w:val="0"/>
      <w:marTop w:val="0"/>
      <w:marBottom w:val="0"/>
      <w:divBdr>
        <w:top w:val="none" w:sz="0" w:space="0" w:color="auto"/>
        <w:left w:val="none" w:sz="0" w:space="0" w:color="auto"/>
        <w:bottom w:val="none" w:sz="0" w:space="0" w:color="auto"/>
        <w:right w:val="none" w:sz="0" w:space="0" w:color="auto"/>
      </w:divBdr>
    </w:div>
    <w:div w:id="555316833">
      <w:bodyDiv w:val="1"/>
      <w:marLeft w:val="0"/>
      <w:marRight w:val="0"/>
      <w:marTop w:val="0"/>
      <w:marBottom w:val="0"/>
      <w:divBdr>
        <w:top w:val="none" w:sz="0" w:space="0" w:color="auto"/>
        <w:left w:val="none" w:sz="0" w:space="0" w:color="auto"/>
        <w:bottom w:val="none" w:sz="0" w:space="0" w:color="auto"/>
        <w:right w:val="none" w:sz="0" w:space="0" w:color="auto"/>
      </w:divBdr>
    </w:div>
    <w:div w:id="555899269">
      <w:bodyDiv w:val="1"/>
      <w:marLeft w:val="0"/>
      <w:marRight w:val="0"/>
      <w:marTop w:val="0"/>
      <w:marBottom w:val="0"/>
      <w:divBdr>
        <w:top w:val="none" w:sz="0" w:space="0" w:color="auto"/>
        <w:left w:val="none" w:sz="0" w:space="0" w:color="auto"/>
        <w:bottom w:val="none" w:sz="0" w:space="0" w:color="auto"/>
        <w:right w:val="none" w:sz="0" w:space="0" w:color="auto"/>
      </w:divBdr>
    </w:div>
    <w:div w:id="556354752">
      <w:bodyDiv w:val="1"/>
      <w:marLeft w:val="0"/>
      <w:marRight w:val="0"/>
      <w:marTop w:val="0"/>
      <w:marBottom w:val="0"/>
      <w:divBdr>
        <w:top w:val="none" w:sz="0" w:space="0" w:color="auto"/>
        <w:left w:val="none" w:sz="0" w:space="0" w:color="auto"/>
        <w:bottom w:val="none" w:sz="0" w:space="0" w:color="auto"/>
        <w:right w:val="none" w:sz="0" w:space="0" w:color="auto"/>
      </w:divBdr>
    </w:div>
    <w:div w:id="558172836">
      <w:bodyDiv w:val="1"/>
      <w:marLeft w:val="0"/>
      <w:marRight w:val="0"/>
      <w:marTop w:val="0"/>
      <w:marBottom w:val="0"/>
      <w:divBdr>
        <w:top w:val="none" w:sz="0" w:space="0" w:color="auto"/>
        <w:left w:val="none" w:sz="0" w:space="0" w:color="auto"/>
        <w:bottom w:val="none" w:sz="0" w:space="0" w:color="auto"/>
        <w:right w:val="none" w:sz="0" w:space="0" w:color="auto"/>
      </w:divBdr>
    </w:div>
    <w:div w:id="560098143">
      <w:bodyDiv w:val="1"/>
      <w:marLeft w:val="0"/>
      <w:marRight w:val="0"/>
      <w:marTop w:val="0"/>
      <w:marBottom w:val="0"/>
      <w:divBdr>
        <w:top w:val="none" w:sz="0" w:space="0" w:color="auto"/>
        <w:left w:val="none" w:sz="0" w:space="0" w:color="auto"/>
        <w:bottom w:val="none" w:sz="0" w:space="0" w:color="auto"/>
        <w:right w:val="none" w:sz="0" w:space="0" w:color="auto"/>
      </w:divBdr>
    </w:div>
    <w:div w:id="561020734">
      <w:bodyDiv w:val="1"/>
      <w:marLeft w:val="0"/>
      <w:marRight w:val="0"/>
      <w:marTop w:val="0"/>
      <w:marBottom w:val="0"/>
      <w:divBdr>
        <w:top w:val="none" w:sz="0" w:space="0" w:color="auto"/>
        <w:left w:val="none" w:sz="0" w:space="0" w:color="auto"/>
        <w:bottom w:val="none" w:sz="0" w:space="0" w:color="auto"/>
        <w:right w:val="none" w:sz="0" w:space="0" w:color="auto"/>
      </w:divBdr>
    </w:div>
    <w:div w:id="564293561">
      <w:bodyDiv w:val="1"/>
      <w:marLeft w:val="0"/>
      <w:marRight w:val="0"/>
      <w:marTop w:val="0"/>
      <w:marBottom w:val="0"/>
      <w:divBdr>
        <w:top w:val="none" w:sz="0" w:space="0" w:color="auto"/>
        <w:left w:val="none" w:sz="0" w:space="0" w:color="auto"/>
        <w:bottom w:val="none" w:sz="0" w:space="0" w:color="auto"/>
        <w:right w:val="none" w:sz="0" w:space="0" w:color="auto"/>
      </w:divBdr>
    </w:div>
    <w:div w:id="565334885">
      <w:bodyDiv w:val="1"/>
      <w:marLeft w:val="0"/>
      <w:marRight w:val="0"/>
      <w:marTop w:val="0"/>
      <w:marBottom w:val="0"/>
      <w:divBdr>
        <w:top w:val="none" w:sz="0" w:space="0" w:color="auto"/>
        <w:left w:val="none" w:sz="0" w:space="0" w:color="auto"/>
        <w:bottom w:val="none" w:sz="0" w:space="0" w:color="auto"/>
        <w:right w:val="none" w:sz="0" w:space="0" w:color="auto"/>
      </w:divBdr>
    </w:div>
    <w:div w:id="565452585">
      <w:bodyDiv w:val="1"/>
      <w:marLeft w:val="0"/>
      <w:marRight w:val="0"/>
      <w:marTop w:val="0"/>
      <w:marBottom w:val="0"/>
      <w:divBdr>
        <w:top w:val="none" w:sz="0" w:space="0" w:color="auto"/>
        <w:left w:val="none" w:sz="0" w:space="0" w:color="auto"/>
        <w:bottom w:val="none" w:sz="0" w:space="0" w:color="auto"/>
        <w:right w:val="none" w:sz="0" w:space="0" w:color="auto"/>
      </w:divBdr>
    </w:div>
    <w:div w:id="566260426">
      <w:bodyDiv w:val="1"/>
      <w:marLeft w:val="0"/>
      <w:marRight w:val="0"/>
      <w:marTop w:val="0"/>
      <w:marBottom w:val="0"/>
      <w:divBdr>
        <w:top w:val="none" w:sz="0" w:space="0" w:color="auto"/>
        <w:left w:val="none" w:sz="0" w:space="0" w:color="auto"/>
        <w:bottom w:val="none" w:sz="0" w:space="0" w:color="auto"/>
        <w:right w:val="none" w:sz="0" w:space="0" w:color="auto"/>
      </w:divBdr>
    </w:div>
    <w:div w:id="568662156">
      <w:bodyDiv w:val="1"/>
      <w:marLeft w:val="0"/>
      <w:marRight w:val="0"/>
      <w:marTop w:val="0"/>
      <w:marBottom w:val="0"/>
      <w:divBdr>
        <w:top w:val="none" w:sz="0" w:space="0" w:color="auto"/>
        <w:left w:val="none" w:sz="0" w:space="0" w:color="auto"/>
        <w:bottom w:val="none" w:sz="0" w:space="0" w:color="auto"/>
        <w:right w:val="none" w:sz="0" w:space="0" w:color="auto"/>
      </w:divBdr>
      <w:divsChild>
        <w:div w:id="2100329158">
          <w:marLeft w:val="0"/>
          <w:marRight w:val="0"/>
          <w:marTop w:val="0"/>
          <w:marBottom w:val="0"/>
          <w:divBdr>
            <w:top w:val="none" w:sz="0" w:space="0" w:color="auto"/>
            <w:left w:val="none" w:sz="0" w:space="0" w:color="auto"/>
            <w:bottom w:val="none" w:sz="0" w:space="0" w:color="auto"/>
            <w:right w:val="none" w:sz="0" w:space="0" w:color="auto"/>
          </w:divBdr>
        </w:div>
      </w:divsChild>
    </w:div>
    <w:div w:id="569537223">
      <w:bodyDiv w:val="1"/>
      <w:marLeft w:val="0"/>
      <w:marRight w:val="0"/>
      <w:marTop w:val="0"/>
      <w:marBottom w:val="0"/>
      <w:divBdr>
        <w:top w:val="none" w:sz="0" w:space="0" w:color="auto"/>
        <w:left w:val="none" w:sz="0" w:space="0" w:color="auto"/>
        <w:bottom w:val="none" w:sz="0" w:space="0" w:color="auto"/>
        <w:right w:val="none" w:sz="0" w:space="0" w:color="auto"/>
      </w:divBdr>
    </w:div>
    <w:div w:id="570702625">
      <w:bodyDiv w:val="1"/>
      <w:marLeft w:val="0"/>
      <w:marRight w:val="0"/>
      <w:marTop w:val="0"/>
      <w:marBottom w:val="0"/>
      <w:divBdr>
        <w:top w:val="none" w:sz="0" w:space="0" w:color="auto"/>
        <w:left w:val="none" w:sz="0" w:space="0" w:color="auto"/>
        <w:bottom w:val="none" w:sz="0" w:space="0" w:color="auto"/>
        <w:right w:val="none" w:sz="0" w:space="0" w:color="auto"/>
      </w:divBdr>
    </w:div>
    <w:div w:id="573008402">
      <w:bodyDiv w:val="1"/>
      <w:marLeft w:val="0"/>
      <w:marRight w:val="0"/>
      <w:marTop w:val="0"/>
      <w:marBottom w:val="0"/>
      <w:divBdr>
        <w:top w:val="none" w:sz="0" w:space="0" w:color="auto"/>
        <w:left w:val="none" w:sz="0" w:space="0" w:color="auto"/>
        <w:bottom w:val="none" w:sz="0" w:space="0" w:color="auto"/>
        <w:right w:val="none" w:sz="0" w:space="0" w:color="auto"/>
      </w:divBdr>
    </w:div>
    <w:div w:id="573011536">
      <w:bodyDiv w:val="1"/>
      <w:marLeft w:val="0"/>
      <w:marRight w:val="0"/>
      <w:marTop w:val="0"/>
      <w:marBottom w:val="0"/>
      <w:divBdr>
        <w:top w:val="none" w:sz="0" w:space="0" w:color="auto"/>
        <w:left w:val="none" w:sz="0" w:space="0" w:color="auto"/>
        <w:bottom w:val="none" w:sz="0" w:space="0" w:color="auto"/>
        <w:right w:val="none" w:sz="0" w:space="0" w:color="auto"/>
      </w:divBdr>
    </w:div>
    <w:div w:id="576475356">
      <w:bodyDiv w:val="1"/>
      <w:marLeft w:val="0"/>
      <w:marRight w:val="0"/>
      <w:marTop w:val="0"/>
      <w:marBottom w:val="0"/>
      <w:divBdr>
        <w:top w:val="none" w:sz="0" w:space="0" w:color="auto"/>
        <w:left w:val="none" w:sz="0" w:space="0" w:color="auto"/>
        <w:bottom w:val="none" w:sz="0" w:space="0" w:color="auto"/>
        <w:right w:val="none" w:sz="0" w:space="0" w:color="auto"/>
      </w:divBdr>
    </w:div>
    <w:div w:id="578249620">
      <w:bodyDiv w:val="1"/>
      <w:marLeft w:val="0"/>
      <w:marRight w:val="0"/>
      <w:marTop w:val="0"/>
      <w:marBottom w:val="0"/>
      <w:divBdr>
        <w:top w:val="none" w:sz="0" w:space="0" w:color="auto"/>
        <w:left w:val="none" w:sz="0" w:space="0" w:color="auto"/>
        <w:bottom w:val="none" w:sz="0" w:space="0" w:color="auto"/>
        <w:right w:val="none" w:sz="0" w:space="0" w:color="auto"/>
      </w:divBdr>
    </w:div>
    <w:div w:id="583606427">
      <w:bodyDiv w:val="1"/>
      <w:marLeft w:val="0"/>
      <w:marRight w:val="0"/>
      <w:marTop w:val="0"/>
      <w:marBottom w:val="0"/>
      <w:divBdr>
        <w:top w:val="none" w:sz="0" w:space="0" w:color="auto"/>
        <w:left w:val="none" w:sz="0" w:space="0" w:color="auto"/>
        <w:bottom w:val="none" w:sz="0" w:space="0" w:color="auto"/>
        <w:right w:val="none" w:sz="0" w:space="0" w:color="auto"/>
      </w:divBdr>
    </w:div>
    <w:div w:id="583687153">
      <w:bodyDiv w:val="1"/>
      <w:marLeft w:val="0"/>
      <w:marRight w:val="0"/>
      <w:marTop w:val="0"/>
      <w:marBottom w:val="0"/>
      <w:divBdr>
        <w:top w:val="none" w:sz="0" w:space="0" w:color="auto"/>
        <w:left w:val="none" w:sz="0" w:space="0" w:color="auto"/>
        <w:bottom w:val="none" w:sz="0" w:space="0" w:color="auto"/>
        <w:right w:val="none" w:sz="0" w:space="0" w:color="auto"/>
      </w:divBdr>
    </w:div>
    <w:div w:id="584194809">
      <w:bodyDiv w:val="1"/>
      <w:marLeft w:val="0"/>
      <w:marRight w:val="0"/>
      <w:marTop w:val="0"/>
      <w:marBottom w:val="0"/>
      <w:divBdr>
        <w:top w:val="none" w:sz="0" w:space="0" w:color="auto"/>
        <w:left w:val="none" w:sz="0" w:space="0" w:color="auto"/>
        <w:bottom w:val="none" w:sz="0" w:space="0" w:color="auto"/>
        <w:right w:val="none" w:sz="0" w:space="0" w:color="auto"/>
      </w:divBdr>
    </w:div>
    <w:div w:id="584263006">
      <w:bodyDiv w:val="1"/>
      <w:marLeft w:val="0"/>
      <w:marRight w:val="0"/>
      <w:marTop w:val="0"/>
      <w:marBottom w:val="0"/>
      <w:divBdr>
        <w:top w:val="none" w:sz="0" w:space="0" w:color="auto"/>
        <w:left w:val="none" w:sz="0" w:space="0" w:color="auto"/>
        <w:bottom w:val="none" w:sz="0" w:space="0" w:color="auto"/>
        <w:right w:val="none" w:sz="0" w:space="0" w:color="auto"/>
      </w:divBdr>
    </w:div>
    <w:div w:id="585962020">
      <w:bodyDiv w:val="1"/>
      <w:marLeft w:val="0"/>
      <w:marRight w:val="0"/>
      <w:marTop w:val="0"/>
      <w:marBottom w:val="0"/>
      <w:divBdr>
        <w:top w:val="none" w:sz="0" w:space="0" w:color="auto"/>
        <w:left w:val="none" w:sz="0" w:space="0" w:color="auto"/>
        <w:bottom w:val="none" w:sz="0" w:space="0" w:color="auto"/>
        <w:right w:val="none" w:sz="0" w:space="0" w:color="auto"/>
      </w:divBdr>
    </w:div>
    <w:div w:id="586572523">
      <w:bodyDiv w:val="1"/>
      <w:marLeft w:val="0"/>
      <w:marRight w:val="0"/>
      <w:marTop w:val="0"/>
      <w:marBottom w:val="0"/>
      <w:divBdr>
        <w:top w:val="none" w:sz="0" w:space="0" w:color="auto"/>
        <w:left w:val="none" w:sz="0" w:space="0" w:color="auto"/>
        <w:bottom w:val="none" w:sz="0" w:space="0" w:color="auto"/>
        <w:right w:val="none" w:sz="0" w:space="0" w:color="auto"/>
      </w:divBdr>
    </w:div>
    <w:div w:id="591007830">
      <w:bodyDiv w:val="1"/>
      <w:marLeft w:val="0"/>
      <w:marRight w:val="0"/>
      <w:marTop w:val="0"/>
      <w:marBottom w:val="0"/>
      <w:divBdr>
        <w:top w:val="none" w:sz="0" w:space="0" w:color="auto"/>
        <w:left w:val="none" w:sz="0" w:space="0" w:color="auto"/>
        <w:bottom w:val="none" w:sz="0" w:space="0" w:color="auto"/>
        <w:right w:val="none" w:sz="0" w:space="0" w:color="auto"/>
      </w:divBdr>
    </w:div>
    <w:div w:id="592052598">
      <w:bodyDiv w:val="1"/>
      <w:marLeft w:val="0"/>
      <w:marRight w:val="0"/>
      <w:marTop w:val="0"/>
      <w:marBottom w:val="0"/>
      <w:divBdr>
        <w:top w:val="none" w:sz="0" w:space="0" w:color="auto"/>
        <w:left w:val="none" w:sz="0" w:space="0" w:color="auto"/>
        <w:bottom w:val="none" w:sz="0" w:space="0" w:color="auto"/>
        <w:right w:val="none" w:sz="0" w:space="0" w:color="auto"/>
      </w:divBdr>
    </w:div>
    <w:div w:id="598761651">
      <w:bodyDiv w:val="1"/>
      <w:marLeft w:val="0"/>
      <w:marRight w:val="0"/>
      <w:marTop w:val="0"/>
      <w:marBottom w:val="0"/>
      <w:divBdr>
        <w:top w:val="none" w:sz="0" w:space="0" w:color="auto"/>
        <w:left w:val="none" w:sz="0" w:space="0" w:color="auto"/>
        <w:bottom w:val="none" w:sz="0" w:space="0" w:color="auto"/>
        <w:right w:val="none" w:sz="0" w:space="0" w:color="auto"/>
      </w:divBdr>
    </w:div>
    <w:div w:id="598872315">
      <w:bodyDiv w:val="1"/>
      <w:marLeft w:val="0"/>
      <w:marRight w:val="0"/>
      <w:marTop w:val="0"/>
      <w:marBottom w:val="0"/>
      <w:divBdr>
        <w:top w:val="none" w:sz="0" w:space="0" w:color="auto"/>
        <w:left w:val="none" w:sz="0" w:space="0" w:color="auto"/>
        <w:bottom w:val="none" w:sz="0" w:space="0" w:color="auto"/>
        <w:right w:val="none" w:sz="0" w:space="0" w:color="auto"/>
      </w:divBdr>
    </w:div>
    <w:div w:id="599457875">
      <w:bodyDiv w:val="1"/>
      <w:marLeft w:val="0"/>
      <w:marRight w:val="0"/>
      <w:marTop w:val="0"/>
      <w:marBottom w:val="0"/>
      <w:divBdr>
        <w:top w:val="none" w:sz="0" w:space="0" w:color="auto"/>
        <w:left w:val="none" w:sz="0" w:space="0" w:color="auto"/>
        <w:bottom w:val="none" w:sz="0" w:space="0" w:color="auto"/>
        <w:right w:val="none" w:sz="0" w:space="0" w:color="auto"/>
      </w:divBdr>
    </w:div>
    <w:div w:id="602809601">
      <w:bodyDiv w:val="1"/>
      <w:marLeft w:val="0"/>
      <w:marRight w:val="0"/>
      <w:marTop w:val="0"/>
      <w:marBottom w:val="0"/>
      <w:divBdr>
        <w:top w:val="none" w:sz="0" w:space="0" w:color="auto"/>
        <w:left w:val="none" w:sz="0" w:space="0" w:color="auto"/>
        <w:bottom w:val="none" w:sz="0" w:space="0" w:color="auto"/>
        <w:right w:val="none" w:sz="0" w:space="0" w:color="auto"/>
      </w:divBdr>
    </w:div>
    <w:div w:id="606885625">
      <w:bodyDiv w:val="1"/>
      <w:marLeft w:val="0"/>
      <w:marRight w:val="0"/>
      <w:marTop w:val="0"/>
      <w:marBottom w:val="0"/>
      <w:divBdr>
        <w:top w:val="none" w:sz="0" w:space="0" w:color="auto"/>
        <w:left w:val="none" w:sz="0" w:space="0" w:color="auto"/>
        <w:bottom w:val="none" w:sz="0" w:space="0" w:color="auto"/>
        <w:right w:val="none" w:sz="0" w:space="0" w:color="auto"/>
      </w:divBdr>
    </w:div>
    <w:div w:id="612129210">
      <w:bodyDiv w:val="1"/>
      <w:marLeft w:val="0"/>
      <w:marRight w:val="0"/>
      <w:marTop w:val="0"/>
      <w:marBottom w:val="0"/>
      <w:divBdr>
        <w:top w:val="none" w:sz="0" w:space="0" w:color="auto"/>
        <w:left w:val="none" w:sz="0" w:space="0" w:color="auto"/>
        <w:bottom w:val="none" w:sz="0" w:space="0" w:color="auto"/>
        <w:right w:val="none" w:sz="0" w:space="0" w:color="auto"/>
      </w:divBdr>
    </w:div>
    <w:div w:id="612976623">
      <w:bodyDiv w:val="1"/>
      <w:marLeft w:val="0"/>
      <w:marRight w:val="0"/>
      <w:marTop w:val="0"/>
      <w:marBottom w:val="0"/>
      <w:divBdr>
        <w:top w:val="none" w:sz="0" w:space="0" w:color="auto"/>
        <w:left w:val="none" w:sz="0" w:space="0" w:color="auto"/>
        <w:bottom w:val="none" w:sz="0" w:space="0" w:color="auto"/>
        <w:right w:val="none" w:sz="0" w:space="0" w:color="auto"/>
      </w:divBdr>
    </w:div>
    <w:div w:id="615261478">
      <w:bodyDiv w:val="1"/>
      <w:marLeft w:val="0"/>
      <w:marRight w:val="0"/>
      <w:marTop w:val="0"/>
      <w:marBottom w:val="0"/>
      <w:divBdr>
        <w:top w:val="none" w:sz="0" w:space="0" w:color="auto"/>
        <w:left w:val="none" w:sz="0" w:space="0" w:color="auto"/>
        <w:bottom w:val="none" w:sz="0" w:space="0" w:color="auto"/>
        <w:right w:val="none" w:sz="0" w:space="0" w:color="auto"/>
      </w:divBdr>
    </w:div>
    <w:div w:id="622229582">
      <w:bodyDiv w:val="1"/>
      <w:marLeft w:val="0"/>
      <w:marRight w:val="0"/>
      <w:marTop w:val="0"/>
      <w:marBottom w:val="0"/>
      <w:divBdr>
        <w:top w:val="none" w:sz="0" w:space="0" w:color="auto"/>
        <w:left w:val="none" w:sz="0" w:space="0" w:color="auto"/>
        <w:bottom w:val="none" w:sz="0" w:space="0" w:color="auto"/>
        <w:right w:val="none" w:sz="0" w:space="0" w:color="auto"/>
      </w:divBdr>
    </w:div>
    <w:div w:id="622342368">
      <w:bodyDiv w:val="1"/>
      <w:marLeft w:val="0"/>
      <w:marRight w:val="0"/>
      <w:marTop w:val="0"/>
      <w:marBottom w:val="0"/>
      <w:divBdr>
        <w:top w:val="none" w:sz="0" w:space="0" w:color="auto"/>
        <w:left w:val="none" w:sz="0" w:space="0" w:color="auto"/>
        <w:bottom w:val="none" w:sz="0" w:space="0" w:color="auto"/>
        <w:right w:val="none" w:sz="0" w:space="0" w:color="auto"/>
      </w:divBdr>
    </w:div>
    <w:div w:id="624232632">
      <w:bodyDiv w:val="1"/>
      <w:marLeft w:val="0"/>
      <w:marRight w:val="0"/>
      <w:marTop w:val="0"/>
      <w:marBottom w:val="0"/>
      <w:divBdr>
        <w:top w:val="none" w:sz="0" w:space="0" w:color="auto"/>
        <w:left w:val="none" w:sz="0" w:space="0" w:color="auto"/>
        <w:bottom w:val="none" w:sz="0" w:space="0" w:color="auto"/>
        <w:right w:val="none" w:sz="0" w:space="0" w:color="auto"/>
      </w:divBdr>
      <w:divsChild>
        <w:div w:id="880245609">
          <w:marLeft w:val="0"/>
          <w:marRight w:val="0"/>
          <w:marTop w:val="0"/>
          <w:marBottom w:val="0"/>
          <w:divBdr>
            <w:top w:val="none" w:sz="0" w:space="0" w:color="auto"/>
            <w:left w:val="none" w:sz="0" w:space="0" w:color="auto"/>
            <w:bottom w:val="none" w:sz="0" w:space="0" w:color="auto"/>
            <w:right w:val="none" w:sz="0" w:space="0" w:color="auto"/>
          </w:divBdr>
        </w:div>
      </w:divsChild>
    </w:div>
    <w:div w:id="627055550">
      <w:bodyDiv w:val="1"/>
      <w:marLeft w:val="0"/>
      <w:marRight w:val="0"/>
      <w:marTop w:val="0"/>
      <w:marBottom w:val="0"/>
      <w:divBdr>
        <w:top w:val="none" w:sz="0" w:space="0" w:color="auto"/>
        <w:left w:val="none" w:sz="0" w:space="0" w:color="auto"/>
        <w:bottom w:val="none" w:sz="0" w:space="0" w:color="auto"/>
        <w:right w:val="none" w:sz="0" w:space="0" w:color="auto"/>
      </w:divBdr>
    </w:div>
    <w:div w:id="631136785">
      <w:bodyDiv w:val="1"/>
      <w:marLeft w:val="0"/>
      <w:marRight w:val="0"/>
      <w:marTop w:val="0"/>
      <w:marBottom w:val="0"/>
      <w:divBdr>
        <w:top w:val="none" w:sz="0" w:space="0" w:color="auto"/>
        <w:left w:val="none" w:sz="0" w:space="0" w:color="auto"/>
        <w:bottom w:val="none" w:sz="0" w:space="0" w:color="auto"/>
        <w:right w:val="none" w:sz="0" w:space="0" w:color="auto"/>
      </w:divBdr>
    </w:div>
    <w:div w:id="633365728">
      <w:bodyDiv w:val="1"/>
      <w:marLeft w:val="0"/>
      <w:marRight w:val="0"/>
      <w:marTop w:val="0"/>
      <w:marBottom w:val="0"/>
      <w:divBdr>
        <w:top w:val="none" w:sz="0" w:space="0" w:color="auto"/>
        <w:left w:val="none" w:sz="0" w:space="0" w:color="auto"/>
        <w:bottom w:val="none" w:sz="0" w:space="0" w:color="auto"/>
        <w:right w:val="none" w:sz="0" w:space="0" w:color="auto"/>
      </w:divBdr>
    </w:div>
    <w:div w:id="634068280">
      <w:bodyDiv w:val="1"/>
      <w:marLeft w:val="0"/>
      <w:marRight w:val="0"/>
      <w:marTop w:val="0"/>
      <w:marBottom w:val="0"/>
      <w:divBdr>
        <w:top w:val="none" w:sz="0" w:space="0" w:color="auto"/>
        <w:left w:val="none" w:sz="0" w:space="0" w:color="auto"/>
        <w:bottom w:val="none" w:sz="0" w:space="0" w:color="auto"/>
        <w:right w:val="none" w:sz="0" w:space="0" w:color="auto"/>
      </w:divBdr>
      <w:divsChild>
        <w:div w:id="260525791">
          <w:marLeft w:val="0"/>
          <w:marRight w:val="0"/>
          <w:marTop w:val="15"/>
          <w:marBottom w:val="0"/>
          <w:divBdr>
            <w:top w:val="none" w:sz="0" w:space="0" w:color="auto"/>
            <w:left w:val="none" w:sz="0" w:space="0" w:color="auto"/>
            <w:bottom w:val="none" w:sz="0" w:space="0" w:color="auto"/>
            <w:right w:val="none" w:sz="0" w:space="0" w:color="auto"/>
          </w:divBdr>
          <w:divsChild>
            <w:div w:id="586618962">
              <w:marLeft w:val="0"/>
              <w:marRight w:val="0"/>
              <w:marTop w:val="0"/>
              <w:marBottom w:val="0"/>
              <w:divBdr>
                <w:top w:val="none" w:sz="0" w:space="0" w:color="auto"/>
                <w:left w:val="none" w:sz="0" w:space="0" w:color="auto"/>
                <w:bottom w:val="none" w:sz="0" w:space="0" w:color="auto"/>
                <w:right w:val="none" w:sz="0" w:space="0" w:color="auto"/>
              </w:divBdr>
              <w:divsChild>
                <w:div w:id="30811187">
                  <w:marLeft w:val="0"/>
                  <w:marRight w:val="0"/>
                  <w:marTop w:val="0"/>
                  <w:marBottom w:val="0"/>
                  <w:divBdr>
                    <w:top w:val="none" w:sz="0" w:space="0" w:color="auto"/>
                    <w:left w:val="none" w:sz="0" w:space="0" w:color="auto"/>
                    <w:bottom w:val="none" w:sz="0" w:space="0" w:color="auto"/>
                    <w:right w:val="none" w:sz="0" w:space="0" w:color="auto"/>
                  </w:divBdr>
                </w:div>
                <w:div w:id="48841882">
                  <w:marLeft w:val="0"/>
                  <w:marRight w:val="0"/>
                  <w:marTop w:val="0"/>
                  <w:marBottom w:val="0"/>
                  <w:divBdr>
                    <w:top w:val="none" w:sz="0" w:space="0" w:color="auto"/>
                    <w:left w:val="none" w:sz="0" w:space="0" w:color="auto"/>
                    <w:bottom w:val="none" w:sz="0" w:space="0" w:color="auto"/>
                    <w:right w:val="none" w:sz="0" w:space="0" w:color="auto"/>
                  </w:divBdr>
                </w:div>
                <w:div w:id="69272413">
                  <w:marLeft w:val="0"/>
                  <w:marRight w:val="0"/>
                  <w:marTop w:val="0"/>
                  <w:marBottom w:val="0"/>
                  <w:divBdr>
                    <w:top w:val="none" w:sz="0" w:space="0" w:color="auto"/>
                    <w:left w:val="none" w:sz="0" w:space="0" w:color="auto"/>
                    <w:bottom w:val="none" w:sz="0" w:space="0" w:color="auto"/>
                    <w:right w:val="none" w:sz="0" w:space="0" w:color="auto"/>
                  </w:divBdr>
                </w:div>
                <w:div w:id="142739935">
                  <w:marLeft w:val="0"/>
                  <w:marRight w:val="0"/>
                  <w:marTop w:val="0"/>
                  <w:marBottom w:val="0"/>
                  <w:divBdr>
                    <w:top w:val="none" w:sz="0" w:space="0" w:color="auto"/>
                    <w:left w:val="none" w:sz="0" w:space="0" w:color="auto"/>
                    <w:bottom w:val="none" w:sz="0" w:space="0" w:color="auto"/>
                    <w:right w:val="none" w:sz="0" w:space="0" w:color="auto"/>
                  </w:divBdr>
                </w:div>
                <w:div w:id="147943483">
                  <w:marLeft w:val="0"/>
                  <w:marRight w:val="0"/>
                  <w:marTop w:val="0"/>
                  <w:marBottom w:val="0"/>
                  <w:divBdr>
                    <w:top w:val="none" w:sz="0" w:space="0" w:color="auto"/>
                    <w:left w:val="none" w:sz="0" w:space="0" w:color="auto"/>
                    <w:bottom w:val="none" w:sz="0" w:space="0" w:color="auto"/>
                    <w:right w:val="none" w:sz="0" w:space="0" w:color="auto"/>
                  </w:divBdr>
                </w:div>
                <w:div w:id="188491852">
                  <w:marLeft w:val="0"/>
                  <w:marRight w:val="0"/>
                  <w:marTop w:val="0"/>
                  <w:marBottom w:val="0"/>
                  <w:divBdr>
                    <w:top w:val="none" w:sz="0" w:space="0" w:color="auto"/>
                    <w:left w:val="none" w:sz="0" w:space="0" w:color="auto"/>
                    <w:bottom w:val="none" w:sz="0" w:space="0" w:color="auto"/>
                    <w:right w:val="none" w:sz="0" w:space="0" w:color="auto"/>
                  </w:divBdr>
                </w:div>
                <w:div w:id="258222060">
                  <w:marLeft w:val="0"/>
                  <w:marRight w:val="0"/>
                  <w:marTop w:val="0"/>
                  <w:marBottom w:val="0"/>
                  <w:divBdr>
                    <w:top w:val="none" w:sz="0" w:space="0" w:color="auto"/>
                    <w:left w:val="none" w:sz="0" w:space="0" w:color="auto"/>
                    <w:bottom w:val="none" w:sz="0" w:space="0" w:color="auto"/>
                    <w:right w:val="none" w:sz="0" w:space="0" w:color="auto"/>
                  </w:divBdr>
                </w:div>
                <w:div w:id="366561565">
                  <w:marLeft w:val="0"/>
                  <w:marRight w:val="0"/>
                  <w:marTop w:val="0"/>
                  <w:marBottom w:val="0"/>
                  <w:divBdr>
                    <w:top w:val="none" w:sz="0" w:space="0" w:color="auto"/>
                    <w:left w:val="none" w:sz="0" w:space="0" w:color="auto"/>
                    <w:bottom w:val="none" w:sz="0" w:space="0" w:color="auto"/>
                    <w:right w:val="none" w:sz="0" w:space="0" w:color="auto"/>
                  </w:divBdr>
                </w:div>
                <w:div w:id="387845432">
                  <w:marLeft w:val="0"/>
                  <w:marRight w:val="0"/>
                  <w:marTop w:val="0"/>
                  <w:marBottom w:val="0"/>
                  <w:divBdr>
                    <w:top w:val="none" w:sz="0" w:space="0" w:color="auto"/>
                    <w:left w:val="none" w:sz="0" w:space="0" w:color="auto"/>
                    <w:bottom w:val="none" w:sz="0" w:space="0" w:color="auto"/>
                    <w:right w:val="none" w:sz="0" w:space="0" w:color="auto"/>
                  </w:divBdr>
                </w:div>
                <w:div w:id="450979554">
                  <w:marLeft w:val="0"/>
                  <w:marRight w:val="0"/>
                  <w:marTop w:val="0"/>
                  <w:marBottom w:val="0"/>
                  <w:divBdr>
                    <w:top w:val="none" w:sz="0" w:space="0" w:color="auto"/>
                    <w:left w:val="none" w:sz="0" w:space="0" w:color="auto"/>
                    <w:bottom w:val="none" w:sz="0" w:space="0" w:color="auto"/>
                    <w:right w:val="none" w:sz="0" w:space="0" w:color="auto"/>
                  </w:divBdr>
                </w:div>
                <w:div w:id="579290825">
                  <w:marLeft w:val="0"/>
                  <w:marRight w:val="0"/>
                  <w:marTop w:val="0"/>
                  <w:marBottom w:val="0"/>
                  <w:divBdr>
                    <w:top w:val="none" w:sz="0" w:space="0" w:color="auto"/>
                    <w:left w:val="none" w:sz="0" w:space="0" w:color="auto"/>
                    <w:bottom w:val="none" w:sz="0" w:space="0" w:color="auto"/>
                    <w:right w:val="none" w:sz="0" w:space="0" w:color="auto"/>
                  </w:divBdr>
                </w:div>
                <w:div w:id="591668497">
                  <w:marLeft w:val="0"/>
                  <w:marRight w:val="0"/>
                  <w:marTop w:val="0"/>
                  <w:marBottom w:val="0"/>
                  <w:divBdr>
                    <w:top w:val="none" w:sz="0" w:space="0" w:color="auto"/>
                    <w:left w:val="none" w:sz="0" w:space="0" w:color="auto"/>
                    <w:bottom w:val="none" w:sz="0" w:space="0" w:color="auto"/>
                    <w:right w:val="none" w:sz="0" w:space="0" w:color="auto"/>
                  </w:divBdr>
                </w:div>
                <w:div w:id="840387591">
                  <w:marLeft w:val="0"/>
                  <w:marRight w:val="0"/>
                  <w:marTop w:val="0"/>
                  <w:marBottom w:val="0"/>
                  <w:divBdr>
                    <w:top w:val="none" w:sz="0" w:space="0" w:color="auto"/>
                    <w:left w:val="none" w:sz="0" w:space="0" w:color="auto"/>
                    <w:bottom w:val="none" w:sz="0" w:space="0" w:color="auto"/>
                    <w:right w:val="none" w:sz="0" w:space="0" w:color="auto"/>
                  </w:divBdr>
                </w:div>
                <w:div w:id="897328391">
                  <w:marLeft w:val="0"/>
                  <w:marRight w:val="0"/>
                  <w:marTop w:val="0"/>
                  <w:marBottom w:val="0"/>
                  <w:divBdr>
                    <w:top w:val="none" w:sz="0" w:space="0" w:color="auto"/>
                    <w:left w:val="none" w:sz="0" w:space="0" w:color="auto"/>
                    <w:bottom w:val="none" w:sz="0" w:space="0" w:color="auto"/>
                    <w:right w:val="none" w:sz="0" w:space="0" w:color="auto"/>
                  </w:divBdr>
                </w:div>
                <w:div w:id="926615484">
                  <w:marLeft w:val="0"/>
                  <w:marRight w:val="0"/>
                  <w:marTop w:val="0"/>
                  <w:marBottom w:val="0"/>
                  <w:divBdr>
                    <w:top w:val="none" w:sz="0" w:space="0" w:color="auto"/>
                    <w:left w:val="none" w:sz="0" w:space="0" w:color="auto"/>
                    <w:bottom w:val="none" w:sz="0" w:space="0" w:color="auto"/>
                    <w:right w:val="none" w:sz="0" w:space="0" w:color="auto"/>
                  </w:divBdr>
                </w:div>
                <w:div w:id="981806497">
                  <w:marLeft w:val="0"/>
                  <w:marRight w:val="0"/>
                  <w:marTop w:val="0"/>
                  <w:marBottom w:val="0"/>
                  <w:divBdr>
                    <w:top w:val="none" w:sz="0" w:space="0" w:color="auto"/>
                    <w:left w:val="none" w:sz="0" w:space="0" w:color="auto"/>
                    <w:bottom w:val="none" w:sz="0" w:space="0" w:color="auto"/>
                    <w:right w:val="none" w:sz="0" w:space="0" w:color="auto"/>
                  </w:divBdr>
                </w:div>
                <w:div w:id="1096098270">
                  <w:marLeft w:val="0"/>
                  <w:marRight w:val="0"/>
                  <w:marTop w:val="0"/>
                  <w:marBottom w:val="0"/>
                  <w:divBdr>
                    <w:top w:val="none" w:sz="0" w:space="0" w:color="auto"/>
                    <w:left w:val="none" w:sz="0" w:space="0" w:color="auto"/>
                    <w:bottom w:val="none" w:sz="0" w:space="0" w:color="auto"/>
                    <w:right w:val="none" w:sz="0" w:space="0" w:color="auto"/>
                  </w:divBdr>
                </w:div>
                <w:div w:id="1269775970">
                  <w:marLeft w:val="0"/>
                  <w:marRight w:val="0"/>
                  <w:marTop w:val="0"/>
                  <w:marBottom w:val="0"/>
                  <w:divBdr>
                    <w:top w:val="none" w:sz="0" w:space="0" w:color="auto"/>
                    <w:left w:val="none" w:sz="0" w:space="0" w:color="auto"/>
                    <w:bottom w:val="none" w:sz="0" w:space="0" w:color="auto"/>
                    <w:right w:val="none" w:sz="0" w:space="0" w:color="auto"/>
                  </w:divBdr>
                </w:div>
                <w:div w:id="1337659126">
                  <w:marLeft w:val="0"/>
                  <w:marRight w:val="0"/>
                  <w:marTop w:val="0"/>
                  <w:marBottom w:val="0"/>
                  <w:divBdr>
                    <w:top w:val="none" w:sz="0" w:space="0" w:color="auto"/>
                    <w:left w:val="none" w:sz="0" w:space="0" w:color="auto"/>
                    <w:bottom w:val="none" w:sz="0" w:space="0" w:color="auto"/>
                    <w:right w:val="none" w:sz="0" w:space="0" w:color="auto"/>
                  </w:divBdr>
                </w:div>
                <w:div w:id="1354838984">
                  <w:marLeft w:val="0"/>
                  <w:marRight w:val="0"/>
                  <w:marTop w:val="0"/>
                  <w:marBottom w:val="0"/>
                  <w:divBdr>
                    <w:top w:val="none" w:sz="0" w:space="0" w:color="auto"/>
                    <w:left w:val="none" w:sz="0" w:space="0" w:color="auto"/>
                    <w:bottom w:val="none" w:sz="0" w:space="0" w:color="auto"/>
                    <w:right w:val="none" w:sz="0" w:space="0" w:color="auto"/>
                  </w:divBdr>
                </w:div>
                <w:div w:id="1363092173">
                  <w:marLeft w:val="0"/>
                  <w:marRight w:val="0"/>
                  <w:marTop w:val="0"/>
                  <w:marBottom w:val="0"/>
                  <w:divBdr>
                    <w:top w:val="none" w:sz="0" w:space="0" w:color="auto"/>
                    <w:left w:val="none" w:sz="0" w:space="0" w:color="auto"/>
                    <w:bottom w:val="none" w:sz="0" w:space="0" w:color="auto"/>
                    <w:right w:val="none" w:sz="0" w:space="0" w:color="auto"/>
                  </w:divBdr>
                </w:div>
                <w:div w:id="1513104496">
                  <w:marLeft w:val="0"/>
                  <w:marRight w:val="0"/>
                  <w:marTop w:val="0"/>
                  <w:marBottom w:val="0"/>
                  <w:divBdr>
                    <w:top w:val="none" w:sz="0" w:space="0" w:color="auto"/>
                    <w:left w:val="none" w:sz="0" w:space="0" w:color="auto"/>
                    <w:bottom w:val="none" w:sz="0" w:space="0" w:color="auto"/>
                    <w:right w:val="none" w:sz="0" w:space="0" w:color="auto"/>
                  </w:divBdr>
                </w:div>
                <w:div w:id="1584413688">
                  <w:marLeft w:val="0"/>
                  <w:marRight w:val="0"/>
                  <w:marTop w:val="0"/>
                  <w:marBottom w:val="0"/>
                  <w:divBdr>
                    <w:top w:val="none" w:sz="0" w:space="0" w:color="auto"/>
                    <w:left w:val="none" w:sz="0" w:space="0" w:color="auto"/>
                    <w:bottom w:val="none" w:sz="0" w:space="0" w:color="auto"/>
                    <w:right w:val="none" w:sz="0" w:space="0" w:color="auto"/>
                  </w:divBdr>
                </w:div>
                <w:div w:id="1608468288">
                  <w:marLeft w:val="0"/>
                  <w:marRight w:val="0"/>
                  <w:marTop w:val="0"/>
                  <w:marBottom w:val="0"/>
                  <w:divBdr>
                    <w:top w:val="none" w:sz="0" w:space="0" w:color="auto"/>
                    <w:left w:val="none" w:sz="0" w:space="0" w:color="auto"/>
                    <w:bottom w:val="none" w:sz="0" w:space="0" w:color="auto"/>
                    <w:right w:val="none" w:sz="0" w:space="0" w:color="auto"/>
                  </w:divBdr>
                </w:div>
                <w:div w:id="1779250185">
                  <w:marLeft w:val="0"/>
                  <w:marRight w:val="0"/>
                  <w:marTop w:val="0"/>
                  <w:marBottom w:val="0"/>
                  <w:divBdr>
                    <w:top w:val="none" w:sz="0" w:space="0" w:color="auto"/>
                    <w:left w:val="none" w:sz="0" w:space="0" w:color="auto"/>
                    <w:bottom w:val="none" w:sz="0" w:space="0" w:color="auto"/>
                    <w:right w:val="none" w:sz="0" w:space="0" w:color="auto"/>
                  </w:divBdr>
                </w:div>
                <w:div w:id="1931427086">
                  <w:marLeft w:val="0"/>
                  <w:marRight w:val="0"/>
                  <w:marTop w:val="0"/>
                  <w:marBottom w:val="0"/>
                  <w:divBdr>
                    <w:top w:val="none" w:sz="0" w:space="0" w:color="auto"/>
                    <w:left w:val="none" w:sz="0" w:space="0" w:color="auto"/>
                    <w:bottom w:val="none" w:sz="0" w:space="0" w:color="auto"/>
                    <w:right w:val="none" w:sz="0" w:space="0" w:color="auto"/>
                  </w:divBdr>
                </w:div>
                <w:div w:id="21219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174">
          <w:marLeft w:val="0"/>
          <w:marRight w:val="0"/>
          <w:marTop w:val="15"/>
          <w:marBottom w:val="0"/>
          <w:divBdr>
            <w:top w:val="none" w:sz="0" w:space="0" w:color="auto"/>
            <w:left w:val="none" w:sz="0" w:space="0" w:color="auto"/>
            <w:bottom w:val="none" w:sz="0" w:space="0" w:color="auto"/>
            <w:right w:val="none" w:sz="0" w:space="0" w:color="auto"/>
          </w:divBdr>
          <w:divsChild>
            <w:div w:id="1378629169">
              <w:marLeft w:val="0"/>
              <w:marRight w:val="0"/>
              <w:marTop w:val="0"/>
              <w:marBottom w:val="0"/>
              <w:divBdr>
                <w:top w:val="none" w:sz="0" w:space="0" w:color="auto"/>
                <w:left w:val="none" w:sz="0" w:space="0" w:color="auto"/>
                <w:bottom w:val="none" w:sz="0" w:space="0" w:color="auto"/>
                <w:right w:val="none" w:sz="0" w:space="0" w:color="auto"/>
              </w:divBdr>
              <w:divsChild>
                <w:div w:id="184560430">
                  <w:marLeft w:val="0"/>
                  <w:marRight w:val="0"/>
                  <w:marTop w:val="0"/>
                  <w:marBottom w:val="0"/>
                  <w:divBdr>
                    <w:top w:val="none" w:sz="0" w:space="0" w:color="auto"/>
                    <w:left w:val="none" w:sz="0" w:space="0" w:color="auto"/>
                    <w:bottom w:val="none" w:sz="0" w:space="0" w:color="auto"/>
                    <w:right w:val="none" w:sz="0" w:space="0" w:color="auto"/>
                  </w:divBdr>
                </w:div>
                <w:div w:id="214699716">
                  <w:marLeft w:val="0"/>
                  <w:marRight w:val="0"/>
                  <w:marTop w:val="0"/>
                  <w:marBottom w:val="0"/>
                  <w:divBdr>
                    <w:top w:val="none" w:sz="0" w:space="0" w:color="auto"/>
                    <w:left w:val="none" w:sz="0" w:space="0" w:color="auto"/>
                    <w:bottom w:val="none" w:sz="0" w:space="0" w:color="auto"/>
                    <w:right w:val="none" w:sz="0" w:space="0" w:color="auto"/>
                  </w:divBdr>
                </w:div>
                <w:div w:id="291522786">
                  <w:marLeft w:val="0"/>
                  <w:marRight w:val="0"/>
                  <w:marTop w:val="0"/>
                  <w:marBottom w:val="0"/>
                  <w:divBdr>
                    <w:top w:val="none" w:sz="0" w:space="0" w:color="auto"/>
                    <w:left w:val="none" w:sz="0" w:space="0" w:color="auto"/>
                    <w:bottom w:val="none" w:sz="0" w:space="0" w:color="auto"/>
                    <w:right w:val="none" w:sz="0" w:space="0" w:color="auto"/>
                  </w:divBdr>
                </w:div>
                <w:div w:id="525876230">
                  <w:marLeft w:val="0"/>
                  <w:marRight w:val="0"/>
                  <w:marTop w:val="0"/>
                  <w:marBottom w:val="0"/>
                  <w:divBdr>
                    <w:top w:val="none" w:sz="0" w:space="0" w:color="auto"/>
                    <w:left w:val="none" w:sz="0" w:space="0" w:color="auto"/>
                    <w:bottom w:val="none" w:sz="0" w:space="0" w:color="auto"/>
                    <w:right w:val="none" w:sz="0" w:space="0" w:color="auto"/>
                  </w:divBdr>
                </w:div>
                <w:div w:id="645668171">
                  <w:marLeft w:val="0"/>
                  <w:marRight w:val="0"/>
                  <w:marTop w:val="0"/>
                  <w:marBottom w:val="0"/>
                  <w:divBdr>
                    <w:top w:val="none" w:sz="0" w:space="0" w:color="auto"/>
                    <w:left w:val="none" w:sz="0" w:space="0" w:color="auto"/>
                    <w:bottom w:val="none" w:sz="0" w:space="0" w:color="auto"/>
                    <w:right w:val="none" w:sz="0" w:space="0" w:color="auto"/>
                  </w:divBdr>
                </w:div>
                <w:div w:id="695009668">
                  <w:marLeft w:val="0"/>
                  <w:marRight w:val="0"/>
                  <w:marTop w:val="0"/>
                  <w:marBottom w:val="0"/>
                  <w:divBdr>
                    <w:top w:val="none" w:sz="0" w:space="0" w:color="auto"/>
                    <w:left w:val="none" w:sz="0" w:space="0" w:color="auto"/>
                    <w:bottom w:val="none" w:sz="0" w:space="0" w:color="auto"/>
                    <w:right w:val="none" w:sz="0" w:space="0" w:color="auto"/>
                  </w:divBdr>
                </w:div>
                <w:div w:id="698898344">
                  <w:marLeft w:val="0"/>
                  <w:marRight w:val="0"/>
                  <w:marTop w:val="0"/>
                  <w:marBottom w:val="0"/>
                  <w:divBdr>
                    <w:top w:val="none" w:sz="0" w:space="0" w:color="auto"/>
                    <w:left w:val="none" w:sz="0" w:space="0" w:color="auto"/>
                    <w:bottom w:val="none" w:sz="0" w:space="0" w:color="auto"/>
                    <w:right w:val="none" w:sz="0" w:space="0" w:color="auto"/>
                  </w:divBdr>
                </w:div>
                <w:div w:id="803162465">
                  <w:marLeft w:val="0"/>
                  <w:marRight w:val="0"/>
                  <w:marTop w:val="0"/>
                  <w:marBottom w:val="0"/>
                  <w:divBdr>
                    <w:top w:val="none" w:sz="0" w:space="0" w:color="auto"/>
                    <w:left w:val="none" w:sz="0" w:space="0" w:color="auto"/>
                    <w:bottom w:val="none" w:sz="0" w:space="0" w:color="auto"/>
                    <w:right w:val="none" w:sz="0" w:space="0" w:color="auto"/>
                  </w:divBdr>
                </w:div>
                <w:div w:id="879710176">
                  <w:marLeft w:val="0"/>
                  <w:marRight w:val="0"/>
                  <w:marTop w:val="0"/>
                  <w:marBottom w:val="0"/>
                  <w:divBdr>
                    <w:top w:val="none" w:sz="0" w:space="0" w:color="auto"/>
                    <w:left w:val="none" w:sz="0" w:space="0" w:color="auto"/>
                    <w:bottom w:val="none" w:sz="0" w:space="0" w:color="auto"/>
                    <w:right w:val="none" w:sz="0" w:space="0" w:color="auto"/>
                  </w:divBdr>
                </w:div>
                <w:div w:id="943153755">
                  <w:marLeft w:val="0"/>
                  <w:marRight w:val="0"/>
                  <w:marTop w:val="0"/>
                  <w:marBottom w:val="0"/>
                  <w:divBdr>
                    <w:top w:val="none" w:sz="0" w:space="0" w:color="auto"/>
                    <w:left w:val="none" w:sz="0" w:space="0" w:color="auto"/>
                    <w:bottom w:val="none" w:sz="0" w:space="0" w:color="auto"/>
                    <w:right w:val="none" w:sz="0" w:space="0" w:color="auto"/>
                  </w:divBdr>
                </w:div>
                <w:div w:id="986134310">
                  <w:marLeft w:val="0"/>
                  <w:marRight w:val="0"/>
                  <w:marTop w:val="0"/>
                  <w:marBottom w:val="0"/>
                  <w:divBdr>
                    <w:top w:val="none" w:sz="0" w:space="0" w:color="auto"/>
                    <w:left w:val="none" w:sz="0" w:space="0" w:color="auto"/>
                    <w:bottom w:val="none" w:sz="0" w:space="0" w:color="auto"/>
                    <w:right w:val="none" w:sz="0" w:space="0" w:color="auto"/>
                  </w:divBdr>
                </w:div>
                <w:div w:id="999501497">
                  <w:marLeft w:val="0"/>
                  <w:marRight w:val="0"/>
                  <w:marTop w:val="0"/>
                  <w:marBottom w:val="0"/>
                  <w:divBdr>
                    <w:top w:val="none" w:sz="0" w:space="0" w:color="auto"/>
                    <w:left w:val="none" w:sz="0" w:space="0" w:color="auto"/>
                    <w:bottom w:val="none" w:sz="0" w:space="0" w:color="auto"/>
                    <w:right w:val="none" w:sz="0" w:space="0" w:color="auto"/>
                  </w:divBdr>
                </w:div>
                <w:div w:id="1099638795">
                  <w:marLeft w:val="0"/>
                  <w:marRight w:val="0"/>
                  <w:marTop w:val="0"/>
                  <w:marBottom w:val="0"/>
                  <w:divBdr>
                    <w:top w:val="none" w:sz="0" w:space="0" w:color="auto"/>
                    <w:left w:val="none" w:sz="0" w:space="0" w:color="auto"/>
                    <w:bottom w:val="none" w:sz="0" w:space="0" w:color="auto"/>
                    <w:right w:val="none" w:sz="0" w:space="0" w:color="auto"/>
                  </w:divBdr>
                </w:div>
                <w:div w:id="1170800709">
                  <w:marLeft w:val="0"/>
                  <w:marRight w:val="0"/>
                  <w:marTop w:val="0"/>
                  <w:marBottom w:val="0"/>
                  <w:divBdr>
                    <w:top w:val="none" w:sz="0" w:space="0" w:color="auto"/>
                    <w:left w:val="none" w:sz="0" w:space="0" w:color="auto"/>
                    <w:bottom w:val="none" w:sz="0" w:space="0" w:color="auto"/>
                    <w:right w:val="none" w:sz="0" w:space="0" w:color="auto"/>
                  </w:divBdr>
                </w:div>
                <w:div w:id="1216236534">
                  <w:marLeft w:val="0"/>
                  <w:marRight w:val="0"/>
                  <w:marTop w:val="0"/>
                  <w:marBottom w:val="0"/>
                  <w:divBdr>
                    <w:top w:val="none" w:sz="0" w:space="0" w:color="auto"/>
                    <w:left w:val="none" w:sz="0" w:space="0" w:color="auto"/>
                    <w:bottom w:val="none" w:sz="0" w:space="0" w:color="auto"/>
                    <w:right w:val="none" w:sz="0" w:space="0" w:color="auto"/>
                  </w:divBdr>
                </w:div>
                <w:div w:id="1226650038">
                  <w:marLeft w:val="0"/>
                  <w:marRight w:val="0"/>
                  <w:marTop w:val="0"/>
                  <w:marBottom w:val="0"/>
                  <w:divBdr>
                    <w:top w:val="none" w:sz="0" w:space="0" w:color="auto"/>
                    <w:left w:val="none" w:sz="0" w:space="0" w:color="auto"/>
                    <w:bottom w:val="none" w:sz="0" w:space="0" w:color="auto"/>
                    <w:right w:val="none" w:sz="0" w:space="0" w:color="auto"/>
                  </w:divBdr>
                </w:div>
                <w:div w:id="1416046749">
                  <w:marLeft w:val="0"/>
                  <w:marRight w:val="0"/>
                  <w:marTop w:val="0"/>
                  <w:marBottom w:val="0"/>
                  <w:divBdr>
                    <w:top w:val="none" w:sz="0" w:space="0" w:color="auto"/>
                    <w:left w:val="none" w:sz="0" w:space="0" w:color="auto"/>
                    <w:bottom w:val="none" w:sz="0" w:space="0" w:color="auto"/>
                    <w:right w:val="none" w:sz="0" w:space="0" w:color="auto"/>
                  </w:divBdr>
                </w:div>
                <w:div w:id="1420982549">
                  <w:marLeft w:val="0"/>
                  <w:marRight w:val="0"/>
                  <w:marTop w:val="0"/>
                  <w:marBottom w:val="0"/>
                  <w:divBdr>
                    <w:top w:val="none" w:sz="0" w:space="0" w:color="auto"/>
                    <w:left w:val="none" w:sz="0" w:space="0" w:color="auto"/>
                    <w:bottom w:val="none" w:sz="0" w:space="0" w:color="auto"/>
                    <w:right w:val="none" w:sz="0" w:space="0" w:color="auto"/>
                  </w:divBdr>
                </w:div>
                <w:div w:id="1521043030">
                  <w:marLeft w:val="0"/>
                  <w:marRight w:val="0"/>
                  <w:marTop w:val="0"/>
                  <w:marBottom w:val="0"/>
                  <w:divBdr>
                    <w:top w:val="none" w:sz="0" w:space="0" w:color="auto"/>
                    <w:left w:val="none" w:sz="0" w:space="0" w:color="auto"/>
                    <w:bottom w:val="none" w:sz="0" w:space="0" w:color="auto"/>
                    <w:right w:val="none" w:sz="0" w:space="0" w:color="auto"/>
                  </w:divBdr>
                </w:div>
                <w:div w:id="1664971891">
                  <w:marLeft w:val="0"/>
                  <w:marRight w:val="0"/>
                  <w:marTop w:val="0"/>
                  <w:marBottom w:val="0"/>
                  <w:divBdr>
                    <w:top w:val="none" w:sz="0" w:space="0" w:color="auto"/>
                    <w:left w:val="none" w:sz="0" w:space="0" w:color="auto"/>
                    <w:bottom w:val="none" w:sz="0" w:space="0" w:color="auto"/>
                    <w:right w:val="none" w:sz="0" w:space="0" w:color="auto"/>
                  </w:divBdr>
                </w:div>
                <w:div w:id="1745253646">
                  <w:marLeft w:val="0"/>
                  <w:marRight w:val="0"/>
                  <w:marTop w:val="0"/>
                  <w:marBottom w:val="0"/>
                  <w:divBdr>
                    <w:top w:val="none" w:sz="0" w:space="0" w:color="auto"/>
                    <w:left w:val="none" w:sz="0" w:space="0" w:color="auto"/>
                    <w:bottom w:val="none" w:sz="0" w:space="0" w:color="auto"/>
                    <w:right w:val="none" w:sz="0" w:space="0" w:color="auto"/>
                  </w:divBdr>
                </w:div>
                <w:div w:id="1766851062">
                  <w:marLeft w:val="0"/>
                  <w:marRight w:val="0"/>
                  <w:marTop w:val="0"/>
                  <w:marBottom w:val="0"/>
                  <w:divBdr>
                    <w:top w:val="none" w:sz="0" w:space="0" w:color="auto"/>
                    <w:left w:val="none" w:sz="0" w:space="0" w:color="auto"/>
                    <w:bottom w:val="none" w:sz="0" w:space="0" w:color="auto"/>
                    <w:right w:val="none" w:sz="0" w:space="0" w:color="auto"/>
                  </w:divBdr>
                </w:div>
                <w:div w:id="1832063556">
                  <w:marLeft w:val="0"/>
                  <w:marRight w:val="0"/>
                  <w:marTop w:val="0"/>
                  <w:marBottom w:val="0"/>
                  <w:divBdr>
                    <w:top w:val="none" w:sz="0" w:space="0" w:color="auto"/>
                    <w:left w:val="none" w:sz="0" w:space="0" w:color="auto"/>
                    <w:bottom w:val="none" w:sz="0" w:space="0" w:color="auto"/>
                    <w:right w:val="none" w:sz="0" w:space="0" w:color="auto"/>
                  </w:divBdr>
                </w:div>
                <w:div w:id="1944150375">
                  <w:marLeft w:val="0"/>
                  <w:marRight w:val="0"/>
                  <w:marTop w:val="0"/>
                  <w:marBottom w:val="0"/>
                  <w:divBdr>
                    <w:top w:val="none" w:sz="0" w:space="0" w:color="auto"/>
                    <w:left w:val="none" w:sz="0" w:space="0" w:color="auto"/>
                    <w:bottom w:val="none" w:sz="0" w:space="0" w:color="auto"/>
                    <w:right w:val="none" w:sz="0" w:space="0" w:color="auto"/>
                  </w:divBdr>
                </w:div>
                <w:div w:id="2027704512">
                  <w:marLeft w:val="0"/>
                  <w:marRight w:val="0"/>
                  <w:marTop w:val="0"/>
                  <w:marBottom w:val="0"/>
                  <w:divBdr>
                    <w:top w:val="none" w:sz="0" w:space="0" w:color="auto"/>
                    <w:left w:val="none" w:sz="0" w:space="0" w:color="auto"/>
                    <w:bottom w:val="none" w:sz="0" w:space="0" w:color="auto"/>
                    <w:right w:val="none" w:sz="0" w:space="0" w:color="auto"/>
                  </w:divBdr>
                </w:div>
                <w:div w:id="2057582535">
                  <w:marLeft w:val="0"/>
                  <w:marRight w:val="0"/>
                  <w:marTop w:val="0"/>
                  <w:marBottom w:val="0"/>
                  <w:divBdr>
                    <w:top w:val="none" w:sz="0" w:space="0" w:color="auto"/>
                    <w:left w:val="none" w:sz="0" w:space="0" w:color="auto"/>
                    <w:bottom w:val="none" w:sz="0" w:space="0" w:color="auto"/>
                    <w:right w:val="none" w:sz="0" w:space="0" w:color="auto"/>
                  </w:divBdr>
                </w:div>
                <w:div w:id="21192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4496">
          <w:marLeft w:val="0"/>
          <w:marRight w:val="0"/>
          <w:marTop w:val="15"/>
          <w:marBottom w:val="0"/>
          <w:divBdr>
            <w:top w:val="none" w:sz="0" w:space="0" w:color="auto"/>
            <w:left w:val="none" w:sz="0" w:space="0" w:color="auto"/>
            <w:bottom w:val="none" w:sz="0" w:space="0" w:color="auto"/>
            <w:right w:val="none" w:sz="0" w:space="0" w:color="auto"/>
          </w:divBdr>
          <w:divsChild>
            <w:div w:id="1836260341">
              <w:marLeft w:val="0"/>
              <w:marRight w:val="0"/>
              <w:marTop w:val="0"/>
              <w:marBottom w:val="0"/>
              <w:divBdr>
                <w:top w:val="none" w:sz="0" w:space="0" w:color="auto"/>
                <w:left w:val="none" w:sz="0" w:space="0" w:color="auto"/>
                <w:bottom w:val="none" w:sz="0" w:space="0" w:color="auto"/>
                <w:right w:val="none" w:sz="0" w:space="0" w:color="auto"/>
              </w:divBdr>
              <w:divsChild>
                <w:div w:id="44332791">
                  <w:marLeft w:val="0"/>
                  <w:marRight w:val="0"/>
                  <w:marTop w:val="0"/>
                  <w:marBottom w:val="0"/>
                  <w:divBdr>
                    <w:top w:val="none" w:sz="0" w:space="0" w:color="auto"/>
                    <w:left w:val="none" w:sz="0" w:space="0" w:color="auto"/>
                    <w:bottom w:val="none" w:sz="0" w:space="0" w:color="auto"/>
                    <w:right w:val="none" w:sz="0" w:space="0" w:color="auto"/>
                  </w:divBdr>
                </w:div>
                <w:div w:id="180749324">
                  <w:marLeft w:val="0"/>
                  <w:marRight w:val="0"/>
                  <w:marTop w:val="0"/>
                  <w:marBottom w:val="0"/>
                  <w:divBdr>
                    <w:top w:val="none" w:sz="0" w:space="0" w:color="auto"/>
                    <w:left w:val="none" w:sz="0" w:space="0" w:color="auto"/>
                    <w:bottom w:val="none" w:sz="0" w:space="0" w:color="auto"/>
                    <w:right w:val="none" w:sz="0" w:space="0" w:color="auto"/>
                  </w:divBdr>
                </w:div>
                <w:div w:id="298414250">
                  <w:marLeft w:val="0"/>
                  <w:marRight w:val="0"/>
                  <w:marTop w:val="0"/>
                  <w:marBottom w:val="0"/>
                  <w:divBdr>
                    <w:top w:val="none" w:sz="0" w:space="0" w:color="auto"/>
                    <w:left w:val="none" w:sz="0" w:space="0" w:color="auto"/>
                    <w:bottom w:val="none" w:sz="0" w:space="0" w:color="auto"/>
                    <w:right w:val="none" w:sz="0" w:space="0" w:color="auto"/>
                  </w:divBdr>
                </w:div>
                <w:div w:id="521213409">
                  <w:marLeft w:val="0"/>
                  <w:marRight w:val="0"/>
                  <w:marTop w:val="0"/>
                  <w:marBottom w:val="0"/>
                  <w:divBdr>
                    <w:top w:val="none" w:sz="0" w:space="0" w:color="auto"/>
                    <w:left w:val="none" w:sz="0" w:space="0" w:color="auto"/>
                    <w:bottom w:val="none" w:sz="0" w:space="0" w:color="auto"/>
                    <w:right w:val="none" w:sz="0" w:space="0" w:color="auto"/>
                  </w:divBdr>
                </w:div>
                <w:div w:id="880945758">
                  <w:marLeft w:val="0"/>
                  <w:marRight w:val="0"/>
                  <w:marTop w:val="0"/>
                  <w:marBottom w:val="0"/>
                  <w:divBdr>
                    <w:top w:val="none" w:sz="0" w:space="0" w:color="auto"/>
                    <w:left w:val="none" w:sz="0" w:space="0" w:color="auto"/>
                    <w:bottom w:val="none" w:sz="0" w:space="0" w:color="auto"/>
                    <w:right w:val="none" w:sz="0" w:space="0" w:color="auto"/>
                  </w:divBdr>
                </w:div>
                <w:div w:id="899294076">
                  <w:marLeft w:val="0"/>
                  <w:marRight w:val="0"/>
                  <w:marTop w:val="0"/>
                  <w:marBottom w:val="0"/>
                  <w:divBdr>
                    <w:top w:val="none" w:sz="0" w:space="0" w:color="auto"/>
                    <w:left w:val="none" w:sz="0" w:space="0" w:color="auto"/>
                    <w:bottom w:val="none" w:sz="0" w:space="0" w:color="auto"/>
                    <w:right w:val="none" w:sz="0" w:space="0" w:color="auto"/>
                  </w:divBdr>
                </w:div>
                <w:div w:id="1031494283">
                  <w:marLeft w:val="0"/>
                  <w:marRight w:val="0"/>
                  <w:marTop w:val="0"/>
                  <w:marBottom w:val="0"/>
                  <w:divBdr>
                    <w:top w:val="none" w:sz="0" w:space="0" w:color="auto"/>
                    <w:left w:val="none" w:sz="0" w:space="0" w:color="auto"/>
                    <w:bottom w:val="none" w:sz="0" w:space="0" w:color="auto"/>
                    <w:right w:val="none" w:sz="0" w:space="0" w:color="auto"/>
                  </w:divBdr>
                </w:div>
                <w:div w:id="1124689945">
                  <w:marLeft w:val="0"/>
                  <w:marRight w:val="0"/>
                  <w:marTop w:val="0"/>
                  <w:marBottom w:val="0"/>
                  <w:divBdr>
                    <w:top w:val="none" w:sz="0" w:space="0" w:color="auto"/>
                    <w:left w:val="none" w:sz="0" w:space="0" w:color="auto"/>
                    <w:bottom w:val="none" w:sz="0" w:space="0" w:color="auto"/>
                    <w:right w:val="none" w:sz="0" w:space="0" w:color="auto"/>
                  </w:divBdr>
                </w:div>
                <w:div w:id="1419055102">
                  <w:marLeft w:val="0"/>
                  <w:marRight w:val="0"/>
                  <w:marTop w:val="0"/>
                  <w:marBottom w:val="0"/>
                  <w:divBdr>
                    <w:top w:val="none" w:sz="0" w:space="0" w:color="auto"/>
                    <w:left w:val="none" w:sz="0" w:space="0" w:color="auto"/>
                    <w:bottom w:val="none" w:sz="0" w:space="0" w:color="auto"/>
                    <w:right w:val="none" w:sz="0" w:space="0" w:color="auto"/>
                  </w:divBdr>
                </w:div>
                <w:div w:id="1525485205">
                  <w:marLeft w:val="0"/>
                  <w:marRight w:val="0"/>
                  <w:marTop w:val="0"/>
                  <w:marBottom w:val="0"/>
                  <w:divBdr>
                    <w:top w:val="none" w:sz="0" w:space="0" w:color="auto"/>
                    <w:left w:val="none" w:sz="0" w:space="0" w:color="auto"/>
                    <w:bottom w:val="none" w:sz="0" w:space="0" w:color="auto"/>
                    <w:right w:val="none" w:sz="0" w:space="0" w:color="auto"/>
                  </w:divBdr>
                </w:div>
                <w:div w:id="1537962511">
                  <w:marLeft w:val="0"/>
                  <w:marRight w:val="0"/>
                  <w:marTop w:val="0"/>
                  <w:marBottom w:val="0"/>
                  <w:divBdr>
                    <w:top w:val="none" w:sz="0" w:space="0" w:color="auto"/>
                    <w:left w:val="none" w:sz="0" w:space="0" w:color="auto"/>
                    <w:bottom w:val="none" w:sz="0" w:space="0" w:color="auto"/>
                    <w:right w:val="none" w:sz="0" w:space="0" w:color="auto"/>
                  </w:divBdr>
                </w:div>
                <w:div w:id="1672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42144">
          <w:marLeft w:val="0"/>
          <w:marRight w:val="0"/>
          <w:marTop w:val="15"/>
          <w:marBottom w:val="0"/>
          <w:divBdr>
            <w:top w:val="none" w:sz="0" w:space="0" w:color="auto"/>
            <w:left w:val="none" w:sz="0" w:space="0" w:color="auto"/>
            <w:bottom w:val="none" w:sz="0" w:space="0" w:color="auto"/>
            <w:right w:val="none" w:sz="0" w:space="0" w:color="auto"/>
          </w:divBdr>
          <w:divsChild>
            <w:div w:id="1013916222">
              <w:marLeft w:val="0"/>
              <w:marRight w:val="0"/>
              <w:marTop w:val="0"/>
              <w:marBottom w:val="0"/>
              <w:divBdr>
                <w:top w:val="none" w:sz="0" w:space="0" w:color="auto"/>
                <w:left w:val="none" w:sz="0" w:space="0" w:color="auto"/>
                <w:bottom w:val="none" w:sz="0" w:space="0" w:color="auto"/>
                <w:right w:val="none" w:sz="0" w:space="0" w:color="auto"/>
              </w:divBdr>
              <w:divsChild>
                <w:div w:id="47464650">
                  <w:marLeft w:val="0"/>
                  <w:marRight w:val="0"/>
                  <w:marTop w:val="0"/>
                  <w:marBottom w:val="0"/>
                  <w:divBdr>
                    <w:top w:val="none" w:sz="0" w:space="0" w:color="auto"/>
                    <w:left w:val="none" w:sz="0" w:space="0" w:color="auto"/>
                    <w:bottom w:val="none" w:sz="0" w:space="0" w:color="auto"/>
                    <w:right w:val="none" w:sz="0" w:space="0" w:color="auto"/>
                  </w:divBdr>
                </w:div>
                <w:div w:id="147789651">
                  <w:marLeft w:val="0"/>
                  <w:marRight w:val="0"/>
                  <w:marTop w:val="0"/>
                  <w:marBottom w:val="0"/>
                  <w:divBdr>
                    <w:top w:val="none" w:sz="0" w:space="0" w:color="auto"/>
                    <w:left w:val="none" w:sz="0" w:space="0" w:color="auto"/>
                    <w:bottom w:val="none" w:sz="0" w:space="0" w:color="auto"/>
                    <w:right w:val="none" w:sz="0" w:space="0" w:color="auto"/>
                  </w:divBdr>
                </w:div>
                <w:div w:id="151067295">
                  <w:marLeft w:val="0"/>
                  <w:marRight w:val="0"/>
                  <w:marTop w:val="0"/>
                  <w:marBottom w:val="0"/>
                  <w:divBdr>
                    <w:top w:val="none" w:sz="0" w:space="0" w:color="auto"/>
                    <w:left w:val="none" w:sz="0" w:space="0" w:color="auto"/>
                    <w:bottom w:val="none" w:sz="0" w:space="0" w:color="auto"/>
                    <w:right w:val="none" w:sz="0" w:space="0" w:color="auto"/>
                  </w:divBdr>
                </w:div>
                <w:div w:id="177431031">
                  <w:marLeft w:val="0"/>
                  <w:marRight w:val="0"/>
                  <w:marTop w:val="0"/>
                  <w:marBottom w:val="0"/>
                  <w:divBdr>
                    <w:top w:val="none" w:sz="0" w:space="0" w:color="auto"/>
                    <w:left w:val="none" w:sz="0" w:space="0" w:color="auto"/>
                    <w:bottom w:val="none" w:sz="0" w:space="0" w:color="auto"/>
                    <w:right w:val="none" w:sz="0" w:space="0" w:color="auto"/>
                  </w:divBdr>
                </w:div>
                <w:div w:id="206188249">
                  <w:marLeft w:val="0"/>
                  <w:marRight w:val="0"/>
                  <w:marTop w:val="0"/>
                  <w:marBottom w:val="0"/>
                  <w:divBdr>
                    <w:top w:val="none" w:sz="0" w:space="0" w:color="auto"/>
                    <w:left w:val="none" w:sz="0" w:space="0" w:color="auto"/>
                    <w:bottom w:val="none" w:sz="0" w:space="0" w:color="auto"/>
                    <w:right w:val="none" w:sz="0" w:space="0" w:color="auto"/>
                  </w:divBdr>
                </w:div>
                <w:div w:id="253322822">
                  <w:marLeft w:val="0"/>
                  <w:marRight w:val="0"/>
                  <w:marTop w:val="0"/>
                  <w:marBottom w:val="0"/>
                  <w:divBdr>
                    <w:top w:val="none" w:sz="0" w:space="0" w:color="auto"/>
                    <w:left w:val="none" w:sz="0" w:space="0" w:color="auto"/>
                    <w:bottom w:val="none" w:sz="0" w:space="0" w:color="auto"/>
                    <w:right w:val="none" w:sz="0" w:space="0" w:color="auto"/>
                  </w:divBdr>
                </w:div>
                <w:div w:id="330064562">
                  <w:marLeft w:val="0"/>
                  <w:marRight w:val="0"/>
                  <w:marTop w:val="0"/>
                  <w:marBottom w:val="0"/>
                  <w:divBdr>
                    <w:top w:val="none" w:sz="0" w:space="0" w:color="auto"/>
                    <w:left w:val="none" w:sz="0" w:space="0" w:color="auto"/>
                    <w:bottom w:val="none" w:sz="0" w:space="0" w:color="auto"/>
                    <w:right w:val="none" w:sz="0" w:space="0" w:color="auto"/>
                  </w:divBdr>
                </w:div>
                <w:div w:id="350495436">
                  <w:marLeft w:val="0"/>
                  <w:marRight w:val="0"/>
                  <w:marTop w:val="0"/>
                  <w:marBottom w:val="0"/>
                  <w:divBdr>
                    <w:top w:val="none" w:sz="0" w:space="0" w:color="auto"/>
                    <w:left w:val="none" w:sz="0" w:space="0" w:color="auto"/>
                    <w:bottom w:val="none" w:sz="0" w:space="0" w:color="auto"/>
                    <w:right w:val="none" w:sz="0" w:space="0" w:color="auto"/>
                  </w:divBdr>
                </w:div>
                <w:div w:id="479544844">
                  <w:marLeft w:val="0"/>
                  <w:marRight w:val="0"/>
                  <w:marTop w:val="0"/>
                  <w:marBottom w:val="0"/>
                  <w:divBdr>
                    <w:top w:val="none" w:sz="0" w:space="0" w:color="auto"/>
                    <w:left w:val="none" w:sz="0" w:space="0" w:color="auto"/>
                    <w:bottom w:val="none" w:sz="0" w:space="0" w:color="auto"/>
                    <w:right w:val="none" w:sz="0" w:space="0" w:color="auto"/>
                  </w:divBdr>
                </w:div>
                <w:div w:id="495344378">
                  <w:marLeft w:val="0"/>
                  <w:marRight w:val="0"/>
                  <w:marTop w:val="0"/>
                  <w:marBottom w:val="0"/>
                  <w:divBdr>
                    <w:top w:val="none" w:sz="0" w:space="0" w:color="auto"/>
                    <w:left w:val="none" w:sz="0" w:space="0" w:color="auto"/>
                    <w:bottom w:val="none" w:sz="0" w:space="0" w:color="auto"/>
                    <w:right w:val="none" w:sz="0" w:space="0" w:color="auto"/>
                  </w:divBdr>
                </w:div>
                <w:div w:id="677000141">
                  <w:marLeft w:val="0"/>
                  <w:marRight w:val="0"/>
                  <w:marTop w:val="0"/>
                  <w:marBottom w:val="0"/>
                  <w:divBdr>
                    <w:top w:val="none" w:sz="0" w:space="0" w:color="auto"/>
                    <w:left w:val="none" w:sz="0" w:space="0" w:color="auto"/>
                    <w:bottom w:val="none" w:sz="0" w:space="0" w:color="auto"/>
                    <w:right w:val="none" w:sz="0" w:space="0" w:color="auto"/>
                  </w:divBdr>
                </w:div>
                <w:div w:id="711996264">
                  <w:marLeft w:val="0"/>
                  <w:marRight w:val="0"/>
                  <w:marTop w:val="0"/>
                  <w:marBottom w:val="0"/>
                  <w:divBdr>
                    <w:top w:val="none" w:sz="0" w:space="0" w:color="auto"/>
                    <w:left w:val="none" w:sz="0" w:space="0" w:color="auto"/>
                    <w:bottom w:val="none" w:sz="0" w:space="0" w:color="auto"/>
                    <w:right w:val="none" w:sz="0" w:space="0" w:color="auto"/>
                  </w:divBdr>
                </w:div>
                <w:div w:id="762338758">
                  <w:marLeft w:val="0"/>
                  <w:marRight w:val="0"/>
                  <w:marTop w:val="0"/>
                  <w:marBottom w:val="0"/>
                  <w:divBdr>
                    <w:top w:val="none" w:sz="0" w:space="0" w:color="auto"/>
                    <w:left w:val="none" w:sz="0" w:space="0" w:color="auto"/>
                    <w:bottom w:val="none" w:sz="0" w:space="0" w:color="auto"/>
                    <w:right w:val="none" w:sz="0" w:space="0" w:color="auto"/>
                  </w:divBdr>
                </w:div>
                <w:div w:id="823932285">
                  <w:marLeft w:val="0"/>
                  <w:marRight w:val="0"/>
                  <w:marTop w:val="0"/>
                  <w:marBottom w:val="0"/>
                  <w:divBdr>
                    <w:top w:val="none" w:sz="0" w:space="0" w:color="auto"/>
                    <w:left w:val="none" w:sz="0" w:space="0" w:color="auto"/>
                    <w:bottom w:val="none" w:sz="0" w:space="0" w:color="auto"/>
                    <w:right w:val="none" w:sz="0" w:space="0" w:color="auto"/>
                  </w:divBdr>
                </w:div>
                <w:div w:id="1108038593">
                  <w:marLeft w:val="0"/>
                  <w:marRight w:val="0"/>
                  <w:marTop w:val="0"/>
                  <w:marBottom w:val="0"/>
                  <w:divBdr>
                    <w:top w:val="none" w:sz="0" w:space="0" w:color="auto"/>
                    <w:left w:val="none" w:sz="0" w:space="0" w:color="auto"/>
                    <w:bottom w:val="none" w:sz="0" w:space="0" w:color="auto"/>
                    <w:right w:val="none" w:sz="0" w:space="0" w:color="auto"/>
                  </w:divBdr>
                </w:div>
                <w:div w:id="1187674121">
                  <w:marLeft w:val="0"/>
                  <w:marRight w:val="0"/>
                  <w:marTop w:val="0"/>
                  <w:marBottom w:val="0"/>
                  <w:divBdr>
                    <w:top w:val="none" w:sz="0" w:space="0" w:color="auto"/>
                    <w:left w:val="none" w:sz="0" w:space="0" w:color="auto"/>
                    <w:bottom w:val="none" w:sz="0" w:space="0" w:color="auto"/>
                    <w:right w:val="none" w:sz="0" w:space="0" w:color="auto"/>
                  </w:divBdr>
                </w:div>
                <w:div w:id="1434787786">
                  <w:marLeft w:val="0"/>
                  <w:marRight w:val="0"/>
                  <w:marTop w:val="0"/>
                  <w:marBottom w:val="0"/>
                  <w:divBdr>
                    <w:top w:val="none" w:sz="0" w:space="0" w:color="auto"/>
                    <w:left w:val="none" w:sz="0" w:space="0" w:color="auto"/>
                    <w:bottom w:val="none" w:sz="0" w:space="0" w:color="auto"/>
                    <w:right w:val="none" w:sz="0" w:space="0" w:color="auto"/>
                  </w:divBdr>
                </w:div>
                <w:div w:id="1455178109">
                  <w:marLeft w:val="0"/>
                  <w:marRight w:val="0"/>
                  <w:marTop w:val="0"/>
                  <w:marBottom w:val="0"/>
                  <w:divBdr>
                    <w:top w:val="none" w:sz="0" w:space="0" w:color="auto"/>
                    <w:left w:val="none" w:sz="0" w:space="0" w:color="auto"/>
                    <w:bottom w:val="none" w:sz="0" w:space="0" w:color="auto"/>
                    <w:right w:val="none" w:sz="0" w:space="0" w:color="auto"/>
                  </w:divBdr>
                </w:div>
                <w:div w:id="1471751422">
                  <w:marLeft w:val="0"/>
                  <w:marRight w:val="0"/>
                  <w:marTop w:val="0"/>
                  <w:marBottom w:val="0"/>
                  <w:divBdr>
                    <w:top w:val="none" w:sz="0" w:space="0" w:color="auto"/>
                    <w:left w:val="none" w:sz="0" w:space="0" w:color="auto"/>
                    <w:bottom w:val="none" w:sz="0" w:space="0" w:color="auto"/>
                    <w:right w:val="none" w:sz="0" w:space="0" w:color="auto"/>
                  </w:divBdr>
                </w:div>
                <w:div w:id="1534882941">
                  <w:marLeft w:val="0"/>
                  <w:marRight w:val="0"/>
                  <w:marTop w:val="0"/>
                  <w:marBottom w:val="0"/>
                  <w:divBdr>
                    <w:top w:val="none" w:sz="0" w:space="0" w:color="auto"/>
                    <w:left w:val="none" w:sz="0" w:space="0" w:color="auto"/>
                    <w:bottom w:val="none" w:sz="0" w:space="0" w:color="auto"/>
                    <w:right w:val="none" w:sz="0" w:space="0" w:color="auto"/>
                  </w:divBdr>
                </w:div>
                <w:div w:id="1552645219">
                  <w:marLeft w:val="0"/>
                  <w:marRight w:val="0"/>
                  <w:marTop w:val="0"/>
                  <w:marBottom w:val="0"/>
                  <w:divBdr>
                    <w:top w:val="none" w:sz="0" w:space="0" w:color="auto"/>
                    <w:left w:val="none" w:sz="0" w:space="0" w:color="auto"/>
                    <w:bottom w:val="none" w:sz="0" w:space="0" w:color="auto"/>
                    <w:right w:val="none" w:sz="0" w:space="0" w:color="auto"/>
                  </w:divBdr>
                </w:div>
                <w:div w:id="1572620362">
                  <w:marLeft w:val="0"/>
                  <w:marRight w:val="0"/>
                  <w:marTop w:val="0"/>
                  <w:marBottom w:val="0"/>
                  <w:divBdr>
                    <w:top w:val="none" w:sz="0" w:space="0" w:color="auto"/>
                    <w:left w:val="none" w:sz="0" w:space="0" w:color="auto"/>
                    <w:bottom w:val="none" w:sz="0" w:space="0" w:color="auto"/>
                    <w:right w:val="none" w:sz="0" w:space="0" w:color="auto"/>
                  </w:divBdr>
                </w:div>
                <w:div w:id="1631402818">
                  <w:marLeft w:val="0"/>
                  <w:marRight w:val="0"/>
                  <w:marTop w:val="0"/>
                  <w:marBottom w:val="0"/>
                  <w:divBdr>
                    <w:top w:val="none" w:sz="0" w:space="0" w:color="auto"/>
                    <w:left w:val="none" w:sz="0" w:space="0" w:color="auto"/>
                    <w:bottom w:val="none" w:sz="0" w:space="0" w:color="auto"/>
                    <w:right w:val="none" w:sz="0" w:space="0" w:color="auto"/>
                  </w:divBdr>
                </w:div>
                <w:div w:id="1639337835">
                  <w:marLeft w:val="0"/>
                  <w:marRight w:val="0"/>
                  <w:marTop w:val="0"/>
                  <w:marBottom w:val="0"/>
                  <w:divBdr>
                    <w:top w:val="none" w:sz="0" w:space="0" w:color="auto"/>
                    <w:left w:val="none" w:sz="0" w:space="0" w:color="auto"/>
                    <w:bottom w:val="none" w:sz="0" w:space="0" w:color="auto"/>
                    <w:right w:val="none" w:sz="0" w:space="0" w:color="auto"/>
                  </w:divBdr>
                </w:div>
                <w:div w:id="1822112048">
                  <w:marLeft w:val="0"/>
                  <w:marRight w:val="0"/>
                  <w:marTop w:val="0"/>
                  <w:marBottom w:val="0"/>
                  <w:divBdr>
                    <w:top w:val="none" w:sz="0" w:space="0" w:color="auto"/>
                    <w:left w:val="none" w:sz="0" w:space="0" w:color="auto"/>
                    <w:bottom w:val="none" w:sz="0" w:space="0" w:color="auto"/>
                    <w:right w:val="none" w:sz="0" w:space="0" w:color="auto"/>
                  </w:divBdr>
                </w:div>
                <w:div w:id="1828328619">
                  <w:marLeft w:val="0"/>
                  <w:marRight w:val="0"/>
                  <w:marTop w:val="0"/>
                  <w:marBottom w:val="0"/>
                  <w:divBdr>
                    <w:top w:val="none" w:sz="0" w:space="0" w:color="auto"/>
                    <w:left w:val="none" w:sz="0" w:space="0" w:color="auto"/>
                    <w:bottom w:val="none" w:sz="0" w:space="0" w:color="auto"/>
                    <w:right w:val="none" w:sz="0" w:space="0" w:color="auto"/>
                  </w:divBdr>
                </w:div>
                <w:div w:id="1839611292">
                  <w:marLeft w:val="0"/>
                  <w:marRight w:val="0"/>
                  <w:marTop w:val="0"/>
                  <w:marBottom w:val="0"/>
                  <w:divBdr>
                    <w:top w:val="none" w:sz="0" w:space="0" w:color="auto"/>
                    <w:left w:val="none" w:sz="0" w:space="0" w:color="auto"/>
                    <w:bottom w:val="none" w:sz="0" w:space="0" w:color="auto"/>
                    <w:right w:val="none" w:sz="0" w:space="0" w:color="auto"/>
                  </w:divBdr>
                </w:div>
                <w:div w:id="1953199690">
                  <w:marLeft w:val="0"/>
                  <w:marRight w:val="0"/>
                  <w:marTop w:val="0"/>
                  <w:marBottom w:val="0"/>
                  <w:divBdr>
                    <w:top w:val="none" w:sz="0" w:space="0" w:color="auto"/>
                    <w:left w:val="none" w:sz="0" w:space="0" w:color="auto"/>
                    <w:bottom w:val="none" w:sz="0" w:space="0" w:color="auto"/>
                    <w:right w:val="none" w:sz="0" w:space="0" w:color="auto"/>
                  </w:divBdr>
                </w:div>
                <w:div w:id="19720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5546">
          <w:marLeft w:val="0"/>
          <w:marRight w:val="0"/>
          <w:marTop w:val="15"/>
          <w:marBottom w:val="0"/>
          <w:divBdr>
            <w:top w:val="none" w:sz="0" w:space="0" w:color="auto"/>
            <w:left w:val="none" w:sz="0" w:space="0" w:color="auto"/>
            <w:bottom w:val="none" w:sz="0" w:space="0" w:color="auto"/>
            <w:right w:val="none" w:sz="0" w:space="0" w:color="auto"/>
          </w:divBdr>
          <w:divsChild>
            <w:div w:id="1978367330">
              <w:marLeft w:val="0"/>
              <w:marRight w:val="0"/>
              <w:marTop w:val="0"/>
              <w:marBottom w:val="0"/>
              <w:divBdr>
                <w:top w:val="none" w:sz="0" w:space="0" w:color="auto"/>
                <w:left w:val="none" w:sz="0" w:space="0" w:color="auto"/>
                <w:bottom w:val="none" w:sz="0" w:space="0" w:color="auto"/>
                <w:right w:val="none" w:sz="0" w:space="0" w:color="auto"/>
              </w:divBdr>
              <w:divsChild>
                <w:div w:id="14236478">
                  <w:marLeft w:val="0"/>
                  <w:marRight w:val="0"/>
                  <w:marTop w:val="0"/>
                  <w:marBottom w:val="0"/>
                  <w:divBdr>
                    <w:top w:val="none" w:sz="0" w:space="0" w:color="auto"/>
                    <w:left w:val="none" w:sz="0" w:space="0" w:color="auto"/>
                    <w:bottom w:val="none" w:sz="0" w:space="0" w:color="auto"/>
                    <w:right w:val="none" w:sz="0" w:space="0" w:color="auto"/>
                  </w:divBdr>
                </w:div>
                <w:div w:id="159318166">
                  <w:marLeft w:val="0"/>
                  <w:marRight w:val="0"/>
                  <w:marTop w:val="0"/>
                  <w:marBottom w:val="0"/>
                  <w:divBdr>
                    <w:top w:val="none" w:sz="0" w:space="0" w:color="auto"/>
                    <w:left w:val="none" w:sz="0" w:space="0" w:color="auto"/>
                    <w:bottom w:val="none" w:sz="0" w:space="0" w:color="auto"/>
                    <w:right w:val="none" w:sz="0" w:space="0" w:color="auto"/>
                  </w:divBdr>
                </w:div>
                <w:div w:id="187378602">
                  <w:marLeft w:val="0"/>
                  <w:marRight w:val="0"/>
                  <w:marTop w:val="0"/>
                  <w:marBottom w:val="0"/>
                  <w:divBdr>
                    <w:top w:val="none" w:sz="0" w:space="0" w:color="auto"/>
                    <w:left w:val="none" w:sz="0" w:space="0" w:color="auto"/>
                    <w:bottom w:val="none" w:sz="0" w:space="0" w:color="auto"/>
                    <w:right w:val="none" w:sz="0" w:space="0" w:color="auto"/>
                  </w:divBdr>
                </w:div>
                <w:div w:id="394354344">
                  <w:marLeft w:val="0"/>
                  <w:marRight w:val="0"/>
                  <w:marTop w:val="0"/>
                  <w:marBottom w:val="0"/>
                  <w:divBdr>
                    <w:top w:val="none" w:sz="0" w:space="0" w:color="auto"/>
                    <w:left w:val="none" w:sz="0" w:space="0" w:color="auto"/>
                    <w:bottom w:val="none" w:sz="0" w:space="0" w:color="auto"/>
                    <w:right w:val="none" w:sz="0" w:space="0" w:color="auto"/>
                  </w:divBdr>
                </w:div>
                <w:div w:id="517695247">
                  <w:marLeft w:val="0"/>
                  <w:marRight w:val="0"/>
                  <w:marTop w:val="0"/>
                  <w:marBottom w:val="0"/>
                  <w:divBdr>
                    <w:top w:val="none" w:sz="0" w:space="0" w:color="auto"/>
                    <w:left w:val="none" w:sz="0" w:space="0" w:color="auto"/>
                    <w:bottom w:val="none" w:sz="0" w:space="0" w:color="auto"/>
                    <w:right w:val="none" w:sz="0" w:space="0" w:color="auto"/>
                  </w:divBdr>
                </w:div>
                <w:div w:id="526023318">
                  <w:marLeft w:val="0"/>
                  <w:marRight w:val="0"/>
                  <w:marTop w:val="0"/>
                  <w:marBottom w:val="0"/>
                  <w:divBdr>
                    <w:top w:val="none" w:sz="0" w:space="0" w:color="auto"/>
                    <w:left w:val="none" w:sz="0" w:space="0" w:color="auto"/>
                    <w:bottom w:val="none" w:sz="0" w:space="0" w:color="auto"/>
                    <w:right w:val="none" w:sz="0" w:space="0" w:color="auto"/>
                  </w:divBdr>
                </w:div>
                <w:div w:id="607853334">
                  <w:marLeft w:val="0"/>
                  <w:marRight w:val="0"/>
                  <w:marTop w:val="0"/>
                  <w:marBottom w:val="0"/>
                  <w:divBdr>
                    <w:top w:val="none" w:sz="0" w:space="0" w:color="auto"/>
                    <w:left w:val="none" w:sz="0" w:space="0" w:color="auto"/>
                    <w:bottom w:val="none" w:sz="0" w:space="0" w:color="auto"/>
                    <w:right w:val="none" w:sz="0" w:space="0" w:color="auto"/>
                  </w:divBdr>
                </w:div>
                <w:div w:id="725029012">
                  <w:marLeft w:val="0"/>
                  <w:marRight w:val="0"/>
                  <w:marTop w:val="0"/>
                  <w:marBottom w:val="0"/>
                  <w:divBdr>
                    <w:top w:val="none" w:sz="0" w:space="0" w:color="auto"/>
                    <w:left w:val="none" w:sz="0" w:space="0" w:color="auto"/>
                    <w:bottom w:val="none" w:sz="0" w:space="0" w:color="auto"/>
                    <w:right w:val="none" w:sz="0" w:space="0" w:color="auto"/>
                  </w:divBdr>
                </w:div>
                <w:div w:id="837158865">
                  <w:marLeft w:val="0"/>
                  <w:marRight w:val="0"/>
                  <w:marTop w:val="0"/>
                  <w:marBottom w:val="0"/>
                  <w:divBdr>
                    <w:top w:val="none" w:sz="0" w:space="0" w:color="auto"/>
                    <w:left w:val="none" w:sz="0" w:space="0" w:color="auto"/>
                    <w:bottom w:val="none" w:sz="0" w:space="0" w:color="auto"/>
                    <w:right w:val="none" w:sz="0" w:space="0" w:color="auto"/>
                  </w:divBdr>
                </w:div>
                <w:div w:id="859274877">
                  <w:marLeft w:val="0"/>
                  <w:marRight w:val="0"/>
                  <w:marTop w:val="0"/>
                  <w:marBottom w:val="0"/>
                  <w:divBdr>
                    <w:top w:val="none" w:sz="0" w:space="0" w:color="auto"/>
                    <w:left w:val="none" w:sz="0" w:space="0" w:color="auto"/>
                    <w:bottom w:val="none" w:sz="0" w:space="0" w:color="auto"/>
                    <w:right w:val="none" w:sz="0" w:space="0" w:color="auto"/>
                  </w:divBdr>
                </w:div>
                <w:div w:id="977223538">
                  <w:marLeft w:val="0"/>
                  <w:marRight w:val="0"/>
                  <w:marTop w:val="0"/>
                  <w:marBottom w:val="0"/>
                  <w:divBdr>
                    <w:top w:val="none" w:sz="0" w:space="0" w:color="auto"/>
                    <w:left w:val="none" w:sz="0" w:space="0" w:color="auto"/>
                    <w:bottom w:val="none" w:sz="0" w:space="0" w:color="auto"/>
                    <w:right w:val="none" w:sz="0" w:space="0" w:color="auto"/>
                  </w:divBdr>
                </w:div>
                <w:div w:id="1005329885">
                  <w:marLeft w:val="0"/>
                  <w:marRight w:val="0"/>
                  <w:marTop w:val="0"/>
                  <w:marBottom w:val="0"/>
                  <w:divBdr>
                    <w:top w:val="none" w:sz="0" w:space="0" w:color="auto"/>
                    <w:left w:val="none" w:sz="0" w:space="0" w:color="auto"/>
                    <w:bottom w:val="none" w:sz="0" w:space="0" w:color="auto"/>
                    <w:right w:val="none" w:sz="0" w:space="0" w:color="auto"/>
                  </w:divBdr>
                </w:div>
                <w:div w:id="1031420194">
                  <w:marLeft w:val="0"/>
                  <w:marRight w:val="0"/>
                  <w:marTop w:val="0"/>
                  <w:marBottom w:val="0"/>
                  <w:divBdr>
                    <w:top w:val="none" w:sz="0" w:space="0" w:color="auto"/>
                    <w:left w:val="none" w:sz="0" w:space="0" w:color="auto"/>
                    <w:bottom w:val="none" w:sz="0" w:space="0" w:color="auto"/>
                    <w:right w:val="none" w:sz="0" w:space="0" w:color="auto"/>
                  </w:divBdr>
                </w:div>
                <w:div w:id="1038746729">
                  <w:marLeft w:val="0"/>
                  <w:marRight w:val="0"/>
                  <w:marTop w:val="0"/>
                  <w:marBottom w:val="0"/>
                  <w:divBdr>
                    <w:top w:val="none" w:sz="0" w:space="0" w:color="auto"/>
                    <w:left w:val="none" w:sz="0" w:space="0" w:color="auto"/>
                    <w:bottom w:val="none" w:sz="0" w:space="0" w:color="auto"/>
                    <w:right w:val="none" w:sz="0" w:space="0" w:color="auto"/>
                  </w:divBdr>
                </w:div>
                <w:div w:id="1276326776">
                  <w:marLeft w:val="0"/>
                  <w:marRight w:val="0"/>
                  <w:marTop w:val="0"/>
                  <w:marBottom w:val="0"/>
                  <w:divBdr>
                    <w:top w:val="none" w:sz="0" w:space="0" w:color="auto"/>
                    <w:left w:val="none" w:sz="0" w:space="0" w:color="auto"/>
                    <w:bottom w:val="none" w:sz="0" w:space="0" w:color="auto"/>
                    <w:right w:val="none" w:sz="0" w:space="0" w:color="auto"/>
                  </w:divBdr>
                </w:div>
                <w:div w:id="1387021945">
                  <w:marLeft w:val="0"/>
                  <w:marRight w:val="0"/>
                  <w:marTop w:val="0"/>
                  <w:marBottom w:val="0"/>
                  <w:divBdr>
                    <w:top w:val="none" w:sz="0" w:space="0" w:color="auto"/>
                    <w:left w:val="none" w:sz="0" w:space="0" w:color="auto"/>
                    <w:bottom w:val="none" w:sz="0" w:space="0" w:color="auto"/>
                    <w:right w:val="none" w:sz="0" w:space="0" w:color="auto"/>
                  </w:divBdr>
                </w:div>
                <w:div w:id="1397438267">
                  <w:marLeft w:val="0"/>
                  <w:marRight w:val="0"/>
                  <w:marTop w:val="0"/>
                  <w:marBottom w:val="0"/>
                  <w:divBdr>
                    <w:top w:val="none" w:sz="0" w:space="0" w:color="auto"/>
                    <w:left w:val="none" w:sz="0" w:space="0" w:color="auto"/>
                    <w:bottom w:val="none" w:sz="0" w:space="0" w:color="auto"/>
                    <w:right w:val="none" w:sz="0" w:space="0" w:color="auto"/>
                  </w:divBdr>
                </w:div>
                <w:div w:id="1557206264">
                  <w:marLeft w:val="0"/>
                  <w:marRight w:val="0"/>
                  <w:marTop w:val="0"/>
                  <w:marBottom w:val="0"/>
                  <w:divBdr>
                    <w:top w:val="none" w:sz="0" w:space="0" w:color="auto"/>
                    <w:left w:val="none" w:sz="0" w:space="0" w:color="auto"/>
                    <w:bottom w:val="none" w:sz="0" w:space="0" w:color="auto"/>
                    <w:right w:val="none" w:sz="0" w:space="0" w:color="auto"/>
                  </w:divBdr>
                </w:div>
                <w:div w:id="1607543916">
                  <w:marLeft w:val="0"/>
                  <w:marRight w:val="0"/>
                  <w:marTop w:val="0"/>
                  <w:marBottom w:val="0"/>
                  <w:divBdr>
                    <w:top w:val="none" w:sz="0" w:space="0" w:color="auto"/>
                    <w:left w:val="none" w:sz="0" w:space="0" w:color="auto"/>
                    <w:bottom w:val="none" w:sz="0" w:space="0" w:color="auto"/>
                    <w:right w:val="none" w:sz="0" w:space="0" w:color="auto"/>
                  </w:divBdr>
                </w:div>
                <w:div w:id="1635135052">
                  <w:marLeft w:val="0"/>
                  <w:marRight w:val="0"/>
                  <w:marTop w:val="0"/>
                  <w:marBottom w:val="0"/>
                  <w:divBdr>
                    <w:top w:val="none" w:sz="0" w:space="0" w:color="auto"/>
                    <w:left w:val="none" w:sz="0" w:space="0" w:color="auto"/>
                    <w:bottom w:val="none" w:sz="0" w:space="0" w:color="auto"/>
                    <w:right w:val="none" w:sz="0" w:space="0" w:color="auto"/>
                  </w:divBdr>
                </w:div>
                <w:div w:id="1648048802">
                  <w:marLeft w:val="0"/>
                  <w:marRight w:val="0"/>
                  <w:marTop w:val="0"/>
                  <w:marBottom w:val="0"/>
                  <w:divBdr>
                    <w:top w:val="none" w:sz="0" w:space="0" w:color="auto"/>
                    <w:left w:val="none" w:sz="0" w:space="0" w:color="auto"/>
                    <w:bottom w:val="none" w:sz="0" w:space="0" w:color="auto"/>
                    <w:right w:val="none" w:sz="0" w:space="0" w:color="auto"/>
                  </w:divBdr>
                </w:div>
                <w:div w:id="1659503311">
                  <w:marLeft w:val="0"/>
                  <w:marRight w:val="0"/>
                  <w:marTop w:val="0"/>
                  <w:marBottom w:val="0"/>
                  <w:divBdr>
                    <w:top w:val="none" w:sz="0" w:space="0" w:color="auto"/>
                    <w:left w:val="none" w:sz="0" w:space="0" w:color="auto"/>
                    <w:bottom w:val="none" w:sz="0" w:space="0" w:color="auto"/>
                    <w:right w:val="none" w:sz="0" w:space="0" w:color="auto"/>
                  </w:divBdr>
                </w:div>
                <w:div w:id="1660965699">
                  <w:marLeft w:val="0"/>
                  <w:marRight w:val="0"/>
                  <w:marTop w:val="0"/>
                  <w:marBottom w:val="0"/>
                  <w:divBdr>
                    <w:top w:val="none" w:sz="0" w:space="0" w:color="auto"/>
                    <w:left w:val="none" w:sz="0" w:space="0" w:color="auto"/>
                    <w:bottom w:val="none" w:sz="0" w:space="0" w:color="auto"/>
                    <w:right w:val="none" w:sz="0" w:space="0" w:color="auto"/>
                  </w:divBdr>
                </w:div>
                <w:div w:id="1770200312">
                  <w:marLeft w:val="0"/>
                  <w:marRight w:val="0"/>
                  <w:marTop w:val="0"/>
                  <w:marBottom w:val="0"/>
                  <w:divBdr>
                    <w:top w:val="none" w:sz="0" w:space="0" w:color="auto"/>
                    <w:left w:val="none" w:sz="0" w:space="0" w:color="auto"/>
                    <w:bottom w:val="none" w:sz="0" w:space="0" w:color="auto"/>
                    <w:right w:val="none" w:sz="0" w:space="0" w:color="auto"/>
                  </w:divBdr>
                </w:div>
                <w:div w:id="1903980022">
                  <w:marLeft w:val="0"/>
                  <w:marRight w:val="0"/>
                  <w:marTop w:val="0"/>
                  <w:marBottom w:val="0"/>
                  <w:divBdr>
                    <w:top w:val="none" w:sz="0" w:space="0" w:color="auto"/>
                    <w:left w:val="none" w:sz="0" w:space="0" w:color="auto"/>
                    <w:bottom w:val="none" w:sz="0" w:space="0" w:color="auto"/>
                    <w:right w:val="none" w:sz="0" w:space="0" w:color="auto"/>
                  </w:divBdr>
                </w:div>
                <w:div w:id="2020498358">
                  <w:marLeft w:val="0"/>
                  <w:marRight w:val="0"/>
                  <w:marTop w:val="0"/>
                  <w:marBottom w:val="0"/>
                  <w:divBdr>
                    <w:top w:val="none" w:sz="0" w:space="0" w:color="auto"/>
                    <w:left w:val="none" w:sz="0" w:space="0" w:color="auto"/>
                    <w:bottom w:val="none" w:sz="0" w:space="0" w:color="auto"/>
                    <w:right w:val="none" w:sz="0" w:space="0" w:color="auto"/>
                  </w:divBdr>
                </w:div>
                <w:div w:id="20438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4797">
          <w:marLeft w:val="0"/>
          <w:marRight w:val="0"/>
          <w:marTop w:val="15"/>
          <w:marBottom w:val="0"/>
          <w:divBdr>
            <w:top w:val="none" w:sz="0" w:space="0" w:color="auto"/>
            <w:left w:val="none" w:sz="0" w:space="0" w:color="auto"/>
            <w:bottom w:val="none" w:sz="0" w:space="0" w:color="auto"/>
            <w:right w:val="none" w:sz="0" w:space="0" w:color="auto"/>
          </w:divBdr>
          <w:divsChild>
            <w:div w:id="1783918785">
              <w:marLeft w:val="0"/>
              <w:marRight w:val="0"/>
              <w:marTop w:val="0"/>
              <w:marBottom w:val="0"/>
              <w:divBdr>
                <w:top w:val="none" w:sz="0" w:space="0" w:color="auto"/>
                <w:left w:val="none" w:sz="0" w:space="0" w:color="auto"/>
                <w:bottom w:val="none" w:sz="0" w:space="0" w:color="auto"/>
                <w:right w:val="none" w:sz="0" w:space="0" w:color="auto"/>
              </w:divBdr>
              <w:divsChild>
                <w:div w:id="15350888">
                  <w:marLeft w:val="0"/>
                  <w:marRight w:val="0"/>
                  <w:marTop w:val="0"/>
                  <w:marBottom w:val="0"/>
                  <w:divBdr>
                    <w:top w:val="none" w:sz="0" w:space="0" w:color="auto"/>
                    <w:left w:val="none" w:sz="0" w:space="0" w:color="auto"/>
                    <w:bottom w:val="none" w:sz="0" w:space="0" w:color="auto"/>
                    <w:right w:val="none" w:sz="0" w:space="0" w:color="auto"/>
                  </w:divBdr>
                </w:div>
                <w:div w:id="70978271">
                  <w:marLeft w:val="0"/>
                  <w:marRight w:val="0"/>
                  <w:marTop w:val="0"/>
                  <w:marBottom w:val="0"/>
                  <w:divBdr>
                    <w:top w:val="none" w:sz="0" w:space="0" w:color="auto"/>
                    <w:left w:val="none" w:sz="0" w:space="0" w:color="auto"/>
                    <w:bottom w:val="none" w:sz="0" w:space="0" w:color="auto"/>
                    <w:right w:val="none" w:sz="0" w:space="0" w:color="auto"/>
                  </w:divBdr>
                </w:div>
                <w:div w:id="267860303">
                  <w:marLeft w:val="0"/>
                  <w:marRight w:val="0"/>
                  <w:marTop w:val="0"/>
                  <w:marBottom w:val="0"/>
                  <w:divBdr>
                    <w:top w:val="none" w:sz="0" w:space="0" w:color="auto"/>
                    <w:left w:val="none" w:sz="0" w:space="0" w:color="auto"/>
                    <w:bottom w:val="none" w:sz="0" w:space="0" w:color="auto"/>
                    <w:right w:val="none" w:sz="0" w:space="0" w:color="auto"/>
                  </w:divBdr>
                </w:div>
                <w:div w:id="351029646">
                  <w:marLeft w:val="0"/>
                  <w:marRight w:val="0"/>
                  <w:marTop w:val="0"/>
                  <w:marBottom w:val="0"/>
                  <w:divBdr>
                    <w:top w:val="none" w:sz="0" w:space="0" w:color="auto"/>
                    <w:left w:val="none" w:sz="0" w:space="0" w:color="auto"/>
                    <w:bottom w:val="none" w:sz="0" w:space="0" w:color="auto"/>
                    <w:right w:val="none" w:sz="0" w:space="0" w:color="auto"/>
                  </w:divBdr>
                </w:div>
                <w:div w:id="356128148">
                  <w:marLeft w:val="0"/>
                  <w:marRight w:val="0"/>
                  <w:marTop w:val="0"/>
                  <w:marBottom w:val="0"/>
                  <w:divBdr>
                    <w:top w:val="none" w:sz="0" w:space="0" w:color="auto"/>
                    <w:left w:val="none" w:sz="0" w:space="0" w:color="auto"/>
                    <w:bottom w:val="none" w:sz="0" w:space="0" w:color="auto"/>
                    <w:right w:val="none" w:sz="0" w:space="0" w:color="auto"/>
                  </w:divBdr>
                </w:div>
                <w:div w:id="362292321">
                  <w:marLeft w:val="0"/>
                  <w:marRight w:val="0"/>
                  <w:marTop w:val="0"/>
                  <w:marBottom w:val="0"/>
                  <w:divBdr>
                    <w:top w:val="none" w:sz="0" w:space="0" w:color="auto"/>
                    <w:left w:val="none" w:sz="0" w:space="0" w:color="auto"/>
                    <w:bottom w:val="none" w:sz="0" w:space="0" w:color="auto"/>
                    <w:right w:val="none" w:sz="0" w:space="0" w:color="auto"/>
                  </w:divBdr>
                </w:div>
                <w:div w:id="383866953">
                  <w:marLeft w:val="0"/>
                  <w:marRight w:val="0"/>
                  <w:marTop w:val="0"/>
                  <w:marBottom w:val="0"/>
                  <w:divBdr>
                    <w:top w:val="none" w:sz="0" w:space="0" w:color="auto"/>
                    <w:left w:val="none" w:sz="0" w:space="0" w:color="auto"/>
                    <w:bottom w:val="none" w:sz="0" w:space="0" w:color="auto"/>
                    <w:right w:val="none" w:sz="0" w:space="0" w:color="auto"/>
                  </w:divBdr>
                </w:div>
                <w:div w:id="433132668">
                  <w:marLeft w:val="0"/>
                  <w:marRight w:val="0"/>
                  <w:marTop w:val="0"/>
                  <w:marBottom w:val="0"/>
                  <w:divBdr>
                    <w:top w:val="none" w:sz="0" w:space="0" w:color="auto"/>
                    <w:left w:val="none" w:sz="0" w:space="0" w:color="auto"/>
                    <w:bottom w:val="none" w:sz="0" w:space="0" w:color="auto"/>
                    <w:right w:val="none" w:sz="0" w:space="0" w:color="auto"/>
                  </w:divBdr>
                </w:div>
                <w:div w:id="451216572">
                  <w:marLeft w:val="0"/>
                  <w:marRight w:val="0"/>
                  <w:marTop w:val="0"/>
                  <w:marBottom w:val="0"/>
                  <w:divBdr>
                    <w:top w:val="none" w:sz="0" w:space="0" w:color="auto"/>
                    <w:left w:val="none" w:sz="0" w:space="0" w:color="auto"/>
                    <w:bottom w:val="none" w:sz="0" w:space="0" w:color="auto"/>
                    <w:right w:val="none" w:sz="0" w:space="0" w:color="auto"/>
                  </w:divBdr>
                </w:div>
                <w:div w:id="454063908">
                  <w:marLeft w:val="0"/>
                  <w:marRight w:val="0"/>
                  <w:marTop w:val="0"/>
                  <w:marBottom w:val="0"/>
                  <w:divBdr>
                    <w:top w:val="none" w:sz="0" w:space="0" w:color="auto"/>
                    <w:left w:val="none" w:sz="0" w:space="0" w:color="auto"/>
                    <w:bottom w:val="none" w:sz="0" w:space="0" w:color="auto"/>
                    <w:right w:val="none" w:sz="0" w:space="0" w:color="auto"/>
                  </w:divBdr>
                </w:div>
                <w:div w:id="601688100">
                  <w:marLeft w:val="0"/>
                  <w:marRight w:val="0"/>
                  <w:marTop w:val="0"/>
                  <w:marBottom w:val="0"/>
                  <w:divBdr>
                    <w:top w:val="none" w:sz="0" w:space="0" w:color="auto"/>
                    <w:left w:val="none" w:sz="0" w:space="0" w:color="auto"/>
                    <w:bottom w:val="none" w:sz="0" w:space="0" w:color="auto"/>
                    <w:right w:val="none" w:sz="0" w:space="0" w:color="auto"/>
                  </w:divBdr>
                </w:div>
                <w:div w:id="628363626">
                  <w:marLeft w:val="0"/>
                  <w:marRight w:val="0"/>
                  <w:marTop w:val="0"/>
                  <w:marBottom w:val="0"/>
                  <w:divBdr>
                    <w:top w:val="none" w:sz="0" w:space="0" w:color="auto"/>
                    <w:left w:val="none" w:sz="0" w:space="0" w:color="auto"/>
                    <w:bottom w:val="none" w:sz="0" w:space="0" w:color="auto"/>
                    <w:right w:val="none" w:sz="0" w:space="0" w:color="auto"/>
                  </w:divBdr>
                </w:div>
                <w:div w:id="659775428">
                  <w:marLeft w:val="0"/>
                  <w:marRight w:val="0"/>
                  <w:marTop w:val="0"/>
                  <w:marBottom w:val="0"/>
                  <w:divBdr>
                    <w:top w:val="none" w:sz="0" w:space="0" w:color="auto"/>
                    <w:left w:val="none" w:sz="0" w:space="0" w:color="auto"/>
                    <w:bottom w:val="none" w:sz="0" w:space="0" w:color="auto"/>
                    <w:right w:val="none" w:sz="0" w:space="0" w:color="auto"/>
                  </w:divBdr>
                </w:div>
                <w:div w:id="811018446">
                  <w:marLeft w:val="0"/>
                  <w:marRight w:val="0"/>
                  <w:marTop w:val="0"/>
                  <w:marBottom w:val="0"/>
                  <w:divBdr>
                    <w:top w:val="none" w:sz="0" w:space="0" w:color="auto"/>
                    <w:left w:val="none" w:sz="0" w:space="0" w:color="auto"/>
                    <w:bottom w:val="none" w:sz="0" w:space="0" w:color="auto"/>
                    <w:right w:val="none" w:sz="0" w:space="0" w:color="auto"/>
                  </w:divBdr>
                </w:div>
                <w:div w:id="1040015748">
                  <w:marLeft w:val="0"/>
                  <w:marRight w:val="0"/>
                  <w:marTop w:val="0"/>
                  <w:marBottom w:val="0"/>
                  <w:divBdr>
                    <w:top w:val="none" w:sz="0" w:space="0" w:color="auto"/>
                    <w:left w:val="none" w:sz="0" w:space="0" w:color="auto"/>
                    <w:bottom w:val="none" w:sz="0" w:space="0" w:color="auto"/>
                    <w:right w:val="none" w:sz="0" w:space="0" w:color="auto"/>
                  </w:divBdr>
                </w:div>
                <w:div w:id="1139881054">
                  <w:marLeft w:val="0"/>
                  <w:marRight w:val="0"/>
                  <w:marTop w:val="0"/>
                  <w:marBottom w:val="0"/>
                  <w:divBdr>
                    <w:top w:val="none" w:sz="0" w:space="0" w:color="auto"/>
                    <w:left w:val="none" w:sz="0" w:space="0" w:color="auto"/>
                    <w:bottom w:val="none" w:sz="0" w:space="0" w:color="auto"/>
                    <w:right w:val="none" w:sz="0" w:space="0" w:color="auto"/>
                  </w:divBdr>
                </w:div>
                <w:div w:id="1265765697">
                  <w:marLeft w:val="0"/>
                  <w:marRight w:val="0"/>
                  <w:marTop w:val="0"/>
                  <w:marBottom w:val="0"/>
                  <w:divBdr>
                    <w:top w:val="none" w:sz="0" w:space="0" w:color="auto"/>
                    <w:left w:val="none" w:sz="0" w:space="0" w:color="auto"/>
                    <w:bottom w:val="none" w:sz="0" w:space="0" w:color="auto"/>
                    <w:right w:val="none" w:sz="0" w:space="0" w:color="auto"/>
                  </w:divBdr>
                </w:div>
                <w:div w:id="1281457123">
                  <w:marLeft w:val="0"/>
                  <w:marRight w:val="0"/>
                  <w:marTop w:val="0"/>
                  <w:marBottom w:val="0"/>
                  <w:divBdr>
                    <w:top w:val="none" w:sz="0" w:space="0" w:color="auto"/>
                    <w:left w:val="none" w:sz="0" w:space="0" w:color="auto"/>
                    <w:bottom w:val="none" w:sz="0" w:space="0" w:color="auto"/>
                    <w:right w:val="none" w:sz="0" w:space="0" w:color="auto"/>
                  </w:divBdr>
                </w:div>
                <w:div w:id="1306620819">
                  <w:marLeft w:val="0"/>
                  <w:marRight w:val="0"/>
                  <w:marTop w:val="0"/>
                  <w:marBottom w:val="0"/>
                  <w:divBdr>
                    <w:top w:val="none" w:sz="0" w:space="0" w:color="auto"/>
                    <w:left w:val="none" w:sz="0" w:space="0" w:color="auto"/>
                    <w:bottom w:val="none" w:sz="0" w:space="0" w:color="auto"/>
                    <w:right w:val="none" w:sz="0" w:space="0" w:color="auto"/>
                  </w:divBdr>
                </w:div>
                <w:div w:id="1405641972">
                  <w:marLeft w:val="0"/>
                  <w:marRight w:val="0"/>
                  <w:marTop w:val="0"/>
                  <w:marBottom w:val="0"/>
                  <w:divBdr>
                    <w:top w:val="none" w:sz="0" w:space="0" w:color="auto"/>
                    <w:left w:val="none" w:sz="0" w:space="0" w:color="auto"/>
                    <w:bottom w:val="none" w:sz="0" w:space="0" w:color="auto"/>
                    <w:right w:val="none" w:sz="0" w:space="0" w:color="auto"/>
                  </w:divBdr>
                </w:div>
                <w:div w:id="1438914707">
                  <w:marLeft w:val="0"/>
                  <w:marRight w:val="0"/>
                  <w:marTop w:val="0"/>
                  <w:marBottom w:val="0"/>
                  <w:divBdr>
                    <w:top w:val="none" w:sz="0" w:space="0" w:color="auto"/>
                    <w:left w:val="none" w:sz="0" w:space="0" w:color="auto"/>
                    <w:bottom w:val="none" w:sz="0" w:space="0" w:color="auto"/>
                    <w:right w:val="none" w:sz="0" w:space="0" w:color="auto"/>
                  </w:divBdr>
                </w:div>
                <w:div w:id="1566717686">
                  <w:marLeft w:val="0"/>
                  <w:marRight w:val="0"/>
                  <w:marTop w:val="0"/>
                  <w:marBottom w:val="0"/>
                  <w:divBdr>
                    <w:top w:val="none" w:sz="0" w:space="0" w:color="auto"/>
                    <w:left w:val="none" w:sz="0" w:space="0" w:color="auto"/>
                    <w:bottom w:val="none" w:sz="0" w:space="0" w:color="auto"/>
                    <w:right w:val="none" w:sz="0" w:space="0" w:color="auto"/>
                  </w:divBdr>
                </w:div>
                <w:div w:id="1579318249">
                  <w:marLeft w:val="0"/>
                  <w:marRight w:val="0"/>
                  <w:marTop w:val="0"/>
                  <w:marBottom w:val="0"/>
                  <w:divBdr>
                    <w:top w:val="none" w:sz="0" w:space="0" w:color="auto"/>
                    <w:left w:val="none" w:sz="0" w:space="0" w:color="auto"/>
                    <w:bottom w:val="none" w:sz="0" w:space="0" w:color="auto"/>
                    <w:right w:val="none" w:sz="0" w:space="0" w:color="auto"/>
                  </w:divBdr>
                </w:div>
                <w:div w:id="1616404279">
                  <w:marLeft w:val="0"/>
                  <w:marRight w:val="0"/>
                  <w:marTop w:val="0"/>
                  <w:marBottom w:val="0"/>
                  <w:divBdr>
                    <w:top w:val="none" w:sz="0" w:space="0" w:color="auto"/>
                    <w:left w:val="none" w:sz="0" w:space="0" w:color="auto"/>
                    <w:bottom w:val="none" w:sz="0" w:space="0" w:color="auto"/>
                    <w:right w:val="none" w:sz="0" w:space="0" w:color="auto"/>
                  </w:divBdr>
                </w:div>
                <w:div w:id="1734280448">
                  <w:marLeft w:val="0"/>
                  <w:marRight w:val="0"/>
                  <w:marTop w:val="0"/>
                  <w:marBottom w:val="0"/>
                  <w:divBdr>
                    <w:top w:val="none" w:sz="0" w:space="0" w:color="auto"/>
                    <w:left w:val="none" w:sz="0" w:space="0" w:color="auto"/>
                    <w:bottom w:val="none" w:sz="0" w:space="0" w:color="auto"/>
                    <w:right w:val="none" w:sz="0" w:space="0" w:color="auto"/>
                  </w:divBdr>
                </w:div>
                <w:div w:id="1741319918">
                  <w:marLeft w:val="0"/>
                  <w:marRight w:val="0"/>
                  <w:marTop w:val="0"/>
                  <w:marBottom w:val="0"/>
                  <w:divBdr>
                    <w:top w:val="none" w:sz="0" w:space="0" w:color="auto"/>
                    <w:left w:val="none" w:sz="0" w:space="0" w:color="auto"/>
                    <w:bottom w:val="none" w:sz="0" w:space="0" w:color="auto"/>
                    <w:right w:val="none" w:sz="0" w:space="0" w:color="auto"/>
                  </w:divBdr>
                </w:div>
                <w:div w:id="21394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1231">
          <w:marLeft w:val="0"/>
          <w:marRight w:val="0"/>
          <w:marTop w:val="15"/>
          <w:marBottom w:val="0"/>
          <w:divBdr>
            <w:top w:val="none" w:sz="0" w:space="0" w:color="auto"/>
            <w:left w:val="none" w:sz="0" w:space="0" w:color="auto"/>
            <w:bottom w:val="none" w:sz="0" w:space="0" w:color="auto"/>
            <w:right w:val="none" w:sz="0" w:space="0" w:color="auto"/>
          </w:divBdr>
          <w:divsChild>
            <w:div w:id="1485463744">
              <w:marLeft w:val="0"/>
              <w:marRight w:val="0"/>
              <w:marTop w:val="0"/>
              <w:marBottom w:val="0"/>
              <w:divBdr>
                <w:top w:val="none" w:sz="0" w:space="0" w:color="auto"/>
                <w:left w:val="none" w:sz="0" w:space="0" w:color="auto"/>
                <w:bottom w:val="none" w:sz="0" w:space="0" w:color="auto"/>
                <w:right w:val="none" w:sz="0" w:space="0" w:color="auto"/>
              </w:divBdr>
              <w:divsChild>
                <w:div w:id="252593131">
                  <w:marLeft w:val="0"/>
                  <w:marRight w:val="0"/>
                  <w:marTop w:val="0"/>
                  <w:marBottom w:val="0"/>
                  <w:divBdr>
                    <w:top w:val="none" w:sz="0" w:space="0" w:color="auto"/>
                    <w:left w:val="none" w:sz="0" w:space="0" w:color="auto"/>
                    <w:bottom w:val="none" w:sz="0" w:space="0" w:color="auto"/>
                    <w:right w:val="none" w:sz="0" w:space="0" w:color="auto"/>
                  </w:divBdr>
                </w:div>
                <w:div w:id="255292580">
                  <w:marLeft w:val="0"/>
                  <w:marRight w:val="0"/>
                  <w:marTop w:val="0"/>
                  <w:marBottom w:val="0"/>
                  <w:divBdr>
                    <w:top w:val="none" w:sz="0" w:space="0" w:color="auto"/>
                    <w:left w:val="none" w:sz="0" w:space="0" w:color="auto"/>
                    <w:bottom w:val="none" w:sz="0" w:space="0" w:color="auto"/>
                    <w:right w:val="none" w:sz="0" w:space="0" w:color="auto"/>
                  </w:divBdr>
                </w:div>
                <w:div w:id="283272168">
                  <w:marLeft w:val="0"/>
                  <w:marRight w:val="0"/>
                  <w:marTop w:val="0"/>
                  <w:marBottom w:val="0"/>
                  <w:divBdr>
                    <w:top w:val="none" w:sz="0" w:space="0" w:color="auto"/>
                    <w:left w:val="none" w:sz="0" w:space="0" w:color="auto"/>
                    <w:bottom w:val="none" w:sz="0" w:space="0" w:color="auto"/>
                    <w:right w:val="none" w:sz="0" w:space="0" w:color="auto"/>
                  </w:divBdr>
                </w:div>
                <w:div w:id="353729641">
                  <w:marLeft w:val="0"/>
                  <w:marRight w:val="0"/>
                  <w:marTop w:val="0"/>
                  <w:marBottom w:val="0"/>
                  <w:divBdr>
                    <w:top w:val="none" w:sz="0" w:space="0" w:color="auto"/>
                    <w:left w:val="none" w:sz="0" w:space="0" w:color="auto"/>
                    <w:bottom w:val="none" w:sz="0" w:space="0" w:color="auto"/>
                    <w:right w:val="none" w:sz="0" w:space="0" w:color="auto"/>
                  </w:divBdr>
                </w:div>
                <w:div w:id="408692891">
                  <w:marLeft w:val="0"/>
                  <w:marRight w:val="0"/>
                  <w:marTop w:val="0"/>
                  <w:marBottom w:val="0"/>
                  <w:divBdr>
                    <w:top w:val="none" w:sz="0" w:space="0" w:color="auto"/>
                    <w:left w:val="none" w:sz="0" w:space="0" w:color="auto"/>
                    <w:bottom w:val="none" w:sz="0" w:space="0" w:color="auto"/>
                    <w:right w:val="none" w:sz="0" w:space="0" w:color="auto"/>
                  </w:divBdr>
                </w:div>
                <w:div w:id="471559640">
                  <w:marLeft w:val="0"/>
                  <w:marRight w:val="0"/>
                  <w:marTop w:val="0"/>
                  <w:marBottom w:val="0"/>
                  <w:divBdr>
                    <w:top w:val="none" w:sz="0" w:space="0" w:color="auto"/>
                    <w:left w:val="none" w:sz="0" w:space="0" w:color="auto"/>
                    <w:bottom w:val="none" w:sz="0" w:space="0" w:color="auto"/>
                    <w:right w:val="none" w:sz="0" w:space="0" w:color="auto"/>
                  </w:divBdr>
                </w:div>
                <w:div w:id="611013833">
                  <w:marLeft w:val="0"/>
                  <w:marRight w:val="0"/>
                  <w:marTop w:val="0"/>
                  <w:marBottom w:val="0"/>
                  <w:divBdr>
                    <w:top w:val="none" w:sz="0" w:space="0" w:color="auto"/>
                    <w:left w:val="none" w:sz="0" w:space="0" w:color="auto"/>
                    <w:bottom w:val="none" w:sz="0" w:space="0" w:color="auto"/>
                    <w:right w:val="none" w:sz="0" w:space="0" w:color="auto"/>
                  </w:divBdr>
                </w:div>
                <w:div w:id="617109758">
                  <w:marLeft w:val="0"/>
                  <w:marRight w:val="0"/>
                  <w:marTop w:val="0"/>
                  <w:marBottom w:val="0"/>
                  <w:divBdr>
                    <w:top w:val="none" w:sz="0" w:space="0" w:color="auto"/>
                    <w:left w:val="none" w:sz="0" w:space="0" w:color="auto"/>
                    <w:bottom w:val="none" w:sz="0" w:space="0" w:color="auto"/>
                    <w:right w:val="none" w:sz="0" w:space="0" w:color="auto"/>
                  </w:divBdr>
                </w:div>
                <w:div w:id="709451151">
                  <w:marLeft w:val="0"/>
                  <w:marRight w:val="0"/>
                  <w:marTop w:val="0"/>
                  <w:marBottom w:val="0"/>
                  <w:divBdr>
                    <w:top w:val="none" w:sz="0" w:space="0" w:color="auto"/>
                    <w:left w:val="none" w:sz="0" w:space="0" w:color="auto"/>
                    <w:bottom w:val="none" w:sz="0" w:space="0" w:color="auto"/>
                    <w:right w:val="none" w:sz="0" w:space="0" w:color="auto"/>
                  </w:divBdr>
                </w:div>
                <w:div w:id="908418550">
                  <w:marLeft w:val="0"/>
                  <w:marRight w:val="0"/>
                  <w:marTop w:val="0"/>
                  <w:marBottom w:val="0"/>
                  <w:divBdr>
                    <w:top w:val="none" w:sz="0" w:space="0" w:color="auto"/>
                    <w:left w:val="none" w:sz="0" w:space="0" w:color="auto"/>
                    <w:bottom w:val="none" w:sz="0" w:space="0" w:color="auto"/>
                    <w:right w:val="none" w:sz="0" w:space="0" w:color="auto"/>
                  </w:divBdr>
                </w:div>
                <w:div w:id="938369213">
                  <w:marLeft w:val="0"/>
                  <w:marRight w:val="0"/>
                  <w:marTop w:val="0"/>
                  <w:marBottom w:val="0"/>
                  <w:divBdr>
                    <w:top w:val="none" w:sz="0" w:space="0" w:color="auto"/>
                    <w:left w:val="none" w:sz="0" w:space="0" w:color="auto"/>
                    <w:bottom w:val="none" w:sz="0" w:space="0" w:color="auto"/>
                    <w:right w:val="none" w:sz="0" w:space="0" w:color="auto"/>
                  </w:divBdr>
                </w:div>
                <w:div w:id="1017923402">
                  <w:marLeft w:val="0"/>
                  <w:marRight w:val="0"/>
                  <w:marTop w:val="0"/>
                  <w:marBottom w:val="0"/>
                  <w:divBdr>
                    <w:top w:val="none" w:sz="0" w:space="0" w:color="auto"/>
                    <w:left w:val="none" w:sz="0" w:space="0" w:color="auto"/>
                    <w:bottom w:val="none" w:sz="0" w:space="0" w:color="auto"/>
                    <w:right w:val="none" w:sz="0" w:space="0" w:color="auto"/>
                  </w:divBdr>
                </w:div>
                <w:div w:id="1067189562">
                  <w:marLeft w:val="0"/>
                  <w:marRight w:val="0"/>
                  <w:marTop w:val="0"/>
                  <w:marBottom w:val="0"/>
                  <w:divBdr>
                    <w:top w:val="none" w:sz="0" w:space="0" w:color="auto"/>
                    <w:left w:val="none" w:sz="0" w:space="0" w:color="auto"/>
                    <w:bottom w:val="none" w:sz="0" w:space="0" w:color="auto"/>
                    <w:right w:val="none" w:sz="0" w:space="0" w:color="auto"/>
                  </w:divBdr>
                </w:div>
                <w:div w:id="1193104862">
                  <w:marLeft w:val="0"/>
                  <w:marRight w:val="0"/>
                  <w:marTop w:val="0"/>
                  <w:marBottom w:val="0"/>
                  <w:divBdr>
                    <w:top w:val="none" w:sz="0" w:space="0" w:color="auto"/>
                    <w:left w:val="none" w:sz="0" w:space="0" w:color="auto"/>
                    <w:bottom w:val="none" w:sz="0" w:space="0" w:color="auto"/>
                    <w:right w:val="none" w:sz="0" w:space="0" w:color="auto"/>
                  </w:divBdr>
                </w:div>
                <w:div w:id="1199124623">
                  <w:marLeft w:val="0"/>
                  <w:marRight w:val="0"/>
                  <w:marTop w:val="0"/>
                  <w:marBottom w:val="0"/>
                  <w:divBdr>
                    <w:top w:val="none" w:sz="0" w:space="0" w:color="auto"/>
                    <w:left w:val="none" w:sz="0" w:space="0" w:color="auto"/>
                    <w:bottom w:val="none" w:sz="0" w:space="0" w:color="auto"/>
                    <w:right w:val="none" w:sz="0" w:space="0" w:color="auto"/>
                  </w:divBdr>
                </w:div>
                <w:div w:id="1243684292">
                  <w:marLeft w:val="0"/>
                  <w:marRight w:val="0"/>
                  <w:marTop w:val="0"/>
                  <w:marBottom w:val="0"/>
                  <w:divBdr>
                    <w:top w:val="none" w:sz="0" w:space="0" w:color="auto"/>
                    <w:left w:val="none" w:sz="0" w:space="0" w:color="auto"/>
                    <w:bottom w:val="none" w:sz="0" w:space="0" w:color="auto"/>
                    <w:right w:val="none" w:sz="0" w:space="0" w:color="auto"/>
                  </w:divBdr>
                </w:div>
                <w:div w:id="1313801194">
                  <w:marLeft w:val="0"/>
                  <w:marRight w:val="0"/>
                  <w:marTop w:val="0"/>
                  <w:marBottom w:val="0"/>
                  <w:divBdr>
                    <w:top w:val="none" w:sz="0" w:space="0" w:color="auto"/>
                    <w:left w:val="none" w:sz="0" w:space="0" w:color="auto"/>
                    <w:bottom w:val="none" w:sz="0" w:space="0" w:color="auto"/>
                    <w:right w:val="none" w:sz="0" w:space="0" w:color="auto"/>
                  </w:divBdr>
                </w:div>
                <w:div w:id="1407996237">
                  <w:marLeft w:val="0"/>
                  <w:marRight w:val="0"/>
                  <w:marTop w:val="0"/>
                  <w:marBottom w:val="0"/>
                  <w:divBdr>
                    <w:top w:val="none" w:sz="0" w:space="0" w:color="auto"/>
                    <w:left w:val="none" w:sz="0" w:space="0" w:color="auto"/>
                    <w:bottom w:val="none" w:sz="0" w:space="0" w:color="auto"/>
                    <w:right w:val="none" w:sz="0" w:space="0" w:color="auto"/>
                  </w:divBdr>
                </w:div>
                <w:div w:id="1440953741">
                  <w:marLeft w:val="0"/>
                  <w:marRight w:val="0"/>
                  <w:marTop w:val="0"/>
                  <w:marBottom w:val="0"/>
                  <w:divBdr>
                    <w:top w:val="none" w:sz="0" w:space="0" w:color="auto"/>
                    <w:left w:val="none" w:sz="0" w:space="0" w:color="auto"/>
                    <w:bottom w:val="none" w:sz="0" w:space="0" w:color="auto"/>
                    <w:right w:val="none" w:sz="0" w:space="0" w:color="auto"/>
                  </w:divBdr>
                </w:div>
                <w:div w:id="1454444209">
                  <w:marLeft w:val="0"/>
                  <w:marRight w:val="0"/>
                  <w:marTop w:val="0"/>
                  <w:marBottom w:val="0"/>
                  <w:divBdr>
                    <w:top w:val="none" w:sz="0" w:space="0" w:color="auto"/>
                    <w:left w:val="none" w:sz="0" w:space="0" w:color="auto"/>
                    <w:bottom w:val="none" w:sz="0" w:space="0" w:color="auto"/>
                    <w:right w:val="none" w:sz="0" w:space="0" w:color="auto"/>
                  </w:divBdr>
                </w:div>
                <w:div w:id="1815834213">
                  <w:marLeft w:val="0"/>
                  <w:marRight w:val="0"/>
                  <w:marTop w:val="0"/>
                  <w:marBottom w:val="0"/>
                  <w:divBdr>
                    <w:top w:val="none" w:sz="0" w:space="0" w:color="auto"/>
                    <w:left w:val="none" w:sz="0" w:space="0" w:color="auto"/>
                    <w:bottom w:val="none" w:sz="0" w:space="0" w:color="auto"/>
                    <w:right w:val="none" w:sz="0" w:space="0" w:color="auto"/>
                  </w:divBdr>
                </w:div>
                <w:div w:id="1852722860">
                  <w:marLeft w:val="0"/>
                  <w:marRight w:val="0"/>
                  <w:marTop w:val="0"/>
                  <w:marBottom w:val="0"/>
                  <w:divBdr>
                    <w:top w:val="none" w:sz="0" w:space="0" w:color="auto"/>
                    <w:left w:val="none" w:sz="0" w:space="0" w:color="auto"/>
                    <w:bottom w:val="none" w:sz="0" w:space="0" w:color="auto"/>
                    <w:right w:val="none" w:sz="0" w:space="0" w:color="auto"/>
                  </w:divBdr>
                </w:div>
                <w:div w:id="1946960491">
                  <w:marLeft w:val="0"/>
                  <w:marRight w:val="0"/>
                  <w:marTop w:val="0"/>
                  <w:marBottom w:val="0"/>
                  <w:divBdr>
                    <w:top w:val="none" w:sz="0" w:space="0" w:color="auto"/>
                    <w:left w:val="none" w:sz="0" w:space="0" w:color="auto"/>
                    <w:bottom w:val="none" w:sz="0" w:space="0" w:color="auto"/>
                    <w:right w:val="none" w:sz="0" w:space="0" w:color="auto"/>
                  </w:divBdr>
                </w:div>
                <w:div w:id="1970696257">
                  <w:marLeft w:val="0"/>
                  <w:marRight w:val="0"/>
                  <w:marTop w:val="0"/>
                  <w:marBottom w:val="0"/>
                  <w:divBdr>
                    <w:top w:val="none" w:sz="0" w:space="0" w:color="auto"/>
                    <w:left w:val="none" w:sz="0" w:space="0" w:color="auto"/>
                    <w:bottom w:val="none" w:sz="0" w:space="0" w:color="auto"/>
                    <w:right w:val="none" w:sz="0" w:space="0" w:color="auto"/>
                  </w:divBdr>
                </w:div>
                <w:div w:id="1999726551">
                  <w:marLeft w:val="0"/>
                  <w:marRight w:val="0"/>
                  <w:marTop w:val="0"/>
                  <w:marBottom w:val="0"/>
                  <w:divBdr>
                    <w:top w:val="none" w:sz="0" w:space="0" w:color="auto"/>
                    <w:left w:val="none" w:sz="0" w:space="0" w:color="auto"/>
                    <w:bottom w:val="none" w:sz="0" w:space="0" w:color="auto"/>
                    <w:right w:val="none" w:sz="0" w:space="0" w:color="auto"/>
                  </w:divBdr>
                </w:div>
                <w:div w:id="2006203657">
                  <w:marLeft w:val="0"/>
                  <w:marRight w:val="0"/>
                  <w:marTop w:val="0"/>
                  <w:marBottom w:val="0"/>
                  <w:divBdr>
                    <w:top w:val="none" w:sz="0" w:space="0" w:color="auto"/>
                    <w:left w:val="none" w:sz="0" w:space="0" w:color="auto"/>
                    <w:bottom w:val="none" w:sz="0" w:space="0" w:color="auto"/>
                    <w:right w:val="none" w:sz="0" w:space="0" w:color="auto"/>
                  </w:divBdr>
                </w:div>
                <w:div w:id="2051564473">
                  <w:marLeft w:val="0"/>
                  <w:marRight w:val="0"/>
                  <w:marTop w:val="0"/>
                  <w:marBottom w:val="0"/>
                  <w:divBdr>
                    <w:top w:val="none" w:sz="0" w:space="0" w:color="auto"/>
                    <w:left w:val="none" w:sz="0" w:space="0" w:color="auto"/>
                    <w:bottom w:val="none" w:sz="0" w:space="0" w:color="auto"/>
                    <w:right w:val="none" w:sz="0" w:space="0" w:color="auto"/>
                  </w:divBdr>
                </w:div>
                <w:div w:id="20873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9970">
          <w:marLeft w:val="0"/>
          <w:marRight w:val="0"/>
          <w:marTop w:val="15"/>
          <w:marBottom w:val="0"/>
          <w:divBdr>
            <w:top w:val="none" w:sz="0" w:space="0" w:color="auto"/>
            <w:left w:val="none" w:sz="0" w:space="0" w:color="auto"/>
            <w:bottom w:val="none" w:sz="0" w:space="0" w:color="auto"/>
            <w:right w:val="none" w:sz="0" w:space="0" w:color="auto"/>
          </w:divBdr>
          <w:divsChild>
            <w:div w:id="95178880">
              <w:marLeft w:val="0"/>
              <w:marRight w:val="0"/>
              <w:marTop w:val="0"/>
              <w:marBottom w:val="0"/>
              <w:divBdr>
                <w:top w:val="none" w:sz="0" w:space="0" w:color="auto"/>
                <w:left w:val="none" w:sz="0" w:space="0" w:color="auto"/>
                <w:bottom w:val="none" w:sz="0" w:space="0" w:color="auto"/>
                <w:right w:val="none" w:sz="0" w:space="0" w:color="auto"/>
              </w:divBdr>
              <w:divsChild>
                <w:div w:id="101926158">
                  <w:marLeft w:val="0"/>
                  <w:marRight w:val="0"/>
                  <w:marTop w:val="0"/>
                  <w:marBottom w:val="0"/>
                  <w:divBdr>
                    <w:top w:val="none" w:sz="0" w:space="0" w:color="auto"/>
                    <w:left w:val="none" w:sz="0" w:space="0" w:color="auto"/>
                    <w:bottom w:val="none" w:sz="0" w:space="0" w:color="auto"/>
                    <w:right w:val="none" w:sz="0" w:space="0" w:color="auto"/>
                  </w:divBdr>
                </w:div>
                <w:div w:id="261423887">
                  <w:marLeft w:val="0"/>
                  <w:marRight w:val="0"/>
                  <w:marTop w:val="0"/>
                  <w:marBottom w:val="0"/>
                  <w:divBdr>
                    <w:top w:val="none" w:sz="0" w:space="0" w:color="auto"/>
                    <w:left w:val="none" w:sz="0" w:space="0" w:color="auto"/>
                    <w:bottom w:val="none" w:sz="0" w:space="0" w:color="auto"/>
                    <w:right w:val="none" w:sz="0" w:space="0" w:color="auto"/>
                  </w:divBdr>
                </w:div>
                <w:div w:id="304354092">
                  <w:marLeft w:val="0"/>
                  <w:marRight w:val="0"/>
                  <w:marTop w:val="0"/>
                  <w:marBottom w:val="0"/>
                  <w:divBdr>
                    <w:top w:val="none" w:sz="0" w:space="0" w:color="auto"/>
                    <w:left w:val="none" w:sz="0" w:space="0" w:color="auto"/>
                    <w:bottom w:val="none" w:sz="0" w:space="0" w:color="auto"/>
                    <w:right w:val="none" w:sz="0" w:space="0" w:color="auto"/>
                  </w:divBdr>
                </w:div>
                <w:div w:id="320541821">
                  <w:marLeft w:val="0"/>
                  <w:marRight w:val="0"/>
                  <w:marTop w:val="0"/>
                  <w:marBottom w:val="0"/>
                  <w:divBdr>
                    <w:top w:val="none" w:sz="0" w:space="0" w:color="auto"/>
                    <w:left w:val="none" w:sz="0" w:space="0" w:color="auto"/>
                    <w:bottom w:val="none" w:sz="0" w:space="0" w:color="auto"/>
                    <w:right w:val="none" w:sz="0" w:space="0" w:color="auto"/>
                  </w:divBdr>
                </w:div>
                <w:div w:id="366293814">
                  <w:marLeft w:val="0"/>
                  <w:marRight w:val="0"/>
                  <w:marTop w:val="0"/>
                  <w:marBottom w:val="0"/>
                  <w:divBdr>
                    <w:top w:val="none" w:sz="0" w:space="0" w:color="auto"/>
                    <w:left w:val="none" w:sz="0" w:space="0" w:color="auto"/>
                    <w:bottom w:val="none" w:sz="0" w:space="0" w:color="auto"/>
                    <w:right w:val="none" w:sz="0" w:space="0" w:color="auto"/>
                  </w:divBdr>
                </w:div>
                <w:div w:id="545685148">
                  <w:marLeft w:val="0"/>
                  <w:marRight w:val="0"/>
                  <w:marTop w:val="0"/>
                  <w:marBottom w:val="0"/>
                  <w:divBdr>
                    <w:top w:val="none" w:sz="0" w:space="0" w:color="auto"/>
                    <w:left w:val="none" w:sz="0" w:space="0" w:color="auto"/>
                    <w:bottom w:val="none" w:sz="0" w:space="0" w:color="auto"/>
                    <w:right w:val="none" w:sz="0" w:space="0" w:color="auto"/>
                  </w:divBdr>
                </w:div>
                <w:div w:id="569392516">
                  <w:marLeft w:val="0"/>
                  <w:marRight w:val="0"/>
                  <w:marTop w:val="0"/>
                  <w:marBottom w:val="0"/>
                  <w:divBdr>
                    <w:top w:val="none" w:sz="0" w:space="0" w:color="auto"/>
                    <w:left w:val="none" w:sz="0" w:space="0" w:color="auto"/>
                    <w:bottom w:val="none" w:sz="0" w:space="0" w:color="auto"/>
                    <w:right w:val="none" w:sz="0" w:space="0" w:color="auto"/>
                  </w:divBdr>
                </w:div>
                <w:div w:id="589894860">
                  <w:marLeft w:val="0"/>
                  <w:marRight w:val="0"/>
                  <w:marTop w:val="0"/>
                  <w:marBottom w:val="0"/>
                  <w:divBdr>
                    <w:top w:val="none" w:sz="0" w:space="0" w:color="auto"/>
                    <w:left w:val="none" w:sz="0" w:space="0" w:color="auto"/>
                    <w:bottom w:val="none" w:sz="0" w:space="0" w:color="auto"/>
                    <w:right w:val="none" w:sz="0" w:space="0" w:color="auto"/>
                  </w:divBdr>
                </w:div>
                <w:div w:id="596987591">
                  <w:marLeft w:val="0"/>
                  <w:marRight w:val="0"/>
                  <w:marTop w:val="0"/>
                  <w:marBottom w:val="0"/>
                  <w:divBdr>
                    <w:top w:val="none" w:sz="0" w:space="0" w:color="auto"/>
                    <w:left w:val="none" w:sz="0" w:space="0" w:color="auto"/>
                    <w:bottom w:val="none" w:sz="0" w:space="0" w:color="auto"/>
                    <w:right w:val="none" w:sz="0" w:space="0" w:color="auto"/>
                  </w:divBdr>
                </w:div>
                <w:div w:id="604535358">
                  <w:marLeft w:val="0"/>
                  <w:marRight w:val="0"/>
                  <w:marTop w:val="0"/>
                  <w:marBottom w:val="0"/>
                  <w:divBdr>
                    <w:top w:val="none" w:sz="0" w:space="0" w:color="auto"/>
                    <w:left w:val="none" w:sz="0" w:space="0" w:color="auto"/>
                    <w:bottom w:val="none" w:sz="0" w:space="0" w:color="auto"/>
                    <w:right w:val="none" w:sz="0" w:space="0" w:color="auto"/>
                  </w:divBdr>
                </w:div>
                <w:div w:id="653609563">
                  <w:marLeft w:val="0"/>
                  <w:marRight w:val="0"/>
                  <w:marTop w:val="0"/>
                  <w:marBottom w:val="0"/>
                  <w:divBdr>
                    <w:top w:val="none" w:sz="0" w:space="0" w:color="auto"/>
                    <w:left w:val="none" w:sz="0" w:space="0" w:color="auto"/>
                    <w:bottom w:val="none" w:sz="0" w:space="0" w:color="auto"/>
                    <w:right w:val="none" w:sz="0" w:space="0" w:color="auto"/>
                  </w:divBdr>
                </w:div>
                <w:div w:id="771316776">
                  <w:marLeft w:val="0"/>
                  <w:marRight w:val="0"/>
                  <w:marTop w:val="0"/>
                  <w:marBottom w:val="0"/>
                  <w:divBdr>
                    <w:top w:val="none" w:sz="0" w:space="0" w:color="auto"/>
                    <w:left w:val="none" w:sz="0" w:space="0" w:color="auto"/>
                    <w:bottom w:val="none" w:sz="0" w:space="0" w:color="auto"/>
                    <w:right w:val="none" w:sz="0" w:space="0" w:color="auto"/>
                  </w:divBdr>
                </w:div>
                <w:div w:id="786898676">
                  <w:marLeft w:val="0"/>
                  <w:marRight w:val="0"/>
                  <w:marTop w:val="0"/>
                  <w:marBottom w:val="0"/>
                  <w:divBdr>
                    <w:top w:val="none" w:sz="0" w:space="0" w:color="auto"/>
                    <w:left w:val="none" w:sz="0" w:space="0" w:color="auto"/>
                    <w:bottom w:val="none" w:sz="0" w:space="0" w:color="auto"/>
                    <w:right w:val="none" w:sz="0" w:space="0" w:color="auto"/>
                  </w:divBdr>
                </w:div>
                <w:div w:id="858474209">
                  <w:marLeft w:val="0"/>
                  <w:marRight w:val="0"/>
                  <w:marTop w:val="0"/>
                  <w:marBottom w:val="0"/>
                  <w:divBdr>
                    <w:top w:val="none" w:sz="0" w:space="0" w:color="auto"/>
                    <w:left w:val="none" w:sz="0" w:space="0" w:color="auto"/>
                    <w:bottom w:val="none" w:sz="0" w:space="0" w:color="auto"/>
                    <w:right w:val="none" w:sz="0" w:space="0" w:color="auto"/>
                  </w:divBdr>
                </w:div>
                <w:div w:id="956059191">
                  <w:marLeft w:val="0"/>
                  <w:marRight w:val="0"/>
                  <w:marTop w:val="0"/>
                  <w:marBottom w:val="0"/>
                  <w:divBdr>
                    <w:top w:val="none" w:sz="0" w:space="0" w:color="auto"/>
                    <w:left w:val="none" w:sz="0" w:space="0" w:color="auto"/>
                    <w:bottom w:val="none" w:sz="0" w:space="0" w:color="auto"/>
                    <w:right w:val="none" w:sz="0" w:space="0" w:color="auto"/>
                  </w:divBdr>
                </w:div>
                <w:div w:id="968121625">
                  <w:marLeft w:val="0"/>
                  <w:marRight w:val="0"/>
                  <w:marTop w:val="0"/>
                  <w:marBottom w:val="0"/>
                  <w:divBdr>
                    <w:top w:val="none" w:sz="0" w:space="0" w:color="auto"/>
                    <w:left w:val="none" w:sz="0" w:space="0" w:color="auto"/>
                    <w:bottom w:val="none" w:sz="0" w:space="0" w:color="auto"/>
                    <w:right w:val="none" w:sz="0" w:space="0" w:color="auto"/>
                  </w:divBdr>
                </w:div>
                <w:div w:id="1001737240">
                  <w:marLeft w:val="0"/>
                  <w:marRight w:val="0"/>
                  <w:marTop w:val="0"/>
                  <w:marBottom w:val="0"/>
                  <w:divBdr>
                    <w:top w:val="none" w:sz="0" w:space="0" w:color="auto"/>
                    <w:left w:val="none" w:sz="0" w:space="0" w:color="auto"/>
                    <w:bottom w:val="none" w:sz="0" w:space="0" w:color="auto"/>
                    <w:right w:val="none" w:sz="0" w:space="0" w:color="auto"/>
                  </w:divBdr>
                </w:div>
                <w:div w:id="1090589978">
                  <w:marLeft w:val="0"/>
                  <w:marRight w:val="0"/>
                  <w:marTop w:val="0"/>
                  <w:marBottom w:val="0"/>
                  <w:divBdr>
                    <w:top w:val="none" w:sz="0" w:space="0" w:color="auto"/>
                    <w:left w:val="none" w:sz="0" w:space="0" w:color="auto"/>
                    <w:bottom w:val="none" w:sz="0" w:space="0" w:color="auto"/>
                    <w:right w:val="none" w:sz="0" w:space="0" w:color="auto"/>
                  </w:divBdr>
                </w:div>
                <w:div w:id="1211768635">
                  <w:marLeft w:val="0"/>
                  <w:marRight w:val="0"/>
                  <w:marTop w:val="0"/>
                  <w:marBottom w:val="0"/>
                  <w:divBdr>
                    <w:top w:val="none" w:sz="0" w:space="0" w:color="auto"/>
                    <w:left w:val="none" w:sz="0" w:space="0" w:color="auto"/>
                    <w:bottom w:val="none" w:sz="0" w:space="0" w:color="auto"/>
                    <w:right w:val="none" w:sz="0" w:space="0" w:color="auto"/>
                  </w:divBdr>
                </w:div>
                <w:div w:id="1216619303">
                  <w:marLeft w:val="0"/>
                  <w:marRight w:val="0"/>
                  <w:marTop w:val="0"/>
                  <w:marBottom w:val="0"/>
                  <w:divBdr>
                    <w:top w:val="none" w:sz="0" w:space="0" w:color="auto"/>
                    <w:left w:val="none" w:sz="0" w:space="0" w:color="auto"/>
                    <w:bottom w:val="none" w:sz="0" w:space="0" w:color="auto"/>
                    <w:right w:val="none" w:sz="0" w:space="0" w:color="auto"/>
                  </w:divBdr>
                </w:div>
                <w:div w:id="1235356770">
                  <w:marLeft w:val="0"/>
                  <w:marRight w:val="0"/>
                  <w:marTop w:val="0"/>
                  <w:marBottom w:val="0"/>
                  <w:divBdr>
                    <w:top w:val="none" w:sz="0" w:space="0" w:color="auto"/>
                    <w:left w:val="none" w:sz="0" w:space="0" w:color="auto"/>
                    <w:bottom w:val="none" w:sz="0" w:space="0" w:color="auto"/>
                    <w:right w:val="none" w:sz="0" w:space="0" w:color="auto"/>
                  </w:divBdr>
                </w:div>
                <w:div w:id="1361012444">
                  <w:marLeft w:val="0"/>
                  <w:marRight w:val="0"/>
                  <w:marTop w:val="0"/>
                  <w:marBottom w:val="0"/>
                  <w:divBdr>
                    <w:top w:val="none" w:sz="0" w:space="0" w:color="auto"/>
                    <w:left w:val="none" w:sz="0" w:space="0" w:color="auto"/>
                    <w:bottom w:val="none" w:sz="0" w:space="0" w:color="auto"/>
                    <w:right w:val="none" w:sz="0" w:space="0" w:color="auto"/>
                  </w:divBdr>
                </w:div>
                <w:div w:id="1467233105">
                  <w:marLeft w:val="0"/>
                  <w:marRight w:val="0"/>
                  <w:marTop w:val="0"/>
                  <w:marBottom w:val="0"/>
                  <w:divBdr>
                    <w:top w:val="none" w:sz="0" w:space="0" w:color="auto"/>
                    <w:left w:val="none" w:sz="0" w:space="0" w:color="auto"/>
                    <w:bottom w:val="none" w:sz="0" w:space="0" w:color="auto"/>
                    <w:right w:val="none" w:sz="0" w:space="0" w:color="auto"/>
                  </w:divBdr>
                </w:div>
                <w:div w:id="1697580529">
                  <w:marLeft w:val="0"/>
                  <w:marRight w:val="0"/>
                  <w:marTop w:val="0"/>
                  <w:marBottom w:val="0"/>
                  <w:divBdr>
                    <w:top w:val="none" w:sz="0" w:space="0" w:color="auto"/>
                    <w:left w:val="none" w:sz="0" w:space="0" w:color="auto"/>
                    <w:bottom w:val="none" w:sz="0" w:space="0" w:color="auto"/>
                    <w:right w:val="none" w:sz="0" w:space="0" w:color="auto"/>
                  </w:divBdr>
                </w:div>
                <w:div w:id="1879319389">
                  <w:marLeft w:val="0"/>
                  <w:marRight w:val="0"/>
                  <w:marTop w:val="0"/>
                  <w:marBottom w:val="0"/>
                  <w:divBdr>
                    <w:top w:val="none" w:sz="0" w:space="0" w:color="auto"/>
                    <w:left w:val="none" w:sz="0" w:space="0" w:color="auto"/>
                    <w:bottom w:val="none" w:sz="0" w:space="0" w:color="auto"/>
                    <w:right w:val="none" w:sz="0" w:space="0" w:color="auto"/>
                  </w:divBdr>
                </w:div>
                <w:div w:id="2041977291">
                  <w:marLeft w:val="0"/>
                  <w:marRight w:val="0"/>
                  <w:marTop w:val="0"/>
                  <w:marBottom w:val="0"/>
                  <w:divBdr>
                    <w:top w:val="none" w:sz="0" w:space="0" w:color="auto"/>
                    <w:left w:val="none" w:sz="0" w:space="0" w:color="auto"/>
                    <w:bottom w:val="none" w:sz="0" w:space="0" w:color="auto"/>
                    <w:right w:val="none" w:sz="0" w:space="0" w:color="auto"/>
                  </w:divBdr>
                </w:div>
                <w:div w:id="20885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276">
      <w:bodyDiv w:val="1"/>
      <w:marLeft w:val="0"/>
      <w:marRight w:val="0"/>
      <w:marTop w:val="0"/>
      <w:marBottom w:val="0"/>
      <w:divBdr>
        <w:top w:val="none" w:sz="0" w:space="0" w:color="auto"/>
        <w:left w:val="none" w:sz="0" w:space="0" w:color="auto"/>
        <w:bottom w:val="none" w:sz="0" w:space="0" w:color="auto"/>
        <w:right w:val="none" w:sz="0" w:space="0" w:color="auto"/>
      </w:divBdr>
    </w:div>
    <w:div w:id="636766741">
      <w:bodyDiv w:val="1"/>
      <w:marLeft w:val="0"/>
      <w:marRight w:val="0"/>
      <w:marTop w:val="0"/>
      <w:marBottom w:val="0"/>
      <w:divBdr>
        <w:top w:val="none" w:sz="0" w:space="0" w:color="auto"/>
        <w:left w:val="none" w:sz="0" w:space="0" w:color="auto"/>
        <w:bottom w:val="none" w:sz="0" w:space="0" w:color="auto"/>
        <w:right w:val="none" w:sz="0" w:space="0" w:color="auto"/>
      </w:divBdr>
    </w:div>
    <w:div w:id="636767428">
      <w:bodyDiv w:val="1"/>
      <w:marLeft w:val="0"/>
      <w:marRight w:val="0"/>
      <w:marTop w:val="0"/>
      <w:marBottom w:val="0"/>
      <w:divBdr>
        <w:top w:val="none" w:sz="0" w:space="0" w:color="auto"/>
        <w:left w:val="none" w:sz="0" w:space="0" w:color="auto"/>
        <w:bottom w:val="none" w:sz="0" w:space="0" w:color="auto"/>
        <w:right w:val="none" w:sz="0" w:space="0" w:color="auto"/>
      </w:divBdr>
    </w:div>
    <w:div w:id="637027522">
      <w:bodyDiv w:val="1"/>
      <w:marLeft w:val="0"/>
      <w:marRight w:val="0"/>
      <w:marTop w:val="0"/>
      <w:marBottom w:val="0"/>
      <w:divBdr>
        <w:top w:val="none" w:sz="0" w:space="0" w:color="auto"/>
        <w:left w:val="none" w:sz="0" w:space="0" w:color="auto"/>
        <w:bottom w:val="none" w:sz="0" w:space="0" w:color="auto"/>
        <w:right w:val="none" w:sz="0" w:space="0" w:color="auto"/>
      </w:divBdr>
    </w:div>
    <w:div w:id="637342647">
      <w:bodyDiv w:val="1"/>
      <w:marLeft w:val="0"/>
      <w:marRight w:val="0"/>
      <w:marTop w:val="0"/>
      <w:marBottom w:val="0"/>
      <w:divBdr>
        <w:top w:val="none" w:sz="0" w:space="0" w:color="auto"/>
        <w:left w:val="none" w:sz="0" w:space="0" w:color="auto"/>
        <w:bottom w:val="none" w:sz="0" w:space="0" w:color="auto"/>
        <w:right w:val="none" w:sz="0" w:space="0" w:color="auto"/>
      </w:divBdr>
    </w:div>
    <w:div w:id="638344506">
      <w:bodyDiv w:val="1"/>
      <w:marLeft w:val="0"/>
      <w:marRight w:val="0"/>
      <w:marTop w:val="0"/>
      <w:marBottom w:val="0"/>
      <w:divBdr>
        <w:top w:val="none" w:sz="0" w:space="0" w:color="auto"/>
        <w:left w:val="none" w:sz="0" w:space="0" w:color="auto"/>
        <w:bottom w:val="none" w:sz="0" w:space="0" w:color="auto"/>
        <w:right w:val="none" w:sz="0" w:space="0" w:color="auto"/>
      </w:divBdr>
    </w:div>
    <w:div w:id="639186996">
      <w:bodyDiv w:val="1"/>
      <w:marLeft w:val="0"/>
      <w:marRight w:val="0"/>
      <w:marTop w:val="0"/>
      <w:marBottom w:val="0"/>
      <w:divBdr>
        <w:top w:val="none" w:sz="0" w:space="0" w:color="auto"/>
        <w:left w:val="none" w:sz="0" w:space="0" w:color="auto"/>
        <w:bottom w:val="none" w:sz="0" w:space="0" w:color="auto"/>
        <w:right w:val="none" w:sz="0" w:space="0" w:color="auto"/>
      </w:divBdr>
    </w:div>
    <w:div w:id="639846648">
      <w:bodyDiv w:val="1"/>
      <w:marLeft w:val="0"/>
      <w:marRight w:val="0"/>
      <w:marTop w:val="0"/>
      <w:marBottom w:val="0"/>
      <w:divBdr>
        <w:top w:val="none" w:sz="0" w:space="0" w:color="auto"/>
        <w:left w:val="none" w:sz="0" w:space="0" w:color="auto"/>
        <w:bottom w:val="none" w:sz="0" w:space="0" w:color="auto"/>
        <w:right w:val="none" w:sz="0" w:space="0" w:color="auto"/>
      </w:divBdr>
    </w:div>
    <w:div w:id="642002059">
      <w:bodyDiv w:val="1"/>
      <w:marLeft w:val="0"/>
      <w:marRight w:val="0"/>
      <w:marTop w:val="0"/>
      <w:marBottom w:val="0"/>
      <w:divBdr>
        <w:top w:val="none" w:sz="0" w:space="0" w:color="auto"/>
        <w:left w:val="none" w:sz="0" w:space="0" w:color="auto"/>
        <w:bottom w:val="none" w:sz="0" w:space="0" w:color="auto"/>
        <w:right w:val="none" w:sz="0" w:space="0" w:color="auto"/>
      </w:divBdr>
    </w:div>
    <w:div w:id="645083779">
      <w:bodyDiv w:val="1"/>
      <w:marLeft w:val="0"/>
      <w:marRight w:val="0"/>
      <w:marTop w:val="0"/>
      <w:marBottom w:val="0"/>
      <w:divBdr>
        <w:top w:val="none" w:sz="0" w:space="0" w:color="auto"/>
        <w:left w:val="none" w:sz="0" w:space="0" w:color="auto"/>
        <w:bottom w:val="none" w:sz="0" w:space="0" w:color="auto"/>
        <w:right w:val="none" w:sz="0" w:space="0" w:color="auto"/>
      </w:divBdr>
    </w:div>
    <w:div w:id="645476864">
      <w:bodyDiv w:val="1"/>
      <w:marLeft w:val="0"/>
      <w:marRight w:val="0"/>
      <w:marTop w:val="0"/>
      <w:marBottom w:val="0"/>
      <w:divBdr>
        <w:top w:val="none" w:sz="0" w:space="0" w:color="auto"/>
        <w:left w:val="none" w:sz="0" w:space="0" w:color="auto"/>
        <w:bottom w:val="none" w:sz="0" w:space="0" w:color="auto"/>
        <w:right w:val="none" w:sz="0" w:space="0" w:color="auto"/>
      </w:divBdr>
    </w:div>
    <w:div w:id="654144417">
      <w:bodyDiv w:val="1"/>
      <w:marLeft w:val="0"/>
      <w:marRight w:val="0"/>
      <w:marTop w:val="0"/>
      <w:marBottom w:val="0"/>
      <w:divBdr>
        <w:top w:val="none" w:sz="0" w:space="0" w:color="auto"/>
        <w:left w:val="none" w:sz="0" w:space="0" w:color="auto"/>
        <w:bottom w:val="none" w:sz="0" w:space="0" w:color="auto"/>
        <w:right w:val="none" w:sz="0" w:space="0" w:color="auto"/>
      </w:divBdr>
    </w:div>
    <w:div w:id="656105821">
      <w:bodyDiv w:val="1"/>
      <w:marLeft w:val="0"/>
      <w:marRight w:val="0"/>
      <w:marTop w:val="0"/>
      <w:marBottom w:val="0"/>
      <w:divBdr>
        <w:top w:val="none" w:sz="0" w:space="0" w:color="auto"/>
        <w:left w:val="none" w:sz="0" w:space="0" w:color="auto"/>
        <w:bottom w:val="none" w:sz="0" w:space="0" w:color="auto"/>
        <w:right w:val="none" w:sz="0" w:space="0" w:color="auto"/>
      </w:divBdr>
    </w:div>
    <w:div w:id="656228041">
      <w:bodyDiv w:val="1"/>
      <w:marLeft w:val="0"/>
      <w:marRight w:val="0"/>
      <w:marTop w:val="0"/>
      <w:marBottom w:val="0"/>
      <w:divBdr>
        <w:top w:val="none" w:sz="0" w:space="0" w:color="auto"/>
        <w:left w:val="none" w:sz="0" w:space="0" w:color="auto"/>
        <w:bottom w:val="none" w:sz="0" w:space="0" w:color="auto"/>
        <w:right w:val="none" w:sz="0" w:space="0" w:color="auto"/>
      </w:divBdr>
    </w:div>
    <w:div w:id="657924783">
      <w:bodyDiv w:val="1"/>
      <w:marLeft w:val="0"/>
      <w:marRight w:val="0"/>
      <w:marTop w:val="0"/>
      <w:marBottom w:val="0"/>
      <w:divBdr>
        <w:top w:val="none" w:sz="0" w:space="0" w:color="auto"/>
        <w:left w:val="none" w:sz="0" w:space="0" w:color="auto"/>
        <w:bottom w:val="none" w:sz="0" w:space="0" w:color="auto"/>
        <w:right w:val="none" w:sz="0" w:space="0" w:color="auto"/>
      </w:divBdr>
    </w:div>
    <w:div w:id="658851007">
      <w:bodyDiv w:val="1"/>
      <w:marLeft w:val="0"/>
      <w:marRight w:val="0"/>
      <w:marTop w:val="0"/>
      <w:marBottom w:val="0"/>
      <w:divBdr>
        <w:top w:val="none" w:sz="0" w:space="0" w:color="auto"/>
        <w:left w:val="none" w:sz="0" w:space="0" w:color="auto"/>
        <w:bottom w:val="none" w:sz="0" w:space="0" w:color="auto"/>
        <w:right w:val="none" w:sz="0" w:space="0" w:color="auto"/>
      </w:divBdr>
    </w:div>
    <w:div w:id="659044265">
      <w:bodyDiv w:val="1"/>
      <w:marLeft w:val="0"/>
      <w:marRight w:val="0"/>
      <w:marTop w:val="0"/>
      <w:marBottom w:val="0"/>
      <w:divBdr>
        <w:top w:val="none" w:sz="0" w:space="0" w:color="auto"/>
        <w:left w:val="none" w:sz="0" w:space="0" w:color="auto"/>
        <w:bottom w:val="none" w:sz="0" w:space="0" w:color="auto"/>
        <w:right w:val="none" w:sz="0" w:space="0" w:color="auto"/>
      </w:divBdr>
    </w:div>
    <w:div w:id="666632604">
      <w:bodyDiv w:val="1"/>
      <w:marLeft w:val="0"/>
      <w:marRight w:val="0"/>
      <w:marTop w:val="0"/>
      <w:marBottom w:val="0"/>
      <w:divBdr>
        <w:top w:val="none" w:sz="0" w:space="0" w:color="auto"/>
        <w:left w:val="none" w:sz="0" w:space="0" w:color="auto"/>
        <w:bottom w:val="none" w:sz="0" w:space="0" w:color="auto"/>
        <w:right w:val="none" w:sz="0" w:space="0" w:color="auto"/>
      </w:divBdr>
    </w:div>
    <w:div w:id="669910434">
      <w:bodyDiv w:val="1"/>
      <w:marLeft w:val="0"/>
      <w:marRight w:val="0"/>
      <w:marTop w:val="0"/>
      <w:marBottom w:val="0"/>
      <w:divBdr>
        <w:top w:val="none" w:sz="0" w:space="0" w:color="auto"/>
        <w:left w:val="none" w:sz="0" w:space="0" w:color="auto"/>
        <w:bottom w:val="none" w:sz="0" w:space="0" w:color="auto"/>
        <w:right w:val="none" w:sz="0" w:space="0" w:color="auto"/>
      </w:divBdr>
    </w:div>
    <w:div w:id="670378811">
      <w:bodyDiv w:val="1"/>
      <w:marLeft w:val="0"/>
      <w:marRight w:val="0"/>
      <w:marTop w:val="0"/>
      <w:marBottom w:val="0"/>
      <w:divBdr>
        <w:top w:val="none" w:sz="0" w:space="0" w:color="auto"/>
        <w:left w:val="none" w:sz="0" w:space="0" w:color="auto"/>
        <w:bottom w:val="none" w:sz="0" w:space="0" w:color="auto"/>
        <w:right w:val="none" w:sz="0" w:space="0" w:color="auto"/>
      </w:divBdr>
    </w:div>
    <w:div w:id="670987982">
      <w:bodyDiv w:val="1"/>
      <w:marLeft w:val="0"/>
      <w:marRight w:val="0"/>
      <w:marTop w:val="0"/>
      <w:marBottom w:val="0"/>
      <w:divBdr>
        <w:top w:val="none" w:sz="0" w:space="0" w:color="auto"/>
        <w:left w:val="none" w:sz="0" w:space="0" w:color="auto"/>
        <w:bottom w:val="none" w:sz="0" w:space="0" w:color="auto"/>
        <w:right w:val="none" w:sz="0" w:space="0" w:color="auto"/>
      </w:divBdr>
    </w:div>
    <w:div w:id="672076785">
      <w:bodyDiv w:val="1"/>
      <w:marLeft w:val="0"/>
      <w:marRight w:val="0"/>
      <w:marTop w:val="0"/>
      <w:marBottom w:val="0"/>
      <w:divBdr>
        <w:top w:val="none" w:sz="0" w:space="0" w:color="auto"/>
        <w:left w:val="none" w:sz="0" w:space="0" w:color="auto"/>
        <w:bottom w:val="none" w:sz="0" w:space="0" w:color="auto"/>
        <w:right w:val="none" w:sz="0" w:space="0" w:color="auto"/>
      </w:divBdr>
      <w:divsChild>
        <w:div w:id="594099959">
          <w:marLeft w:val="0"/>
          <w:marRight w:val="0"/>
          <w:marTop w:val="0"/>
          <w:marBottom w:val="0"/>
          <w:divBdr>
            <w:top w:val="none" w:sz="0" w:space="0" w:color="auto"/>
            <w:left w:val="none" w:sz="0" w:space="0" w:color="auto"/>
            <w:bottom w:val="none" w:sz="0" w:space="0" w:color="auto"/>
            <w:right w:val="none" w:sz="0" w:space="0" w:color="auto"/>
          </w:divBdr>
        </w:div>
      </w:divsChild>
    </w:div>
    <w:div w:id="672991953">
      <w:bodyDiv w:val="1"/>
      <w:marLeft w:val="0"/>
      <w:marRight w:val="0"/>
      <w:marTop w:val="0"/>
      <w:marBottom w:val="0"/>
      <w:divBdr>
        <w:top w:val="none" w:sz="0" w:space="0" w:color="auto"/>
        <w:left w:val="none" w:sz="0" w:space="0" w:color="auto"/>
        <w:bottom w:val="none" w:sz="0" w:space="0" w:color="auto"/>
        <w:right w:val="none" w:sz="0" w:space="0" w:color="auto"/>
      </w:divBdr>
    </w:div>
    <w:div w:id="674580015">
      <w:bodyDiv w:val="1"/>
      <w:marLeft w:val="0"/>
      <w:marRight w:val="0"/>
      <w:marTop w:val="0"/>
      <w:marBottom w:val="0"/>
      <w:divBdr>
        <w:top w:val="none" w:sz="0" w:space="0" w:color="auto"/>
        <w:left w:val="none" w:sz="0" w:space="0" w:color="auto"/>
        <w:bottom w:val="none" w:sz="0" w:space="0" w:color="auto"/>
        <w:right w:val="none" w:sz="0" w:space="0" w:color="auto"/>
      </w:divBdr>
    </w:div>
    <w:div w:id="675691638">
      <w:bodyDiv w:val="1"/>
      <w:marLeft w:val="0"/>
      <w:marRight w:val="0"/>
      <w:marTop w:val="0"/>
      <w:marBottom w:val="0"/>
      <w:divBdr>
        <w:top w:val="none" w:sz="0" w:space="0" w:color="auto"/>
        <w:left w:val="none" w:sz="0" w:space="0" w:color="auto"/>
        <w:bottom w:val="none" w:sz="0" w:space="0" w:color="auto"/>
        <w:right w:val="none" w:sz="0" w:space="0" w:color="auto"/>
      </w:divBdr>
    </w:div>
    <w:div w:id="675885658">
      <w:bodyDiv w:val="1"/>
      <w:marLeft w:val="0"/>
      <w:marRight w:val="0"/>
      <w:marTop w:val="0"/>
      <w:marBottom w:val="0"/>
      <w:divBdr>
        <w:top w:val="none" w:sz="0" w:space="0" w:color="auto"/>
        <w:left w:val="none" w:sz="0" w:space="0" w:color="auto"/>
        <w:bottom w:val="none" w:sz="0" w:space="0" w:color="auto"/>
        <w:right w:val="none" w:sz="0" w:space="0" w:color="auto"/>
      </w:divBdr>
    </w:div>
    <w:div w:id="683165797">
      <w:bodyDiv w:val="1"/>
      <w:marLeft w:val="0"/>
      <w:marRight w:val="0"/>
      <w:marTop w:val="0"/>
      <w:marBottom w:val="0"/>
      <w:divBdr>
        <w:top w:val="none" w:sz="0" w:space="0" w:color="auto"/>
        <w:left w:val="none" w:sz="0" w:space="0" w:color="auto"/>
        <w:bottom w:val="none" w:sz="0" w:space="0" w:color="auto"/>
        <w:right w:val="none" w:sz="0" w:space="0" w:color="auto"/>
      </w:divBdr>
    </w:div>
    <w:div w:id="693309164">
      <w:bodyDiv w:val="1"/>
      <w:marLeft w:val="0"/>
      <w:marRight w:val="0"/>
      <w:marTop w:val="0"/>
      <w:marBottom w:val="0"/>
      <w:divBdr>
        <w:top w:val="none" w:sz="0" w:space="0" w:color="auto"/>
        <w:left w:val="none" w:sz="0" w:space="0" w:color="auto"/>
        <w:bottom w:val="none" w:sz="0" w:space="0" w:color="auto"/>
        <w:right w:val="none" w:sz="0" w:space="0" w:color="auto"/>
      </w:divBdr>
    </w:div>
    <w:div w:id="693389355">
      <w:bodyDiv w:val="1"/>
      <w:marLeft w:val="0"/>
      <w:marRight w:val="0"/>
      <w:marTop w:val="0"/>
      <w:marBottom w:val="0"/>
      <w:divBdr>
        <w:top w:val="none" w:sz="0" w:space="0" w:color="auto"/>
        <w:left w:val="none" w:sz="0" w:space="0" w:color="auto"/>
        <w:bottom w:val="none" w:sz="0" w:space="0" w:color="auto"/>
        <w:right w:val="none" w:sz="0" w:space="0" w:color="auto"/>
      </w:divBdr>
    </w:div>
    <w:div w:id="698703507">
      <w:bodyDiv w:val="1"/>
      <w:marLeft w:val="0"/>
      <w:marRight w:val="0"/>
      <w:marTop w:val="0"/>
      <w:marBottom w:val="0"/>
      <w:divBdr>
        <w:top w:val="none" w:sz="0" w:space="0" w:color="auto"/>
        <w:left w:val="none" w:sz="0" w:space="0" w:color="auto"/>
        <w:bottom w:val="none" w:sz="0" w:space="0" w:color="auto"/>
        <w:right w:val="none" w:sz="0" w:space="0" w:color="auto"/>
      </w:divBdr>
    </w:div>
    <w:div w:id="705715440">
      <w:bodyDiv w:val="1"/>
      <w:marLeft w:val="0"/>
      <w:marRight w:val="0"/>
      <w:marTop w:val="0"/>
      <w:marBottom w:val="0"/>
      <w:divBdr>
        <w:top w:val="none" w:sz="0" w:space="0" w:color="auto"/>
        <w:left w:val="none" w:sz="0" w:space="0" w:color="auto"/>
        <w:bottom w:val="none" w:sz="0" w:space="0" w:color="auto"/>
        <w:right w:val="none" w:sz="0" w:space="0" w:color="auto"/>
      </w:divBdr>
    </w:div>
    <w:div w:id="706030905">
      <w:bodyDiv w:val="1"/>
      <w:marLeft w:val="0"/>
      <w:marRight w:val="0"/>
      <w:marTop w:val="0"/>
      <w:marBottom w:val="0"/>
      <w:divBdr>
        <w:top w:val="none" w:sz="0" w:space="0" w:color="auto"/>
        <w:left w:val="none" w:sz="0" w:space="0" w:color="auto"/>
        <w:bottom w:val="none" w:sz="0" w:space="0" w:color="auto"/>
        <w:right w:val="none" w:sz="0" w:space="0" w:color="auto"/>
      </w:divBdr>
    </w:div>
    <w:div w:id="707218121">
      <w:bodyDiv w:val="1"/>
      <w:marLeft w:val="0"/>
      <w:marRight w:val="0"/>
      <w:marTop w:val="0"/>
      <w:marBottom w:val="0"/>
      <w:divBdr>
        <w:top w:val="none" w:sz="0" w:space="0" w:color="auto"/>
        <w:left w:val="none" w:sz="0" w:space="0" w:color="auto"/>
        <w:bottom w:val="none" w:sz="0" w:space="0" w:color="auto"/>
        <w:right w:val="none" w:sz="0" w:space="0" w:color="auto"/>
      </w:divBdr>
    </w:div>
    <w:div w:id="707417459">
      <w:bodyDiv w:val="1"/>
      <w:marLeft w:val="0"/>
      <w:marRight w:val="0"/>
      <w:marTop w:val="0"/>
      <w:marBottom w:val="0"/>
      <w:divBdr>
        <w:top w:val="none" w:sz="0" w:space="0" w:color="auto"/>
        <w:left w:val="none" w:sz="0" w:space="0" w:color="auto"/>
        <w:bottom w:val="none" w:sz="0" w:space="0" w:color="auto"/>
        <w:right w:val="none" w:sz="0" w:space="0" w:color="auto"/>
      </w:divBdr>
    </w:div>
    <w:div w:id="707488756">
      <w:bodyDiv w:val="1"/>
      <w:marLeft w:val="0"/>
      <w:marRight w:val="0"/>
      <w:marTop w:val="0"/>
      <w:marBottom w:val="0"/>
      <w:divBdr>
        <w:top w:val="none" w:sz="0" w:space="0" w:color="auto"/>
        <w:left w:val="none" w:sz="0" w:space="0" w:color="auto"/>
        <w:bottom w:val="none" w:sz="0" w:space="0" w:color="auto"/>
        <w:right w:val="none" w:sz="0" w:space="0" w:color="auto"/>
      </w:divBdr>
    </w:div>
    <w:div w:id="708528027">
      <w:bodyDiv w:val="1"/>
      <w:marLeft w:val="0"/>
      <w:marRight w:val="0"/>
      <w:marTop w:val="0"/>
      <w:marBottom w:val="0"/>
      <w:divBdr>
        <w:top w:val="none" w:sz="0" w:space="0" w:color="auto"/>
        <w:left w:val="none" w:sz="0" w:space="0" w:color="auto"/>
        <w:bottom w:val="none" w:sz="0" w:space="0" w:color="auto"/>
        <w:right w:val="none" w:sz="0" w:space="0" w:color="auto"/>
      </w:divBdr>
    </w:div>
    <w:div w:id="709838213">
      <w:bodyDiv w:val="1"/>
      <w:marLeft w:val="0"/>
      <w:marRight w:val="0"/>
      <w:marTop w:val="0"/>
      <w:marBottom w:val="0"/>
      <w:divBdr>
        <w:top w:val="none" w:sz="0" w:space="0" w:color="auto"/>
        <w:left w:val="none" w:sz="0" w:space="0" w:color="auto"/>
        <w:bottom w:val="none" w:sz="0" w:space="0" w:color="auto"/>
        <w:right w:val="none" w:sz="0" w:space="0" w:color="auto"/>
      </w:divBdr>
    </w:div>
    <w:div w:id="711727717">
      <w:bodyDiv w:val="1"/>
      <w:marLeft w:val="0"/>
      <w:marRight w:val="0"/>
      <w:marTop w:val="0"/>
      <w:marBottom w:val="0"/>
      <w:divBdr>
        <w:top w:val="none" w:sz="0" w:space="0" w:color="auto"/>
        <w:left w:val="none" w:sz="0" w:space="0" w:color="auto"/>
        <w:bottom w:val="none" w:sz="0" w:space="0" w:color="auto"/>
        <w:right w:val="none" w:sz="0" w:space="0" w:color="auto"/>
      </w:divBdr>
    </w:div>
    <w:div w:id="712535069">
      <w:bodyDiv w:val="1"/>
      <w:marLeft w:val="0"/>
      <w:marRight w:val="0"/>
      <w:marTop w:val="0"/>
      <w:marBottom w:val="0"/>
      <w:divBdr>
        <w:top w:val="none" w:sz="0" w:space="0" w:color="auto"/>
        <w:left w:val="none" w:sz="0" w:space="0" w:color="auto"/>
        <w:bottom w:val="none" w:sz="0" w:space="0" w:color="auto"/>
        <w:right w:val="none" w:sz="0" w:space="0" w:color="auto"/>
      </w:divBdr>
    </w:div>
    <w:div w:id="712536395">
      <w:bodyDiv w:val="1"/>
      <w:marLeft w:val="0"/>
      <w:marRight w:val="0"/>
      <w:marTop w:val="0"/>
      <w:marBottom w:val="0"/>
      <w:divBdr>
        <w:top w:val="none" w:sz="0" w:space="0" w:color="auto"/>
        <w:left w:val="none" w:sz="0" w:space="0" w:color="auto"/>
        <w:bottom w:val="none" w:sz="0" w:space="0" w:color="auto"/>
        <w:right w:val="none" w:sz="0" w:space="0" w:color="auto"/>
      </w:divBdr>
    </w:div>
    <w:div w:id="717624940">
      <w:bodyDiv w:val="1"/>
      <w:marLeft w:val="0"/>
      <w:marRight w:val="0"/>
      <w:marTop w:val="0"/>
      <w:marBottom w:val="0"/>
      <w:divBdr>
        <w:top w:val="none" w:sz="0" w:space="0" w:color="auto"/>
        <w:left w:val="none" w:sz="0" w:space="0" w:color="auto"/>
        <w:bottom w:val="none" w:sz="0" w:space="0" w:color="auto"/>
        <w:right w:val="none" w:sz="0" w:space="0" w:color="auto"/>
      </w:divBdr>
    </w:div>
    <w:div w:id="719522346">
      <w:bodyDiv w:val="1"/>
      <w:marLeft w:val="0"/>
      <w:marRight w:val="0"/>
      <w:marTop w:val="0"/>
      <w:marBottom w:val="0"/>
      <w:divBdr>
        <w:top w:val="none" w:sz="0" w:space="0" w:color="auto"/>
        <w:left w:val="none" w:sz="0" w:space="0" w:color="auto"/>
        <w:bottom w:val="none" w:sz="0" w:space="0" w:color="auto"/>
        <w:right w:val="none" w:sz="0" w:space="0" w:color="auto"/>
      </w:divBdr>
    </w:div>
    <w:div w:id="726148941">
      <w:bodyDiv w:val="1"/>
      <w:marLeft w:val="0"/>
      <w:marRight w:val="0"/>
      <w:marTop w:val="0"/>
      <w:marBottom w:val="0"/>
      <w:divBdr>
        <w:top w:val="none" w:sz="0" w:space="0" w:color="auto"/>
        <w:left w:val="none" w:sz="0" w:space="0" w:color="auto"/>
        <w:bottom w:val="none" w:sz="0" w:space="0" w:color="auto"/>
        <w:right w:val="none" w:sz="0" w:space="0" w:color="auto"/>
      </w:divBdr>
    </w:div>
    <w:div w:id="729424043">
      <w:bodyDiv w:val="1"/>
      <w:marLeft w:val="0"/>
      <w:marRight w:val="0"/>
      <w:marTop w:val="0"/>
      <w:marBottom w:val="0"/>
      <w:divBdr>
        <w:top w:val="none" w:sz="0" w:space="0" w:color="auto"/>
        <w:left w:val="none" w:sz="0" w:space="0" w:color="auto"/>
        <w:bottom w:val="none" w:sz="0" w:space="0" w:color="auto"/>
        <w:right w:val="none" w:sz="0" w:space="0" w:color="auto"/>
      </w:divBdr>
      <w:divsChild>
        <w:div w:id="310058828">
          <w:marLeft w:val="0"/>
          <w:marRight w:val="0"/>
          <w:marTop w:val="0"/>
          <w:marBottom w:val="0"/>
          <w:divBdr>
            <w:top w:val="none" w:sz="0" w:space="0" w:color="auto"/>
            <w:left w:val="none" w:sz="0" w:space="0" w:color="auto"/>
            <w:bottom w:val="none" w:sz="0" w:space="0" w:color="auto"/>
            <w:right w:val="none" w:sz="0" w:space="0" w:color="auto"/>
          </w:divBdr>
        </w:div>
        <w:div w:id="1996638096">
          <w:marLeft w:val="0"/>
          <w:marRight w:val="0"/>
          <w:marTop w:val="0"/>
          <w:marBottom w:val="0"/>
          <w:divBdr>
            <w:top w:val="none" w:sz="0" w:space="0" w:color="auto"/>
            <w:left w:val="none" w:sz="0" w:space="0" w:color="auto"/>
            <w:bottom w:val="none" w:sz="0" w:space="0" w:color="auto"/>
            <w:right w:val="none" w:sz="0" w:space="0" w:color="auto"/>
          </w:divBdr>
        </w:div>
        <w:div w:id="2066637731">
          <w:marLeft w:val="0"/>
          <w:marRight w:val="0"/>
          <w:marTop w:val="0"/>
          <w:marBottom w:val="0"/>
          <w:divBdr>
            <w:top w:val="none" w:sz="0" w:space="0" w:color="auto"/>
            <w:left w:val="none" w:sz="0" w:space="0" w:color="auto"/>
            <w:bottom w:val="none" w:sz="0" w:space="0" w:color="auto"/>
            <w:right w:val="none" w:sz="0" w:space="0" w:color="auto"/>
          </w:divBdr>
        </w:div>
      </w:divsChild>
    </w:div>
    <w:div w:id="729688684">
      <w:bodyDiv w:val="1"/>
      <w:marLeft w:val="0"/>
      <w:marRight w:val="0"/>
      <w:marTop w:val="0"/>
      <w:marBottom w:val="0"/>
      <w:divBdr>
        <w:top w:val="none" w:sz="0" w:space="0" w:color="auto"/>
        <w:left w:val="none" w:sz="0" w:space="0" w:color="auto"/>
        <w:bottom w:val="none" w:sz="0" w:space="0" w:color="auto"/>
        <w:right w:val="none" w:sz="0" w:space="0" w:color="auto"/>
      </w:divBdr>
    </w:div>
    <w:div w:id="729814382">
      <w:bodyDiv w:val="1"/>
      <w:marLeft w:val="0"/>
      <w:marRight w:val="0"/>
      <w:marTop w:val="0"/>
      <w:marBottom w:val="0"/>
      <w:divBdr>
        <w:top w:val="none" w:sz="0" w:space="0" w:color="auto"/>
        <w:left w:val="none" w:sz="0" w:space="0" w:color="auto"/>
        <w:bottom w:val="none" w:sz="0" w:space="0" w:color="auto"/>
        <w:right w:val="none" w:sz="0" w:space="0" w:color="auto"/>
      </w:divBdr>
    </w:div>
    <w:div w:id="730620667">
      <w:bodyDiv w:val="1"/>
      <w:marLeft w:val="0"/>
      <w:marRight w:val="0"/>
      <w:marTop w:val="0"/>
      <w:marBottom w:val="0"/>
      <w:divBdr>
        <w:top w:val="none" w:sz="0" w:space="0" w:color="auto"/>
        <w:left w:val="none" w:sz="0" w:space="0" w:color="auto"/>
        <w:bottom w:val="none" w:sz="0" w:space="0" w:color="auto"/>
        <w:right w:val="none" w:sz="0" w:space="0" w:color="auto"/>
      </w:divBdr>
    </w:div>
    <w:div w:id="732658129">
      <w:bodyDiv w:val="1"/>
      <w:marLeft w:val="0"/>
      <w:marRight w:val="0"/>
      <w:marTop w:val="0"/>
      <w:marBottom w:val="0"/>
      <w:divBdr>
        <w:top w:val="none" w:sz="0" w:space="0" w:color="auto"/>
        <w:left w:val="none" w:sz="0" w:space="0" w:color="auto"/>
        <w:bottom w:val="none" w:sz="0" w:space="0" w:color="auto"/>
        <w:right w:val="none" w:sz="0" w:space="0" w:color="auto"/>
      </w:divBdr>
    </w:div>
    <w:div w:id="732775958">
      <w:bodyDiv w:val="1"/>
      <w:marLeft w:val="0"/>
      <w:marRight w:val="0"/>
      <w:marTop w:val="0"/>
      <w:marBottom w:val="0"/>
      <w:divBdr>
        <w:top w:val="none" w:sz="0" w:space="0" w:color="auto"/>
        <w:left w:val="none" w:sz="0" w:space="0" w:color="auto"/>
        <w:bottom w:val="none" w:sz="0" w:space="0" w:color="auto"/>
        <w:right w:val="none" w:sz="0" w:space="0" w:color="auto"/>
      </w:divBdr>
    </w:div>
    <w:div w:id="733162527">
      <w:bodyDiv w:val="1"/>
      <w:marLeft w:val="0"/>
      <w:marRight w:val="0"/>
      <w:marTop w:val="0"/>
      <w:marBottom w:val="0"/>
      <w:divBdr>
        <w:top w:val="none" w:sz="0" w:space="0" w:color="auto"/>
        <w:left w:val="none" w:sz="0" w:space="0" w:color="auto"/>
        <w:bottom w:val="none" w:sz="0" w:space="0" w:color="auto"/>
        <w:right w:val="none" w:sz="0" w:space="0" w:color="auto"/>
      </w:divBdr>
    </w:div>
    <w:div w:id="733239911">
      <w:bodyDiv w:val="1"/>
      <w:marLeft w:val="0"/>
      <w:marRight w:val="0"/>
      <w:marTop w:val="0"/>
      <w:marBottom w:val="0"/>
      <w:divBdr>
        <w:top w:val="none" w:sz="0" w:space="0" w:color="auto"/>
        <w:left w:val="none" w:sz="0" w:space="0" w:color="auto"/>
        <w:bottom w:val="none" w:sz="0" w:space="0" w:color="auto"/>
        <w:right w:val="none" w:sz="0" w:space="0" w:color="auto"/>
      </w:divBdr>
    </w:div>
    <w:div w:id="735469359">
      <w:bodyDiv w:val="1"/>
      <w:marLeft w:val="0"/>
      <w:marRight w:val="0"/>
      <w:marTop w:val="0"/>
      <w:marBottom w:val="0"/>
      <w:divBdr>
        <w:top w:val="none" w:sz="0" w:space="0" w:color="auto"/>
        <w:left w:val="none" w:sz="0" w:space="0" w:color="auto"/>
        <w:bottom w:val="none" w:sz="0" w:space="0" w:color="auto"/>
        <w:right w:val="none" w:sz="0" w:space="0" w:color="auto"/>
      </w:divBdr>
    </w:div>
    <w:div w:id="736365381">
      <w:bodyDiv w:val="1"/>
      <w:marLeft w:val="0"/>
      <w:marRight w:val="0"/>
      <w:marTop w:val="0"/>
      <w:marBottom w:val="0"/>
      <w:divBdr>
        <w:top w:val="none" w:sz="0" w:space="0" w:color="auto"/>
        <w:left w:val="none" w:sz="0" w:space="0" w:color="auto"/>
        <w:bottom w:val="none" w:sz="0" w:space="0" w:color="auto"/>
        <w:right w:val="none" w:sz="0" w:space="0" w:color="auto"/>
      </w:divBdr>
    </w:div>
    <w:div w:id="737441343">
      <w:bodyDiv w:val="1"/>
      <w:marLeft w:val="0"/>
      <w:marRight w:val="0"/>
      <w:marTop w:val="0"/>
      <w:marBottom w:val="0"/>
      <w:divBdr>
        <w:top w:val="none" w:sz="0" w:space="0" w:color="auto"/>
        <w:left w:val="none" w:sz="0" w:space="0" w:color="auto"/>
        <w:bottom w:val="none" w:sz="0" w:space="0" w:color="auto"/>
        <w:right w:val="none" w:sz="0" w:space="0" w:color="auto"/>
      </w:divBdr>
    </w:div>
    <w:div w:id="737554764">
      <w:bodyDiv w:val="1"/>
      <w:marLeft w:val="0"/>
      <w:marRight w:val="0"/>
      <w:marTop w:val="0"/>
      <w:marBottom w:val="0"/>
      <w:divBdr>
        <w:top w:val="none" w:sz="0" w:space="0" w:color="auto"/>
        <w:left w:val="none" w:sz="0" w:space="0" w:color="auto"/>
        <w:bottom w:val="none" w:sz="0" w:space="0" w:color="auto"/>
        <w:right w:val="none" w:sz="0" w:space="0" w:color="auto"/>
      </w:divBdr>
    </w:div>
    <w:div w:id="738556995">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4834844">
      <w:bodyDiv w:val="1"/>
      <w:marLeft w:val="0"/>
      <w:marRight w:val="0"/>
      <w:marTop w:val="0"/>
      <w:marBottom w:val="0"/>
      <w:divBdr>
        <w:top w:val="none" w:sz="0" w:space="0" w:color="auto"/>
        <w:left w:val="none" w:sz="0" w:space="0" w:color="auto"/>
        <w:bottom w:val="none" w:sz="0" w:space="0" w:color="auto"/>
        <w:right w:val="none" w:sz="0" w:space="0" w:color="auto"/>
      </w:divBdr>
    </w:div>
    <w:div w:id="746265062">
      <w:bodyDiv w:val="1"/>
      <w:marLeft w:val="0"/>
      <w:marRight w:val="0"/>
      <w:marTop w:val="0"/>
      <w:marBottom w:val="0"/>
      <w:divBdr>
        <w:top w:val="none" w:sz="0" w:space="0" w:color="auto"/>
        <w:left w:val="none" w:sz="0" w:space="0" w:color="auto"/>
        <w:bottom w:val="none" w:sz="0" w:space="0" w:color="auto"/>
        <w:right w:val="none" w:sz="0" w:space="0" w:color="auto"/>
      </w:divBdr>
    </w:div>
    <w:div w:id="747504907">
      <w:bodyDiv w:val="1"/>
      <w:marLeft w:val="0"/>
      <w:marRight w:val="0"/>
      <w:marTop w:val="0"/>
      <w:marBottom w:val="0"/>
      <w:divBdr>
        <w:top w:val="none" w:sz="0" w:space="0" w:color="auto"/>
        <w:left w:val="none" w:sz="0" w:space="0" w:color="auto"/>
        <w:bottom w:val="none" w:sz="0" w:space="0" w:color="auto"/>
        <w:right w:val="none" w:sz="0" w:space="0" w:color="auto"/>
      </w:divBdr>
    </w:div>
    <w:div w:id="749812261">
      <w:bodyDiv w:val="1"/>
      <w:marLeft w:val="0"/>
      <w:marRight w:val="0"/>
      <w:marTop w:val="0"/>
      <w:marBottom w:val="0"/>
      <w:divBdr>
        <w:top w:val="none" w:sz="0" w:space="0" w:color="auto"/>
        <w:left w:val="none" w:sz="0" w:space="0" w:color="auto"/>
        <w:bottom w:val="none" w:sz="0" w:space="0" w:color="auto"/>
        <w:right w:val="none" w:sz="0" w:space="0" w:color="auto"/>
      </w:divBdr>
    </w:div>
    <w:div w:id="750079815">
      <w:bodyDiv w:val="1"/>
      <w:marLeft w:val="0"/>
      <w:marRight w:val="0"/>
      <w:marTop w:val="0"/>
      <w:marBottom w:val="0"/>
      <w:divBdr>
        <w:top w:val="none" w:sz="0" w:space="0" w:color="auto"/>
        <w:left w:val="none" w:sz="0" w:space="0" w:color="auto"/>
        <w:bottom w:val="none" w:sz="0" w:space="0" w:color="auto"/>
        <w:right w:val="none" w:sz="0" w:space="0" w:color="auto"/>
      </w:divBdr>
    </w:div>
    <w:div w:id="750852043">
      <w:bodyDiv w:val="1"/>
      <w:marLeft w:val="0"/>
      <w:marRight w:val="0"/>
      <w:marTop w:val="0"/>
      <w:marBottom w:val="0"/>
      <w:divBdr>
        <w:top w:val="none" w:sz="0" w:space="0" w:color="auto"/>
        <w:left w:val="none" w:sz="0" w:space="0" w:color="auto"/>
        <w:bottom w:val="none" w:sz="0" w:space="0" w:color="auto"/>
        <w:right w:val="none" w:sz="0" w:space="0" w:color="auto"/>
      </w:divBdr>
    </w:div>
    <w:div w:id="752358844">
      <w:bodyDiv w:val="1"/>
      <w:marLeft w:val="0"/>
      <w:marRight w:val="0"/>
      <w:marTop w:val="0"/>
      <w:marBottom w:val="0"/>
      <w:divBdr>
        <w:top w:val="none" w:sz="0" w:space="0" w:color="auto"/>
        <w:left w:val="none" w:sz="0" w:space="0" w:color="auto"/>
        <w:bottom w:val="none" w:sz="0" w:space="0" w:color="auto"/>
        <w:right w:val="none" w:sz="0" w:space="0" w:color="auto"/>
      </w:divBdr>
    </w:div>
    <w:div w:id="755201700">
      <w:bodyDiv w:val="1"/>
      <w:marLeft w:val="0"/>
      <w:marRight w:val="0"/>
      <w:marTop w:val="0"/>
      <w:marBottom w:val="0"/>
      <w:divBdr>
        <w:top w:val="none" w:sz="0" w:space="0" w:color="auto"/>
        <w:left w:val="none" w:sz="0" w:space="0" w:color="auto"/>
        <w:bottom w:val="none" w:sz="0" w:space="0" w:color="auto"/>
        <w:right w:val="none" w:sz="0" w:space="0" w:color="auto"/>
      </w:divBdr>
      <w:divsChild>
        <w:div w:id="73279242">
          <w:marLeft w:val="0"/>
          <w:marRight w:val="0"/>
          <w:marTop w:val="0"/>
          <w:marBottom w:val="0"/>
          <w:divBdr>
            <w:top w:val="none" w:sz="0" w:space="0" w:color="auto"/>
            <w:left w:val="none" w:sz="0" w:space="0" w:color="auto"/>
            <w:bottom w:val="none" w:sz="0" w:space="0" w:color="auto"/>
            <w:right w:val="none" w:sz="0" w:space="0" w:color="auto"/>
          </w:divBdr>
        </w:div>
      </w:divsChild>
    </w:div>
    <w:div w:id="756708376">
      <w:bodyDiv w:val="1"/>
      <w:marLeft w:val="0"/>
      <w:marRight w:val="0"/>
      <w:marTop w:val="0"/>
      <w:marBottom w:val="0"/>
      <w:divBdr>
        <w:top w:val="none" w:sz="0" w:space="0" w:color="auto"/>
        <w:left w:val="none" w:sz="0" w:space="0" w:color="auto"/>
        <w:bottom w:val="none" w:sz="0" w:space="0" w:color="auto"/>
        <w:right w:val="none" w:sz="0" w:space="0" w:color="auto"/>
      </w:divBdr>
    </w:div>
    <w:div w:id="758409379">
      <w:bodyDiv w:val="1"/>
      <w:marLeft w:val="0"/>
      <w:marRight w:val="0"/>
      <w:marTop w:val="0"/>
      <w:marBottom w:val="0"/>
      <w:divBdr>
        <w:top w:val="none" w:sz="0" w:space="0" w:color="auto"/>
        <w:left w:val="none" w:sz="0" w:space="0" w:color="auto"/>
        <w:bottom w:val="none" w:sz="0" w:space="0" w:color="auto"/>
        <w:right w:val="none" w:sz="0" w:space="0" w:color="auto"/>
      </w:divBdr>
    </w:div>
    <w:div w:id="759721321">
      <w:bodyDiv w:val="1"/>
      <w:marLeft w:val="0"/>
      <w:marRight w:val="0"/>
      <w:marTop w:val="0"/>
      <w:marBottom w:val="0"/>
      <w:divBdr>
        <w:top w:val="none" w:sz="0" w:space="0" w:color="auto"/>
        <w:left w:val="none" w:sz="0" w:space="0" w:color="auto"/>
        <w:bottom w:val="none" w:sz="0" w:space="0" w:color="auto"/>
        <w:right w:val="none" w:sz="0" w:space="0" w:color="auto"/>
      </w:divBdr>
    </w:div>
    <w:div w:id="759911396">
      <w:bodyDiv w:val="1"/>
      <w:marLeft w:val="0"/>
      <w:marRight w:val="0"/>
      <w:marTop w:val="0"/>
      <w:marBottom w:val="0"/>
      <w:divBdr>
        <w:top w:val="none" w:sz="0" w:space="0" w:color="auto"/>
        <w:left w:val="none" w:sz="0" w:space="0" w:color="auto"/>
        <w:bottom w:val="none" w:sz="0" w:space="0" w:color="auto"/>
        <w:right w:val="none" w:sz="0" w:space="0" w:color="auto"/>
      </w:divBdr>
    </w:div>
    <w:div w:id="761607278">
      <w:bodyDiv w:val="1"/>
      <w:marLeft w:val="0"/>
      <w:marRight w:val="0"/>
      <w:marTop w:val="0"/>
      <w:marBottom w:val="0"/>
      <w:divBdr>
        <w:top w:val="none" w:sz="0" w:space="0" w:color="auto"/>
        <w:left w:val="none" w:sz="0" w:space="0" w:color="auto"/>
        <w:bottom w:val="none" w:sz="0" w:space="0" w:color="auto"/>
        <w:right w:val="none" w:sz="0" w:space="0" w:color="auto"/>
      </w:divBdr>
    </w:div>
    <w:div w:id="763455518">
      <w:bodyDiv w:val="1"/>
      <w:marLeft w:val="0"/>
      <w:marRight w:val="0"/>
      <w:marTop w:val="0"/>
      <w:marBottom w:val="0"/>
      <w:divBdr>
        <w:top w:val="none" w:sz="0" w:space="0" w:color="auto"/>
        <w:left w:val="none" w:sz="0" w:space="0" w:color="auto"/>
        <w:bottom w:val="none" w:sz="0" w:space="0" w:color="auto"/>
        <w:right w:val="none" w:sz="0" w:space="0" w:color="auto"/>
      </w:divBdr>
    </w:div>
    <w:div w:id="764111307">
      <w:bodyDiv w:val="1"/>
      <w:marLeft w:val="0"/>
      <w:marRight w:val="0"/>
      <w:marTop w:val="0"/>
      <w:marBottom w:val="0"/>
      <w:divBdr>
        <w:top w:val="none" w:sz="0" w:space="0" w:color="auto"/>
        <w:left w:val="none" w:sz="0" w:space="0" w:color="auto"/>
        <w:bottom w:val="none" w:sz="0" w:space="0" w:color="auto"/>
        <w:right w:val="none" w:sz="0" w:space="0" w:color="auto"/>
      </w:divBdr>
    </w:div>
    <w:div w:id="765073110">
      <w:bodyDiv w:val="1"/>
      <w:marLeft w:val="0"/>
      <w:marRight w:val="0"/>
      <w:marTop w:val="0"/>
      <w:marBottom w:val="0"/>
      <w:divBdr>
        <w:top w:val="none" w:sz="0" w:space="0" w:color="auto"/>
        <w:left w:val="none" w:sz="0" w:space="0" w:color="auto"/>
        <w:bottom w:val="none" w:sz="0" w:space="0" w:color="auto"/>
        <w:right w:val="none" w:sz="0" w:space="0" w:color="auto"/>
      </w:divBdr>
    </w:div>
    <w:div w:id="766848185">
      <w:bodyDiv w:val="1"/>
      <w:marLeft w:val="0"/>
      <w:marRight w:val="0"/>
      <w:marTop w:val="0"/>
      <w:marBottom w:val="0"/>
      <w:divBdr>
        <w:top w:val="none" w:sz="0" w:space="0" w:color="auto"/>
        <w:left w:val="none" w:sz="0" w:space="0" w:color="auto"/>
        <w:bottom w:val="none" w:sz="0" w:space="0" w:color="auto"/>
        <w:right w:val="none" w:sz="0" w:space="0" w:color="auto"/>
      </w:divBdr>
    </w:div>
    <w:div w:id="768501537">
      <w:bodyDiv w:val="1"/>
      <w:marLeft w:val="0"/>
      <w:marRight w:val="0"/>
      <w:marTop w:val="0"/>
      <w:marBottom w:val="0"/>
      <w:divBdr>
        <w:top w:val="none" w:sz="0" w:space="0" w:color="auto"/>
        <w:left w:val="none" w:sz="0" w:space="0" w:color="auto"/>
        <w:bottom w:val="none" w:sz="0" w:space="0" w:color="auto"/>
        <w:right w:val="none" w:sz="0" w:space="0" w:color="auto"/>
      </w:divBdr>
    </w:div>
    <w:div w:id="780757749">
      <w:bodyDiv w:val="1"/>
      <w:marLeft w:val="0"/>
      <w:marRight w:val="0"/>
      <w:marTop w:val="0"/>
      <w:marBottom w:val="0"/>
      <w:divBdr>
        <w:top w:val="none" w:sz="0" w:space="0" w:color="auto"/>
        <w:left w:val="none" w:sz="0" w:space="0" w:color="auto"/>
        <w:bottom w:val="none" w:sz="0" w:space="0" w:color="auto"/>
        <w:right w:val="none" w:sz="0" w:space="0" w:color="auto"/>
      </w:divBdr>
    </w:div>
    <w:div w:id="780996693">
      <w:bodyDiv w:val="1"/>
      <w:marLeft w:val="0"/>
      <w:marRight w:val="0"/>
      <w:marTop w:val="0"/>
      <w:marBottom w:val="0"/>
      <w:divBdr>
        <w:top w:val="none" w:sz="0" w:space="0" w:color="auto"/>
        <w:left w:val="none" w:sz="0" w:space="0" w:color="auto"/>
        <w:bottom w:val="none" w:sz="0" w:space="0" w:color="auto"/>
        <w:right w:val="none" w:sz="0" w:space="0" w:color="auto"/>
      </w:divBdr>
    </w:div>
    <w:div w:id="781148484">
      <w:bodyDiv w:val="1"/>
      <w:marLeft w:val="0"/>
      <w:marRight w:val="0"/>
      <w:marTop w:val="0"/>
      <w:marBottom w:val="0"/>
      <w:divBdr>
        <w:top w:val="none" w:sz="0" w:space="0" w:color="auto"/>
        <w:left w:val="none" w:sz="0" w:space="0" w:color="auto"/>
        <w:bottom w:val="none" w:sz="0" w:space="0" w:color="auto"/>
        <w:right w:val="none" w:sz="0" w:space="0" w:color="auto"/>
      </w:divBdr>
    </w:div>
    <w:div w:id="781807287">
      <w:bodyDiv w:val="1"/>
      <w:marLeft w:val="0"/>
      <w:marRight w:val="0"/>
      <w:marTop w:val="0"/>
      <w:marBottom w:val="0"/>
      <w:divBdr>
        <w:top w:val="none" w:sz="0" w:space="0" w:color="auto"/>
        <w:left w:val="none" w:sz="0" w:space="0" w:color="auto"/>
        <w:bottom w:val="none" w:sz="0" w:space="0" w:color="auto"/>
        <w:right w:val="none" w:sz="0" w:space="0" w:color="auto"/>
      </w:divBdr>
    </w:div>
    <w:div w:id="782191530">
      <w:bodyDiv w:val="1"/>
      <w:marLeft w:val="0"/>
      <w:marRight w:val="0"/>
      <w:marTop w:val="0"/>
      <w:marBottom w:val="0"/>
      <w:divBdr>
        <w:top w:val="none" w:sz="0" w:space="0" w:color="auto"/>
        <w:left w:val="none" w:sz="0" w:space="0" w:color="auto"/>
        <w:bottom w:val="none" w:sz="0" w:space="0" w:color="auto"/>
        <w:right w:val="none" w:sz="0" w:space="0" w:color="auto"/>
      </w:divBdr>
    </w:div>
    <w:div w:id="785319690">
      <w:bodyDiv w:val="1"/>
      <w:marLeft w:val="0"/>
      <w:marRight w:val="0"/>
      <w:marTop w:val="0"/>
      <w:marBottom w:val="0"/>
      <w:divBdr>
        <w:top w:val="none" w:sz="0" w:space="0" w:color="auto"/>
        <w:left w:val="none" w:sz="0" w:space="0" w:color="auto"/>
        <w:bottom w:val="none" w:sz="0" w:space="0" w:color="auto"/>
        <w:right w:val="none" w:sz="0" w:space="0" w:color="auto"/>
      </w:divBdr>
    </w:div>
    <w:div w:id="788012288">
      <w:bodyDiv w:val="1"/>
      <w:marLeft w:val="0"/>
      <w:marRight w:val="0"/>
      <w:marTop w:val="0"/>
      <w:marBottom w:val="0"/>
      <w:divBdr>
        <w:top w:val="none" w:sz="0" w:space="0" w:color="auto"/>
        <w:left w:val="none" w:sz="0" w:space="0" w:color="auto"/>
        <w:bottom w:val="none" w:sz="0" w:space="0" w:color="auto"/>
        <w:right w:val="none" w:sz="0" w:space="0" w:color="auto"/>
      </w:divBdr>
    </w:div>
    <w:div w:id="788203559">
      <w:bodyDiv w:val="1"/>
      <w:marLeft w:val="0"/>
      <w:marRight w:val="0"/>
      <w:marTop w:val="0"/>
      <w:marBottom w:val="0"/>
      <w:divBdr>
        <w:top w:val="none" w:sz="0" w:space="0" w:color="auto"/>
        <w:left w:val="none" w:sz="0" w:space="0" w:color="auto"/>
        <w:bottom w:val="none" w:sz="0" w:space="0" w:color="auto"/>
        <w:right w:val="none" w:sz="0" w:space="0" w:color="auto"/>
      </w:divBdr>
    </w:div>
    <w:div w:id="789010899">
      <w:bodyDiv w:val="1"/>
      <w:marLeft w:val="0"/>
      <w:marRight w:val="0"/>
      <w:marTop w:val="0"/>
      <w:marBottom w:val="0"/>
      <w:divBdr>
        <w:top w:val="none" w:sz="0" w:space="0" w:color="auto"/>
        <w:left w:val="none" w:sz="0" w:space="0" w:color="auto"/>
        <w:bottom w:val="none" w:sz="0" w:space="0" w:color="auto"/>
        <w:right w:val="none" w:sz="0" w:space="0" w:color="auto"/>
      </w:divBdr>
    </w:div>
    <w:div w:id="790591915">
      <w:bodyDiv w:val="1"/>
      <w:marLeft w:val="0"/>
      <w:marRight w:val="0"/>
      <w:marTop w:val="0"/>
      <w:marBottom w:val="0"/>
      <w:divBdr>
        <w:top w:val="none" w:sz="0" w:space="0" w:color="auto"/>
        <w:left w:val="none" w:sz="0" w:space="0" w:color="auto"/>
        <w:bottom w:val="none" w:sz="0" w:space="0" w:color="auto"/>
        <w:right w:val="none" w:sz="0" w:space="0" w:color="auto"/>
      </w:divBdr>
    </w:div>
    <w:div w:id="790780375">
      <w:bodyDiv w:val="1"/>
      <w:marLeft w:val="0"/>
      <w:marRight w:val="0"/>
      <w:marTop w:val="0"/>
      <w:marBottom w:val="0"/>
      <w:divBdr>
        <w:top w:val="none" w:sz="0" w:space="0" w:color="auto"/>
        <w:left w:val="none" w:sz="0" w:space="0" w:color="auto"/>
        <w:bottom w:val="none" w:sz="0" w:space="0" w:color="auto"/>
        <w:right w:val="none" w:sz="0" w:space="0" w:color="auto"/>
      </w:divBdr>
    </w:div>
    <w:div w:id="791435958">
      <w:bodyDiv w:val="1"/>
      <w:marLeft w:val="0"/>
      <w:marRight w:val="0"/>
      <w:marTop w:val="0"/>
      <w:marBottom w:val="0"/>
      <w:divBdr>
        <w:top w:val="none" w:sz="0" w:space="0" w:color="auto"/>
        <w:left w:val="none" w:sz="0" w:space="0" w:color="auto"/>
        <w:bottom w:val="none" w:sz="0" w:space="0" w:color="auto"/>
        <w:right w:val="none" w:sz="0" w:space="0" w:color="auto"/>
      </w:divBdr>
    </w:div>
    <w:div w:id="791435976">
      <w:bodyDiv w:val="1"/>
      <w:marLeft w:val="0"/>
      <w:marRight w:val="0"/>
      <w:marTop w:val="0"/>
      <w:marBottom w:val="0"/>
      <w:divBdr>
        <w:top w:val="none" w:sz="0" w:space="0" w:color="auto"/>
        <w:left w:val="none" w:sz="0" w:space="0" w:color="auto"/>
        <w:bottom w:val="none" w:sz="0" w:space="0" w:color="auto"/>
        <w:right w:val="none" w:sz="0" w:space="0" w:color="auto"/>
      </w:divBdr>
    </w:div>
    <w:div w:id="791442220">
      <w:bodyDiv w:val="1"/>
      <w:marLeft w:val="0"/>
      <w:marRight w:val="0"/>
      <w:marTop w:val="0"/>
      <w:marBottom w:val="0"/>
      <w:divBdr>
        <w:top w:val="none" w:sz="0" w:space="0" w:color="auto"/>
        <w:left w:val="none" w:sz="0" w:space="0" w:color="auto"/>
        <w:bottom w:val="none" w:sz="0" w:space="0" w:color="auto"/>
        <w:right w:val="none" w:sz="0" w:space="0" w:color="auto"/>
      </w:divBdr>
    </w:div>
    <w:div w:id="792988688">
      <w:bodyDiv w:val="1"/>
      <w:marLeft w:val="0"/>
      <w:marRight w:val="0"/>
      <w:marTop w:val="0"/>
      <w:marBottom w:val="0"/>
      <w:divBdr>
        <w:top w:val="none" w:sz="0" w:space="0" w:color="auto"/>
        <w:left w:val="none" w:sz="0" w:space="0" w:color="auto"/>
        <w:bottom w:val="none" w:sz="0" w:space="0" w:color="auto"/>
        <w:right w:val="none" w:sz="0" w:space="0" w:color="auto"/>
      </w:divBdr>
    </w:div>
    <w:div w:id="795413011">
      <w:bodyDiv w:val="1"/>
      <w:marLeft w:val="0"/>
      <w:marRight w:val="0"/>
      <w:marTop w:val="0"/>
      <w:marBottom w:val="0"/>
      <w:divBdr>
        <w:top w:val="none" w:sz="0" w:space="0" w:color="auto"/>
        <w:left w:val="none" w:sz="0" w:space="0" w:color="auto"/>
        <w:bottom w:val="none" w:sz="0" w:space="0" w:color="auto"/>
        <w:right w:val="none" w:sz="0" w:space="0" w:color="auto"/>
      </w:divBdr>
    </w:div>
    <w:div w:id="796024210">
      <w:bodyDiv w:val="1"/>
      <w:marLeft w:val="0"/>
      <w:marRight w:val="0"/>
      <w:marTop w:val="0"/>
      <w:marBottom w:val="0"/>
      <w:divBdr>
        <w:top w:val="none" w:sz="0" w:space="0" w:color="auto"/>
        <w:left w:val="none" w:sz="0" w:space="0" w:color="auto"/>
        <w:bottom w:val="none" w:sz="0" w:space="0" w:color="auto"/>
        <w:right w:val="none" w:sz="0" w:space="0" w:color="auto"/>
      </w:divBdr>
    </w:div>
    <w:div w:id="801002958">
      <w:bodyDiv w:val="1"/>
      <w:marLeft w:val="0"/>
      <w:marRight w:val="0"/>
      <w:marTop w:val="0"/>
      <w:marBottom w:val="0"/>
      <w:divBdr>
        <w:top w:val="none" w:sz="0" w:space="0" w:color="auto"/>
        <w:left w:val="none" w:sz="0" w:space="0" w:color="auto"/>
        <w:bottom w:val="none" w:sz="0" w:space="0" w:color="auto"/>
        <w:right w:val="none" w:sz="0" w:space="0" w:color="auto"/>
      </w:divBdr>
    </w:div>
    <w:div w:id="801114603">
      <w:bodyDiv w:val="1"/>
      <w:marLeft w:val="0"/>
      <w:marRight w:val="0"/>
      <w:marTop w:val="0"/>
      <w:marBottom w:val="0"/>
      <w:divBdr>
        <w:top w:val="none" w:sz="0" w:space="0" w:color="auto"/>
        <w:left w:val="none" w:sz="0" w:space="0" w:color="auto"/>
        <w:bottom w:val="none" w:sz="0" w:space="0" w:color="auto"/>
        <w:right w:val="none" w:sz="0" w:space="0" w:color="auto"/>
      </w:divBdr>
    </w:div>
    <w:div w:id="801456987">
      <w:bodyDiv w:val="1"/>
      <w:marLeft w:val="0"/>
      <w:marRight w:val="0"/>
      <w:marTop w:val="0"/>
      <w:marBottom w:val="0"/>
      <w:divBdr>
        <w:top w:val="none" w:sz="0" w:space="0" w:color="auto"/>
        <w:left w:val="none" w:sz="0" w:space="0" w:color="auto"/>
        <w:bottom w:val="none" w:sz="0" w:space="0" w:color="auto"/>
        <w:right w:val="none" w:sz="0" w:space="0" w:color="auto"/>
      </w:divBdr>
    </w:div>
    <w:div w:id="803086136">
      <w:bodyDiv w:val="1"/>
      <w:marLeft w:val="0"/>
      <w:marRight w:val="0"/>
      <w:marTop w:val="0"/>
      <w:marBottom w:val="0"/>
      <w:divBdr>
        <w:top w:val="none" w:sz="0" w:space="0" w:color="auto"/>
        <w:left w:val="none" w:sz="0" w:space="0" w:color="auto"/>
        <w:bottom w:val="none" w:sz="0" w:space="0" w:color="auto"/>
        <w:right w:val="none" w:sz="0" w:space="0" w:color="auto"/>
      </w:divBdr>
    </w:div>
    <w:div w:id="803543195">
      <w:bodyDiv w:val="1"/>
      <w:marLeft w:val="0"/>
      <w:marRight w:val="0"/>
      <w:marTop w:val="0"/>
      <w:marBottom w:val="0"/>
      <w:divBdr>
        <w:top w:val="none" w:sz="0" w:space="0" w:color="auto"/>
        <w:left w:val="none" w:sz="0" w:space="0" w:color="auto"/>
        <w:bottom w:val="none" w:sz="0" w:space="0" w:color="auto"/>
        <w:right w:val="none" w:sz="0" w:space="0" w:color="auto"/>
      </w:divBdr>
    </w:div>
    <w:div w:id="806506585">
      <w:bodyDiv w:val="1"/>
      <w:marLeft w:val="0"/>
      <w:marRight w:val="0"/>
      <w:marTop w:val="0"/>
      <w:marBottom w:val="0"/>
      <w:divBdr>
        <w:top w:val="none" w:sz="0" w:space="0" w:color="auto"/>
        <w:left w:val="none" w:sz="0" w:space="0" w:color="auto"/>
        <w:bottom w:val="none" w:sz="0" w:space="0" w:color="auto"/>
        <w:right w:val="none" w:sz="0" w:space="0" w:color="auto"/>
      </w:divBdr>
    </w:div>
    <w:div w:id="807669049">
      <w:bodyDiv w:val="1"/>
      <w:marLeft w:val="0"/>
      <w:marRight w:val="0"/>
      <w:marTop w:val="0"/>
      <w:marBottom w:val="0"/>
      <w:divBdr>
        <w:top w:val="none" w:sz="0" w:space="0" w:color="auto"/>
        <w:left w:val="none" w:sz="0" w:space="0" w:color="auto"/>
        <w:bottom w:val="none" w:sz="0" w:space="0" w:color="auto"/>
        <w:right w:val="none" w:sz="0" w:space="0" w:color="auto"/>
      </w:divBdr>
    </w:div>
    <w:div w:id="807823596">
      <w:bodyDiv w:val="1"/>
      <w:marLeft w:val="0"/>
      <w:marRight w:val="0"/>
      <w:marTop w:val="0"/>
      <w:marBottom w:val="0"/>
      <w:divBdr>
        <w:top w:val="none" w:sz="0" w:space="0" w:color="auto"/>
        <w:left w:val="none" w:sz="0" w:space="0" w:color="auto"/>
        <w:bottom w:val="none" w:sz="0" w:space="0" w:color="auto"/>
        <w:right w:val="none" w:sz="0" w:space="0" w:color="auto"/>
      </w:divBdr>
    </w:div>
    <w:div w:id="808130032">
      <w:bodyDiv w:val="1"/>
      <w:marLeft w:val="0"/>
      <w:marRight w:val="0"/>
      <w:marTop w:val="0"/>
      <w:marBottom w:val="0"/>
      <w:divBdr>
        <w:top w:val="none" w:sz="0" w:space="0" w:color="auto"/>
        <w:left w:val="none" w:sz="0" w:space="0" w:color="auto"/>
        <w:bottom w:val="none" w:sz="0" w:space="0" w:color="auto"/>
        <w:right w:val="none" w:sz="0" w:space="0" w:color="auto"/>
      </w:divBdr>
    </w:div>
    <w:div w:id="809638191">
      <w:bodyDiv w:val="1"/>
      <w:marLeft w:val="0"/>
      <w:marRight w:val="0"/>
      <w:marTop w:val="0"/>
      <w:marBottom w:val="0"/>
      <w:divBdr>
        <w:top w:val="none" w:sz="0" w:space="0" w:color="auto"/>
        <w:left w:val="none" w:sz="0" w:space="0" w:color="auto"/>
        <w:bottom w:val="none" w:sz="0" w:space="0" w:color="auto"/>
        <w:right w:val="none" w:sz="0" w:space="0" w:color="auto"/>
      </w:divBdr>
    </w:div>
    <w:div w:id="813596058">
      <w:bodyDiv w:val="1"/>
      <w:marLeft w:val="0"/>
      <w:marRight w:val="0"/>
      <w:marTop w:val="0"/>
      <w:marBottom w:val="0"/>
      <w:divBdr>
        <w:top w:val="none" w:sz="0" w:space="0" w:color="auto"/>
        <w:left w:val="none" w:sz="0" w:space="0" w:color="auto"/>
        <w:bottom w:val="none" w:sz="0" w:space="0" w:color="auto"/>
        <w:right w:val="none" w:sz="0" w:space="0" w:color="auto"/>
      </w:divBdr>
    </w:div>
    <w:div w:id="813722350">
      <w:bodyDiv w:val="1"/>
      <w:marLeft w:val="0"/>
      <w:marRight w:val="0"/>
      <w:marTop w:val="0"/>
      <w:marBottom w:val="0"/>
      <w:divBdr>
        <w:top w:val="none" w:sz="0" w:space="0" w:color="auto"/>
        <w:left w:val="none" w:sz="0" w:space="0" w:color="auto"/>
        <w:bottom w:val="none" w:sz="0" w:space="0" w:color="auto"/>
        <w:right w:val="none" w:sz="0" w:space="0" w:color="auto"/>
      </w:divBdr>
    </w:div>
    <w:div w:id="814370379">
      <w:bodyDiv w:val="1"/>
      <w:marLeft w:val="0"/>
      <w:marRight w:val="0"/>
      <w:marTop w:val="0"/>
      <w:marBottom w:val="0"/>
      <w:divBdr>
        <w:top w:val="none" w:sz="0" w:space="0" w:color="auto"/>
        <w:left w:val="none" w:sz="0" w:space="0" w:color="auto"/>
        <w:bottom w:val="none" w:sz="0" w:space="0" w:color="auto"/>
        <w:right w:val="none" w:sz="0" w:space="0" w:color="auto"/>
      </w:divBdr>
    </w:div>
    <w:div w:id="815806195">
      <w:bodyDiv w:val="1"/>
      <w:marLeft w:val="0"/>
      <w:marRight w:val="0"/>
      <w:marTop w:val="0"/>
      <w:marBottom w:val="0"/>
      <w:divBdr>
        <w:top w:val="none" w:sz="0" w:space="0" w:color="auto"/>
        <w:left w:val="none" w:sz="0" w:space="0" w:color="auto"/>
        <w:bottom w:val="none" w:sz="0" w:space="0" w:color="auto"/>
        <w:right w:val="none" w:sz="0" w:space="0" w:color="auto"/>
      </w:divBdr>
    </w:div>
    <w:div w:id="816848515">
      <w:bodyDiv w:val="1"/>
      <w:marLeft w:val="0"/>
      <w:marRight w:val="0"/>
      <w:marTop w:val="0"/>
      <w:marBottom w:val="0"/>
      <w:divBdr>
        <w:top w:val="none" w:sz="0" w:space="0" w:color="auto"/>
        <w:left w:val="none" w:sz="0" w:space="0" w:color="auto"/>
        <w:bottom w:val="none" w:sz="0" w:space="0" w:color="auto"/>
        <w:right w:val="none" w:sz="0" w:space="0" w:color="auto"/>
      </w:divBdr>
    </w:div>
    <w:div w:id="818881492">
      <w:bodyDiv w:val="1"/>
      <w:marLeft w:val="0"/>
      <w:marRight w:val="0"/>
      <w:marTop w:val="0"/>
      <w:marBottom w:val="0"/>
      <w:divBdr>
        <w:top w:val="none" w:sz="0" w:space="0" w:color="auto"/>
        <w:left w:val="none" w:sz="0" w:space="0" w:color="auto"/>
        <w:bottom w:val="none" w:sz="0" w:space="0" w:color="auto"/>
        <w:right w:val="none" w:sz="0" w:space="0" w:color="auto"/>
      </w:divBdr>
    </w:div>
    <w:div w:id="820777052">
      <w:bodyDiv w:val="1"/>
      <w:marLeft w:val="0"/>
      <w:marRight w:val="0"/>
      <w:marTop w:val="0"/>
      <w:marBottom w:val="0"/>
      <w:divBdr>
        <w:top w:val="none" w:sz="0" w:space="0" w:color="auto"/>
        <w:left w:val="none" w:sz="0" w:space="0" w:color="auto"/>
        <w:bottom w:val="none" w:sz="0" w:space="0" w:color="auto"/>
        <w:right w:val="none" w:sz="0" w:space="0" w:color="auto"/>
      </w:divBdr>
    </w:div>
    <w:div w:id="821390066">
      <w:bodyDiv w:val="1"/>
      <w:marLeft w:val="0"/>
      <w:marRight w:val="0"/>
      <w:marTop w:val="0"/>
      <w:marBottom w:val="0"/>
      <w:divBdr>
        <w:top w:val="none" w:sz="0" w:space="0" w:color="auto"/>
        <w:left w:val="none" w:sz="0" w:space="0" w:color="auto"/>
        <w:bottom w:val="none" w:sz="0" w:space="0" w:color="auto"/>
        <w:right w:val="none" w:sz="0" w:space="0" w:color="auto"/>
      </w:divBdr>
    </w:div>
    <w:div w:id="822159446">
      <w:bodyDiv w:val="1"/>
      <w:marLeft w:val="0"/>
      <w:marRight w:val="0"/>
      <w:marTop w:val="0"/>
      <w:marBottom w:val="0"/>
      <w:divBdr>
        <w:top w:val="none" w:sz="0" w:space="0" w:color="auto"/>
        <w:left w:val="none" w:sz="0" w:space="0" w:color="auto"/>
        <w:bottom w:val="none" w:sz="0" w:space="0" w:color="auto"/>
        <w:right w:val="none" w:sz="0" w:space="0" w:color="auto"/>
      </w:divBdr>
    </w:div>
    <w:div w:id="823741043">
      <w:bodyDiv w:val="1"/>
      <w:marLeft w:val="0"/>
      <w:marRight w:val="0"/>
      <w:marTop w:val="0"/>
      <w:marBottom w:val="0"/>
      <w:divBdr>
        <w:top w:val="none" w:sz="0" w:space="0" w:color="auto"/>
        <w:left w:val="none" w:sz="0" w:space="0" w:color="auto"/>
        <w:bottom w:val="none" w:sz="0" w:space="0" w:color="auto"/>
        <w:right w:val="none" w:sz="0" w:space="0" w:color="auto"/>
      </w:divBdr>
    </w:div>
    <w:div w:id="827670792">
      <w:bodyDiv w:val="1"/>
      <w:marLeft w:val="0"/>
      <w:marRight w:val="0"/>
      <w:marTop w:val="0"/>
      <w:marBottom w:val="0"/>
      <w:divBdr>
        <w:top w:val="none" w:sz="0" w:space="0" w:color="auto"/>
        <w:left w:val="none" w:sz="0" w:space="0" w:color="auto"/>
        <w:bottom w:val="none" w:sz="0" w:space="0" w:color="auto"/>
        <w:right w:val="none" w:sz="0" w:space="0" w:color="auto"/>
      </w:divBdr>
    </w:div>
    <w:div w:id="837233438">
      <w:bodyDiv w:val="1"/>
      <w:marLeft w:val="0"/>
      <w:marRight w:val="0"/>
      <w:marTop w:val="0"/>
      <w:marBottom w:val="0"/>
      <w:divBdr>
        <w:top w:val="none" w:sz="0" w:space="0" w:color="auto"/>
        <w:left w:val="none" w:sz="0" w:space="0" w:color="auto"/>
        <w:bottom w:val="none" w:sz="0" w:space="0" w:color="auto"/>
        <w:right w:val="none" w:sz="0" w:space="0" w:color="auto"/>
      </w:divBdr>
    </w:div>
    <w:div w:id="837812912">
      <w:bodyDiv w:val="1"/>
      <w:marLeft w:val="0"/>
      <w:marRight w:val="0"/>
      <w:marTop w:val="0"/>
      <w:marBottom w:val="0"/>
      <w:divBdr>
        <w:top w:val="none" w:sz="0" w:space="0" w:color="auto"/>
        <w:left w:val="none" w:sz="0" w:space="0" w:color="auto"/>
        <w:bottom w:val="none" w:sz="0" w:space="0" w:color="auto"/>
        <w:right w:val="none" w:sz="0" w:space="0" w:color="auto"/>
      </w:divBdr>
    </w:div>
    <w:div w:id="841555190">
      <w:bodyDiv w:val="1"/>
      <w:marLeft w:val="0"/>
      <w:marRight w:val="0"/>
      <w:marTop w:val="0"/>
      <w:marBottom w:val="0"/>
      <w:divBdr>
        <w:top w:val="none" w:sz="0" w:space="0" w:color="auto"/>
        <w:left w:val="none" w:sz="0" w:space="0" w:color="auto"/>
        <w:bottom w:val="none" w:sz="0" w:space="0" w:color="auto"/>
        <w:right w:val="none" w:sz="0" w:space="0" w:color="auto"/>
      </w:divBdr>
    </w:div>
    <w:div w:id="843132209">
      <w:bodyDiv w:val="1"/>
      <w:marLeft w:val="0"/>
      <w:marRight w:val="0"/>
      <w:marTop w:val="0"/>
      <w:marBottom w:val="0"/>
      <w:divBdr>
        <w:top w:val="none" w:sz="0" w:space="0" w:color="auto"/>
        <w:left w:val="none" w:sz="0" w:space="0" w:color="auto"/>
        <w:bottom w:val="none" w:sz="0" w:space="0" w:color="auto"/>
        <w:right w:val="none" w:sz="0" w:space="0" w:color="auto"/>
      </w:divBdr>
    </w:div>
    <w:div w:id="843742371">
      <w:bodyDiv w:val="1"/>
      <w:marLeft w:val="0"/>
      <w:marRight w:val="0"/>
      <w:marTop w:val="0"/>
      <w:marBottom w:val="0"/>
      <w:divBdr>
        <w:top w:val="none" w:sz="0" w:space="0" w:color="auto"/>
        <w:left w:val="none" w:sz="0" w:space="0" w:color="auto"/>
        <w:bottom w:val="none" w:sz="0" w:space="0" w:color="auto"/>
        <w:right w:val="none" w:sz="0" w:space="0" w:color="auto"/>
      </w:divBdr>
    </w:div>
    <w:div w:id="850072084">
      <w:bodyDiv w:val="1"/>
      <w:marLeft w:val="0"/>
      <w:marRight w:val="0"/>
      <w:marTop w:val="0"/>
      <w:marBottom w:val="0"/>
      <w:divBdr>
        <w:top w:val="none" w:sz="0" w:space="0" w:color="auto"/>
        <w:left w:val="none" w:sz="0" w:space="0" w:color="auto"/>
        <w:bottom w:val="none" w:sz="0" w:space="0" w:color="auto"/>
        <w:right w:val="none" w:sz="0" w:space="0" w:color="auto"/>
      </w:divBdr>
    </w:div>
    <w:div w:id="851455864">
      <w:bodyDiv w:val="1"/>
      <w:marLeft w:val="0"/>
      <w:marRight w:val="0"/>
      <w:marTop w:val="0"/>
      <w:marBottom w:val="0"/>
      <w:divBdr>
        <w:top w:val="none" w:sz="0" w:space="0" w:color="auto"/>
        <w:left w:val="none" w:sz="0" w:space="0" w:color="auto"/>
        <w:bottom w:val="none" w:sz="0" w:space="0" w:color="auto"/>
        <w:right w:val="none" w:sz="0" w:space="0" w:color="auto"/>
      </w:divBdr>
    </w:div>
    <w:div w:id="851797191">
      <w:bodyDiv w:val="1"/>
      <w:marLeft w:val="0"/>
      <w:marRight w:val="0"/>
      <w:marTop w:val="0"/>
      <w:marBottom w:val="0"/>
      <w:divBdr>
        <w:top w:val="none" w:sz="0" w:space="0" w:color="auto"/>
        <w:left w:val="none" w:sz="0" w:space="0" w:color="auto"/>
        <w:bottom w:val="none" w:sz="0" w:space="0" w:color="auto"/>
        <w:right w:val="none" w:sz="0" w:space="0" w:color="auto"/>
      </w:divBdr>
    </w:div>
    <w:div w:id="857158169">
      <w:bodyDiv w:val="1"/>
      <w:marLeft w:val="0"/>
      <w:marRight w:val="0"/>
      <w:marTop w:val="0"/>
      <w:marBottom w:val="0"/>
      <w:divBdr>
        <w:top w:val="none" w:sz="0" w:space="0" w:color="auto"/>
        <w:left w:val="none" w:sz="0" w:space="0" w:color="auto"/>
        <w:bottom w:val="none" w:sz="0" w:space="0" w:color="auto"/>
        <w:right w:val="none" w:sz="0" w:space="0" w:color="auto"/>
      </w:divBdr>
    </w:div>
    <w:div w:id="860169670">
      <w:bodyDiv w:val="1"/>
      <w:marLeft w:val="0"/>
      <w:marRight w:val="0"/>
      <w:marTop w:val="0"/>
      <w:marBottom w:val="0"/>
      <w:divBdr>
        <w:top w:val="none" w:sz="0" w:space="0" w:color="auto"/>
        <w:left w:val="none" w:sz="0" w:space="0" w:color="auto"/>
        <w:bottom w:val="none" w:sz="0" w:space="0" w:color="auto"/>
        <w:right w:val="none" w:sz="0" w:space="0" w:color="auto"/>
      </w:divBdr>
      <w:divsChild>
        <w:div w:id="146020952">
          <w:marLeft w:val="0"/>
          <w:marRight w:val="0"/>
          <w:marTop w:val="0"/>
          <w:marBottom w:val="0"/>
          <w:divBdr>
            <w:top w:val="none" w:sz="0" w:space="0" w:color="auto"/>
            <w:left w:val="none" w:sz="0" w:space="0" w:color="auto"/>
            <w:bottom w:val="none" w:sz="0" w:space="0" w:color="auto"/>
            <w:right w:val="none" w:sz="0" w:space="0" w:color="auto"/>
          </w:divBdr>
        </w:div>
        <w:div w:id="956763086">
          <w:marLeft w:val="0"/>
          <w:marRight w:val="0"/>
          <w:marTop w:val="0"/>
          <w:marBottom w:val="0"/>
          <w:divBdr>
            <w:top w:val="none" w:sz="0" w:space="0" w:color="auto"/>
            <w:left w:val="none" w:sz="0" w:space="0" w:color="auto"/>
            <w:bottom w:val="none" w:sz="0" w:space="0" w:color="auto"/>
            <w:right w:val="none" w:sz="0" w:space="0" w:color="auto"/>
          </w:divBdr>
        </w:div>
        <w:div w:id="1095859961">
          <w:marLeft w:val="0"/>
          <w:marRight w:val="0"/>
          <w:marTop w:val="0"/>
          <w:marBottom w:val="0"/>
          <w:divBdr>
            <w:top w:val="none" w:sz="0" w:space="0" w:color="auto"/>
            <w:left w:val="none" w:sz="0" w:space="0" w:color="auto"/>
            <w:bottom w:val="none" w:sz="0" w:space="0" w:color="auto"/>
            <w:right w:val="none" w:sz="0" w:space="0" w:color="auto"/>
          </w:divBdr>
        </w:div>
        <w:div w:id="1614970702">
          <w:marLeft w:val="0"/>
          <w:marRight w:val="0"/>
          <w:marTop w:val="0"/>
          <w:marBottom w:val="0"/>
          <w:divBdr>
            <w:top w:val="none" w:sz="0" w:space="0" w:color="auto"/>
            <w:left w:val="none" w:sz="0" w:space="0" w:color="auto"/>
            <w:bottom w:val="none" w:sz="0" w:space="0" w:color="auto"/>
            <w:right w:val="none" w:sz="0" w:space="0" w:color="auto"/>
          </w:divBdr>
        </w:div>
      </w:divsChild>
    </w:div>
    <w:div w:id="860170075">
      <w:bodyDiv w:val="1"/>
      <w:marLeft w:val="0"/>
      <w:marRight w:val="0"/>
      <w:marTop w:val="0"/>
      <w:marBottom w:val="0"/>
      <w:divBdr>
        <w:top w:val="none" w:sz="0" w:space="0" w:color="auto"/>
        <w:left w:val="none" w:sz="0" w:space="0" w:color="auto"/>
        <w:bottom w:val="none" w:sz="0" w:space="0" w:color="auto"/>
        <w:right w:val="none" w:sz="0" w:space="0" w:color="auto"/>
      </w:divBdr>
    </w:div>
    <w:div w:id="865102079">
      <w:bodyDiv w:val="1"/>
      <w:marLeft w:val="0"/>
      <w:marRight w:val="0"/>
      <w:marTop w:val="0"/>
      <w:marBottom w:val="0"/>
      <w:divBdr>
        <w:top w:val="none" w:sz="0" w:space="0" w:color="auto"/>
        <w:left w:val="none" w:sz="0" w:space="0" w:color="auto"/>
        <w:bottom w:val="none" w:sz="0" w:space="0" w:color="auto"/>
        <w:right w:val="none" w:sz="0" w:space="0" w:color="auto"/>
      </w:divBdr>
    </w:div>
    <w:div w:id="866017960">
      <w:bodyDiv w:val="1"/>
      <w:marLeft w:val="0"/>
      <w:marRight w:val="0"/>
      <w:marTop w:val="0"/>
      <w:marBottom w:val="0"/>
      <w:divBdr>
        <w:top w:val="none" w:sz="0" w:space="0" w:color="auto"/>
        <w:left w:val="none" w:sz="0" w:space="0" w:color="auto"/>
        <w:bottom w:val="none" w:sz="0" w:space="0" w:color="auto"/>
        <w:right w:val="none" w:sz="0" w:space="0" w:color="auto"/>
      </w:divBdr>
    </w:div>
    <w:div w:id="868957272">
      <w:bodyDiv w:val="1"/>
      <w:marLeft w:val="0"/>
      <w:marRight w:val="0"/>
      <w:marTop w:val="0"/>
      <w:marBottom w:val="0"/>
      <w:divBdr>
        <w:top w:val="none" w:sz="0" w:space="0" w:color="auto"/>
        <w:left w:val="none" w:sz="0" w:space="0" w:color="auto"/>
        <w:bottom w:val="none" w:sz="0" w:space="0" w:color="auto"/>
        <w:right w:val="none" w:sz="0" w:space="0" w:color="auto"/>
      </w:divBdr>
    </w:div>
    <w:div w:id="871571049">
      <w:bodyDiv w:val="1"/>
      <w:marLeft w:val="0"/>
      <w:marRight w:val="0"/>
      <w:marTop w:val="0"/>
      <w:marBottom w:val="0"/>
      <w:divBdr>
        <w:top w:val="none" w:sz="0" w:space="0" w:color="auto"/>
        <w:left w:val="none" w:sz="0" w:space="0" w:color="auto"/>
        <w:bottom w:val="none" w:sz="0" w:space="0" w:color="auto"/>
        <w:right w:val="none" w:sz="0" w:space="0" w:color="auto"/>
      </w:divBdr>
    </w:div>
    <w:div w:id="872110735">
      <w:bodyDiv w:val="1"/>
      <w:marLeft w:val="0"/>
      <w:marRight w:val="0"/>
      <w:marTop w:val="0"/>
      <w:marBottom w:val="0"/>
      <w:divBdr>
        <w:top w:val="none" w:sz="0" w:space="0" w:color="auto"/>
        <w:left w:val="none" w:sz="0" w:space="0" w:color="auto"/>
        <w:bottom w:val="none" w:sz="0" w:space="0" w:color="auto"/>
        <w:right w:val="none" w:sz="0" w:space="0" w:color="auto"/>
      </w:divBdr>
    </w:div>
    <w:div w:id="872423449">
      <w:bodyDiv w:val="1"/>
      <w:marLeft w:val="0"/>
      <w:marRight w:val="0"/>
      <w:marTop w:val="0"/>
      <w:marBottom w:val="0"/>
      <w:divBdr>
        <w:top w:val="none" w:sz="0" w:space="0" w:color="auto"/>
        <w:left w:val="none" w:sz="0" w:space="0" w:color="auto"/>
        <w:bottom w:val="none" w:sz="0" w:space="0" w:color="auto"/>
        <w:right w:val="none" w:sz="0" w:space="0" w:color="auto"/>
      </w:divBdr>
    </w:div>
    <w:div w:id="876626606">
      <w:bodyDiv w:val="1"/>
      <w:marLeft w:val="0"/>
      <w:marRight w:val="0"/>
      <w:marTop w:val="0"/>
      <w:marBottom w:val="0"/>
      <w:divBdr>
        <w:top w:val="none" w:sz="0" w:space="0" w:color="auto"/>
        <w:left w:val="none" w:sz="0" w:space="0" w:color="auto"/>
        <w:bottom w:val="none" w:sz="0" w:space="0" w:color="auto"/>
        <w:right w:val="none" w:sz="0" w:space="0" w:color="auto"/>
      </w:divBdr>
    </w:div>
    <w:div w:id="878932605">
      <w:bodyDiv w:val="1"/>
      <w:marLeft w:val="0"/>
      <w:marRight w:val="0"/>
      <w:marTop w:val="0"/>
      <w:marBottom w:val="0"/>
      <w:divBdr>
        <w:top w:val="none" w:sz="0" w:space="0" w:color="auto"/>
        <w:left w:val="none" w:sz="0" w:space="0" w:color="auto"/>
        <w:bottom w:val="none" w:sz="0" w:space="0" w:color="auto"/>
        <w:right w:val="none" w:sz="0" w:space="0" w:color="auto"/>
      </w:divBdr>
    </w:div>
    <w:div w:id="879559486">
      <w:bodyDiv w:val="1"/>
      <w:marLeft w:val="0"/>
      <w:marRight w:val="0"/>
      <w:marTop w:val="0"/>
      <w:marBottom w:val="0"/>
      <w:divBdr>
        <w:top w:val="none" w:sz="0" w:space="0" w:color="auto"/>
        <w:left w:val="none" w:sz="0" w:space="0" w:color="auto"/>
        <w:bottom w:val="none" w:sz="0" w:space="0" w:color="auto"/>
        <w:right w:val="none" w:sz="0" w:space="0" w:color="auto"/>
      </w:divBdr>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1792505">
      <w:bodyDiv w:val="1"/>
      <w:marLeft w:val="0"/>
      <w:marRight w:val="0"/>
      <w:marTop w:val="0"/>
      <w:marBottom w:val="0"/>
      <w:divBdr>
        <w:top w:val="none" w:sz="0" w:space="0" w:color="auto"/>
        <w:left w:val="none" w:sz="0" w:space="0" w:color="auto"/>
        <w:bottom w:val="none" w:sz="0" w:space="0" w:color="auto"/>
        <w:right w:val="none" w:sz="0" w:space="0" w:color="auto"/>
      </w:divBdr>
    </w:div>
    <w:div w:id="883754204">
      <w:bodyDiv w:val="1"/>
      <w:marLeft w:val="0"/>
      <w:marRight w:val="0"/>
      <w:marTop w:val="0"/>
      <w:marBottom w:val="0"/>
      <w:divBdr>
        <w:top w:val="none" w:sz="0" w:space="0" w:color="auto"/>
        <w:left w:val="none" w:sz="0" w:space="0" w:color="auto"/>
        <w:bottom w:val="none" w:sz="0" w:space="0" w:color="auto"/>
        <w:right w:val="none" w:sz="0" w:space="0" w:color="auto"/>
      </w:divBdr>
    </w:div>
    <w:div w:id="887648328">
      <w:bodyDiv w:val="1"/>
      <w:marLeft w:val="0"/>
      <w:marRight w:val="0"/>
      <w:marTop w:val="0"/>
      <w:marBottom w:val="0"/>
      <w:divBdr>
        <w:top w:val="none" w:sz="0" w:space="0" w:color="auto"/>
        <w:left w:val="none" w:sz="0" w:space="0" w:color="auto"/>
        <w:bottom w:val="none" w:sz="0" w:space="0" w:color="auto"/>
        <w:right w:val="none" w:sz="0" w:space="0" w:color="auto"/>
      </w:divBdr>
    </w:div>
    <w:div w:id="889607173">
      <w:bodyDiv w:val="1"/>
      <w:marLeft w:val="0"/>
      <w:marRight w:val="0"/>
      <w:marTop w:val="0"/>
      <w:marBottom w:val="0"/>
      <w:divBdr>
        <w:top w:val="none" w:sz="0" w:space="0" w:color="auto"/>
        <w:left w:val="none" w:sz="0" w:space="0" w:color="auto"/>
        <w:bottom w:val="none" w:sz="0" w:space="0" w:color="auto"/>
        <w:right w:val="none" w:sz="0" w:space="0" w:color="auto"/>
      </w:divBdr>
    </w:div>
    <w:div w:id="891815958">
      <w:bodyDiv w:val="1"/>
      <w:marLeft w:val="0"/>
      <w:marRight w:val="0"/>
      <w:marTop w:val="0"/>
      <w:marBottom w:val="0"/>
      <w:divBdr>
        <w:top w:val="none" w:sz="0" w:space="0" w:color="auto"/>
        <w:left w:val="none" w:sz="0" w:space="0" w:color="auto"/>
        <w:bottom w:val="none" w:sz="0" w:space="0" w:color="auto"/>
        <w:right w:val="none" w:sz="0" w:space="0" w:color="auto"/>
      </w:divBdr>
    </w:div>
    <w:div w:id="895699133">
      <w:bodyDiv w:val="1"/>
      <w:marLeft w:val="0"/>
      <w:marRight w:val="0"/>
      <w:marTop w:val="0"/>
      <w:marBottom w:val="0"/>
      <w:divBdr>
        <w:top w:val="none" w:sz="0" w:space="0" w:color="auto"/>
        <w:left w:val="none" w:sz="0" w:space="0" w:color="auto"/>
        <w:bottom w:val="none" w:sz="0" w:space="0" w:color="auto"/>
        <w:right w:val="none" w:sz="0" w:space="0" w:color="auto"/>
      </w:divBdr>
    </w:div>
    <w:div w:id="895966549">
      <w:bodyDiv w:val="1"/>
      <w:marLeft w:val="0"/>
      <w:marRight w:val="0"/>
      <w:marTop w:val="0"/>
      <w:marBottom w:val="0"/>
      <w:divBdr>
        <w:top w:val="none" w:sz="0" w:space="0" w:color="auto"/>
        <w:left w:val="none" w:sz="0" w:space="0" w:color="auto"/>
        <w:bottom w:val="none" w:sz="0" w:space="0" w:color="auto"/>
        <w:right w:val="none" w:sz="0" w:space="0" w:color="auto"/>
      </w:divBdr>
    </w:div>
    <w:div w:id="896746409">
      <w:bodyDiv w:val="1"/>
      <w:marLeft w:val="0"/>
      <w:marRight w:val="0"/>
      <w:marTop w:val="0"/>
      <w:marBottom w:val="0"/>
      <w:divBdr>
        <w:top w:val="none" w:sz="0" w:space="0" w:color="auto"/>
        <w:left w:val="none" w:sz="0" w:space="0" w:color="auto"/>
        <w:bottom w:val="none" w:sz="0" w:space="0" w:color="auto"/>
        <w:right w:val="none" w:sz="0" w:space="0" w:color="auto"/>
      </w:divBdr>
    </w:div>
    <w:div w:id="896819195">
      <w:bodyDiv w:val="1"/>
      <w:marLeft w:val="0"/>
      <w:marRight w:val="0"/>
      <w:marTop w:val="0"/>
      <w:marBottom w:val="0"/>
      <w:divBdr>
        <w:top w:val="none" w:sz="0" w:space="0" w:color="auto"/>
        <w:left w:val="none" w:sz="0" w:space="0" w:color="auto"/>
        <w:bottom w:val="none" w:sz="0" w:space="0" w:color="auto"/>
        <w:right w:val="none" w:sz="0" w:space="0" w:color="auto"/>
      </w:divBdr>
    </w:div>
    <w:div w:id="898325921">
      <w:bodyDiv w:val="1"/>
      <w:marLeft w:val="0"/>
      <w:marRight w:val="0"/>
      <w:marTop w:val="0"/>
      <w:marBottom w:val="0"/>
      <w:divBdr>
        <w:top w:val="none" w:sz="0" w:space="0" w:color="auto"/>
        <w:left w:val="none" w:sz="0" w:space="0" w:color="auto"/>
        <w:bottom w:val="none" w:sz="0" w:space="0" w:color="auto"/>
        <w:right w:val="none" w:sz="0" w:space="0" w:color="auto"/>
      </w:divBdr>
    </w:div>
    <w:div w:id="900485646">
      <w:bodyDiv w:val="1"/>
      <w:marLeft w:val="0"/>
      <w:marRight w:val="0"/>
      <w:marTop w:val="0"/>
      <w:marBottom w:val="0"/>
      <w:divBdr>
        <w:top w:val="none" w:sz="0" w:space="0" w:color="auto"/>
        <w:left w:val="none" w:sz="0" w:space="0" w:color="auto"/>
        <w:bottom w:val="none" w:sz="0" w:space="0" w:color="auto"/>
        <w:right w:val="none" w:sz="0" w:space="0" w:color="auto"/>
      </w:divBdr>
    </w:div>
    <w:div w:id="900675231">
      <w:bodyDiv w:val="1"/>
      <w:marLeft w:val="0"/>
      <w:marRight w:val="0"/>
      <w:marTop w:val="0"/>
      <w:marBottom w:val="0"/>
      <w:divBdr>
        <w:top w:val="none" w:sz="0" w:space="0" w:color="auto"/>
        <w:left w:val="none" w:sz="0" w:space="0" w:color="auto"/>
        <w:bottom w:val="none" w:sz="0" w:space="0" w:color="auto"/>
        <w:right w:val="none" w:sz="0" w:space="0" w:color="auto"/>
      </w:divBdr>
    </w:div>
    <w:div w:id="901403216">
      <w:bodyDiv w:val="1"/>
      <w:marLeft w:val="0"/>
      <w:marRight w:val="0"/>
      <w:marTop w:val="0"/>
      <w:marBottom w:val="0"/>
      <w:divBdr>
        <w:top w:val="none" w:sz="0" w:space="0" w:color="auto"/>
        <w:left w:val="none" w:sz="0" w:space="0" w:color="auto"/>
        <w:bottom w:val="none" w:sz="0" w:space="0" w:color="auto"/>
        <w:right w:val="none" w:sz="0" w:space="0" w:color="auto"/>
      </w:divBdr>
    </w:div>
    <w:div w:id="904073403">
      <w:bodyDiv w:val="1"/>
      <w:marLeft w:val="0"/>
      <w:marRight w:val="0"/>
      <w:marTop w:val="0"/>
      <w:marBottom w:val="0"/>
      <w:divBdr>
        <w:top w:val="none" w:sz="0" w:space="0" w:color="auto"/>
        <w:left w:val="none" w:sz="0" w:space="0" w:color="auto"/>
        <w:bottom w:val="none" w:sz="0" w:space="0" w:color="auto"/>
        <w:right w:val="none" w:sz="0" w:space="0" w:color="auto"/>
      </w:divBdr>
    </w:div>
    <w:div w:id="906577420">
      <w:bodyDiv w:val="1"/>
      <w:marLeft w:val="0"/>
      <w:marRight w:val="0"/>
      <w:marTop w:val="0"/>
      <w:marBottom w:val="0"/>
      <w:divBdr>
        <w:top w:val="none" w:sz="0" w:space="0" w:color="auto"/>
        <w:left w:val="none" w:sz="0" w:space="0" w:color="auto"/>
        <w:bottom w:val="none" w:sz="0" w:space="0" w:color="auto"/>
        <w:right w:val="none" w:sz="0" w:space="0" w:color="auto"/>
      </w:divBdr>
    </w:div>
    <w:div w:id="909199116">
      <w:bodyDiv w:val="1"/>
      <w:marLeft w:val="0"/>
      <w:marRight w:val="0"/>
      <w:marTop w:val="0"/>
      <w:marBottom w:val="0"/>
      <w:divBdr>
        <w:top w:val="none" w:sz="0" w:space="0" w:color="auto"/>
        <w:left w:val="none" w:sz="0" w:space="0" w:color="auto"/>
        <w:bottom w:val="none" w:sz="0" w:space="0" w:color="auto"/>
        <w:right w:val="none" w:sz="0" w:space="0" w:color="auto"/>
      </w:divBdr>
    </w:div>
    <w:div w:id="911351908">
      <w:bodyDiv w:val="1"/>
      <w:marLeft w:val="0"/>
      <w:marRight w:val="0"/>
      <w:marTop w:val="0"/>
      <w:marBottom w:val="0"/>
      <w:divBdr>
        <w:top w:val="none" w:sz="0" w:space="0" w:color="auto"/>
        <w:left w:val="none" w:sz="0" w:space="0" w:color="auto"/>
        <w:bottom w:val="none" w:sz="0" w:space="0" w:color="auto"/>
        <w:right w:val="none" w:sz="0" w:space="0" w:color="auto"/>
      </w:divBdr>
    </w:div>
    <w:div w:id="914126805">
      <w:bodyDiv w:val="1"/>
      <w:marLeft w:val="0"/>
      <w:marRight w:val="0"/>
      <w:marTop w:val="0"/>
      <w:marBottom w:val="0"/>
      <w:divBdr>
        <w:top w:val="none" w:sz="0" w:space="0" w:color="auto"/>
        <w:left w:val="none" w:sz="0" w:space="0" w:color="auto"/>
        <w:bottom w:val="none" w:sz="0" w:space="0" w:color="auto"/>
        <w:right w:val="none" w:sz="0" w:space="0" w:color="auto"/>
      </w:divBdr>
    </w:div>
    <w:div w:id="917010576">
      <w:bodyDiv w:val="1"/>
      <w:marLeft w:val="0"/>
      <w:marRight w:val="0"/>
      <w:marTop w:val="0"/>
      <w:marBottom w:val="0"/>
      <w:divBdr>
        <w:top w:val="none" w:sz="0" w:space="0" w:color="auto"/>
        <w:left w:val="none" w:sz="0" w:space="0" w:color="auto"/>
        <w:bottom w:val="none" w:sz="0" w:space="0" w:color="auto"/>
        <w:right w:val="none" w:sz="0" w:space="0" w:color="auto"/>
      </w:divBdr>
    </w:div>
    <w:div w:id="917640790">
      <w:bodyDiv w:val="1"/>
      <w:marLeft w:val="0"/>
      <w:marRight w:val="0"/>
      <w:marTop w:val="0"/>
      <w:marBottom w:val="0"/>
      <w:divBdr>
        <w:top w:val="none" w:sz="0" w:space="0" w:color="auto"/>
        <w:left w:val="none" w:sz="0" w:space="0" w:color="auto"/>
        <w:bottom w:val="none" w:sz="0" w:space="0" w:color="auto"/>
        <w:right w:val="none" w:sz="0" w:space="0" w:color="auto"/>
      </w:divBdr>
    </w:div>
    <w:div w:id="918708951">
      <w:bodyDiv w:val="1"/>
      <w:marLeft w:val="0"/>
      <w:marRight w:val="0"/>
      <w:marTop w:val="0"/>
      <w:marBottom w:val="0"/>
      <w:divBdr>
        <w:top w:val="none" w:sz="0" w:space="0" w:color="auto"/>
        <w:left w:val="none" w:sz="0" w:space="0" w:color="auto"/>
        <w:bottom w:val="none" w:sz="0" w:space="0" w:color="auto"/>
        <w:right w:val="none" w:sz="0" w:space="0" w:color="auto"/>
      </w:divBdr>
    </w:div>
    <w:div w:id="920799480">
      <w:bodyDiv w:val="1"/>
      <w:marLeft w:val="0"/>
      <w:marRight w:val="0"/>
      <w:marTop w:val="0"/>
      <w:marBottom w:val="0"/>
      <w:divBdr>
        <w:top w:val="none" w:sz="0" w:space="0" w:color="auto"/>
        <w:left w:val="none" w:sz="0" w:space="0" w:color="auto"/>
        <w:bottom w:val="none" w:sz="0" w:space="0" w:color="auto"/>
        <w:right w:val="none" w:sz="0" w:space="0" w:color="auto"/>
      </w:divBdr>
    </w:div>
    <w:div w:id="921255761">
      <w:bodyDiv w:val="1"/>
      <w:marLeft w:val="0"/>
      <w:marRight w:val="0"/>
      <w:marTop w:val="0"/>
      <w:marBottom w:val="0"/>
      <w:divBdr>
        <w:top w:val="none" w:sz="0" w:space="0" w:color="auto"/>
        <w:left w:val="none" w:sz="0" w:space="0" w:color="auto"/>
        <w:bottom w:val="none" w:sz="0" w:space="0" w:color="auto"/>
        <w:right w:val="none" w:sz="0" w:space="0" w:color="auto"/>
      </w:divBdr>
    </w:div>
    <w:div w:id="922295423">
      <w:bodyDiv w:val="1"/>
      <w:marLeft w:val="0"/>
      <w:marRight w:val="0"/>
      <w:marTop w:val="0"/>
      <w:marBottom w:val="0"/>
      <w:divBdr>
        <w:top w:val="none" w:sz="0" w:space="0" w:color="auto"/>
        <w:left w:val="none" w:sz="0" w:space="0" w:color="auto"/>
        <w:bottom w:val="none" w:sz="0" w:space="0" w:color="auto"/>
        <w:right w:val="none" w:sz="0" w:space="0" w:color="auto"/>
      </w:divBdr>
      <w:divsChild>
        <w:div w:id="190074688">
          <w:marLeft w:val="0"/>
          <w:marRight w:val="0"/>
          <w:marTop w:val="15"/>
          <w:marBottom w:val="0"/>
          <w:divBdr>
            <w:top w:val="none" w:sz="0" w:space="0" w:color="auto"/>
            <w:left w:val="none" w:sz="0" w:space="0" w:color="auto"/>
            <w:bottom w:val="none" w:sz="0" w:space="0" w:color="auto"/>
            <w:right w:val="none" w:sz="0" w:space="0" w:color="auto"/>
          </w:divBdr>
          <w:divsChild>
            <w:div w:id="636030500">
              <w:marLeft w:val="0"/>
              <w:marRight w:val="0"/>
              <w:marTop w:val="0"/>
              <w:marBottom w:val="0"/>
              <w:divBdr>
                <w:top w:val="none" w:sz="0" w:space="0" w:color="auto"/>
                <w:left w:val="none" w:sz="0" w:space="0" w:color="auto"/>
                <w:bottom w:val="none" w:sz="0" w:space="0" w:color="auto"/>
                <w:right w:val="none" w:sz="0" w:space="0" w:color="auto"/>
              </w:divBdr>
              <w:divsChild>
                <w:div w:id="83109269">
                  <w:marLeft w:val="0"/>
                  <w:marRight w:val="0"/>
                  <w:marTop w:val="0"/>
                  <w:marBottom w:val="0"/>
                  <w:divBdr>
                    <w:top w:val="none" w:sz="0" w:space="0" w:color="auto"/>
                    <w:left w:val="none" w:sz="0" w:space="0" w:color="auto"/>
                    <w:bottom w:val="none" w:sz="0" w:space="0" w:color="auto"/>
                    <w:right w:val="none" w:sz="0" w:space="0" w:color="auto"/>
                  </w:divBdr>
                </w:div>
                <w:div w:id="87236605">
                  <w:marLeft w:val="0"/>
                  <w:marRight w:val="0"/>
                  <w:marTop w:val="0"/>
                  <w:marBottom w:val="0"/>
                  <w:divBdr>
                    <w:top w:val="none" w:sz="0" w:space="0" w:color="auto"/>
                    <w:left w:val="none" w:sz="0" w:space="0" w:color="auto"/>
                    <w:bottom w:val="none" w:sz="0" w:space="0" w:color="auto"/>
                    <w:right w:val="none" w:sz="0" w:space="0" w:color="auto"/>
                  </w:divBdr>
                </w:div>
                <w:div w:id="343094227">
                  <w:marLeft w:val="0"/>
                  <w:marRight w:val="0"/>
                  <w:marTop w:val="0"/>
                  <w:marBottom w:val="0"/>
                  <w:divBdr>
                    <w:top w:val="none" w:sz="0" w:space="0" w:color="auto"/>
                    <w:left w:val="none" w:sz="0" w:space="0" w:color="auto"/>
                    <w:bottom w:val="none" w:sz="0" w:space="0" w:color="auto"/>
                    <w:right w:val="none" w:sz="0" w:space="0" w:color="auto"/>
                  </w:divBdr>
                </w:div>
                <w:div w:id="349841787">
                  <w:marLeft w:val="0"/>
                  <w:marRight w:val="0"/>
                  <w:marTop w:val="0"/>
                  <w:marBottom w:val="0"/>
                  <w:divBdr>
                    <w:top w:val="none" w:sz="0" w:space="0" w:color="auto"/>
                    <w:left w:val="none" w:sz="0" w:space="0" w:color="auto"/>
                    <w:bottom w:val="none" w:sz="0" w:space="0" w:color="auto"/>
                    <w:right w:val="none" w:sz="0" w:space="0" w:color="auto"/>
                  </w:divBdr>
                </w:div>
                <w:div w:id="473260839">
                  <w:marLeft w:val="0"/>
                  <w:marRight w:val="0"/>
                  <w:marTop w:val="0"/>
                  <w:marBottom w:val="0"/>
                  <w:divBdr>
                    <w:top w:val="none" w:sz="0" w:space="0" w:color="auto"/>
                    <w:left w:val="none" w:sz="0" w:space="0" w:color="auto"/>
                    <w:bottom w:val="none" w:sz="0" w:space="0" w:color="auto"/>
                    <w:right w:val="none" w:sz="0" w:space="0" w:color="auto"/>
                  </w:divBdr>
                </w:div>
                <w:div w:id="534274777">
                  <w:marLeft w:val="0"/>
                  <w:marRight w:val="0"/>
                  <w:marTop w:val="0"/>
                  <w:marBottom w:val="0"/>
                  <w:divBdr>
                    <w:top w:val="none" w:sz="0" w:space="0" w:color="auto"/>
                    <w:left w:val="none" w:sz="0" w:space="0" w:color="auto"/>
                    <w:bottom w:val="none" w:sz="0" w:space="0" w:color="auto"/>
                    <w:right w:val="none" w:sz="0" w:space="0" w:color="auto"/>
                  </w:divBdr>
                </w:div>
                <w:div w:id="534926855">
                  <w:marLeft w:val="0"/>
                  <w:marRight w:val="0"/>
                  <w:marTop w:val="0"/>
                  <w:marBottom w:val="0"/>
                  <w:divBdr>
                    <w:top w:val="none" w:sz="0" w:space="0" w:color="auto"/>
                    <w:left w:val="none" w:sz="0" w:space="0" w:color="auto"/>
                    <w:bottom w:val="none" w:sz="0" w:space="0" w:color="auto"/>
                    <w:right w:val="none" w:sz="0" w:space="0" w:color="auto"/>
                  </w:divBdr>
                </w:div>
                <w:div w:id="574825365">
                  <w:marLeft w:val="0"/>
                  <w:marRight w:val="0"/>
                  <w:marTop w:val="0"/>
                  <w:marBottom w:val="0"/>
                  <w:divBdr>
                    <w:top w:val="none" w:sz="0" w:space="0" w:color="auto"/>
                    <w:left w:val="none" w:sz="0" w:space="0" w:color="auto"/>
                    <w:bottom w:val="none" w:sz="0" w:space="0" w:color="auto"/>
                    <w:right w:val="none" w:sz="0" w:space="0" w:color="auto"/>
                  </w:divBdr>
                </w:div>
                <w:div w:id="599022087">
                  <w:marLeft w:val="0"/>
                  <w:marRight w:val="0"/>
                  <w:marTop w:val="0"/>
                  <w:marBottom w:val="0"/>
                  <w:divBdr>
                    <w:top w:val="none" w:sz="0" w:space="0" w:color="auto"/>
                    <w:left w:val="none" w:sz="0" w:space="0" w:color="auto"/>
                    <w:bottom w:val="none" w:sz="0" w:space="0" w:color="auto"/>
                    <w:right w:val="none" w:sz="0" w:space="0" w:color="auto"/>
                  </w:divBdr>
                </w:div>
                <w:div w:id="801188230">
                  <w:marLeft w:val="0"/>
                  <w:marRight w:val="0"/>
                  <w:marTop w:val="0"/>
                  <w:marBottom w:val="0"/>
                  <w:divBdr>
                    <w:top w:val="none" w:sz="0" w:space="0" w:color="auto"/>
                    <w:left w:val="none" w:sz="0" w:space="0" w:color="auto"/>
                    <w:bottom w:val="none" w:sz="0" w:space="0" w:color="auto"/>
                    <w:right w:val="none" w:sz="0" w:space="0" w:color="auto"/>
                  </w:divBdr>
                </w:div>
                <w:div w:id="1047221860">
                  <w:marLeft w:val="0"/>
                  <w:marRight w:val="0"/>
                  <w:marTop w:val="0"/>
                  <w:marBottom w:val="0"/>
                  <w:divBdr>
                    <w:top w:val="none" w:sz="0" w:space="0" w:color="auto"/>
                    <w:left w:val="none" w:sz="0" w:space="0" w:color="auto"/>
                    <w:bottom w:val="none" w:sz="0" w:space="0" w:color="auto"/>
                    <w:right w:val="none" w:sz="0" w:space="0" w:color="auto"/>
                  </w:divBdr>
                </w:div>
                <w:div w:id="1091312502">
                  <w:marLeft w:val="0"/>
                  <w:marRight w:val="0"/>
                  <w:marTop w:val="0"/>
                  <w:marBottom w:val="0"/>
                  <w:divBdr>
                    <w:top w:val="none" w:sz="0" w:space="0" w:color="auto"/>
                    <w:left w:val="none" w:sz="0" w:space="0" w:color="auto"/>
                    <w:bottom w:val="none" w:sz="0" w:space="0" w:color="auto"/>
                    <w:right w:val="none" w:sz="0" w:space="0" w:color="auto"/>
                  </w:divBdr>
                </w:div>
                <w:div w:id="1098141532">
                  <w:marLeft w:val="0"/>
                  <w:marRight w:val="0"/>
                  <w:marTop w:val="0"/>
                  <w:marBottom w:val="0"/>
                  <w:divBdr>
                    <w:top w:val="none" w:sz="0" w:space="0" w:color="auto"/>
                    <w:left w:val="none" w:sz="0" w:space="0" w:color="auto"/>
                    <w:bottom w:val="none" w:sz="0" w:space="0" w:color="auto"/>
                    <w:right w:val="none" w:sz="0" w:space="0" w:color="auto"/>
                  </w:divBdr>
                </w:div>
                <w:div w:id="1133330920">
                  <w:marLeft w:val="0"/>
                  <w:marRight w:val="0"/>
                  <w:marTop w:val="0"/>
                  <w:marBottom w:val="0"/>
                  <w:divBdr>
                    <w:top w:val="none" w:sz="0" w:space="0" w:color="auto"/>
                    <w:left w:val="none" w:sz="0" w:space="0" w:color="auto"/>
                    <w:bottom w:val="none" w:sz="0" w:space="0" w:color="auto"/>
                    <w:right w:val="none" w:sz="0" w:space="0" w:color="auto"/>
                  </w:divBdr>
                </w:div>
                <w:div w:id="1170411280">
                  <w:marLeft w:val="0"/>
                  <w:marRight w:val="0"/>
                  <w:marTop w:val="0"/>
                  <w:marBottom w:val="0"/>
                  <w:divBdr>
                    <w:top w:val="none" w:sz="0" w:space="0" w:color="auto"/>
                    <w:left w:val="none" w:sz="0" w:space="0" w:color="auto"/>
                    <w:bottom w:val="none" w:sz="0" w:space="0" w:color="auto"/>
                    <w:right w:val="none" w:sz="0" w:space="0" w:color="auto"/>
                  </w:divBdr>
                </w:div>
                <w:div w:id="1243643774">
                  <w:marLeft w:val="0"/>
                  <w:marRight w:val="0"/>
                  <w:marTop w:val="0"/>
                  <w:marBottom w:val="0"/>
                  <w:divBdr>
                    <w:top w:val="none" w:sz="0" w:space="0" w:color="auto"/>
                    <w:left w:val="none" w:sz="0" w:space="0" w:color="auto"/>
                    <w:bottom w:val="none" w:sz="0" w:space="0" w:color="auto"/>
                    <w:right w:val="none" w:sz="0" w:space="0" w:color="auto"/>
                  </w:divBdr>
                </w:div>
                <w:div w:id="1329332976">
                  <w:marLeft w:val="0"/>
                  <w:marRight w:val="0"/>
                  <w:marTop w:val="0"/>
                  <w:marBottom w:val="0"/>
                  <w:divBdr>
                    <w:top w:val="none" w:sz="0" w:space="0" w:color="auto"/>
                    <w:left w:val="none" w:sz="0" w:space="0" w:color="auto"/>
                    <w:bottom w:val="none" w:sz="0" w:space="0" w:color="auto"/>
                    <w:right w:val="none" w:sz="0" w:space="0" w:color="auto"/>
                  </w:divBdr>
                </w:div>
                <w:div w:id="1416367056">
                  <w:marLeft w:val="0"/>
                  <w:marRight w:val="0"/>
                  <w:marTop w:val="0"/>
                  <w:marBottom w:val="0"/>
                  <w:divBdr>
                    <w:top w:val="none" w:sz="0" w:space="0" w:color="auto"/>
                    <w:left w:val="none" w:sz="0" w:space="0" w:color="auto"/>
                    <w:bottom w:val="none" w:sz="0" w:space="0" w:color="auto"/>
                    <w:right w:val="none" w:sz="0" w:space="0" w:color="auto"/>
                  </w:divBdr>
                </w:div>
                <w:div w:id="1580868942">
                  <w:marLeft w:val="0"/>
                  <w:marRight w:val="0"/>
                  <w:marTop w:val="0"/>
                  <w:marBottom w:val="0"/>
                  <w:divBdr>
                    <w:top w:val="none" w:sz="0" w:space="0" w:color="auto"/>
                    <w:left w:val="none" w:sz="0" w:space="0" w:color="auto"/>
                    <w:bottom w:val="none" w:sz="0" w:space="0" w:color="auto"/>
                    <w:right w:val="none" w:sz="0" w:space="0" w:color="auto"/>
                  </w:divBdr>
                </w:div>
                <w:div w:id="1667633843">
                  <w:marLeft w:val="0"/>
                  <w:marRight w:val="0"/>
                  <w:marTop w:val="0"/>
                  <w:marBottom w:val="0"/>
                  <w:divBdr>
                    <w:top w:val="none" w:sz="0" w:space="0" w:color="auto"/>
                    <w:left w:val="none" w:sz="0" w:space="0" w:color="auto"/>
                    <w:bottom w:val="none" w:sz="0" w:space="0" w:color="auto"/>
                    <w:right w:val="none" w:sz="0" w:space="0" w:color="auto"/>
                  </w:divBdr>
                </w:div>
                <w:div w:id="1686903994">
                  <w:marLeft w:val="0"/>
                  <w:marRight w:val="0"/>
                  <w:marTop w:val="0"/>
                  <w:marBottom w:val="0"/>
                  <w:divBdr>
                    <w:top w:val="none" w:sz="0" w:space="0" w:color="auto"/>
                    <w:left w:val="none" w:sz="0" w:space="0" w:color="auto"/>
                    <w:bottom w:val="none" w:sz="0" w:space="0" w:color="auto"/>
                    <w:right w:val="none" w:sz="0" w:space="0" w:color="auto"/>
                  </w:divBdr>
                </w:div>
                <w:div w:id="1703481583">
                  <w:marLeft w:val="0"/>
                  <w:marRight w:val="0"/>
                  <w:marTop w:val="0"/>
                  <w:marBottom w:val="0"/>
                  <w:divBdr>
                    <w:top w:val="none" w:sz="0" w:space="0" w:color="auto"/>
                    <w:left w:val="none" w:sz="0" w:space="0" w:color="auto"/>
                    <w:bottom w:val="none" w:sz="0" w:space="0" w:color="auto"/>
                    <w:right w:val="none" w:sz="0" w:space="0" w:color="auto"/>
                  </w:divBdr>
                </w:div>
                <w:div w:id="1706445646">
                  <w:marLeft w:val="0"/>
                  <w:marRight w:val="0"/>
                  <w:marTop w:val="0"/>
                  <w:marBottom w:val="0"/>
                  <w:divBdr>
                    <w:top w:val="none" w:sz="0" w:space="0" w:color="auto"/>
                    <w:left w:val="none" w:sz="0" w:space="0" w:color="auto"/>
                    <w:bottom w:val="none" w:sz="0" w:space="0" w:color="auto"/>
                    <w:right w:val="none" w:sz="0" w:space="0" w:color="auto"/>
                  </w:divBdr>
                </w:div>
                <w:div w:id="1853496983">
                  <w:marLeft w:val="0"/>
                  <w:marRight w:val="0"/>
                  <w:marTop w:val="0"/>
                  <w:marBottom w:val="0"/>
                  <w:divBdr>
                    <w:top w:val="none" w:sz="0" w:space="0" w:color="auto"/>
                    <w:left w:val="none" w:sz="0" w:space="0" w:color="auto"/>
                    <w:bottom w:val="none" w:sz="0" w:space="0" w:color="auto"/>
                    <w:right w:val="none" w:sz="0" w:space="0" w:color="auto"/>
                  </w:divBdr>
                </w:div>
                <w:div w:id="1897814300">
                  <w:marLeft w:val="0"/>
                  <w:marRight w:val="0"/>
                  <w:marTop w:val="0"/>
                  <w:marBottom w:val="0"/>
                  <w:divBdr>
                    <w:top w:val="none" w:sz="0" w:space="0" w:color="auto"/>
                    <w:left w:val="none" w:sz="0" w:space="0" w:color="auto"/>
                    <w:bottom w:val="none" w:sz="0" w:space="0" w:color="auto"/>
                    <w:right w:val="none" w:sz="0" w:space="0" w:color="auto"/>
                  </w:divBdr>
                </w:div>
                <w:div w:id="1930698536">
                  <w:marLeft w:val="0"/>
                  <w:marRight w:val="0"/>
                  <w:marTop w:val="0"/>
                  <w:marBottom w:val="0"/>
                  <w:divBdr>
                    <w:top w:val="none" w:sz="0" w:space="0" w:color="auto"/>
                    <w:left w:val="none" w:sz="0" w:space="0" w:color="auto"/>
                    <w:bottom w:val="none" w:sz="0" w:space="0" w:color="auto"/>
                    <w:right w:val="none" w:sz="0" w:space="0" w:color="auto"/>
                  </w:divBdr>
                </w:div>
                <w:div w:id="1934164248">
                  <w:marLeft w:val="0"/>
                  <w:marRight w:val="0"/>
                  <w:marTop w:val="0"/>
                  <w:marBottom w:val="0"/>
                  <w:divBdr>
                    <w:top w:val="none" w:sz="0" w:space="0" w:color="auto"/>
                    <w:left w:val="none" w:sz="0" w:space="0" w:color="auto"/>
                    <w:bottom w:val="none" w:sz="0" w:space="0" w:color="auto"/>
                    <w:right w:val="none" w:sz="0" w:space="0" w:color="auto"/>
                  </w:divBdr>
                </w:div>
                <w:div w:id="1984962895">
                  <w:marLeft w:val="0"/>
                  <w:marRight w:val="0"/>
                  <w:marTop w:val="0"/>
                  <w:marBottom w:val="0"/>
                  <w:divBdr>
                    <w:top w:val="none" w:sz="0" w:space="0" w:color="auto"/>
                    <w:left w:val="none" w:sz="0" w:space="0" w:color="auto"/>
                    <w:bottom w:val="none" w:sz="0" w:space="0" w:color="auto"/>
                    <w:right w:val="none" w:sz="0" w:space="0" w:color="auto"/>
                  </w:divBdr>
                </w:div>
                <w:div w:id="19932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1636">
          <w:marLeft w:val="0"/>
          <w:marRight w:val="0"/>
          <w:marTop w:val="15"/>
          <w:marBottom w:val="0"/>
          <w:divBdr>
            <w:top w:val="none" w:sz="0" w:space="0" w:color="auto"/>
            <w:left w:val="none" w:sz="0" w:space="0" w:color="auto"/>
            <w:bottom w:val="none" w:sz="0" w:space="0" w:color="auto"/>
            <w:right w:val="none" w:sz="0" w:space="0" w:color="auto"/>
          </w:divBdr>
          <w:divsChild>
            <w:div w:id="2058501962">
              <w:marLeft w:val="0"/>
              <w:marRight w:val="0"/>
              <w:marTop w:val="0"/>
              <w:marBottom w:val="0"/>
              <w:divBdr>
                <w:top w:val="none" w:sz="0" w:space="0" w:color="auto"/>
                <w:left w:val="none" w:sz="0" w:space="0" w:color="auto"/>
                <w:bottom w:val="none" w:sz="0" w:space="0" w:color="auto"/>
                <w:right w:val="none" w:sz="0" w:space="0" w:color="auto"/>
              </w:divBdr>
              <w:divsChild>
                <w:div w:id="92821528">
                  <w:marLeft w:val="0"/>
                  <w:marRight w:val="0"/>
                  <w:marTop w:val="0"/>
                  <w:marBottom w:val="0"/>
                  <w:divBdr>
                    <w:top w:val="none" w:sz="0" w:space="0" w:color="auto"/>
                    <w:left w:val="none" w:sz="0" w:space="0" w:color="auto"/>
                    <w:bottom w:val="none" w:sz="0" w:space="0" w:color="auto"/>
                    <w:right w:val="none" w:sz="0" w:space="0" w:color="auto"/>
                  </w:divBdr>
                </w:div>
                <w:div w:id="108092312">
                  <w:marLeft w:val="0"/>
                  <w:marRight w:val="0"/>
                  <w:marTop w:val="0"/>
                  <w:marBottom w:val="0"/>
                  <w:divBdr>
                    <w:top w:val="none" w:sz="0" w:space="0" w:color="auto"/>
                    <w:left w:val="none" w:sz="0" w:space="0" w:color="auto"/>
                    <w:bottom w:val="none" w:sz="0" w:space="0" w:color="auto"/>
                    <w:right w:val="none" w:sz="0" w:space="0" w:color="auto"/>
                  </w:divBdr>
                </w:div>
                <w:div w:id="331686339">
                  <w:marLeft w:val="0"/>
                  <w:marRight w:val="0"/>
                  <w:marTop w:val="0"/>
                  <w:marBottom w:val="0"/>
                  <w:divBdr>
                    <w:top w:val="none" w:sz="0" w:space="0" w:color="auto"/>
                    <w:left w:val="none" w:sz="0" w:space="0" w:color="auto"/>
                    <w:bottom w:val="none" w:sz="0" w:space="0" w:color="auto"/>
                    <w:right w:val="none" w:sz="0" w:space="0" w:color="auto"/>
                  </w:divBdr>
                </w:div>
                <w:div w:id="503789797">
                  <w:marLeft w:val="0"/>
                  <w:marRight w:val="0"/>
                  <w:marTop w:val="0"/>
                  <w:marBottom w:val="0"/>
                  <w:divBdr>
                    <w:top w:val="none" w:sz="0" w:space="0" w:color="auto"/>
                    <w:left w:val="none" w:sz="0" w:space="0" w:color="auto"/>
                    <w:bottom w:val="none" w:sz="0" w:space="0" w:color="auto"/>
                    <w:right w:val="none" w:sz="0" w:space="0" w:color="auto"/>
                  </w:divBdr>
                </w:div>
                <w:div w:id="611715246">
                  <w:marLeft w:val="0"/>
                  <w:marRight w:val="0"/>
                  <w:marTop w:val="0"/>
                  <w:marBottom w:val="0"/>
                  <w:divBdr>
                    <w:top w:val="none" w:sz="0" w:space="0" w:color="auto"/>
                    <w:left w:val="none" w:sz="0" w:space="0" w:color="auto"/>
                    <w:bottom w:val="none" w:sz="0" w:space="0" w:color="auto"/>
                    <w:right w:val="none" w:sz="0" w:space="0" w:color="auto"/>
                  </w:divBdr>
                </w:div>
                <w:div w:id="695081974">
                  <w:marLeft w:val="0"/>
                  <w:marRight w:val="0"/>
                  <w:marTop w:val="0"/>
                  <w:marBottom w:val="0"/>
                  <w:divBdr>
                    <w:top w:val="none" w:sz="0" w:space="0" w:color="auto"/>
                    <w:left w:val="none" w:sz="0" w:space="0" w:color="auto"/>
                    <w:bottom w:val="none" w:sz="0" w:space="0" w:color="auto"/>
                    <w:right w:val="none" w:sz="0" w:space="0" w:color="auto"/>
                  </w:divBdr>
                </w:div>
                <w:div w:id="902716946">
                  <w:marLeft w:val="0"/>
                  <w:marRight w:val="0"/>
                  <w:marTop w:val="0"/>
                  <w:marBottom w:val="0"/>
                  <w:divBdr>
                    <w:top w:val="none" w:sz="0" w:space="0" w:color="auto"/>
                    <w:left w:val="none" w:sz="0" w:space="0" w:color="auto"/>
                    <w:bottom w:val="none" w:sz="0" w:space="0" w:color="auto"/>
                    <w:right w:val="none" w:sz="0" w:space="0" w:color="auto"/>
                  </w:divBdr>
                </w:div>
                <w:div w:id="916324614">
                  <w:marLeft w:val="0"/>
                  <w:marRight w:val="0"/>
                  <w:marTop w:val="0"/>
                  <w:marBottom w:val="0"/>
                  <w:divBdr>
                    <w:top w:val="none" w:sz="0" w:space="0" w:color="auto"/>
                    <w:left w:val="none" w:sz="0" w:space="0" w:color="auto"/>
                    <w:bottom w:val="none" w:sz="0" w:space="0" w:color="auto"/>
                    <w:right w:val="none" w:sz="0" w:space="0" w:color="auto"/>
                  </w:divBdr>
                </w:div>
                <w:div w:id="922185554">
                  <w:marLeft w:val="0"/>
                  <w:marRight w:val="0"/>
                  <w:marTop w:val="0"/>
                  <w:marBottom w:val="0"/>
                  <w:divBdr>
                    <w:top w:val="none" w:sz="0" w:space="0" w:color="auto"/>
                    <w:left w:val="none" w:sz="0" w:space="0" w:color="auto"/>
                    <w:bottom w:val="none" w:sz="0" w:space="0" w:color="auto"/>
                    <w:right w:val="none" w:sz="0" w:space="0" w:color="auto"/>
                  </w:divBdr>
                </w:div>
                <w:div w:id="986860603">
                  <w:marLeft w:val="0"/>
                  <w:marRight w:val="0"/>
                  <w:marTop w:val="0"/>
                  <w:marBottom w:val="0"/>
                  <w:divBdr>
                    <w:top w:val="none" w:sz="0" w:space="0" w:color="auto"/>
                    <w:left w:val="none" w:sz="0" w:space="0" w:color="auto"/>
                    <w:bottom w:val="none" w:sz="0" w:space="0" w:color="auto"/>
                    <w:right w:val="none" w:sz="0" w:space="0" w:color="auto"/>
                  </w:divBdr>
                </w:div>
                <w:div w:id="999773202">
                  <w:marLeft w:val="0"/>
                  <w:marRight w:val="0"/>
                  <w:marTop w:val="0"/>
                  <w:marBottom w:val="0"/>
                  <w:divBdr>
                    <w:top w:val="none" w:sz="0" w:space="0" w:color="auto"/>
                    <w:left w:val="none" w:sz="0" w:space="0" w:color="auto"/>
                    <w:bottom w:val="none" w:sz="0" w:space="0" w:color="auto"/>
                    <w:right w:val="none" w:sz="0" w:space="0" w:color="auto"/>
                  </w:divBdr>
                </w:div>
                <w:div w:id="1042251097">
                  <w:marLeft w:val="0"/>
                  <w:marRight w:val="0"/>
                  <w:marTop w:val="0"/>
                  <w:marBottom w:val="0"/>
                  <w:divBdr>
                    <w:top w:val="none" w:sz="0" w:space="0" w:color="auto"/>
                    <w:left w:val="none" w:sz="0" w:space="0" w:color="auto"/>
                    <w:bottom w:val="none" w:sz="0" w:space="0" w:color="auto"/>
                    <w:right w:val="none" w:sz="0" w:space="0" w:color="auto"/>
                  </w:divBdr>
                </w:div>
                <w:div w:id="1271430995">
                  <w:marLeft w:val="0"/>
                  <w:marRight w:val="0"/>
                  <w:marTop w:val="0"/>
                  <w:marBottom w:val="0"/>
                  <w:divBdr>
                    <w:top w:val="none" w:sz="0" w:space="0" w:color="auto"/>
                    <w:left w:val="none" w:sz="0" w:space="0" w:color="auto"/>
                    <w:bottom w:val="none" w:sz="0" w:space="0" w:color="auto"/>
                    <w:right w:val="none" w:sz="0" w:space="0" w:color="auto"/>
                  </w:divBdr>
                </w:div>
                <w:div w:id="1354108320">
                  <w:marLeft w:val="0"/>
                  <w:marRight w:val="0"/>
                  <w:marTop w:val="0"/>
                  <w:marBottom w:val="0"/>
                  <w:divBdr>
                    <w:top w:val="none" w:sz="0" w:space="0" w:color="auto"/>
                    <w:left w:val="none" w:sz="0" w:space="0" w:color="auto"/>
                    <w:bottom w:val="none" w:sz="0" w:space="0" w:color="auto"/>
                    <w:right w:val="none" w:sz="0" w:space="0" w:color="auto"/>
                  </w:divBdr>
                </w:div>
                <w:div w:id="1437677142">
                  <w:marLeft w:val="0"/>
                  <w:marRight w:val="0"/>
                  <w:marTop w:val="0"/>
                  <w:marBottom w:val="0"/>
                  <w:divBdr>
                    <w:top w:val="none" w:sz="0" w:space="0" w:color="auto"/>
                    <w:left w:val="none" w:sz="0" w:space="0" w:color="auto"/>
                    <w:bottom w:val="none" w:sz="0" w:space="0" w:color="auto"/>
                    <w:right w:val="none" w:sz="0" w:space="0" w:color="auto"/>
                  </w:divBdr>
                </w:div>
                <w:div w:id="1438132483">
                  <w:marLeft w:val="0"/>
                  <w:marRight w:val="0"/>
                  <w:marTop w:val="0"/>
                  <w:marBottom w:val="0"/>
                  <w:divBdr>
                    <w:top w:val="none" w:sz="0" w:space="0" w:color="auto"/>
                    <w:left w:val="none" w:sz="0" w:space="0" w:color="auto"/>
                    <w:bottom w:val="none" w:sz="0" w:space="0" w:color="auto"/>
                    <w:right w:val="none" w:sz="0" w:space="0" w:color="auto"/>
                  </w:divBdr>
                </w:div>
                <w:div w:id="1479224349">
                  <w:marLeft w:val="0"/>
                  <w:marRight w:val="0"/>
                  <w:marTop w:val="0"/>
                  <w:marBottom w:val="0"/>
                  <w:divBdr>
                    <w:top w:val="none" w:sz="0" w:space="0" w:color="auto"/>
                    <w:left w:val="none" w:sz="0" w:space="0" w:color="auto"/>
                    <w:bottom w:val="none" w:sz="0" w:space="0" w:color="auto"/>
                    <w:right w:val="none" w:sz="0" w:space="0" w:color="auto"/>
                  </w:divBdr>
                </w:div>
                <w:div w:id="1541556055">
                  <w:marLeft w:val="0"/>
                  <w:marRight w:val="0"/>
                  <w:marTop w:val="0"/>
                  <w:marBottom w:val="0"/>
                  <w:divBdr>
                    <w:top w:val="none" w:sz="0" w:space="0" w:color="auto"/>
                    <w:left w:val="none" w:sz="0" w:space="0" w:color="auto"/>
                    <w:bottom w:val="none" w:sz="0" w:space="0" w:color="auto"/>
                    <w:right w:val="none" w:sz="0" w:space="0" w:color="auto"/>
                  </w:divBdr>
                </w:div>
                <w:div w:id="1587767230">
                  <w:marLeft w:val="0"/>
                  <w:marRight w:val="0"/>
                  <w:marTop w:val="0"/>
                  <w:marBottom w:val="0"/>
                  <w:divBdr>
                    <w:top w:val="none" w:sz="0" w:space="0" w:color="auto"/>
                    <w:left w:val="none" w:sz="0" w:space="0" w:color="auto"/>
                    <w:bottom w:val="none" w:sz="0" w:space="0" w:color="auto"/>
                    <w:right w:val="none" w:sz="0" w:space="0" w:color="auto"/>
                  </w:divBdr>
                </w:div>
                <w:div w:id="1609042464">
                  <w:marLeft w:val="0"/>
                  <w:marRight w:val="0"/>
                  <w:marTop w:val="0"/>
                  <w:marBottom w:val="0"/>
                  <w:divBdr>
                    <w:top w:val="none" w:sz="0" w:space="0" w:color="auto"/>
                    <w:left w:val="none" w:sz="0" w:space="0" w:color="auto"/>
                    <w:bottom w:val="none" w:sz="0" w:space="0" w:color="auto"/>
                    <w:right w:val="none" w:sz="0" w:space="0" w:color="auto"/>
                  </w:divBdr>
                </w:div>
                <w:div w:id="1897162162">
                  <w:marLeft w:val="0"/>
                  <w:marRight w:val="0"/>
                  <w:marTop w:val="0"/>
                  <w:marBottom w:val="0"/>
                  <w:divBdr>
                    <w:top w:val="none" w:sz="0" w:space="0" w:color="auto"/>
                    <w:left w:val="none" w:sz="0" w:space="0" w:color="auto"/>
                    <w:bottom w:val="none" w:sz="0" w:space="0" w:color="auto"/>
                    <w:right w:val="none" w:sz="0" w:space="0" w:color="auto"/>
                  </w:divBdr>
                </w:div>
                <w:div w:id="1921061955">
                  <w:marLeft w:val="0"/>
                  <w:marRight w:val="0"/>
                  <w:marTop w:val="0"/>
                  <w:marBottom w:val="0"/>
                  <w:divBdr>
                    <w:top w:val="none" w:sz="0" w:space="0" w:color="auto"/>
                    <w:left w:val="none" w:sz="0" w:space="0" w:color="auto"/>
                    <w:bottom w:val="none" w:sz="0" w:space="0" w:color="auto"/>
                    <w:right w:val="none" w:sz="0" w:space="0" w:color="auto"/>
                  </w:divBdr>
                </w:div>
                <w:div w:id="1923029918">
                  <w:marLeft w:val="0"/>
                  <w:marRight w:val="0"/>
                  <w:marTop w:val="0"/>
                  <w:marBottom w:val="0"/>
                  <w:divBdr>
                    <w:top w:val="none" w:sz="0" w:space="0" w:color="auto"/>
                    <w:left w:val="none" w:sz="0" w:space="0" w:color="auto"/>
                    <w:bottom w:val="none" w:sz="0" w:space="0" w:color="auto"/>
                    <w:right w:val="none" w:sz="0" w:space="0" w:color="auto"/>
                  </w:divBdr>
                </w:div>
                <w:div w:id="1933199784">
                  <w:marLeft w:val="0"/>
                  <w:marRight w:val="0"/>
                  <w:marTop w:val="0"/>
                  <w:marBottom w:val="0"/>
                  <w:divBdr>
                    <w:top w:val="none" w:sz="0" w:space="0" w:color="auto"/>
                    <w:left w:val="none" w:sz="0" w:space="0" w:color="auto"/>
                    <w:bottom w:val="none" w:sz="0" w:space="0" w:color="auto"/>
                    <w:right w:val="none" w:sz="0" w:space="0" w:color="auto"/>
                  </w:divBdr>
                </w:div>
                <w:div w:id="1960405579">
                  <w:marLeft w:val="0"/>
                  <w:marRight w:val="0"/>
                  <w:marTop w:val="0"/>
                  <w:marBottom w:val="0"/>
                  <w:divBdr>
                    <w:top w:val="none" w:sz="0" w:space="0" w:color="auto"/>
                    <w:left w:val="none" w:sz="0" w:space="0" w:color="auto"/>
                    <w:bottom w:val="none" w:sz="0" w:space="0" w:color="auto"/>
                    <w:right w:val="none" w:sz="0" w:space="0" w:color="auto"/>
                  </w:divBdr>
                </w:div>
                <w:div w:id="1963999495">
                  <w:marLeft w:val="0"/>
                  <w:marRight w:val="0"/>
                  <w:marTop w:val="0"/>
                  <w:marBottom w:val="0"/>
                  <w:divBdr>
                    <w:top w:val="none" w:sz="0" w:space="0" w:color="auto"/>
                    <w:left w:val="none" w:sz="0" w:space="0" w:color="auto"/>
                    <w:bottom w:val="none" w:sz="0" w:space="0" w:color="auto"/>
                    <w:right w:val="none" w:sz="0" w:space="0" w:color="auto"/>
                  </w:divBdr>
                </w:div>
                <w:div w:id="2050761248">
                  <w:marLeft w:val="0"/>
                  <w:marRight w:val="0"/>
                  <w:marTop w:val="0"/>
                  <w:marBottom w:val="0"/>
                  <w:divBdr>
                    <w:top w:val="none" w:sz="0" w:space="0" w:color="auto"/>
                    <w:left w:val="none" w:sz="0" w:space="0" w:color="auto"/>
                    <w:bottom w:val="none" w:sz="0" w:space="0" w:color="auto"/>
                    <w:right w:val="none" w:sz="0" w:space="0" w:color="auto"/>
                  </w:divBdr>
                </w:div>
                <w:div w:id="21118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8596">
          <w:marLeft w:val="0"/>
          <w:marRight w:val="0"/>
          <w:marTop w:val="15"/>
          <w:marBottom w:val="0"/>
          <w:divBdr>
            <w:top w:val="none" w:sz="0" w:space="0" w:color="auto"/>
            <w:left w:val="none" w:sz="0" w:space="0" w:color="auto"/>
            <w:bottom w:val="none" w:sz="0" w:space="0" w:color="auto"/>
            <w:right w:val="none" w:sz="0" w:space="0" w:color="auto"/>
          </w:divBdr>
          <w:divsChild>
            <w:div w:id="982127062">
              <w:marLeft w:val="0"/>
              <w:marRight w:val="0"/>
              <w:marTop w:val="0"/>
              <w:marBottom w:val="0"/>
              <w:divBdr>
                <w:top w:val="none" w:sz="0" w:space="0" w:color="auto"/>
                <w:left w:val="none" w:sz="0" w:space="0" w:color="auto"/>
                <w:bottom w:val="none" w:sz="0" w:space="0" w:color="auto"/>
                <w:right w:val="none" w:sz="0" w:space="0" w:color="auto"/>
              </w:divBdr>
              <w:divsChild>
                <w:div w:id="152528800">
                  <w:marLeft w:val="0"/>
                  <w:marRight w:val="0"/>
                  <w:marTop w:val="0"/>
                  <w:marBottom w:val="0"/>
                  <w:divBdr>
                    <w:top w:val="none" w:sz="0" w:space="0" w:color="auto"/>
                    <w:left w:val="none" w:sz="0" w:space="0" w:color="auto"/>
                    <w:bottom w:val="none" w:sz="0" w:space="0" w:color="auto"/>
                    <w:right w:val="none" w:sz="0" w:space="0" w:color="auto"/>
                  </w:divBdr>
                </w:div>
                <w:div w:id="241069300">
                  <w:marLeft w:val="0"/>
                  <w:marRight w:val="0"/>
                  <w:marTop w:val="0"/>
                  <w:marBottom w:val="0"/>
                  <w:divBdr>
                    <w:top w:val="none" w:sz="0" w:space="0" w:color="auto"/>
                    <w:left w:val="none" w:sz="0" w:space="0" w:color="auto"/>
                    <w:bottom w:val="none" w:sz="0" w:space="0" w:color="auto"/>
                    <w:right w:val="none" w:sz="0" w:space="0" w:color="auto"/>
                  </w:divBdr>
                </w:div>
                <w:div w:id="258803256">
                  <w:marLeft w:val="0"/>
                  <w:marRight w:val="0"/>
                  <w:marTop w:val="0"/>
                  <w:marBottom w:val="0"/>
                  <w:divBdr>
                    <w:top w:val="none" w:sz="0" w:space="0" w:color="auto"/>
                    <w:left w:val="none" w:sz="0" w:space="0" w:color="auto"/>
                    <w:bottom w:val="none" w:sz="0" w:space="0" w:color="auto"/>
                    <w:right w:val="none" w:sz="0" w:space="0" w:color="auto"/>
                  </w:divBdr>
                </w:div>
                <w:div w:id="259993751">
                  <w:marLeft w:val="0"/>
                  <w:marRight w:val="0"/>
                  <w:marTop w:val="0"/>
                  <w:marBottom w:val="0"/>
                  <w:divBdr>
                    <w:top w:val="none" w:sz="0" w:space="0" w:color="auto"/>
                    <w:left w:val="none" w:sz="0" w:space="0" w:color="auto"/>
                    <w:bottom w:val="none" w:sz="0" w:space="0" w:color="auto"/>
                    <w:right w:val="none" w:sz="0" w:space="0" w:color="auto"/>
                  </w:divBdr>
                </w:div>
                <w:div w:id="341205308">
                  <w:marLeft w:val="0"/>
                  <w:marRight w:val="0"/>
                  <w:marTop w:val="0"/>
                  <w:marBottom w:val="0"/>
                  <w:divBdr>
                    <w:top w:val="none" w:sz="0" w:space="0" w:color="auto"/>
                    <w:left w:val="none" w:sz="0" w:space="0" w:color="auto"/>
                    <w:bottom w:val="none" w:sz="0" w:space="0" w:color="auto"/>
                    <w:right w:val="none" w:sz="0" w:space="0" w:color="auto"/>
                  </w:divBdr>
                </w:div>
                <w:div w:id="535197736">
                  <w:marLeft w:val="0"/>
                  <w:marRight w:val="0"/>
                  <w:marTop w:val="0"/>
                  <w:marBottom w:val="0"/>
                  <w:divBdr>
                    <w:top w:val="none" w:sz="0" w:space="0" w:color="auto"/>
                    <w:left w:val="none" w:sz="0" w:space="0" w:color="auto"/>
                    <w:bottom w:val="none" w:sz="0" w:space="0" w:color="auto"/>
                    <w:right w:val="none" w:sz="0" w:space="0" w:color="auto"/>
                  </w:divBdr>
                </w:div>
                <w:div w:id="693653678">
                  <w:marLeft w:val="0"/>
                  <w:marRight w:val="0"/>
                  <w:marTop w:val="0"/>
                  <w:marBottom w:val="0"/>
                  <w:divBdr>
                    <w:top w:val="none" w:sz="0" w:space="0" w:color="auto"/>
                    <w:left w:val="none" w:sz="0" w:space="0" w:color="auto"/>
                    <w:bottom w:val="none" w:sz="0" w:space="0" w:color="auto"/>
                    <w:right w:val="none" w:sz="0" w:space="0" w:color="auto"/>
                  </w:divBdr>
                </w:div>
                <w:div w:id="712536662">
                  <w:marLeft w:val="0"/>
                  <w:marRight w:val="0"/>
                  <w:marTop w:val="0"/>
                  <w:marBottom w:val="0"/>
                  <w:divBdr>
                    <w:top w:val="none" w:sz="0" w:space="0" w:color="auto"/>
                    <w:left w:val="none" w:sz="0" w:space="0" w:color="auto"/>
                    <w:bottom w:val="none" w:sz="0" w:space="0" w:color="auto"/>
                    <w:right w:val="none" w:sz="0" w:space="0" w:color="auto"/>
                  </w:divBdr>
                </w:div>
                <w:div w:id="712845179">
                  <w:marLeft w:val="0"/>
                  <w:marRight w:val="0"/>
                  <w:marTop w:val="0"/>
                  <w:marBottom w:val="0"/>
                  <w:divBdr>
                    <w:top w:val="none" w:sz="0" w:space="0" w:color="auto"/>
                    <w:left w:val="none" w:sz="0" w:space="0" w:color="auto"/>
                    <w:bottom w:val="none" w:sz="0" w:space="0" w:color="auto"/>
                    <w:right w:val="none" w:sz="0" w:space="0" w:color="auto"/>
                  </w:divBdr>
                </w:div>
                <w:div w:id="923874051">
                  <w:marLeft w:val="0"/>
                  <w:marRight w:val="0"/>
                  <w:marTop w:val="0"/>
                  <w:marBottom w:val="0"/>
                  <w:divBdr>
                    <w:top w:val="none" w:sz="0" w:space="0" w:color="auto"/>
                    <w:left w:val="none" w:sz="0" w:space="0" w:color="auto"/>
                    <w:bottom w:val="none" w:sz="0" w:space="0" w:color="auto"/>
                    <w:right w:val="none" w:sz="0" w:space="0" w:color="auto"/>
                  </w:divBdr>
                </w:div>
                <w:div w:id="966860342">
                  <w:marLeft w:val="0"/>
                  <w:marRight w:val="0"/>
                  <w:marTop w:val="0"/>
                  <w:marBottom w:val="0"/>
                  <w:divBdr>
                    <w:top w:val="none" w:sz="0" w:space="0" w:color="auto"/>
                    <w:left w:val="none" w:sz="0" w:space="0" w:color="auto"/>
                    <w:bottom w:val="none" w:sz="0" w:space="0" w:color="auto"/>
                    <w:right w:val="none" w:sz="0" w:space="0" w:color="auto"/>
                  </w:divBdr>
                </w:div>
                <w:div w:id="1091661074">
                  <w:marLeft w:val="0"/>
                  <w:marRight w:val="0"/>
                  <w:marTop w:val="0"/>
                  <w:marBottom w:val="0"/>
                  <w:divBdr>
                    <w:top w:val="none" w:sz="0" w:space="0" w:color="auto"/>
                    <w:left w:val="none" w:sz="0" w:space="0" w:color="auto"/>
                    <w:bottom w:val="none" w:sz="0" w:space="0" w:color="auto"/>
                    <w:right w:val="none" w:sz="0" w:space="0" w:color="auto"/>
                  </w:divBdr>
                </w:div>
                <w:div w:id="1147435169">
                  <w:marLeft w:val="0"/>
                  <w:marRight w:val="0"/>
                  <w:marTop w:val="0"/>
                  <w:marBottom w:val="0"/>
                  <w:divBdr>
                    <w:top w:val="none" w:sz="0" w:space="0" w:color="auto"/>
                    <w:left w:val="none" w:sz="0" w:space="0" w:color="auto"/>
                    <w:bottom w:val="none" w:sz="0" w:space="0" w:color="auto"/>
                    <w:right w:val="none" w:sz="0" w:space="0" w:color="auto"/>
                  </w:divBdr>
                </w:div>
                <w:div w:id="1396466678">
                  <w:marLeft w:val="0"/>
                  <w:marRight w:val="0"/>
                  <w:marTop w:val="0"/>
                  <w:marBottom w:val="0"/>
                  <w:divBdr>
                    <w:top w:val="none" w:sz="0" w:space="0" w:color="auto"/>
                    <w:left w:val="none" w:sz="0" w:space="0" w:color="auto"/>
                    <w:bottom w:val="none" w:sz="0" w:space="0" w:color="auto"/>
                    <w:right w:val="none" w:sz="0" w:space="0" w:color="auto"/>
                  </w:divBdr>
                </w:div>
                <w:div w:id="1632638433">
                  <w:marLeft w:val="0"/>
                  <w:marRight w:val="0"/>
                  <w:marTop w:val="0"/>
                  <w:marBottom w:val="0"/>
                  <w:divBdr>
                    <w:top w:val="none" w:sz="0" w:space="0" w:color="auto"/>
                    <w:left w:val="none" w:sz="0" w:space="0" w:color="auto"/>
                    <w:bottom w:val="none" w:sz="0" w:space="0" w:color="auto"/>
                    <w:right w:val="none" w:sz="0" w:space="0" w:color="auto"/>
                  </w:divBdr>
                </w:div>
                <w:div w:id="1678581233">
                  <w:marLeft w:val="0"/>
                  <w:marRight w:val="0"/>
                  <w:marTop w:val="0"/>
                  <w:marBottom w:val="0"/>
                  <w:divBdr>
                    <w:top w:val="none" w:sz="0" w:space="0" w:color="auto"/>
                    <w:left w:val="none" w:sz="0" w:space="0" w:color="auto"/>
                    <w:bottom w:val="none" w:sz="0" w:space="0" w:color="auto"/>
                    <w:right w:val="none" w:sz="0" w:space="0" w:color="auto"/>
                  </w:divBdr>
                </w:div>
                <w:div w:id="1764571875">
                  <w:marLeft w:val="0"/>
                  <w:marRight w:val="0"/>
                  <w:marTop w:val="0"/>
                  <w:marBottom w:val="0"/>
                  <w:divBdr>
                    <w:top w:val="none" w:sz="0" w:space="0" w:color="auto"/>
                    <w:left w:val="none" w:sz="0" w:space="0" w:color="auto"/>
                    <w:bottom w:val="none" w:sz="0" w:space="0" w:color="auto"/>
                    <w:right w:val="none" w:sz="0" w:space="0" w:color="auto"/>
                  </w:divBdr>
                </w:div>
                <w:div w:id="1852261215">
                  <w:marLeft w:val="0"/>
                  <w:marRight w:val="0"/>
                  <w:marTop w:val="0"/>
                  <w:marBottom w:val="0"/>
                  <w:divBdr>
                    <w:top w:val="none" w:sz="0" w:space="0" w:color="auto"/>
                    <w:left w:val="none" w:sz="0" w:space="0" w:color="auto"/>
                    <w:bottom w:val="none" w:sz="0" w:space="0" w:color="auto"/>
                    <w:right w:val="none" w:sz="0" w:space="0" w:color="auto"/>
                  </w:divBdr>
                </w:div>
                <w:div w:id="1888836074">
                  <w:marLeft w:val="0"/>
                  <w:marRight w:val="0"/>
                  <w:marTop w:val="0"/>
                  <w:marBottom w:val="0"/>
                  <w:divBdr>
                    <w:top w:val="none" w:sz="0" w:space="0" w:color="auto"/>
                    <w:left w:val="none" w:sz="0" w:space="0" w:color="auto"/>
                    <w:bottom w:val="none" w:sz="0" w:space="0" w:color="auto"/>
                    <w:right w:val="none" w:sz="0" w:space="0" w:color="auto"/>
                  </w:divBdr>
                </w:div>
                <w:div w:id="1910460705">
                  <w:marLeft w:val="0"/>
                  <w:marRight w:val="0"/>
                  <w:marTop w:val="0"/>
                  <w:marBottom w:val="0"/>
                  <w:divBdr>
                    <w:top w:val="none" w:sz="0" w:space="0" w:color="auto"/>
                    <w:left w:val="none" w:sz="0" w:space="0" w:color="auto"/>
                    <w:bottom w:val="none" w:sz="0" w:space="0" w:color="auto"/>
                    <w:right w:val="none" w:sz="0" w:space="0" w:color="auto"/>
                  </w:divBdr>
                </w:div>
                <w:div w:id="1912809931">
                  <w:marLeft w:val="0"/>
                  <w:marRight w:val="0"/>
                  <w:marTop w:val="0"/>
                  <w:marBottom w:val="0"/>
                  <w:divBdr>
                    <w:top w:val="none" w:sz="0" w:space="0" w:color="auto"/>
                    <w:left w:val="none" w:sz="0" w:space="0" w:color="auto"/>
                    <w:bottom w:val="none" w:sz="0" w:space="0" w:color="auto"/>
                    <w:right w:val="none" w:sz="0" w:space="0" w:color="auto"/>
                  </w:divBdr>
                </w:div>
                <w:div w:id="1954941450">
                  <w:marLeft w:val="0"/>
                  <w:marRight w:val="0"/>
                  <w:marTop w:val="0"/>
                  <w:marBottom w:val="0"/>
                  <w:divBdr>
                    <w:top w:val="none" w:sz="0" w:space="0" w:color="auto"/>
                    <w:left w:val="none" w:sz="0" w:space="0" w:color="auto"/>
                    <w:bottom w:val="none" w:sz="0" w:space="0" w:color="auto"/>
                    <w:right w:val="none" w:sz="0" w:space="0" w:color="auto"/>
                  </w:divBdr>
                </w:div>
                <w:div w:id="2068524794">
                  <w:marLeft w:val="0"/>
                  <w:marRight w:val="0"/>
                  <w:marTop w:val="0"/>
                  <w:marBottom w:val="0"/>
                  <w:divBdr>
                    <w:top w:val="none" w:sz="0" w:space="0" w:color="auto"/>
                    <w:left w:val="none" w:sz="0" w:space="0" w:color="auto"/>
                    <w:bottom w:val="none" w:sz="0" w:space="0" w:color="auto"/>
                    <w:right w:val="none" w:sz="0" w:space="0" w:color="auto"/>
                  </w:divBdr>
                </w:div>
                <w:div w:id="2136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3084">
          <w:marLeft w:val="0"/>
          <w:marRight w:val="0"/>
          <w:marTop w:val="15"/>
          <w:marBottom w:val="0"/>
          <w:divBdr>
            <w:top w:val="none" w:sz="0" w:space="0" w:color="auto"/>
            <w:left w:val="none" w:sz="0" w:space="0" w:color="auto"/>
            <w:bottom w:val="none" w:sz="0" w:space="0" w:color="auto"/>
            <w:right w:val="none" w:sz="0" w:space="0" w:color="auto"/>
          </w:divBdr>
          <w:divsChild>
            <w:div w:id="550580776">
              <w:marLeft w:val="0"/>
              <w:marRight w:val="0"/>
              <w:marTop w:val="0"/>
              <w:marBottom w:val="0"/>
              <w:divBdr>
                <w:top w:val="none" w:sz="0" w:space="0" w:color="auto"/>
                <w:left w:val="none" w:sz="0" w:space="0" w:color="auto"/>
                <w:bottom w:val="none" w:sz="0" w:space="0" w:color="auto"/>
                <w:right w:val="none" w:sz="0" w:space="0" w:color="auto"/>
              </w:divBdr>
              <w:divsChild>
                <w:div w:id="55864487">
                  <w:marLeft w:val="0"/>
                  <w:marRight w:val="0"/>
                  <w:marTop w:val="0"/>
                  <w:marBottom w:val="0"/>
                  <w:divBdr>
                    <w:top w:val="none" w:sz="0" w:space="0" w:color="auto"/>
                    <w:left w:val="none" w:sz="0" w:space="0" w:color="auto"/>
                    <w:bottom w:val="none" w:sz="0" w:space="0" w:color="auto"/>
                    <w:right w:val="none" w:sz="0" w:space="0" w:color="auto"/>
                  </w:divBdr>
                </w:div>
                <w:div w:id="389504769">
                  <w:marLeft w:val="0"/>
                  <w:marRight w:val="0"/>
                  <w:marTop w:val="0"/>
                  <w:marBottom w:val="0"/>
                  <w:divBdr>
                    <w:top w:val="none" w:sz="0" w:space="0" w:color="auto"/>
                    <w:left w:val="none" w:sz="0" w:space="0" w:color="auto"/>
                    <w:bottom w:val="none" w:sz="0" w:space="0" w:color="auto"/>
                    <w:right w:val="none" w:sz="0" w:space="0" w:color="auto"/>
                  </w:divBdr>
                </w:div>
                <w:div w:id="433869218">
                  <w:marLeft w:val="0"/>
                  <w:marRight w:val="0"/>
                  <w:marTop w:val="0"/>
                  <w:marBottom w:val="0"/>
                  <w:divBdr>
                    <w:top w:val="none" w:sz="0" w:space="0" w:color="auto"/>
                    <w:left w:val="none" w:sz="0" w:space="0" w:color="auto"/>
                    <w:bottom w:val="none" w:sz="0" w:space="0" w:color="auto"/>
                    <w:right w:val="none" w:sz="0" w:space="0" w:color="auto"/>
                  </w:divBdr>
                </w:div>
                <w:div w:id="551891028">
                  <w:marLeft w:val="0"/>
                  <w:marRight w:val="0"/>
                  <w:marTop w:val="0"/>
                  <w:marBottom w:val="0"/>
                  <w:divBdr>
                    <w:top w:val="none" w:sz="0" w:space="0" w:color="auto"/>
                    <w:left w:val="none" w:sz="0" w:space="0" w:color="auto"/>
                    <w:bottom w:val="none" w:sz="0" w:space="0" w:color="auto"/>
                    <w:right w:val="none" w:sz="0" w:space="0" w:color="auto"/>
                  </w:divBdr>
                </w:div>
                <w:div w:id="587349399">
                  <w:marLeft w:val="0"/>
                  <w:marRight w:val="0"/>
                  <w:marTop w:val="0"/>
                  <w:marBottom w:val="0"/>
                  <w:divBdr>
                    <w:top w:val="none" w:sz="0" w:space="0" w:color="auto"/>
                    <w:left w:val="none" w:sz="0" w:space="0" w:color="auto"/>
                    <w:bottom w:val="none" w:sz="0" w:space="0" w:color="auto"/>
                    <w:right w:val="none" w:sz="0" w:space="0" w:color="auto"/>
                  </w:divBdr>
                </w:div>
                <w:div w:id="702826340">
                  <w:marLeft w:val="0"/>
                  <w:marRight w:val="0"/>
                  <w:marTop w:val="0"/>
                  <w:marBottom w:val="0"/>
                  <w:divBdr>
                    <w:top w:val="none" w:sz="0" w:space="0" w:color="auto"/>
                    <w:left w:val="none" w:sz="0" w:space="0" w:color="auto"/>
                    <w:bottom w:val="none" w:sz="0" w:space="0" w:color="auto"/>
                    <w:right w:val="none" w:sz="0" w:space="0" w:color="auto"/>
                  </w:divBdr>
                </w:div>
                <w:div w:id="949119219">
                  <w:marLeft w:val="0"/>
                  <w:marRight w:val="0"/>
                  <w:marTop w:val="0"/>
                  <w:marBottom w:val="0"/>
                  <w:divBdr>
                    <w:top w:val="none" w:sz="0" w:space="0" w:color="auto"/>
                    <w:left w:val="none" w:sz="0" w:space="0" w:color="auto"/>
                    <w:bottom w:val="none" w:sz="0" w:space="0" w:color="auto"/>
                    <w:right w:val="none" w:sz="0" w:space="0" w:color="auto"/>
                  </w:divBdr>
                </w:div>
                <w:div w:id="953251915">
                  <w:marLeft w:val="0"/>
                  <w:marRight w:val="0"/>
                  <w:marTop w:val="0"/>
                  <w:marBottom w:val="0"/>
                  <w:divBdr>
                    <w:top w:val="none" w:sz="0" w:space="0" w:color="auto"/>
                    <w:left w:val="none" w:sz="0" w:space="0" w:color="auto"/>
                    <w:bottom w:val="none" w:sz="0" w:space="0" w:color="auto"/>
                    <w:right w:val="none" w:sz="0" w:space="0" w:color="auto"/>
                  </w:divBdr>
                </w:div>
                <w:div w:id="1010915996">
                  <w:marLeft w:val="0"/>
                  <w:marRight w:val="0"/>
                  <w:marTop w:val="0"/>
                  <w:marBottom w:val="0"/>
                  <w:divBdr>
                    <w:top w:val="none" w:sz="0" w:space="0" w:color="auto"/>
                    <w:left w:val="none" w:sz="0" w:space="0" w:color="auto"/>
                    <w:bottom w:val="none" w:sz="0" w:space="0" w:color="auto"/>
                    <w:right w:val="none" w:sz="0" w:space="0" w:color="auto"/>
                  </w:divBdr>
                </w:div>
                <w:div w:id="1093863139">
                  <w:marLeft w:val="0"/>
                  <w:marRight w:val="0"/>
                  <w:marTop w:val="0"/>
                  <w:marBottom w:val="0"/>
                  <w:divBdr>
                    <w:top w:val="none" w:sz="0" w:space="0" w:color="auto"/>
                    <w:left w:val="none" w:sz="0" w:space="0" w:color="auto"/>
                    <w:bottom w:val="none" w:sz="0" w:space="0" w:color="auto"/>
                    <w:right w:val="none" w:sz="0" w:space="0" w:color="auto"/>
                  </w:divBdr>
                </w:div>
                <w:div w:id="1141921266">
                  <w:marLeft w:val="0"/>
                  <w:marRight w:val="0"/>
                  <w:marTop w:val="0"/>
                  <w:marBottom w:val="0"/>
                  <w:divBdr>
                    <w:top w:val="none" w:sz="0" w:space="0" w:color="auto"/>
                    <w:left w:val="none" w:sz="0" w:space="0" w:color="auto"/>
                    <w:bottom w:val="none" w:sz="0" w:space="0" w:color="auto"/>
                    <w:right w:val="none" w:sz="0" w:space="0" w:color="auto"/>
                  </w:divBdr>
                </w:div>
                <w:div w:id="1181314778">
                  <w:marLeft w:val="0"/>
                  <w:marRight w:val="0"/>
                  <w:marTop w:val="0"/>
                  <w:marBottom w:val="0"/>
                  <w:divBdr>
                    <w:top w:val="none" w:sz="0" w:space="0" w:color="auto"/>
                    <w:left w:val="none" w:sz="0" w:space="0" w:color="auto"/>
                    <w:bottom w:val="none" w:sz="0" w:space="0" w:color="auto"/>
                    <w:right w:val="none" w:sz="0" w:space="0" w:color="auto"/>
                  </w:divBdr>
                </w:div>
                <w:div w:id="1248884105">
                  <w:marLeft w:val="0"/>
                  <w:marRight w:val="0"/>
                  <w:marTop w:val="0"/>
                  <w:marBottom w:val="0"/>
                  <w:divBdr>
                    <w:top w:val="none" w:sz="0" w:space="0" w:color="auto"/>
                    <w:left w:val="none" w:sz="0" w:space="0" w:color="auto"/>
                    <w:bottom w:val="none" w:sz="0" w:space="0" w:color="auto"/>
                    <w:right w:val="none" w:sz="0" w:space="0" w:color="auto"/>
                  </w:divBdr>
                </w:div>
                <w:div w:id="1300575293">
                  <w:marLeft w:val="0"/>
                  <w:marRight w:val="0"/>
                  <w:marTop w:val="0"/>
                  <w:marBottom w:val="0"/>
                  <w:divBdr>
                    <w:top w:val="none" w:sz="0" w:space="0" w:color="auto"/>
                    <w:left w:val="none" w:sz="0" w:space="0" w:color="auto"/>
                    <w:bottom w:val="none" w:sz="0" w:space="0" w:color="auto"/>
                    <w:right w:val="none" w:sz="0" w:space="0" w:color="auto"/>
                  </w:divBdr>
                </w:div>
                <w:div w:id="1302615378">
                  <w:marLeft w:val="0"/>
                  <w:marRight w:val="0"/>
                  <w:marTop w:val="0"/>
                  <w:marBottom w:val="0"/>
                  <w:divBdr>
                    <w:top w:val="none" w:sz="0" w:space="0" w:color="auto"/>
                    <w:left w:val="none" w:sz="0" w:space="0" w:color="auto"/>
                    <w:bottom w:val="none" w:sz="0" w:space="0" w:color="auto"/>
                    <w:right w:val="none" w:sz="0" w:space="0" w:color="auto"/>
                  </w:divBdr>
                </w:div>
                <w:div w:id="1426345471">
                  <w:marLeft w:val="0"/>
                  <w:marRight w:val="0"/>
                  <w:marTop w:val="0"/>
                  <w:marBottom w:val="0"/>
                  <w:divBdr>
                    <w:top w:val="none" w:sz="0" w:space="0" w:color="auto"/>
                    <w:left w:val="none" w:sz="0" w:space="0" w:color="auto"/>
                    <w:bottom w:val="none" w:sz="0" w:space="0" w:color="auto"/>
                    <w:right w:val="none" w:sz="0" w:space="0" w:color="auto"/>
                  </w:divBdr>
                </w:div>
                <w:div w:id="1483737276">
                  <w:marLeft w:val="0"/>
                  <w:marRight w:val="0"/>
                  <w:marTop w:val="0"/>
                  <w:marBottom w:val="0"/>
                  <w:divBdr>
                    <w:top w:val="none" w:sz="0" w:space="0" w:color="auto"/>
                    <w:left w:val="none" w:sz="0" w:space="0" w:color="auto"/>
                    <w:bottom w:val="none" w:sz="0" w:space="0" w:color="auto"/>
                    <w:right w:val="none" w:sz="0" w:space="0" w:color="auto"/>
                  </w:divBdr>
                </w:div>
                <w:div w:id="1524903583">
                  <w:marLeft w:val="0"/>
                  <w:marRight w:val="0"/>
                  <w:marTop w:val="0"/>
                  <w:marBottom w:val="0"/>
                  <w:divBdr>
                    <w:top w:val="none" w:sz="0" w:space="0" w:color="auto"/>
                    <w:left w:val="none" w:sz="0" w:space="0" w:color="auto"/>
                    <w:bottom w:val="none" w:sz="0" w:space="0" w:color="auto"/>
                    <w:right w:val="none" w:sz="0" w:space="0" w:color="auto"/>
                  </w:divBdr>
                </w:div>
                <w:div w:id="1666736133">
                  <w:marLeft w:val="0"/>
                  <w:marRight w:val="0"/>
                  <w:marTop w:val="0"/>
                  <w:marBottom w:val="0"/>
                  <w:divBdr>
                    <w:top w:val="none" w:sz="0" w:space="0" w:color="auto"/>
                    <w:left w:val="none" w:sz="0" w:space="0" w:color="auto"/>
                    <w:bottom w:val="none" w:sz="0" w:space="0" w:color="auto"/>
                    <w:right w:val="none" w:sz="0" w:space="0" w:color="auto"/>
                  </w:divBdr>
                </w:div>
                <w:div w:id="1840656726">
                  <w:marLeft w:val="0"/>
                  <w:marRight w:val="0"/>
                  <w:marTop w:val="0"/>
                  <w:marBottom w:val="0"/>
                  <w:divBdr>
                    <w:top w:val="none" w:sz="0" w:space="0" w:color="auto"/>
                    <w:left w:val="none" w:sz="0" w:space="0" w:color="auto"/>
                    <w:bottom w:val="none" w:sz="0" w:space="0" w:color="auto"/>
                    <w:right w:val="none" w:sz="0" w:space="0" w:color="auto"/>
                  </w:divBdr>
                </w:div>
                <w:div w:id="1898856760">
                  <w:marLeft w:val="0"/>
                  <w:marRight w:val="0"/>
                  <w:marTop w:val="0"/>
                  <w:marBottom w:val="0"/>
                  <w:divBdr>
                    <w:top w:val="none" w:sz="0" w:space="0" w:color="auto"/>
                    <w:left w:val="none" w:sz="0" w:space="0" w:color="auto"/>
                    <w:bottom w:val="none" w:sz="0" w:space="0" w:color="auto"/>
                    <w:right w:val="none" w:sz="0" w:space="0" w:color="auto"/>
                  </w:divBdr>
                </w:div>
                <w:div w:id="20525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8994">
          <w:marLeft w:val="0"/>
          <w:marRight w:val="0"/>
          <w:marTop w:val="15"/>
          <w:marBottom w:val="0"/>
          <w:divBdr>
            <w:top w:val="none" w:sz="0" w:space="0" w:color="auto"/>
            <w:left w:val="none" w:sz="0" w:space="0" w:color="auto"/>
            <w:bottom w:val="none" w:sz="0" w:space="0" w:color="auto"/>
            <w:right w:val="none" w:sz="0" w:space="0" w:color="auto"/>
          </w:divBdr>
          <w:divsChild>
            <w:div w:id="223948702">
              <w:marLeft w:val="0"/>
              <w:marRight w:val="0"/>
              <w:marTop w:val="0"/>
              <w:marBottom w:val="0"/>
              <w:divBdr>
                <w:top w:val="none" w:sz="0" w:space="0" w:color="auto"/>
                <w:left w:val="none" w:sz="0" w:space="0" w:color="auto"/>
                <w:bottom w:val="none" w:sz="0" w:space="0" w:color="auto"/>
                <w:right w:val="none" w:sz="0" w:space="0" w:color="auto"/>
              </w:divBdr>
              <w:divsChild>
                <w:div w:id="92287336">
                  <w:marLeft w:val="0"/>
                  <w:marRight w:val="0"/>
                  <w:marTop w:val="0"/>
                  <w:marBottom w:val="0"/>
                  <w:divBdr>
                    <w:top w:val="none" w:sz="0" w:space="0" w:color="auto"/>
                    <w:left w:val="none" w:sz="0" w:space="0" w:color="auto"/>
                    <w:bottom w:val="none" w:sz="0" w:space="0" w:color="auto"/>
                    <w:right w:val="none" w:sz="0" w:space="0" w:color="auto"/>
                  </w:divBdr>
                </w:div>
                <w:div w:id="210000533">
                  <w:marLeft w:val="0"/>
                  <w:marRight w:val="0"/>
                  <w:marTop w:val="0"/>
                  <w:marBottom w:val="0"/>
                  <w:divBdr>
                    <w:top w:val="none" w:sz="0" w:space="0" w:color="auto"/>
                    <w:left w:val="none" w:sz="0" w:space="0" w:color="auto"/>
                    <w:bottom w:val="none" w:sz="0" w:space="0" w:color="auto"/>
                    <w:right w:val="none" w:sz="0" w:space="0" w:color="auto"/>
                  </w:divBdr>
                </w:div>
                <w:div w:id="247346622">
                  <w:marLeft w:val="0"/>
                  <w:marRight w:val="0"/>
                  <w:marTop w:val="0"/>
                  <w:marBottom w:val="0"/>
                  <w:divBdr>
                    <w:top w:val="none" w:sz="0" w:space="0" w:color="auto"/>
                    <w:left w:val="none" w:sz="0" w:space="0" w:color="auto"/>
                    <w:bottom w:val="none" w:sz="0" w:space="0" w:color="auto"/>
                    <w:right w:val="none" w:sz="0" w:space="0" w:color="auto"/>
                  </w:divBdr>
                </w:div>
                <w:div w:id="261963569">
                  <w:marLeft w:val="0"/>
                  <w:marRight w:val="0"/>
                  <w:marTop w:val="0"/>
                  <w:marBottom w:val="0"/>
                  <w:divBdr>
                    <w:top w:val="none" w:sz="0" w:space="0" w:color="auto"/>
                    <w:left w:val="none" w:sz="0" w:space="0" w:color="auto"/>
                    <w:bottom w:val="none" w:sz="0" w:space="0" w:color="auto"/>
                    <w:right w:val="none" w:sz="0" w:space="0" w:color="auto"/>
                  </w:divBdr>
                </w:div>
                <w:div w:id="305088536">
                  <w:marLeft w:val="0"/>
                  <w:marRight w:val="0"/>
                  <w:marTop w:val="0"/>
                  <w:marBottom w:val="0"/>
                  <w:divBdr>
                    <w:top w:val="none" w:sz="0" w:space="0" w:color="auto"/>
                    <w:left w:val="none" w:sz="0" w:space="0" w:color="auto"/>
                    <w:bottom w:val="none" w:sz="0" w:space="0" w:color="auto"/>
                    <w:right w:val="none" w:sz="0" w:space="0" w:color="auto"/>
                  </w:divBdr>
                </w:div>
                <w:div w:id="545068077">
                  <w:marLeft w:val="0"/>
                  <w:marRight w:val="0"/>
                  <w:marTop w:val="0"/>
                  <w:marBottom w:val="0"/>
                  <w:divBdr>
                    <w:top w:val="none" w:sz="0" w:space="0" w:color="auto"/>
                    <w:left w:val="none" w:sz="0" w:space="0" w:color="auto"/>
                    <w:bottom w:val="none" w:sz="0" w:space="0" w:color="auto"/>
                    <w:right w:val="none" w:sz="0" w:space="0" w:color="auto"/>
                  </w:divBdr>
                </w:div>
                <w:div w:id="626549650">
                  <w:marLeft w:val="0"/>
                  <w:marRight w:val="0"/>
                  <w:marTop w:val="0"/>
                  <w:marBottom w:val="0"/>
                  <w:divBdr>
                    <w:top w:val="none" w:sz="0" w:space="0" w:color="auto"/>
                    <w:left w:val="none" w:sz="0" w:space="0" w:color="auto"/>
                    <w:bottom w:val="none" w:sz="0" w:space="0" w:color="auto"/>
                    <w:right w:val="none" w:sz="0" w:space="0" w:color="auto"/>
                  </w:divBdr>
                </w:div>
                <w:div w:id="629287678">
                  <w:marLeft w:val="0"/>
                  <w:marRight w:val="0"/>
                  <w:marTop w:val="0"/>
                  <w:marBottom w:val="0"/>
                  <w:divBdr>
                    <w:top w:val="none" w:sz="0" w:space="0" w:color="auto"/>
                    <w:left w:val="none" w:sz="0" w:space="0" w:color="auto"/>
                    <w:bottom w:val="none" w:sz="0" w:space="0" w:color="auto"/>
                    <w:right w:val="none" w:sz="0" w:space="0" w:color="auto"/>
                  </w:divBdr>
                </w:div>
                <w:div w:id="638922688">
                  <w:marLeft w:val="0"/>
                  <w:marRight w:val="0"/>
                  <w:marTop w:val="0"/>
                  <w:marBottom w:val="0"/>
                  <w:divBdr>
                    <w:top w:val="none" w:sz="0" w:space="0" w:color="auto"/>
                    <w:left w:val="none" w:sz="0" w:space="0" w:color="auto"/>
                    <w:bottom w:val="none" w:sz="0" w:space="0" w:color="auto"/>
                    <w:right w:val="none" w:sz="0" w:space="0" w:color="auto"/>
                  </w:divBdr>
                </w:div>
                <w:div w:id="671377598">
                  <w:marLeft w:val="0"/>
                  <w:marRight w:val="0"/>
                  <w:marTop w:val="0"/>
                  <w:marBottom w:val="0"/>
                  <w:divBdr>
                    <w:top w:val="none" w:sz="0" w:space="0" w:color="auto"/>
                    <w:left w:val="none" w:sz="0" w:space="0" w:color="auto"/>
                    <w:bottom w:val="none" w:sz="0" w:space="0" w:color="auto"/>
                    <w:right w:val="none" w:sz="0" w:space="0" w:color="auto"/>
                  </w:divBdr>
                </w:div>
                <w:div w:id="686177378">
                  <w:marLeft w:val="0"/>
                  <w:marRight w:val="0"/>
                  <w:marTop w:val="0"/>
                  <w:marBottom w:val="0"/>
                  <w:divBdr>
                    <w:top w:val="none" w:sz="0" w:space="0" w:color="auto"/>
                    <w:left w:val="none" w:sz="0" w:space="0" w:color="auto"/>
                    <w:bottom w:val="none" w:sz="0" w:space="0" w:color="auto"/>
                    <w:right w:val="none" w:sz="0" w:space="0" w:color="auto"/>
                  </w:divBdr>
                </w:div>
                <w:div w:id="704717884">
                  <w:marLeft w:val="0"/>
                  <w:marRight w:val="0"/>
                  <w:marTop w:val="0"/>
                  <w:marBottom w:val="0"/>
                  <w:divBdr>
                    <w:top w:val="none" w:sz="0" w:space="0" w:color="auto"/>
                    <w:left w:val="none" w:sz="0" w:space="0" w:color="auto"/>
                    <w:bottom w:val="none" w:sz="0" w:space="0" w:color="auto"/>
                    <w:right w:val="none" w:sz="0" w:space="0" w:color="auto"/>
                  </w:divBdr>
                </w:div>
                <w:div w:id="834952669">
                  <w:marLeft w:val="0"/>
                  <w:marRight w:val="0"/>
                  <w:marTop w:val="0"/>
                  <w:marBottom w:val="0"/>
                  <w:divBdr>
                    <w:top w:val="none" w:sz="0" w:space="0" w:color="auto"/>
                    <w:left w:val="none" w:sz="0" w:space="0" w:color="auto"/>
                    <w:bottom w:val="none" w:sz="0" w:space="0" w:color="auto"/>
                    <w:right w:val="none" w:sz="0" w:space="0" w:color="auto"/>
                  </w:divBdr>
                </w:div>
                <w:div w:id="917329746">
                  <w:marLeft w:val="0"/>
                  <w:marRight w:val="0"/>
                  <w:marTop w:val="0"/>
                  <w:marBottom w:val="0"/>
                  <w:divBdr>
                    <w:top w:val="none" w:sz="0" w:space="0" w:color="auto"/>
                    <w:left w:val="none" w:sz="0" w:space="0" w:color="auto"/>
                    <w:bottom w:val="none" w:sz="0" w:space="0" w:color="auto"/>
                    <w:right w:val="none" w:sz="0" w:space="0" w:color="auto"/>
                  </w:divBdr>
                </w:div>
                <w:div w:id="1294018068">
                  <w:marLeft w:val="0"/>
                  <w:marRight w:val="0"/>
                  <w:marTop w:val="0"/>
                  <w:marBottom w:val="0"/>
                  <w:divBdr>
                    <w:top w:val="none" w:sz="0" w:space="0" w:color="auto"/>
                    <w:left w:val="none" w:sz="0" w:space="0" w:color="auto"/>
                    <w:bottom w:val="none" w:sz="0" w:space="0" w:color="auto"/>
                    <w:right w:val="none" w:sz="0" w:space="0" w:color="auto"/>
                  </w:divBdr>
                </w:div>
                <w:div w:id="1328244508">
                  <w:marLeft w:val="0"/>
                  <w:marRight w:val="0"/>
                  <w:marTop w:val="0"/>
                  <w:marBottom w:val="0"/>
                  <w:divBdr>
                    <w:top w:val="none" w:sz="0" w:space="0" w:color="auto"/>
                    <w:left w:val="none" w:sz="0" w:space="0" w:color="auto"/>
                    <w:bottom w:val="none" w:sz="0" w:space="0" w:color="auto"/>
                    <w:right w:val="none" w:sz="0" w:space="0" w:color="auto"/>
                  </w:divBdr>
                </w:div>
                <w:div w:id="1423331212">
                  <w:marLeft w:val="0"/>
                  <w:marRight w:val="0"/>
                  <w:marTop w:val="0"/>
                  <w:marBottom w:val="0"/>
                  <w:divBdr>
                    <w:top w:val="none" w:sz="0" w:space="0" w:color="auto"/>
                    <w:left w:val="none" w:sz="0" w:space="0" w:color="auto"/>
                    <w:bottom w:val="none" w:sz="0" w:space="0" w:color="auto"/>
                    <w:right w:val="none" w:sz="0" w:space="0" w:color="auto"/>
                  </w:divBdr>
                </w:div>
                <w:div w:id="1439521295">
                  <w:marLeft w:val="0"/>
                  <w:marRight w:val="0"/>
                  <w:marTop w:val="0"/>
                  <w:marBottom w:val="0"/>
                  <w:divBdr>
                    <w:top w:val="none" w:sz="0" w:space="0" w:color="auto"/>
                    <w:left w:val="none" w:sz="0" w:space="0" w:color="auto"/>
                    <w:bottom w:val="none" w:sz="0" w:space="0" w:color="auto"/>
                    <w:right w:val="none" w:sz="0" w:space="0" w:color="auto"/>
                  </w:divBdr>
                </w:div>
                <w:div w:id="1441611647">
                  <w:marLeft w:val="0"/>
                  <w:marRight w:val="0"/>
                  <w:marTop w:val="0"/>
                  <w:marBottom w:val="0"/>
                  <w:divBdr>
                    <w:top w:val="none" w:sz="0" w:space="0" w:color="auto"/>
                    <w:left w:val="none" w:sz="0" w:space="0" w:color="auto"/>
                    <w:bottom w:val="none" w:sz="0" w:space="0" w:color="auto"/>
                    <w:right w:val="none" w:sz="0" w:space="0" w:color="auto"/>
                  </w:divBdr>
                </w:div>
                <w:div w:id="1446997096">
                  <w:marLeft w:val="0"/>
                  <w:marRight w:val="0"/>
                  <w:marTop w:val="0"/>
                  <w:marBottom w:val="0"/>
                  <w:divBdr>
                    <w:top w:val="none" w:sz="0" w:space="0" w:color="auto"/>
                    <w:left w:val="none" w:sz="0" w:space="0" w:color="auto"/>
                    <w:bottom w:val="none" w:sz="0" w:space="0" w:color="auto"/>
                    <w:right w:val="none" w:sz="0" w:space="0" w:color="auto"/>
                  </w:divBdr>
                </w:div>
                <w:div w:id="1493568535">
                  <w:marLeft w:val="0"/>
                  <w:marRight w:val="0"/>
                  <w:marTop w:val="0"/>
                  <w:marBottom w:val="0"/>
                  <w:divBdr>
                    <w:top w:val="none" w:sz="0" w:space="0" w:color="auto"/>
                    <w:left w:val="none" w:sz="0" w:space="0" w:color="auto"/>
                    <w:bottom w:val="none" w:sz="0" w:space="0" w:color="auto"/>
                    <w:right w:val="none" w:sz="0" w:space="0" w:color="auto"/>
                  </w:divBdr>
                </w:div>
                <w:div w:id="1504322721">
                  <w:marLeft w:val="0"/>
                  <w:marRight w:val="0"/>
                  <w:marTop w:val="0"/>
                  <w:marBottom w:val="0"/>
                  <w:divBdr>
                    <w:top w:val="none" w:sz="0" w:space="0" w:color="auto"/>
                    <w:left w:val="none" w:sz="0" w:space="0" w:color="auto"/>
                    <w:bottom w:val="none" w:sz="0" w:space="0" w:color="auto"/>
                    <w:right w:val="none" w:sz="0" w:space="0" w:color="auto"/>
                  </w:divBdr>
                </w:div>
                <w:div w:id="1585869482">
                  <w:marLeft w:val="0"/>
                  <w:marRight w:val="0"/>
                  <w:marTop w:val="0"/>
                  <w:marBottom w:val="0"/>
                  <w:divBdr>
                    <w:top w:val="none" w:sz="0" w:space="0" w:color="auto"/>
                    <w:left w:val="none" w:sz="0" w:space="0" w:color="auto"/>
                    <w:bottom w:val="none" w:sz="0" w:space="0" w:color="auto"/>
                    <w:right w:val="none" w:sz="0" w:space="0" w:color="auto"/>
                  </w:divBdr>
                </w:div>
                <w:div w:id="1598177392">
                  <w:marLeft w:val="0"/>
                  <w:marRight w:val="0"/>
                  <w:marTop w:val="0"/>
                  <w:marBottom w:val="0"/>
                  <w:divBdr>
                    <w:top w:val="none" w:sz="0" w:space="0" w:color="auto"/>
                    <w:left w:val="none" w:sz="0" w:space="0" w:color="auto"/>
                    <w:bottom w:val="none" w:sz="0" w:space="0" w:color="auto"/>
                    <w:right w:val="none" w:sz="0" w:space="0" w:color="auto"/>
                  </w:divBdr>
                </w:div>
                <w:div w:id="1692417076">
                  <w:marLeft w:val="0"/>
                  <w:marRight w:val="0"/>
                  <w:marTop w:val="0"/>
                  <w:marBottom w:val="0"/>
                  <w:divBdr>
                    <w:top w:val="none" w:sz="0" w:space="0" w:color="auto"/>
                    <w:left w:val="none" w:sz="0" w:space="0" w:color="auto"/>
                    <w:bottom w:val="none" w:sz="0" w:space="0" w:color="auto"/>
                    <w:right w:val="none" w:sz="0" w:space="0" w:color="auto"/>
                  </w:divBdr>
                </w:div>
                <w:div w:id="1756975799">
                  <w:marLeft w:val="0"/>
                  <w:marRight w:val="0"/>
                  <w:marTop w:val="0"/>
                  <w:marBottom w:val="0"/>
                  <w:divBdr>
                    <w:top w:val="none" w:sz="0" w:space="0" w:color="auto"/>
                    <w:left w:val="none" w:sz="0" w:space="0" w:color="auto"/>
                    <w:bottom w:val="none" w:sz="0" w:space="0" w:color="auto"/>
                    <w:right w:val="none" w:sz="0" w:space="0" w:color="auto"/>
                  </w:divBdr>
                </w:div>
                <w:div w:id="1809785490">
                  <w:marLeft w:val="0"/>
                  <w:marRight w:val="0"/>
                  <w:marTop w:val="0"/>
                  <w:marBottom w:val="0"/>
                  <w:divBdr>
                    <w:top w:val="none" w:sz="0" w:space="0" w:color="auto"/>
                    <w:left w:val="none" w:sz="0" w:space="0" w:color="auto"/>
                    <w:bottom w:val="none" w:sz="0" w:space="0" w:color="auto"/>
                    <w:right w:val="none" w:sz="0" w:space="0" w:color="auto"/>
                  </w:divBdr>
                </w:div>
                <w:div w:id="1922833694">
                  <w:marLeft w:val="0"/>
                  <w:marRight w:val="0"/>
                  <w:marTop w:val="0"/>
                  <w:marBottom w:val="0"/>
                  <w:divBdr>
                    <w:top w:val="none" w:sz="0" w:space="0" w:color="auto"/>
                    <w:left w:val="none" w:sz="0" w:space="0" w:color="auto"/>
                    <w:bottom w:val="none" w:sz="0" w:space="0" w:color="auto"/>
                    <w:right w:val="none" w:sz="0" w:space="0" w:color="auto"/>
                  </w:divBdr>
                </w:div>
                <w:div w:id="1950551199">
                  <w:marLeft w:val="0"/>
                  <w:marRight w:val="0"/>
                  <w:marTop w:val="0"/>
                  <w:marBottom w:val="0"/>
                  <w:divBdr>
                    <w:top w:val="none" w:sz="0" w:space="0" w:color="auto"/>
                    <w:left w:val="none" w:sz="0" w:space="0" w:color="auto"/>
                    <w:bottom w:val="none" w:sz="0" w:space="0" w:color="auto"/>
                    <w:right w:val="none" w:sz="0" w:space="0" w:color="auto"/>
                  </w:divBdr>
                </w:div>
                <w:div w:id="2004816135">
                  <w:marLeft w:val="0"/>
                  <w:marRight w:val="0"/>
                  <w:marTop w:val="0"/>
                  <w:marBottom w:val="0"/>
                  <w:divBdr>
                    <w:top w:val="none" w:sz="0" w:space="0" w:color="auto"/>
                    <w:left w:val="none" w:sz="0" w:space="0" w:color="auto"/>
                    <w:bottom w:val="none" w:sz="0" w:space="0" w:color="auto"/>
                    <w:right w:val="none" w:sz="0" w:space="0" w:color="auto"/>
                  </w:divBdr>
                </w:div>
                <w:div w:id="2062946786">
                  <w:marLeft w:val="0"/>
                  <w:marRight w:val="0"/>
                  <w:marTop w:val="0"/>
                  <w:marBottom w:val="0"/>
                  <w:divBdr>
                    <w:top w:val="none" w:sz="0" w:space="0" w:color="auto"/>
                    <w:left w:val="none" w:sz="0" w:space="0" w:color="auto"/>
                    <w:bottom w:val="none" w:sz="0" w:space="0" w:color="auto"/>
                    <w:right w:val="none" w:sz="0" w:space="0" w:color="auto"/>
                  </w:divBdr>
                </w:div>
                <w:div w:id="2067292990">
                  <w:marLeft w:val="0"/>
                  <w:marRight w:val="0"/>
                  <w:marTop w:val="0"/>
                  <w:marBottom w:val="0"/>
                  <w:divBdr>
                    <w:top w:val="none" w:sz="0" w:space="0" w:color="auto"/>
                    <w:left w:val="none" w:sz="0" w:space="0" w:color="auto"/>
                    <w:bottom w:val="none" w:sz="0" w:space="0" w:color="auto"/>
                    <w:right w:val="none" w:sz="0" w:space="0" w:color="auto"/>
                  </w:divBdr>
                </w:div>
                <w:div w:id="2077312812">
                  <w:marLeft w:val="0"/>
                  <w:marRight w:val="0"/>
                  <w:marTop w:val="0"/>
                  <w:marBottom w:val="0"/>
                  <w:divBdr>
                    <w:top w:val="none" w:sz="0" w:space="0" w:color="auto"/>
                    <w:left w:val="none" w:sz="0" w:space="0" w:color="auto"/>
                    <w:bottom w:val="none" w:sz="0" w:space="0" w:color="auto"/>
                    <w:right w:val="none" w:sz="0" w:space="0" w:color="auto"/>
                  </w:divBdr>
                </w:div>
                <w:div w:id="20937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24480">
          <w:marLeft w:val="0"/>
          <w:marRight w:val="0"/>
          <w:marTop w:val="15"/>
          <w:marBottom w:val="0"/>
          <w:divBdr>
            <w:top w:val="none" w:sz="0" w:space="0" w:color="auto"/>
            <w:left w:val="none" w:sz="0" w:space="0" w:color="auto"/>
            <w:bottom w:val="none" w:sz="0" w:space="0" w:color="auto"/>
            <w:right w:val="none" w:sz="0" w:space="0" w:color="auto"/>
          </w:divBdr>
          <w:divsChild>
            <w:div w:id="893270753">
              <w:marLeft w:val="0"/>
              <w:marRight w:val="0"/>
              <w:marTop w:val="0"/>
              <w:marBottom w:val="0"/>
              <w:divBdr>
                <w:top w:val="none" w:sz="0" w:space="0" w:color="auto"/>
                <w:left w:val="none" w:sz="0" w:space="0" w:color="auto"/>
                <w:bottom w:val="none" w:sz="0" w:space="0" w:color="auto"/>
                <w:right w:val="none" w:sz="0" w:space="0" w:color="auto"/>
              </w:divBdr>
              <w:divsChild>
                <w:div w:id="788308">
                  <w:marLeft w:val="0"/>
                  <w:marRight w:val="0"/>
                  <w:marTop w:val="0"/>
                  <w:marBottom w:val="0"/>
                  <w:divBdr>
                    <w:top w:val="none" w:sz="0" w:space="0" w:color="auto"/>
                    <w:left w:val="none" w:sz="0" w:space="0" w:color="auto"/>
                    <w:bottom w:val="none" w:sz="0" w:space="0" w:color="auto"/>
                    <w:right w:val="none" w:sz="0" w:space="0" w:color="auto"/>
                  </w:divBdr>
                </w:div>
                <w:div w:id="36781531">
                  <w:marLeft w:val="0"/>
                  <w:marRight w:val="0"/>
                  <w:marTop w:val="0"/>
                  <w:marBottom w:val="0"/>
                  <w:divBdr>
                    <w:top w:val="none" w:sz="0" w:space="0" w:color="auto"/>
                    <w:left w:val="none" w:sz="0" w:space="0" w:color="auto"/>
                    <w:bottom w:val="none" w:sz="0" w:space="0" w:color="auto"/>
                    <w:right w:val="none" w:sz="0" w:space="0" w:color="auto"/>
                  </w:divBdr>
                </w:div>
                <w:div w:id="379060250">
                  <w:marLeft w:val="0"/>
                  <w:marRight w:val="0"/>
                  <w:marTop w:val="0"/>
                  <w:marBottom w:val="0"/>
                  <w:divBdr>
                    <w:top w:val="none" w:sz="0" w:space="0" w:color="auto"/>
                    <w:left w:val="none" w:sz="0" w:space="0" w:color="auto"/>
                    <w:bottom w:val="none" w:sz="0" w:space="0" w:color="auto"/>
                    <w:right w:val="none" w:sz="0" w:space="0" w:color="auto"/>
                  </w:divBdr>
                </w:div>
                <w:div w:id="387456674">
                  <w:marLeft w:val="0"/>
                  <w:marRight w:val="0"/>
                  <w:marTop w:val="0"/>
                  <w:marBottom w:val="0"/>
                  <w:divBdr>
                    <w:top w:val="none" w:sz="0" w:space="0" w:color="auto"/>
                    <w:left w:val="none" w:sz="0" w:space="0" w:color="auto"/>
                    <w:bottom w:val="none" w:sz="0" w:space="0" w:color="auto"/>
                    <w:right w:val="none" w:sz="0" w:space="0" w:color="auto"/>
                  </w:divBdr>
                </w:div>
                <w:div w:id="389622605">
                  <w:marLeft w:val="0"/>
                  <w:marRight w:val="0"/>
                  <w:marTop w:val="0"/>
                  <w:marBottom w:val="0"/>
                  <w:divBdr>
                    <w:top w:val="none" w:sz="0" w:space="0" w:color="auto"/>
                    <w:left w:val="none" w:sz="0" w:space="0" w:color="auto"/>
                    <w:bottom w:val="none" w:sz="0" w:space="0" w:color="auto"/>
                    <w:right w:val="none" w:sz="0" w:space="0" w:color="auto"/>
                  </w:divBdr>
                </w:div>
                <w:div w:id="396631645">
                  <w:marLeft w:val="0"/>
                  <w:marRight w:val="0"/>
                  <w:marTop w:val="0"/>
                  <w:marBottom w:val="0"/>
                  <w:divBdr>
                    <w:top w:val="none" w:sz="0" w:space="0" w:color="auto"/>
                    <w:left w:val="none" w:sz="0" w:space="0" w:color="auto"/>
                    <w:bottom w:val="none" w:sz="0" w:space="0" w:color="auto"/>
                    <w:right w:val="none" w:sz="0" w:space="0" w:color="auto"/>
                  </w:divBdr>
                </w:div>
                <w:div w:id="431048597">
                  <w:marLeft w:val="0"/>
                  <w:marRight w:val="0"/>
                  <w:marTop w:val="0"/>
                  <w:marBottom w:val="0"/>
                  <w:divBdr>
                    <w:top w:val="none" w:sz="0" w:space="0" w:color="auto"/>
                    <w:left w:val="none" w:sz="0" w:space="0" w:color="auto"/>
                    <w:bottom w:val="none" w:sz="0" w:space="0" w:color="auto"/>
                    <w:right w:val="none" w:sz="0" w:space="0" w:color="auto"/>
                  </w:divBdr>
                </w:div>
                <w:div w:id="494809401">
                  <w:marLeft w:val="0"/>
                  <w:marRight w:val="0"/>
                  <w:marTop w:val="0"/>
                  <w:marBottom w:val="0"/>
                  <w:divBdr>
                    <w:top w:val="none" w:sz="0" w:space="0" w:color="auto"/>
                    <w:left w:val="none" w:sz="0" w:space="0" w:color="auto"/>
                    <w:bottom w:val="none" w:sz="0" w:space="0" w:color="auto"/>
                    <w:right w:val="none" w:sz="0" w:space="0" w:color="auto"/>
                  </w:divBdr>
                </w:div>
                <w:div w:id="628512921">
                  <w:marLeft w:val="0"/>
                  <w:marRight w:val="0"/>
                  <w:marTop w:val="0"/>
                  <w:marBottom w:val="0"/>
                  <w:divBdr>
                    <w:top w:val="none" w:sz="0" w:space="0" w:color="auto"/>
                    <w:left w:val="none" w:sz="0" w:space="0" w:color="auto"/>
                    <w:bottom w:val="none" w:sz="0" w:space="0" w:color="auto"/>
                    <w:right w:val="none" w:sz="0" w:space="0" w:color="auto"/>
                  </w:divBdr>
                </w:div>
                <w:div w:id="638264849">
                  <w:marLeft w:val="0"/>
                  <w:marRight w:val="0"/>
                  <w:marTop w:val="0"/>
                  <w:marBottom w:val="0"/>
                  <w:divBdr>
                    <w:top w:val="none" w:sz="0" w:space="0" w:color="auto"/>
                    <w:left w:val="none" w:sz="0" w:space="0" w:color="auto"/>
                    <w:bottom w:val="none" w:sz="0" w:space="0" w:color="auto"/>
                    <w:right w:val="none" w:sz="0" w:space="0" w:color="auto"/>
                  </w:divBdr>
                </w:div>
                <w:div w:id="794952207">
                  <w:marLeft w:val="0"/>
                  <w:marRight w:val="0"/>
                  <w:marTop w:val="0"/>
                  <w:marBottom w:val="0"/>
                  <w:divBdr>
                    <w:top w:val="none" w:sz="0" w:space="0" w:color="auto"/>
                    <w:left w:val="none" w:sz="0" w:space="0" w:color="auto"/>
                    <w:bottom w:val="none" w:sz="0" w:space="0" w:color="auto"/>
                    <w:right w:val="none" w:sz="0" w:space="0" w:color="auto"/>
                  </w:divBdr>
                </w:div>
                <w:div w:id="825169960">
                  <w:marLeft w:val="0"/>
                  <w:marRight w:val="0"/>
                  <w:marTop w:val="0"/>
                  <w:marBottom w:val="0"/>
                  <w:divBdr>
                    <w:top w:val="none" w:sz="0" w:space="0" w:color="auto"/>
                    <w:left w:val="none" w:sz="0" w:space="0" w:color="auto"/>
                    <w:bottom w:val="none" w:sz="0" w:space="0" w:color="auto"/>
                    <w:right w:val="none" w:sz="0" w:space="0" w:color="auto"/>
                  </w:divBdr>
                </w:div>
                <w:div w:id="867721202">
                  <w:marLeft w:val="0"/>
                  <w:marRight w:val="0"/>
                  <w:marTop w:val="0"/>
                  <w:marBottom w:val="0"/>
                  <w:divBdr>
                    <w:top w:val="none" w:sz="0" w:space="0" w:color="auto"/>
                    <w:left w:val="none" w:sz="0" w:space="0" w:color="auto"/>
                    <w:bottom w:val="none" w:sz="0" w:space="0" w:color="auto"/>
                    <w:right w:val="none" w:sz="0" w:space="0" w:color="auto"/>
                  </w:divBdr>
                </w:div>
                <w:div w:id="1025716508">
                  <w:marLeft w:val="0"/>
                  <w:marRight w:val="0"/>
                  <w:marTop w:val="0"/>
                  <w:marBottom w:val="0"/>
                  <w:divBdr>
                    <w:top w:val="none" w:sz="0" w:space="0" w:color="auto"/>
                    <w:left w:val="none" w:sz="0" w:space="0" w:color="auto"/>
                    <w:bottom w:val="none" w:sz="0" w:space="0" w:color="auto"/>
                    <w:right w:val="none" w:sz="0" w:space="0" w:color="auto"/>
                  </w:divBdr>
                </w:div>
                <w:div w:id="1152719517">
                  <w:marLeft w:val="0"/>
                  <w:marRight w:val="0"/>
                  <w:marTop w:val="0"/>
                  <w:marBottom w:val="0"/>
                  <w:divBdr>
                    <w:top w:val="none" w:sz="0" w:space="0" w:color="auto"/>
                    <w:left w:val="none" w:sz="0" w:space="0" w:color="auto"/>
                    <w:bottom w:val="none" w:sz="0" w:space="0" w:color="auto"/>
                    <w:right w:val="none" w:sz="0" w:space="0" w:color="auto"/>
                  </w:divBdr>
                </w:div>
                <w:div w:id="1275751517">
                  <w:marLeft w:val="0"/>
                  <w:marRight w:val="0"/>
                  <w:marTop w:val="0"/>
                  <w:marBottom w:val="0"/>
                  <w:divBdr>
                    <w:top w:val="none" w:sz="0" w:space="0" w:color="auto"/>
                    <w:left w:val="none" w:sz="0" w:space="0" w:color="auto"/>
                    <w:bottom w:val="none" w:sz="0" w:space="0" w:color="auto"/>
                    <w:right w:val="none" w:sz="0" w:space="0" w:color="auto"/>
                  </w:divBdr>
                </w:div>
                <w:div w:id="1322613543">
                  <w:marLeft w:val="0"/>
                  <w:marRight w:val="0"/>
                  <w:marTop w:val="0"/>
                  <w:marBottom w:val="0"/>
                  <w:divBdr>
                    <w:top w:val="none" w:sz="0" w:space="0" w:color="auto"/>
                    <w:left w:val="none" w:sz="0" w:space="0" w:color="auto"/>
                    <w:bottom w:val="none" w:sz="0" w:space="0" w:color="auto"/>
                    <w:right w:val="none" w:sz="0" w:space="0" w:color="auto"/>
                  </w:divBdr>
                </w:div>
                <w:div w:id="1328247273">
                  <w:marLeft w:val="0"/>
                  <w:marRight w:val="0"/>
                  <w:marTop w:val="0"/>
                  <w:marBottom w:val="0"/>
                  <w:divBdr>
                    <w:top w:val="none" w:sz="0" w:space="0" w:color="auto"/>
                    <w:left w:val="none" w:sz="0" w:space="0" w:color="auto"/>
                    <w:bottom w:val="none" w:sz="0" w:space="0" w:color="auto"/>
                    <w:right w:val="none" w:sz="0" w:space="0" w:color="auto"/>
                  </w:divBdr>
                </w:div>
                <w:div w:id="1401976837">
                  <w:marLeft w:val="0"/>
                  <w:marRight w:val="0"/>
                  <w:marTop w:val="0"/>
                  <w:marBottom w:val="0"/>
                  <w:divBdr>
                    <w:top w:val="none" w:sz="0" w:space="0" w:color="auto"/>
                    <w:left w:val="none" w:sz="0" w:space="0" w:color="auto"/>
                    <w:bottom w:val="none" w:sz="0" w:space="0" w:color="auto"/>
                    <w:right w:val="none" w:sz="0" w:space="0" w:color="auto"/>
                  </w:divBdr>
                </w:div>
                <w:div w:id="1425998356">
                  <w:marLeft w:val="0"/>
                  <w:marRight w:val="0"/>
                  <w:marTop w:val="0"/>
                  <w:marBottom w:val="0"/>
                  <w:divBdr>
                    <w:top w:val="none" w:sz="0" w:space="0" w:color="auto"/>
                    <w:left w:val="none" w:sz="0" w:space="0" w:color="auto"/>
                    <w:bottom w:val="none" w:sz="0" w:space="0" w:color="auto"/>
                    <w:right w:val="none" w:sz="0" w:space="0" w:color="auto"/>
                  </w:divBdr>
                </w:div>
                <w:div w:id="1482769640">
                  <w:marLeft w:val="0"/>
                  <w:marRight w:val="0"/>
                  <w:marTop w:val="0"/>
                  <w:marBottom w:val="0"/>
                  <w:divBdr>
                    <w:top w:val="none" w:sz="0" w:space="0" w:color="auto"/>
                    <w:left w:val="none" w:sz="0" w:space="0" w:color="auto"/>
                    <w:bottom w:val="none" w:sz="0" w:space="0" w:color="auto"/>
                    <w:right w:val="none" w:sz="0" w:space="0" w:color="auto"/>
                  </w:divBdr>
                </w:div>
                <w:div w:id="1495030051">
                  <w:marLeft w:val="0"/>
                  <w:marRight w:val="0"/>
                  <w:marTop w:val="0"/>
                  <w:marBottom w:val="0"/>
                  <w:divBdr>
                    <w:top w:val="none" w:sz="0" w:space="0" w:color="auto"/>
                    <w:left w:val="none" w:sz="0" w:space="0" w:color="auto"/>
                    <w:bottom w:val="none" w:sz="0" w:space="0" w:color="auto"/>
                    <w:right w:val="none" w:sz="0" w:space="0" w:color="auto"/>
                  </w:divBdr>
                </w:div>
                <w:div w:id="1672828739">
                  <w:marLeft w:val="0"/>
                  <w:marRight w:val="0"/>
                  <w:marTop w:val="0"/>
                  <w:marBottom w:val="0"/>
                  <w:divBdr>
                    <w:top w:val="none" w:sz="0" w:space="0" w:color="auto"/>
                    <w:left w:val="none" w:sz="0" w:space="0" w:color="auto"/>
                    <w:bottom w:val="none" w:sz="0" w:space="0" w:color="auto"/>
                    <w:right w:val="none" w:sz="0" w:space="0" w:color="auto"/>
                  </w:divBdr>
                </w:div>
                <w:div w:id="1702705098">
                  <w:marLeft w:val="0"/>
                  <w:marRight w:val="0"/>
                  <w:marTop w:val="0"/>
                  <w:marBottom w:val="0"/>
                  <w:divBdr>
                    <w:top w:val="none" w:sz="0" w:space="0" w:color="auto"/>
                    <w:left w:val="none" w:sz="0" w:space="0" w:color="auto"/>
                    <w:bottom w:val="none" w:sz="0" w:space="0" w:color="auto"/>
                    <w:right w:val="none" w:sz="0" w:space="0" w:color="auto"/>
                  </w:divBdr>
                </w:div>
                <w:div w:id="1934237855">
                  <w:marLeft w:val="0"/>
                  <w:marRight w:val="0"/>
                  <w:marTop w:val="0"/>
                  <w:marBottom w:val="0"/>
                  <w:divBdr>
                    <w:top w:val="none" w:sz="0" w:space="0" w:color="auto"/>
                    <w:left w:val="none" w:sz="0" w:space="0" w:color="auto"/>
                    <w:bottom w:val="none" w:sz="0" w:space="0" w:color="auto"/>
                    <w:right w:val="none" w:sz="0" w:space="0" w:color="auto"/>
                  </w:divBdr>
                </w:div>
                <w:div w:id="1958901874">
                  <w:marLeft w:val="0"/>
                  <w:marRight w:val="0"/>
                  <w:marTop w:val="0"/>
                  <w:marBottom w:val="0"/>
                  <w:divBdr>
                    <w:top w:val="none" w:sz="0" w:space="0" w:color="auto"/>
                    <w:left w:val="none" w:sz="0" w:space="0" w:color="auto"/>
                    <w:bottom w:val="none" w:sz="0" w:space="0" w:color="auto"/>
                    <w:right w:val="none" w:sz="0" w:space="0" w:color="auto"/>
                  </w:divBdr>
                </w:div>
                <w:div w:id="20612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965">
          <w:marLeft w:val="0"/>
          <w:marRight w:val="0"/>
          <w:marTop w:val="15"/>
          <w:marBottom w:val="0"/>
          <w:divBdr>
            <w:top w:val="none" w:sz="0" w:space="0" w:color="auto"/>
            <w:left w:val="none" w:sz="0" w:space="0" w:color="auto"/>
            <w:bottom w:val="none" w:sz="0" w:space="0" w:color="auto"/>
            <w:right w:val="none" w:sz="0" w:space="0" w:color="auto"/>
          </w:divBdr>
          <w:divsChild>
            <w:div w:id="86315415">
              <w:marLeft w:val="0"/>
              <w:marRight w:val="0"/>
              <w:marTop w:val="0"/>
              <w:marBottom w:val="0"/>
              <w:divBdr>
                <w:top w:val="none" w:sz="0" w:space="0" w:color="auto"/>
                <w:left w:val="none" w:sz="0" w:space="0" w:color="auto"/>
                <w:bottom w:val="none" w:sz="0" w:space="0" w:color="auto"/>
                <w:right w:val="none" w:sz="0" w:space="0" w:color="auto"/>
              </w:divBdr>
              <w:divsChild>
                <w:div w:id="114253285">
                  <w:marLeft w:val="0"/>
                  <w:marRight w:val="0"/>
                  <w:marTop w:val="0"/>
                  <w:marBottom w:val="0"/>
                  <w:divBdr>
                    <w:top w:val="none" w:sz="0" w:space="0" w:color="auto"/>
                    <w:left w:val="none" w:sz="0" w:space="0" w:color="auto"/>
                    <w:bottom w:val="none" w:sz="0" w:space="0" w:color="auto"/>
                    <w:right w:val="none" w:sz="0" w:space="0" w:color="auto"/>
                  </w:divBdr>
                </w:div>
                <w:div w:id="139538171">
                  <w:marLeft w:val="0"/>
                  <w:marRight w:val="0"/>
                  <w:marTop w:val="0"/>
                  <w:marBottom w:val="0"/>
                  <w:divBdr>
                    <w:top w:val="none" w:sz="0" w:space="0" w:color="auto"/>
                    <w:left w:val="none" w:sz="0" w:space="0" w:color="auto"/>
                    <w:bottom w:val="none" w:sz="0" w:space="0" w:color="auto"/>
                    <w:right w:val="none" w:sz="0" w:space="0" w:color="auto"/>
                  </w:divBdr>
                </w:div>
                <w:div w:id="159203540">
                  <w:marLeft w:val="0"/>
                  <w:marRight w:val="0"/>
                  <w:marTop w:val="0"/>
                  <w:marBottom w:val="0"/>
                  <w:divBdr>
                    <w:top w:val="none" w:sz="0" w:space="0" w:color="auto"/>
                    <w:left w:val="none" w:sz="0" w:space="0" w:color="auto"/>
                    <w:bottom w:val="none" w:sz="0" w:space="0" w:color="auto"/>
                    <w:right w:val="none" w:sz="0" w:space="0" w:color="auto"/>
                  </w:divBdr>
                </w:div>
                <w:div w:id="315762454">
                  <w:marLeft w:val="0"/>
                  <w:marRight w:val="0"/>
                  <w:marTop w:val="0"/>
                  <w:marBottom w:val="0"/>
                  <w:divBdr>
                    <w:top w:val="none" w:sz="0" w:space="0" w:color="auto"/>
                    <w:left w:val="none" w:sz="0" w:space="0" w:color="auto"/>
                    <w:bottom w:val="none" w:sz="0" w:space="0" w:color="auto"/>
                    <w:right w:val="none" w:sz="0" w:space="0" w:color="auto"/>
                  </w:divBdr>
                </w:div>
                <w:div w:id="379325849">
                  <w:marLeft w:val="0"/>
                  <w:marRight w:val="0"/>
                  <w:marTop w:val="0"/>
                  <w:marBottom w:val="0"/>
                  <w:divBdr>
                    <w:top w:val="none" w:sz="0" w:space="0" w:color="auto"/>
                    <w:left w:val="none" w:sz="0" w:space="0" w:color="auto"/>
                    <w:bottom w:val="none" w:sz="0" w:space="0" w:color="auto"/>
                    <w:right w:val="none" w:sz="0" w:space="0" w:color="auto"/>
                  </w:divBdr>
                </w:div>
                <w:div w:id="387803027">
                  <w:marLeft w:val="0"/>
                  <w:marRight w:val="0"/>
                  <w:marTop w:val="0"/>
                  <w:marBottom w:val="0"/>
                  <w:divBdr>
                    <w:top w:val="none" w:sz="0" w:space="0" w:color="auto"/>
                    <w:left w:val="none" w:sz="0" w:space="0" w:color="auto"/>
                    <w:bottom w:val="none" w:sz="0" w:space="0" w:color="auto"/>
                    <w:right w:val="none" w:sz="0" w:space="0" w:color="auto"/>
                  </w:divBdr>
                </w:div>
                <w:div w:id="559294820">
                  <w:marLeft w:val="0"/>
                  <w:marRight w:val="0"/>
                  <w:marTop w:val="0"/>
                  <w:marBottom w:val="0"/>
                  <w:divBdr>
                    <w:top w:val="none" w:sz="0" w:space="0" w:color="auto"/>
                    <w:left w:val="none" w:sz="0" w:space="0" w:color="auto"/>
                    <w:bottom w:val="none" w:sz="0" w:space="0" w:color="auto"/>
                    <w:right w:val="none" w:sz="0" w:space="0" w:color="auto"/>
                  </w:divBdr>
                </w:div>
                <w:div w:id="598102228">
                  <w:marLeft w:val="0"/>
                  <w:marRight w:val="0"/>
                  <w:marTop w:val="0"/>
                  <w:marBottom w:val="0"/>
                  <w:divBdr>
                    <w:top w:val="none" w:sz="0" w:space="0" w:color="auto"/>
                    <w:left w:val="none" w:sz="0" w:space="0" w:color="auto"/>
                    <w:bottom w:val="none" w:sz="0" w:space="0" w:color="auto"/>
                    <w:right w:val="none" w:sz="0" w:space="0" w:color="auto"/>
                  </w:divBdr>
                </w:div>
                <w:div w:id="741879302">
                  <w:marLeft w:val="0"/>
                  <w:marRight w:val="0"/>
                  <w:marTop w:val="0"/>
                  <w:marBottom w:val="0"/>
                  <w:divBdr>
                    <w:top w:val="none" w:sz="0" w:space="0" w:color="auto"/>
                    <w:left w:val="none" w:sz="0" w:space="0" w:color="auto"/>
                    <w:bottom w:val="none" w:sz="0" w:space="0" w:color="auto"/>
                    <w:right w:val="none" w:sz="0" w:space="0" w:color="auto"/>
                  </w:divBdr>
                </w:div>
                <w:div w:id="935361533">
                  <w:marLeft w:val="0"/>
                  <w:marRight w:val="0"/>
                  <w:marTop w:val="0"/>
                  <w:marBottom w:val="0"/>
                  <w:divBdr>
                    <w:top w:val="none" w:sz="0" w:space="0" w:color="auto"/>
                    <w:left w:val="none" w:sz="0" w:space="0" w:color="auto"/>
                    <w:bottom w:val="none" w:sz="0" w:space="0" w:color="auto"/>
                    <w:right w:val="none" w:sz="0" w:space="0" w:color="auto"/>
                  </w:divBdr>
                </w:div>
                <w:div w:id="1076777806">
                  <w:marLeft w:val="0"/>
                  <w:marRight w:val="0"/>
                  <w:marTop w:val="0"/>
                  <w:marBottom w:val="0"/>
                  <w:divBdr>
                    <w:top w:val="none" w:sz="0" w:space="0" w:color="auto"/>
                    <w:left w:val="none" w:sz="0" w:space="0" w:color="auto"/>
                    <w:bottom w:val="none" w:sz="0" w:space="0" w:color="auto"/>
                    <w:right w:val="none" w:sz="0" w:space="0" w:color="auto"/>
                  </w:divBdr>
                </w:div>
                <w:div w:id="1261644021">
                  <w:marLeft w:val="0"/>
                  <w:marRight w:val="0"/>
                  <w:marTop w:val="0"/>
                  <w:marBottom w:val="0"/>
                  <w:divBdr>
                    <w:top w:val="none" w:sz="0" w:space="0" w:color="auto"/>
                    <w:left w:val="none" w:sz="0" w:space="0" w:color="auto"/>
                    <w:bottom w:val="none" w:sz="0" w:space="0" w:color="auto"/>
                    <w:right w:val="none" w:sz="0" w:space="0" w:color="auto"/>
                  </w:divBdr>
                </w:div>
                <w:div w:id="1262566805">
                  <w:marLeft w:val="0"/>
                  <w:marRight w:val="0"/>
                  <w:marTop w:val="0"/>
                  <w:marBottom w:val="0"/>
                  <w:divBdr>
                    <w:top w:val="none" w:sz="0" w:space="0" w:color="auto"/>
                    <w:left w:val="none" w:sz="0" w:space="0" w:color="auto"/>
                    <w:bottom w:val="none" w:sz="0" w:space="0" w:color="auto"/>
                    <w:right w:val="none" w:sz="0" w:space="0" w:color="auto"/>
                  </w:divBdr>
                </w:div>
                <w:div w:id="1385061546">
                  <w:marLeft w:val="0"/>
                  <w:marRight w:val="0"/>
                  <w:marTop w:val="0"/>
                  <w:marBottom w:val="0"/>
                  <w:divBdr>
                    <w:top w:val="none" w:sz="0" w:space="0" w:color="auto"/>
                    <w:left w:val="none" w:sz="0" w:space="0" w:color="auto"/>
                    <w:bottom w:val="none" w:sz="0" w:space="0" w:color="auto"/>
                    <w:right w:val="none" w:sz="0" w:space="0" w:color="auto"/>
                  </w:divBdr>
                </w:div>
                <w:div w:id="1751660016">
                  <w:marLeft w:val="0"/>
                  <w:marRight w:val="0"/>
                  <w:marTop w:val="0"/>
                  <w:marBottom w:val="0"/>
                  <w:divBdr>
                    <w:top w:val="none" w:sz="0" w:space="0" w:color="auto"/>
                    <w:left w:val="none" w:sz="0" w:space="0" w:color="auto"/>
                    <w:bottom w:val="none" w:sz="0" w:space="0" w:color="auto"/>
                    <w:right w:val="none" w:sz="0" w:space="0" w:color="auto"/>
                  </w:divBdr>
                </w:div>
                <w:div w:id="1764178128">
                  <w:marLeft w:val="0"/>
                  <w:marRight w:val="0"/>
                  <w:marTop w:val="0"/>
                  <w:marBottom w:val="0"/>
                  <w:divBdr>
                    <w:top w:val="none" w:sz="0" w:space="0" w:color="auto"/>
                    <w:left w:val="none" w:sz="0" w:space="0" w:color="auto"/>
                    <w:bottom w:val="none" w:sz="0" w:space="0" w:color="auto"/>
                    <w:right w:val="none" w:sz="0" w:space="0" w:color="auto"/>
                  </w:divBdr>
                </w:div>
                <w:div w:id="1889221606">
                  <w:marLeft w:val="0"/>
                  <w:marRight w:val="0"/>
                  <w:marTop w:val="0"/>
                  <w:marBottom w:val="0"/>
                  <w:divBdr>
                    <w:top w:val="none" w:sz="0" w:space="0" w:color="auto"/>
                    <w:left w:val="none" w:sz="0" w:space="0" w:color="auto"/>
                    <w:bottom w:val="none" w:sz="0" w:space="0" w:color="auto"/>
                    <w:right w:val="none" w:sz="0" w:space="0" w:color="auto"/>
                  </w:divBdr>
                </w:div>
                <w:div w:id="197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6701">
          <w:marLeft w:val="0"/>
          <w:marRight w:val="0"/>
          <w:marTop w:val="15"/>
          <w:marBottom w:val="0"/>
          <w:divBdr>
            <w:top w:val="none" w:sz="0" w:space="0" w:color="auto"/>
            <w:left w:val="none" w:sz="0" w:space="0" w:color="auto"/>
            <w:bottom w:val="none" w:sz="0" w:space="0" w:color="auto"/>
            <w:right w:val="none" w:sz="0" w:space="0" w:color="auto"/>
          </w:divBdr>
          <w:divsChild>
            <w:div w:id="437994684">
              <w:marLeft w:val="0"/>
              <w:marRight w:val="0"/>
              <w:marTop w:val="0"/>
              <w:marBottom w:val="0"/>
              <w:divBdr>
                <w:top w:val="none" w:sz="0" w:space="0" w:color="auto"/>
                <w:left w:val="none" w:sz="0" w:space="0" w:color="auto"/>
                <w:bottom w:val="none" w:sz="0" w:space="0" w:color="auto"/>
                <w:right w:val="none" w:sz="0" w:space="0" w:color="auto"/>
              </w:divBdr>
              <w:divsChild>
                <w:div w:id="45881440">
                  <w:marLeft w:val="0"/>
                  <w:marRight w:val="0"/>
                  <w:marTop w:val="0"/>
                  <w:marBottom w:val="0"/>
                  <w:divBdr>
                    <w:top w:val="none" w:sz="0" w:space="0" w:color="auto"/>
                    <w:left w:val="none" w:sz="0" w:space="0" w:color="auto"/>
                    <w:bottom w:val="none" w:sz="0" w:space="0" w:color="auto"/>
                    <w:right w:val="none" w:sz="0" w:space="0" w:color="auto"/>
                  </w:divBdr>
                </w:div>
                <w:div w:id="46269894">
                  <w:marLeft w:val="0"/>
                  <w:marRight w:val="0"/>
                  <w:marTop w:val="0"/>
                  <w:marBottom w:val="0"/>
                  <w:divBdr>
                    <w:top w:val="none" w:sz="0" w:space="0" w:color="auto"/>
                    <w:left w:val="none" w:sz="0" w:space="0" w:color="auto"/>
                    <w:bottom w:val="none" w:sz="0" w:space="0" w:color="auto"/>
                    <w:right w:val="none" w:sz="0" w:space="0" w:color="auto"/>
                  </w:divBdr>
                </w:div>
                <w:div w:id="203256245">
                  <w:marLeft w:val="0"/>
                  <w:marRight w:val="0"/>
                  <w:marTop w:val="0"/>
                  <w:marBottom w:val="0"/>
                  <w:divBdr>
                    <w:top w:val="none" w:sz="0" w:space="0" w:color="auto"/>
                    <w:left w:val="none" w:sz="0" w:space="0" w:color="auto"/>
                    <w:bottom w:val="none" w:sz="0" w:space="0" w:color="auto"/>
                    <w:right w:val="none" w:sz="0" w:space="0" w:color="auto"/>
                  </w:divBdr>
                </w:div>
                <w:div w:id="550574665">
                  <w:marLeft w:val="0"/>
                  <w:marRight w:val="0"/>
                  <w:marTop w:val="0"/>
                  <w:marBottom w:val="0"/>
                  <w:divBdr>
                    <w:top w:val="none" w:sz="0" w:space="0" w:color="auto"/>
                    <w:left w:val="none" w:sz="0" w:space="0" w:color="auto"/>
                    <w:bottom w:val="none" w:sz="0" w:space="0" w:color="auto"/>
                    <w:right w:val="none" w:sz="0" w:space="0" w:color="auto"/>
                  </w:divBdr>
                </w:div>
                <w:div w:id="597786307">
                  <w:marLeft w:val="0"/>
                  <w:marRight w:val="0"/>
                  <w:marTop w:val="0"/>
                  <w:marBottom w:val="0"/>
                  <w:divBdr>
                    <w:top w:val="none" w:sz="0" w:space="0" w:color="auto"/>
                    <w:left w:val="none" w:sz="0" w:space="0" w:color="auto"/>
                    <w:bottom w:val="none" w:sz="0" w:space="0" w:color="auto"/>
                    <w:right w:val="none" w:sz="0" w:space="0" w:color="auto"/>
                  </w:divBdr>
                </w:div>
                <w:div w:id="718237511">
                  <w:marLeft w:val="0"/>
                  <w:marRight w:val="0"/>
                  <w:marTop w:val="0"/>
                  <w:marBottom w:val="0"/>
                  <w:divBdr>
                    <w:top w:val="none" w:sz="0" w:space="0" w:color="auto"/>
                    <w:left w:val="none" w:sz="0" w:space="0" w:color="auto"/>
                    <w:bottom w:val="none" w:sz="0" w:space="0" w:color="auto"/>
                    <w:right w:val="none" w:sz="0" w:space="0" w:color="auto"/>
                  </w:divBdr>
                </w:div>
                <w:div w:id="727612448">
                  <w:marLeft w:val="0"/>
                  <w:marRight w:val="0"/>
                  <w:marTop w:val="0"/>
                  <w:marBottom w:val="0"/>
                  <w:divBdr>
                    <w:top w:val="none" w:sz="0" w:space="0" w:color="auto"/>
                    <w:left w:val="none" w:sz="0" w:space="0" w:color="auto"/>
                    <w:bottom w:val="none" w:sz="0" w:space="0" w:color="auto"/>
                    <w:right w:val="none" w:sz="0" w:space="0" w:color="auto"/>
                  </w:divBdr>
                </w:div>
                <w:div w:id="733510099">
                  <w:marLeft w:val="0"/>
                  <w:marRight w:val="0"/>
                  <w:marTop w:val="0"/>
                  <w:marBottom w:val="0"/>
                  <w:divBdr>
                    <w:top w:val="none" w:sz="0" w:space="0" w:color="auto"/>
                    <w:left w:val="none" w:sz="0" w:space="0" w:color="auto"/>
                    <w:bottom w:val="none" w:sz="0" w:space="0" w:color="auto"/>
                    <w:right w:val="none" w:sz="0" w:space="0" w:color="auto"/>
                  </w:divBdr>
                </w:div>
                <w:div w:id="1000347888">
                  <w:marLeft w:val="0"/>
                  <w:marRight w:val="0"/>
                  <w:marTop w:val="0"/>
                  <w:marBottom w:val="0"/>
                  <w:divBdr>
                    <w:top w:val="none" w:sz="0" w:space="0" w:color="auto"/>
                    <w:left w:val="none" w:sz="0" w:space="0" w:color="auto"/>
                    <w:bottom w:val="none" w:sz="0" w:space="0" w:color="auto"/>
                    <w:right w:val="none" w:sz="0" w:space="0" w:color="auto"/>
                  </w:divBdr>
                </w:div>
                <w:div w:id="1107388749">
                  <w:marLeft w:val="0"/>
                  <w:marRight w:val="0"/>
                  <w:marTop w:val="0"/>
                  <w:marBottom w:val="0"/>
                  <w:divBdr>
                    <w:top w:val="none" w:sz="0" w:space="0" w:color="auto"/>
                    <w:left w:val="none" w:sz="0" w:space="0" w:color="auto"/>
                    <w:bottom w:val="none" w:sz="0" w:space="0" w:color="auto"/>
                    <w:right w:val="none" w:sz="0" w:space="0" w:color="auto"/>
                  </w:divBdr>
                </w:div>
                <w:div w:id="1142622038">
                  <w:marLeft w:val="0"/>
                  <w:marRight w:val="0"/>
                  <w:marTop w:val="0"/>
                  <w:marBottom w:val="0"/>
                  <w:divBdr>
                    <w:top w:val="none" w:sz="0" w:space="0" w:color="auto"/>
                    <w:left w:val="none" w:sz="0" w:space="0" w:color="auto"/>
                    <w:bottom w:val="none" w:sz="0" w:space="0" w:color="auto"/>
                    <w:right w:val="none" w:sz="0" w:space="0" w:color="auto"/>
                  </w:divBdr>
                </w:div>
                <w:div w:id="1176113122">
                  <w:marLeft w:val="0"/>
                  <w:marRight w:val="0"/>
                  <w:marTop w:val="0"/>
                  <w:marBottom w:val="0"/>
                  <w:divBdr>
                    <w:top w:val="none" w:sz="0" w:space="0" w:color="auto"/>
                    <w:left w:val="none" w:sz="0" w:space="0" w:color="auto"/>
                    <w:bottom w:val="none" w:sz="0" w:space="0" w:color="auto"/>
                    <w:right w:val="none" w:sz="0" w:space="0" w:color="auto"/>
                  </w:divBdr>
                </w:div>
                <w:div w:id="1183789079">
                  <w:marLeft w:val="0"/>
                  <w:marRight w:val="0"/>
                  <w:marTop w:val="0"/>
                  <w:marBottom w:val="0"/>
                  <w:divBdr>
                    <w:top w:val="none" w:sz="0" w:space="0" w:color="auto"/>
                    <w:left w:val="none" w:sz="0" w:space="0" w:color="auto"/>
                    <w:bottom w:val="none" w:sz="0" w:space="0" w:color="auto"/>
                    <w:right w:val="none" w:sz="0" w:space="0" w:color="auto"/>
                  </w:divBdr>
                </w:div>
                <w:div w:id="1281842008">
                  <w:marLeft w:val="0"/>
                  <w:marRight w:val="0"/>
                  <w:marTop w:val="0"/>
                  <w:marBottom w:val="0"/>
                  <w:divBdr>
                    <w:top w:val="none" w:sz="0" w:space="0" w:color="auto"/>
                    <w:left w:val="none" w:sz="0" w:space="0" w:color="auto"/>
                    <w:bottom w:val="none" w:sz="0" w:space="0" w:color="auto"/>
                    <w:right w:val="none" w:sz="0" w:space="0" w:color="auto"/>
                  </w:divBdr>
                </w:div>
                <w:div w:id="1448425173">
                  <w:marLeft w:val="0"/>
                  <w:marRight w:val="0"/>
                  <w:marTop w:val="0"/>
                  <w:marBottom w:val="0"/>
                  <w:divBdr>
                    <w:top w:val="none" w:sz="0" w:space="0" w:color="auto"/>
                    <w:left w:val="none" w:sz="0" w:space="0" w:color="auto"/>
                    <w:bottom w:val="none" w:sz="0" w:space="0" w:color="auto"/>
                    <w:right w:val="none" w:sz="0" w:space="0" w:color="auto"/>
                  </w:divBdr>
                </w:div>
                <w:div w:id="1561595400">
                  <w:marLeft w:val="0"/>
                  <w:marRight w:val="0"/>
                  <w:marTop w:val="0"/>
                  <w:marBottom w:val="0"/>
                  <w:divBdr>
                    <w:top w:val="none" w:sz="0" w:space="0" w:color="auto"/>
                    <w:left w:val="none" w:sz="0" w:space="0" w:color="auto"/>
                    <w:bottom w:val="none" w:sz="0" w:space="0" w:color="auto"/>
                    <w:right w:val="none" w:sz="0" w:space="0" w:color="auto"/>
                  </w:divBdr>
                </w:div>
                <w:div w:id="1634285516">
                  <w:marLeft w:val="0"/>
                  <w:marRight w:val="0"/>
                  <w:marTop w:val="0"/>
                  <w:marBottom w:val="0"/>
                  <w:divBdr>
                    <w:top w:val="none" w:sz="0" w:space="0" w:color="auto"/>
                    <w:left w:val="none" w:sz="0" w:space="0" w:color="auto"/>
                    <w:bottom w:val="none" w:sz="0" w:space="0" w:color="auto"/>
                    <w:right w:val="none" w:sz="0" w:space="0" w:color="auto"/>
                  </w:divBdr>
                </w:div>
                <w:div w:id="1681934654">
                  <w:marLeft w:val="0"/>
                  <w:marRight w:val="0"/>
                  <w:marTop w:val="0"/>
                  <w:marBottom w:val="0"/>
                  <w:divBdr>
                    <w:top w:val="none" w:sz="0" w:space="0" w:color="auto"/>
                    <w:left w:val="none" w:sz="0" w:space="0" w:color="auto"/>
                    <w:bottom w:val="none" w:sz="0" w:space="0" w:color="auto"/>
                    <w:right w:val="none" w:sz="0" w:space="0" w:color="auto"/>
                  </w:divBdr>
                </w:div>
                <w:div w:id="1700083124">
                  <w:marLeft w:val="0"/>
                  <w:marRight w:val="0"/>
                  <w:marTop w:val="0"/>
                  <w:marBottom w:val="0"/>
                  <w:divBdr>
                    <w:top w:val="none" w:sz="0" w:space="0" w:color="auto"/>
                    <w:left w:val="none" w:sz="0" w:space="0" w:color="auto"/>
                    <w:bottom w:val="none" w:sz="0" w:space="0" w:color="auto"/>
                    <w:right w:val="none" w:sz="0" w:space="0" w:color="auto"/>
                  </w:divBdr>
                </w:div>
                <w:div w:id="1738358484">
                  <w:marLeft w:val="0"/>
                  <w:marRight w:val="0"/>
                  <w:marTop w:val="0"/>
                  <w:marBottom w:val="0"/>
                  <w:divBdr>
                    <w:top w:val="none" w:sz="0" w:space="0" w:color="auto"/>
                    <w:left w:val="none" w:sz="0" w:space="0" w:color="auto"/>
                    <w:bottom w:val="none" w:sz="0" w:space="0" w:color="auto"/>
                    <w:right w:val="none" w:sz="0" w:space="0" w:color="auto"/>
                  </w:divBdr>
                </w:div>
                <w:div w:id="1827160467">
                  <w:marLeft w:val="0"/>
                  <w:marRight w:val="0"/>
                  <w:marTop w:val="0"/>
                  <w:marBottom w:val="0"/>
                  <w:divBdr>
                    <w:top w:val="none" w:sz="0" w:space="0" w:color="auto"/>
                    <w:left w:val="none" w:sz="0" w:space="0" w:color="auto"/>
                    <w:bottom w:val="none" w:sz="0" w:space="0" w:color="auto"/>
                    <w:right w:val="none" w:sz="0" w:space="0" w:color="auto"/>
                  </w:divBdr>
                </w:div>
                <w:div w:id="1907376277">
                  <w:marLeft w:val="0"/>
                  <w:marRight w:val="0"/>
                  <w:marTop w:val="0"/>
                  <w:marBottom w:val="0"/>
                  <w:divBdr>
                    <w:top w:val="none" w:sz="0" w:space="0" w:color="auto"/>
                    <w:left w:val="none" w:sz="0" w:space="0" w:color="auto"/>
                    <w:bottom w:val="none" w:sz="0" w:space="0" w:color="auto"/>
                    <w:right w:val="none" w:sz="0" w:space="0" w:color="auto"/>
                  </w:divBdr>
                </w:div>
                <w:div w:id="1909535917">
                  <w:marLeft w:val="0"/>
                  <w:marRight w:val="0"/>
                  <w:marTop w:val="0"/>
                  <w:marBottom w:val="0"/>
                  <w:divBdr>
                    <w:top w:val="none" w:sz="0" w:space="0" w:color="auto"/>
                    <w:left w:val="none" w:sz="0" w:space="0" w:color="auto"/>
                    <w:bottom w:val="none" w:sz="0" w:space="0" w:color="auto"/>
                    <w:right w:val="none" w:sz="0" w:space="0" w:color="auto"/>
                  </w:divBdr>
                </w:div>
                <w:div w:id="1913272186">
                  <w:marLeft w:val="0"/>
                  <w:marRight w:val="0"/>
                  <w:marTop w:val="0"/>
                  <w:marBottom w:val="0"/>
                  <w:divBdr>
                    <w:top w:val="none" w:sz="0" w:space="0" w:color="auto"/>
                    <w:left w:val="none" w:sz="0" w:space="0" w:color="auto"/>
                    <w:bottom w:val="none" w:sz="0" w:space="0" w:color="auto"/>
                    <w:right w:val="none" w:sz="0" w:space="0" w:color="auto"/>
                  </w:divBdr>
                </w:div>
                <w:div w:id="1990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9373">
          <w:marLeft w:val="0"/>
          <w:marRight w:val="0"/>
          <w:marTop w:val="15"/>
          <w:marBottom w:val="0"/>
          <w:divBdr>
            <w:top w:val="none" w:sz="0" w:space="0" w:color="auto"/>
            <w:left w:val="none" w:sz="0" w:space="0" w:color="auto"/>
            <w:bottom w:val="none" w:sz="0" w:space="0" w:color="auto"/>
            <w:right w:val="none" w:sz="0" w:space="0" w:color="auto"/>
          </w:divBdr>
          <w:divsChild>
            <w:div w:id="312178556">
              <w:marLeft w:val="0"/>
              <w:marRight w:val="0"/>
              <w:marTop w:val="0"/>
              <w:marBottom w:val="0"/>
              <w:divBdr>
                <w:top w:val="none" w:sz="0" w:space="0" w:color="auto"/>
                <w:left w:val="none" w:sz="0" w:space="0" w:color="auto"/>
                <w:bottom w:val="none" w:sz="0" w:space="0" w:color="auto"/>
                <w:right w:val="none" w:sz="0" w:space="0" w:color="auto"/>
              </w:divBdr>
              <w:divsChild>
                <w:div w:id="17052832">
                  <w:marLeft w:val="0"/>
                  <w:marRight w:val="0"/>
                  <w:marTop w:val="0"/>
                  <w:marBottom w:val="0"/>
                  <w:divBdr>
                    <w:top w:val="none" w:sz="0" w:space="0" w:color="auto"/>
                    <w:left w:val="none" w:sz="0" w:space="0" w:color="auto"/>
                    <w:bottom w:val="none" w:sz="0" w:space="0" w:color="auto"/>
                    <w:right w:val="none" w:sz="0" w:space="0" w:color="auto"/>
                  </w:divBdr>
                </w:div>
                <w:div w:id="251087336">
                  <w:marLeft w:val="0"/>
                  <w:marRight w:val="0"/>
                  <w:marTop w:val="0"/>
                  <w:marBottom w:val="0"/>
                  <w:divBdr>
                    <w:top w:val="none" w:sz="0" w:space="0" w:color="auto"/>
                    <w:left w:val="none" w:sz="0" w:space="0" w:color="auto"/>
                    <w:bottom w:val="none" w:sz="0" w:space="0" w:color="auto"/>
                    <w:right w:val="none" w:sz="0" w:space="0" w:color="auto"/>
                  </w:divBdr>
                </w:div>
                <w:div w:id="397627844">
                  <w:marLeft w:val="0"/>
                  <w:marRight w:val="0"/>
                  <w:marTop w:val="0"/>
                  <w:marBottom w:val="0"/>
                  <w:divBdr>
                    <w:top w:val="none" w:sz="0" w:space="0" w:color="auto"/>
                    <w:left w:val="none" w:sz="0" w:space="0" w:color="auto"/>
                    <w:bottom w:val="none" w:sz="0" w:space="0" w:color="auto"/>
                    <w:right w:val="none" w:sz="0" w:space="0" w:color="auto"/>
                  </w:divBdr>
                </w:div>
                <w:div w:id="653488949">
                  <w:marLeft w:val="0"/>
                  <w:marRight w:val="0"/>
                  <w:marTop w:val="0"/>
                  <w:marBottom w:val="0"/>
                  <w:divBdr>
                    <w:top w:val="none" w:sz="0" w:space="0" w:color="auto"/>
                    <w:left w:val="none" w:sz="0" w:space="0" w:color="auto"/>
                    <w:bottom w:val="none" w:sz="0" w:space="0" w:color="auto"/>
                    <w:right w:val="none" w:sz="0" w:space="0" w:color="auto"/>
                  </w:divBdr>
                </w:div>
                <w:div w:id="680669651">
                  <w:marLeft w:val="0"/>
                  <w:marRight w:val="0"/>
                  <w:marTop w:val="0"/>
                  <w:marBottom w:val="0"/>
                  <w:divBdr>
                    <w:top w:val="none" w:sz="0" w:space="0" w:color="auto"/>
                    <w:left w:val="none" w:sz="0" w:space="0" w:color="auto"/>
                    <w:bottom w:val="none" w:sz="0" w:space="0" w:color="auto"/>
                    <w:right w:val="none" w:sz="0" w:space="0" w:color="auto"/>
                  </w:divBdr>
                </w:div>
                <w:div w:id="701131708">
                  <w:marLeft w:val="0"/>
                  <w:marRight w:val="0"/>
                  <w:marTop w:val="0"/>
                  <w:marBottom w:val="0"/>
                  <w:divBdr>
                    <w:top w:val="none" w:sz="0" w:space="0" w:color="auto"/>
                    <w:left w:val="none" w:sz="0" w:space="0" w:color="auto"/>
                    <w:bottom w:val="none" w:sz="0" w:space="0" w:color="auto"/>
                    <w:right w:val="none" w:sz="0" w:space="0" w:color="auto"/>
                  </w:divBdr>
                </w:div>
                <w:div w:id="756947762">
                  <w:marLeft w:val="0"/>
                  <w:marRight w:val="0"/>
                  <w:marTop w:val="0"/>
                  <w:marBottom w:val="0"/>
                  <w:divBdr>
                    <w:top w:val="none" w:sz="0" w:space="0" w:color="auto"/>
                    <w:left w:val="none" w:sz="0" w:space="0" w:color="auto"/>
                    <w:bottom w:val="none" w:sz="0" w:space="0" w:color="auto"/>
                    <w:right w:val="none" w:sz="0" w:space="0" w:color="auto"/>
                  </w:divBdr>
                </w:div>
                <w:div w:id="793402165">
                  <w:marLeft w:val="0"/>
                  <w:marRight w:val="0"/>
                  <w:marTop w:val="0"/>
                  <w:marBottom w:val="0"/>
                  <w:divBdr>
                    <w:top w:val="none" w:sz="0" w:space="0" w:color="auto"/>
                    <w:left w:val="none" w:sz="0" w:space="0" w:color="auto"/>
                    <w:bottom w:val="none" w:sz="0" w:space="0" w:color="auto"/>
                    <w:right w:val="none" w:sz="0" w:space="0" w:color="auto"/>
                  </w:divBdr>
                </w:div>
                <w:div w:id="1002123109">
                  <w:marLeft w:val="0"/>
                  <w:marRight w:val="0"/>
                  <w:marTop w:val="0"/>
                  <w:marBottom w:val="0"/>
                  <w:divBdr>
                    <w:top w:val="none" w:sz="0" w:space="0" w:color="auto"/>
                    <w:left w:val="none" w:sz="0" w:space="0" w:color="auto"/>
                    <w:bottom w:val="none" w:sz="0" w:space="0" w:color="auto"/>
                    <w:right w:val="none" w:sz="0" w:space="0" w:color="auto"/>
                  </w:divBdr>
                </w:div>
                <w:div w:id="1003627499">
                  <w:marLeft w:val="0"/>
                  <w:marRight w:val="0"/>
                  <w:marTop w:val="0"/>
                  <w:marBottom w:val="0"/>
                  <w:divBdr>
                    <w:top w:val="none" w:sz="0" w:space="0" w:color="auto"/>
                    <w:left w:val="none" w:sz="0" w:space="0" w:color="auto"/>
                    <w:bottom w:val="none" w:sz="0" w:space="0" w:color="auto"/>
                    <w:right w:val="none" w:sz="0" w:space="0" w:color="auto"/>
                  </w:divBdr>
                </w:div>
                <w:div w:id="1049647589">
                  <w:marLeft w:val="0"/>
                  <w:marRight w:val="0"/>
                  <w:marTop w:val="0"/>
                  <w:marBottom w:val="0"/>
                  <w:divBdr>
                    <w:top w:val="none" w:sz="0" w:space="0" w:color="auto"/>
                    <w:left w:val="none" w:sz="0" w:space="0" w:color="auto"/>
                    <w:bottom w:val="none" w:sz="0" w:space="0" w:color="auto"/>
                    <w:right w:val="none" w:sz="0" w:space="0" w:color="auto"/>
                  </w:divBdr>
                </w:div>
                <w:div w:id="1166091187">
                  <w:marLeft w:val="0"/>
                  <w:marRight w:val="0"/>
                  <w:marTop w:val="0"/>
                  <w:marBottom w:val="0"/>
                  <w:divBdr>
                    <w:top w:val="none" w:sz="0" w:space="0" w:color="auto"/>
                    <w:left w:val="none" w:sz="0" w:space="0" w:color="auto"/>
                    <w:bottom w:val="none" w:sz="0" w:space="0" w:color="auto"/>
                    <w:right w:val="none" w:sz="0" w:space="0" w:color="auto"/>
                  </w:divBdr>
                </w:div>
                <w:div w:id="1230000124">
                  <w:marLeft w:val="0"/>
                  <w:marRight w:val="0"/>
                  <w:marTop w:val="0"/>
                  <w:marBottom w:val="0"/>
                  <w:divBdr>
                    <w:top w:val="none" w:sz="0" w:space="0" w:color="auto"/>
                    <w:left w:val="none" w:sz="0" w:space="0" w:color="auto"/>
                    <w:bottom w:val="none" w:sz="0" w:space="0" w:color="auto"/>
                    <w:right w:val="none" w:sz="0" w:space="0" w:color="auto"/>
                  </w:divBdr>
                </w:div>
                <w:div w:id="1317153219">
                  <w:marLeft w:val="0"/>
                  <w:marRight w:val="0"/>
                  <w:marTop w:val="0"/>
                  <w:marBottom w:val="0"/>
                  <w:divBdr>
                    <w:top w:val="none" w:sz="0" w:space="0" w:color="auto"/>
                    <w:left w:val="none" w:sz="0" w:space="0" w:color="auto"/>
                    <w:bottom w:val="none" w:sz="0" w:space="0" w:color="auto"/>
                    <w:right w:val="none" w:sz="0" w:space="0" w:color="auto"/>
                  </w:divBdr>
                </w:div>
                <w:div w:id="1369993013">
                  <w:marLeft w:val="0"/>
                  <w:marRight w:val="0"/>
                  <w:marTop w:val="0"/>
                  <w:marBottom w:val="0"/>
                  <w:divBdr>
                    <w:top w:val="none" w:sz="0" w:space="0" w:color="auto"/>
                    <w:left w:val="none" w:sz="0" w:space="0" w:color="auto"/>
                    <w:bottom w:val="none" w:sz="0" w:space="0" w:color="auto"/>
                    <w:right w:val="none" w:sz="0" w:space="0" w:color="auto"/>
                  </w:divBdr>
                </w:div>
                <w:div w:id="1469126431">
                  <w:marLeft w:val="0"/>
                  <w:marRight w:val="0"/>
                  <w:marTop w:val="0"/>
                  <w:marBottom w:val="0"/>
                  <w:divBdr>
                    <w:top w:val="none" w:sz="0" w:space="0" w:color="auto"/>
                    <w:left w:val="none" w:sz="0" w:space="0" w:color="auto"/>
                    <w:bottom w:val="none" w:sz="0" w:space="0" w:color="auto"/>
                    <w:right w:val="none" w:sz="0" w:space="0" w:color="auto"/>
                  </w:divBdr>
                </w:div>
                <w:div w:id="1497722466">
                  <w:marLeft w:val="0"/>
                  <w:marRight w:val="0"/>
                  <w:marTop w:val="0"/>
                  <w:marBottom w:val="0"/>
                  <w:divBdr>
                    <w:top w:val="none" w:sz="0" w:space="0" w:color="auto"/>
                    <w:left w:val="none" w:sz="0" w:space="0" w:color="auto"/>
                    <w:bottom w:val="none" w:sz="0" w:space="0" w:color="auto"/>
                    <w:right w:val="none" w:sz="0" w:space="0" w:color="auto"/>
                  </w:divBdr>
                </w:div>
                <w:div w:id="1685671536">
                  <w:marLeft w:val="0"/>
                  <w:marRight w:val="0"/>
                  <w:marTop w:val="0"/>
                  <w:marBottom w:val="0"/>
                  <w:divBdr>
                    <w:top w:val="none" w:sz="0" w:space="0" w:color="auto"/>
                    <w:left w:val="none" w:sz="0" w:space="0" w:color="auto"/>
                    <w:bottom w:val="none" w:sz="0" w:space="0" w:color="auto"/>
                    <w:right w:val="none" w:sz="0" w:space="0" w:color="auto"/>
                  </w:divBdr>
                </w:div>
                <w:div w:id="1822194408">
                  <w:marLeft w:val="0"/>
                  <w:marRight w:val="0"/>
                  <w:marTop w:val="0"/>
                  <w:marBottom w:val="0"/>
                  <w:divBdr>
                    <w:top w:val="none" w:sz="0" w:space="0" w:color="auto"/>
                    <w:left w:val="none" w:sz="0" w:space="0" w:color="auto"/>
                    <w:bottom w:val="none" w:sz="0" w:space="0" w:color="auto"/>
                    <w:right w:val="none" w:sz="0" w:space="0" w:color="auto"/>
                  </w:divBdr>
                </w:div>
                <w:div w:id="1843232272">
                  <w:marLeft w:val="0"/>
                  <w:marRight w:val="0"/>
                  <w:marTop w:val="0"/>
                  <w:marBottom w:val="0"/>
                  <w:divBdr>
                    <w:top w:val="none" w:sz="0" w:space="0" w:color="auto"/>
                    <w:left w:val="none" w:sz="0" w:space="0" w:color="auto"/>
                    <w:bottom w:val="none" w:sz="0" w:space="0" w:color="auto"/>
                    <w:right w:val="none" w:sz="0" w:space="0" w:color="auto"/>
                  </w:divBdr>
                </w:div>
                <w:div w:id="1844319728">
                  <w:marLeft w:val="0"/>
                  <w:marRight w:val="0"/>
                  <w:marTop w:val="0"/>
                  <w:marBottom w:val="0"/>
                  <w:divBdr>
                    <w:top w:val="none" w:sz="0" w:space="0" w:color="auto"/>
                    <w:left w:val="none" w:sz="0" w:space="0" w:color="auto"/>
                    <w:bottom w:val="none" w:sz="0" w:space="0" w:color="auto"/>
                    <w:right w:val="none" w:sz="0" w:space="0" w:color="auto"/>
                  </w:divBdr>
                </w:div>
                <w:div w:id="1897010033">
                  <w:marLeft w:val="0"/>
                  <w:marRight w:val="0"/>
                  <w:marTop w:val="0"/>
                  <w:marBottom w:val="0"/>
                  <w:divBdr>
                    <w:top w:val="none" w:sz="0" w:space="0" w:color="auto"/>
                    <w:left w:val="none" w:sz="0" w:space="0" w:color="auto"/>
                    <w:bottom w:val="none" w:sz="0" w:space="0" w:color="auto"/>
                    <w:right w:val="none" w:sz="0" w:space="0" w:color="auto"/>
                  </w:divBdr>
                </w:div>
                <w:div w:id="1966038926">
                  <w:marLeft w:val="0"/>
                  <w:marRight w:val="0"/>
                  <w:marTop w:val="0"/>
                  <w:marBottom w:val="0"/>
                  <w:divBdr>
                    <w:top w:val="none" w:sz="0" w:space="0" w:color="auto"/>
                    <w:left w:val="none" w:sz="0" w:space="0" w:color="auto"/>
                    <w:bottom w:val="none" w:sz="0" w:space="0" w:color="auto"/>
                    <w:right w:val="none" w:sz="0" w:space="0" w:color="auto"/>
                  </w:divBdr>
                </w:div>
                <w:div w:id="1977443385">
                  <w:marLeft w:val="0"/>
                  <w:marRight w:val="0"/>
                  <w:marTop w:val="0"/>
                  <w:marBottom w:val="0"/>
                  <w:divBdr>
                    <w:top w:val="none" w:sz="0" w:space="0" w:color="auto"/>
                    <w:left w:val="none" w:sz="0" w:space="0" w:color="auto"/>
                    <w:bottom w:val="none" w:sz="0" w:space="0" w:color="auto"/>
                    <w:right w:val="none" w:sz="0" w:space="0" w:color="auto"/>
                  </w:divBdr>
                </w:div>
                <w:div w:id="2005234891">
                  <w:marLeft w:val="0"/>
                  <w:marRight w:val="0"/>
                  <w:marTop w:val="0"/>
                  <w:marBottom w:val="0"/>
                  <w:divBdr>
                    <w:top w:val="none" w:sz="0" w:space="0" w:color="auto"/>
                    <w:left w:val="none" w:sz="0" w:space="0" w:color="auto"/>
                    <w:bottom w:val="none" w:sz="0" w:space="0" w:color="auto"/>
                    <w:right w:val="none" w:sz="0" w:space="0" w:color="auto"/>
                  </w:divBdr>
                </w:div>
                <w:div w:id="2008706402">
                  <w:marLeft w:val="0"/>
                  <w:marRight w:val="0"/>
                  <w:marTop w:val="0"/>
                  <w:marBottom w:val="0"/>
                  <w:divBdr>
                    <w:top w:val="none" w:sz="0" w:space="0" w:color="auto"/>
                    <w:left w:val="none" w:sz="0" w:space="0" w:color="auto"/>
                    <w:bottom w:val="none" w:sz="0" w:space="0" w:color="auto"/>
                    <w:right w:val="none" w:sz="0" w:space="0" w:color="auto"/>
                  </w:divBdr>
                </w:div>
                <w:div w:id="2029869359">
                  <w:marLeft w:val="0"/>
                  <w:marRight w:val="0"/>
                  <w:marTop w:val="0"/>
                  <w:marBottom w:val="0"/>
                  <w:divBdr>
                    <w:top w:val="none" w:sz="0" w:space="0" w:color="auto"/>
                    <w:left w:val="none" w:sz="0" w:space="0" w:color="auto"/>
                    <w:bottom w:val="none" w:sz="0" w:space="0" w:color="auto"/>
                    <w:right w:val="none" w:sz="0" w:space="0" w:color="auto"/>
                  </w:divBdr>
                </w:div>
                <w:div w:id="2101677127">
                  <w:marLeft w:val="0"/>
                  <w:marRight w:val="0"/>
                  <w:marTop w:val="0"/>
                  <w:marBottom w:val="0"/>
                  <w:divBdr>
                    <w:top w:val="none" w:sz="0" w:space="0" w:color="auto"/>
                    <w:left w:val="none" w:sz="0" w:space="0" w:color="auto"/>
                    <w:bottom w:val="none" w:sz="0" w:space="0" w:color="auto"/>
                    <w:right w:val="none" w:sz="0" w:space="0" w:color="auto"/>
                  </w:divBdr>
                </w:div>
                <w:div w:id="21351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547">
          <w:marLeft w:val="0"/>
          <w:marRight w:val="0"/>
          <w:marTop w:val="15"/>
          <w:marBottom w:val="0"/>
          <w:divBdr>
            <w:top w:val="none" w:sz="0" w:space="0" w:color="auto"/>
            <w:left w:val="none" w:sz="0" w:space="0" w:color="auto"/>
            <w:bottom w:val="none" w:sz="0" w:space="0" w:color="auto"/>
            <w:right w:val="none" w:sz="0" w:space="0" w:color="auto"/>
          </w:divBdr>
          <w:divsChild>
            <w:div w:id="603613835">
              <w:marLeft w:val="0"/>
              <w:marRight w:val="0"/>
              <w:marTop w:val="0"/>
              <w:marBottom w:val="0"/>
              <w:divBdr>
                <w:top w:val="none" w:sz="0" w:space="0" w:color="auto"/>
                <w:left w:val="none" w:sz="0" w:space="0" w:color="auto"/>
                <w:bottom w:val="none" w:sz="0" w:space="0" w:color="auto"/>
                <w:right w:val="none" w:sz="0" w:space="0" w:color="auto"/>
              </w:divBdr>
              <w:divsChild>
                <w:div w:id="20208135">
                  <w:marLeft w:val="0"/>
                  <w:marRight w:val="0"/>
                  <w:marTop w:val="0"/>
                  <w:marBottom w:val="0"/>
                  <w:divBdr>
                    <w:top w:val="none" w:sz="0" w:space="0" w:color="auto"/>
                    <w:left w:val="none" w:sz="0" w:space="0" w:color="auto"/>
                    <w:bottom w:val="none" w:sz="0" w:space="0" w:color="auto"/>
                    <w:right w:val="none" w:sz="0" w:space="0" w:color="auto"/>
                  </w:divBdr>
                </w:div>
                <w:div w:id="76749425">
                  <w:marLeft w:val="0"/>
                  <w:marRight w:val="0"/>
                  <w:marTop w:val="0"/>
                  <w:marBottom w:val="0"/>
                  <w:divBdr>
                    <w:top w:val="none" w:sz="0" w:space="0" w:color="auto"/>
                    <w:left w:val="none" w:sz="0" w:space="0" w:color="auto"/>
                    <w:bottom w:val="none" w:sz="0" w:space="0" w:color="auto"/>
                    <w:right w:val="none" w:sz="0" w:space="0" w:color="auto"/>
                  </w:divBdr>
                </w:div>
                <w:div w:id="158927234">
                  <w:marLeft w:val="0"/>
                  <w:marRight w:val="0"/>
                  <w:marTop w:val="0"/>
                  <w:marBottom w:val="0"/>
                  <w:divBdr>
                    <w:top w:val="none" w:sz="0" w:space="0" w:color="auto"/>
                    <w:left w:val="none" w:sz="0" w:space="0" w:color="auto"/>
                    <w:bottom w:val="none" w:sz="0" w:space="0" w:color="auto"/>
                    <w:right w:val="none" w:sz="0" w:space="0" w:color="auto"/>
                  </w:divBdr>
                </w:div>
                <w:div w:id="531192231">
                  <w:marLeft w:val="0"/>
                  <w:marRight w:val="0"/>
                  <w:marTop w:val="0"/>
                  <w:marBottom w:val="0"/>
                  <w:divBdr>
                    <w:top w:val="none" w:sz="0" w:space="0" w:color="auto"/>
                    <w:left w:val="none" w:sz="0" w:space="0" w:color="auto"/>
                    <w:bottom w:val="none" w:sz="0" w:space="0" w:color="auto"/>
                    <w:right w:val="none" w:sz="0" w:space="0" w:color="auto"/>
                  </w:divBdr>
                </w:div>
                <w:div w:id="726030582">
                  <w:marLeft w:val="0"/>
                  <w:marRight w:val="0"/>
                  <w:marTop w:val="0"/>
                  <w:marBottom w:val="0"/>
                  <w:divBdr>
                    <w:top w:val="none" w:sz="0" w:space="0" w:color="auto"/>
                    <w:left w:val="none" w:sz="0" w:space="0" w:color="auto"/>
                    <w:bottom w:val="none" w:sz="0" w:space="0" w:color="auto"/>
                    <w:right w:val="none" w:sz="0" w:space="0" w:color="auto"/>
                  </w:divBdr>
                </w:div>
                <w:div w:id="796096956">
                  <w:marLeft w:val="0"/>
                  <w:marRight w:val="0"/>
                  <w:marTop w:val="0"/>
                  <w:marBottom w:val="0"/>
                  <w:divBdr>
                    <w:top w:val="none" w:sz="0" w:space="0" w:color="auto"/>
                    <w:left w:val="none" w:sz="0" w:space="0" w:color="auto"/>
                    <w:bottom w:val="none" w:sz="0" w:space="0" w:color="auto"/>
                    <w:right w:val="none" w:sz="0" w:space="0" w:color="auto"/>
                  </w:divBdr>
                </w:div>
                <w:div w:id="805702973">
                  <w:marLeft w:val="0"/>
                  <w:marRight w:val="0"/>
                  <w:marTop w:val="0"/>
                  <w:marBottom w:val="0"/>
                  <w:divBdr>
                    <w:top w:val="none" w:sz="0" w:space="0" w:color="auto"/>
                    <w:left w:val="none" w:sz="0" w:space="0" w:color="auto"/>
                    <w:bottom w:val="none" w:sz="0" w:space="0" w:color="auto"/>
                    <w:right w:val="none" w:sz="0" w:space="0" w:color="auto"/>
                  </w:divBdr>
                </w:div>
                <w:div w:id="918099844">
                  <w:marLeft w:val="0"/>
                  <w:marRight w:val="0"/>
                  <w:marTop w:val="0"/>
                  <w:marBottom w:val="0"/>
                  <w:divBdr>
                    <w:top w:val="none" w:sz="0" w:space="0" w:color="auto"/>
                    <w:left w:val="none" w:sz="0" w:space="0" w:color="auto"/>
                    <w:bottom w:val="none" w:sz="0" w:space="0" w:color="auto"/>
                    <w:right w:val="none" w:sz="0" w:space="0" w:color="auto"/>
                  </w:divBdr>
                </w:div>
                <w:div w:id="948270527">
                  <w:marLeft w:val="0"/>
                  <w:marRight w:val="0"/>
                  <w:marTop w:val="0"/>
                  <w:marBottom w:val="0"/>
                  <w:divBdr>
                    <w:top w:val="none" w:sz="0" w:space="0" w:color="auto"/>
                    <w:left w:val="none" w:sz="0" w:space="0" w:color="auto"/>
                    <w:bottom w:val="none" w:sz="0" w:space="0" w:color="auto"/>
                    <w:right w:val="none" w:sz="0" w:space="0" w:color="auto"/>
                  </w:divBdr>
                </w:div>
                <w:div w:id="1004865513">
                  <w:marLeft w:val="0"/>
                  <w:marRight w:val="0"/>
                  <w:marTop w:val="0"/>
                  <w:marBottom w:val="0"/>
                  <w:divBdr>
                    <w:top w:val="none" w:sz="0" w:space="0" w:color="auto"/>
                    <w:left w:val="none" w:sz="0" w:space="0" w:color="auto"/>
                    <w:bottom w:val="none" w:sz="0" w:space="0" w:color="auto"/>
                    <w:right w:val="none" w:sz="0" w:space="0" w:color="auto"/>
                  </w:divBdr>
                </w:div>
                <w:div w:id="1016924480">
                  <w:marLeft w:val="0"/>
                  <w:marRight w:val="0"/>
                  <w:marTop w:val="0"/>
                  <w:marBottom w:val="0"/>
                  <w:divBdr>
                    <w:top w:val="none" w:sz="0" w:space="0" w:color="auto"/>
                    <w:left w:val="none" w:sz="0" w:space="0" w:color="auto"/>
                    <w:bottom w:val="none" w:sz="0" w:space="0" w:color="auto"/>
                    <w:right w:val="none" w:sz="0" w:space="0" w:color="auto"/>
                  </w:divBdr>
                </w:div>
                <w:div w:id="1151558857">
                  <w:marLeft w:val="0"/>
                  <w:marRight w:val="0"/>
                  <w:marTop w:val="0"/>
                  <w:marBottom w:val="0"/>
                  <w:divBdr>
                    <w:top w:val="none" w:sz="0" w:space="0" w:color="auto"/>
                    <w:left w:val="none" w:sz="0" w:space="0" w:color="auto"/>
                    <w:bottom w:val="none" w:sz="0" w:space="0" w:color="auto"/>
                    <w:right w:val="none" w:sz="0" w:space="0" w:color="auto"/>
                  </w:divBdr>
                </w:div>
                <w:div w:id="1327126999">
                  <w:marLeft w:val="0"/>
                  <w:marRight w:val="0"/>
                  <w:marTop w:val="0"/>
                  <w:marBottom w:val="0"/>
                  <w:divBdr>
                    <w:top w:val="none" w:sz="0" w:space="0" w:color="auto"/>
                    <w:left w:val="none" w:sz="0" w:space="0" w:color="auto"/>
                    <w:bottom w:val="none" w:sz="0" w:space="0" w:color="auto"/>
                    <w:right w:val="none" w:sz="0" w:space="0" w:color="auto"/>
                  </w:divBdr>
                </w:div>
                <w:div w:id="1391424258">
                  <w:marLeft w:val="0"/>
                  <w:marRight w:val="0"/>
                  <w:marTop w:val="0"/>
                  <w:marBottom w:val="0"/>
                  <w:divBdr>
                    <w:top w:val="none" w:sz="0" w:space="0" w:color="auto"/>
                    <w:left w:val="none" w:sz="0" w:space="0" w:color="auto"/>
                    <w:bottom w:val="none" w:sz="0" w:space="0" w:color="auto"/>
                    <w:right w:val="none" w:sz="0" w:space="0" w:color="auto"/>
                  </w:divBdr>
                </w:div>
                <w:div w:id="1404837394">
                  <w:marLeft w:val="0"/>
                  <w:marRight w:val="0"/>
                  <w:marTop w:val="0"/>
                  <w:marBottom w:val="0"/>
                  <w:divBdr>
                    <w:top w:val="none" w:sz="0" w:space="0" w:color="auto"/>
                    <w:left w:val="none" w:sz="0" w:space="0" w:color="auto"/>
                    <w:bottom w:val="none" w:sz="0" w:space="0" w:color="auto"/>
                    <w:right w:val="none" w:sz="0" w:space="0" w:color="auto"/>
                  </w:divBdr>
                </w:div>
                <w:div w:id="1422946004">
                  <w:marLeft w:val="0"/>
                  <w:marRight w:val="0"/>
                  <w:marTop w:val="0"/>
                  <w:marBottom w:val="0"/>
                  <w:divBdr>
                    <w:top w:val="none" w:sz="0" w:space="0" w:color="auto"/>
                    <w:left w:val="none" w:sz="0" w:space="0" w:color="auto"/>
                    <w:bottom w:val="none" w:sz="0" w:space="0" w:color="auto"/>
                    <w:right w:val="none" w:sz="0" w:space="0" w:color="auto"/>
                  </w:divBdr>
                </w:div>
                <w:div w:id="1482885815">
                  <w:marLeft w:val="0"/>
                  <w:marRight w:val="0"/>
                  <w:marTop w:val="0"/>
                  <w:marBottom w:val="0"/>
                  <w:divBdr>
                    <w:top w:val="none" w:sz="0" w:space="0" w:color="auto"/>
                    <w:left w:val="none" w:sz="0" w:space="0" w:color="auto"/>
                    <w:bottom w:val="none" w:sz="0" w:space="0" w:color="auto"/>
                    <w:right w:val="none" w:sz="0" w:space="0" w:color="auto"/>
                  </w:divBdr>
                </w:div>
                <w:div w:id="1509981707">
                  <w:marLeft w:val="0"/>
                  <w:marRight w:val="0"/>
                  <w:marTop w:val="0"/>
                  <w:marBottom w:val="0"/>
                  <w:divBdr>
                    <w:top w:val="none" w:sz="0" w:space="0" w:color="auto"/>
                    <w:left w:val="none" w:sz="0" w:space="0" w:color="auto"/>
                    <w:bottom w:val="none" w:sz="0" w:space="0" w:color="auto"/>
                    <w:right w:val="none" w:sz="0" w:space="0" w:color="auto"/>
                  </w:divBdr>
                </w:div>
                <w:div w:id="1510480687">
                  <w:marLeft w:val="0"/>
                  <w:marRight w:val="0"/>
                  <w:marTop w:val="0"/>
                  <w:marBottom w:val="0"/>
                  <w:divBdr>
                    <w:top w:val="none" w:sz="0" w:space="0" w:color="auto"/>
                    <w:left w:val="none" w:sz="0" w:space="0" w:color="auto"/>
                    <w:bottom w:val="none" w:sz="0" w:space="0" w:color="auto"/>
                    <w:right w:val="none" w:sz="0" w:space="0" w:color="auto"/>
                  </w:divBdr>
                </w:div>
                <w:div w:id="1621565410">
                  <w:marLeft w:val="0"/>
                  <w:marRight w:val="0"/>
                  <w:marTop w:val="0"/>
                  <w:marBottom w:val="0"/>
                  <w:divBdr>
                    <w:top w:val="none" w:sz="0" w:space="0" w:color="auto"/>
                    <w:left w:val="none" w:sz="0" w:space="0" w:color="auto"/>
                    <w:bottom w:val="none" w:sz="0" w:space="0" w:color="auto"/>
                    <w:right w:val="none" w:sz="0" w:space="0" w:color="auto"/>
                  </w:divBdr>
                </w:div>
                <w:div w:id="1721174279">
                  <w:marLeft w:val="0"/>
                  <w:marRight w:val="0"/>
                  <w:marTop w:val="0"/>
                  <w:marBottom w:val="0"/>
                  <w:divBdr>
                    <w:top w:val="none" w:sz="0" w:space="0" w:color="auto"/>
                    <w:left w:val="none" w:sz="0" w:space="0" w:color="auto"/>
                    <w:bottom w:val="none" w:sz="0" w:space="0" w:color="auto"/>
                    <w:right w:val="none" w:sz="0" w:space="0" w:color="auto"/>
                  </w:divBdr>
                </w:div>
                <w:div w:id="1799297358">
                  <w:marLeft w:val="0"/>
                  <w:marRight w:val="0"/>
                  <w:marTop w:val="0"/>
                  <w:marBottom w:val="0"/>
                  <w:divBdr>
                    <w:top w:val="none" w:sz="0" w:space="0" w:color="auto"/>
                    <w:left w:val="none" w:sz="0" w:space="0" w:color="auto"/>
                    <w:bottom w:val="none" w:sz="0" w:space="0" w:color="auto"/>
                    <w:right w:val="none" w:sz="0" w:space="0" w:color="auto"/>
                  </w:divBdr>
                </w:div>
                <w:div w:id="1834948202">
                  <w:marLeft w:val="0"/>
                  <w:marRight w:val="0"/>
                  <w:marTop w:val="0"/>
                  <w:marBottom w:val="0"/>
                  <w:divBdr>
                    <w:top w:val="none" w:sz="0" w:space="0" w:color="auto"/>
                    <w:left w:val="none" w:sz="0" w:space="0" w:color="auto"/>
                    <w:bottom w:val="none" w:sz="0" w:space="0" w:color="auto"/>
                    <w:right w:val="none" w:sz="0" w:space="0" w:color="auto"/>
                  </w:divBdr>
                </w:div>
                <w:div w:id="1874920070">
                  <w:marLeft w:val="0"/>
                  <w:marRight w:val="0"/>
                  <w:marTop w:val="0"/>
                  <w:marBottom w:val="0"/>
                  <w:divBdr>
                    <w:top w:val="none" w:sz="0" w:space="0" w:color="auto"/>
                    <w:left w:val="none" w:sz="0" w:space="0" w:color="auto"/>
                    <w:bottom w:val="none" w:sz="0" w:space="0" w:color="auto"/>
                    <w:right w:val="none" w:sz="0" w:space="0" w:color="auto"/>
                  </w:divBdr>
                </w:div>
                <w:div w:id="1906379276">
                  <w:marLeft w:val="0"/>
                  <w:marRight w:val="0"/>
                  <w:marTop w:val="0"/>
                  <w:marBottom w:val="0"/>
                  <w:divBdr>
                    <w:top w:val="none" w:sz="0" w:space="0" w:color="auto"/>
                    <w:left w:val="none" w:sz="0" w:space="0" w:color="auto"/>
                    <w:bottom w:val="none" w:sz="0" w:space="0" w:color="auto"/>
                    <w:right w:val="none" w:sz="0" w:space="0" w:color="auto"/>
                  </w:divBdr>
                </w:div>
                <w:div w:id="1954945948">
                  <w:marLeft w:val="0"/>
                  <w:marRight w:val="0"/>
                  <w:marTop w:val="0"/>
                  <w:marBottom w:val="0"/>
                  <w:divBdr>
                    <w:top w:val="none" w:sz="0" w:space="0" w:color="auto"/>
                    <w:left w:val="none" w:sz="0" w:space="0" w:color="auto"/>
                    <w:bottom w:val="none" w:sz="0" w:space="0" w:color="auto"/>
                    <w:right w:val="none" w:sz="0" w:space="0" w:color="auto"/>
                  </w:divBdr>
                </w:div>
                <w:div w:id="1990597161">
                  <w:marLeft w:val="0"/>
                  <w:marRight w:val="0"/>
                  <w:marTop w:val="0"/>
                  <w:marBottom w:val="0"/>
                  <w:divBdr>
                    <w:top w:val="none" w:sz="0" w:space="0" w:color="auto"/>
                    <w:left w:val="none" w:sz="0" w:space="0" w:color="auto"/>
                    <w:bottom w:val="none" w:sz="0" w:space="0" w:color="auto"/>
                    <w:right w:val="none" w:sz="0" w:space="0" w:color="auto"/>
                  </w:divBdr>
                </w:div>
                <w:div w:id="2100322186">
                  <w:marLeft w:val="0"/>
                  <w:marRight w:val="0"/>
                  <w:marTop w:val="0"/>
                  <w:marBottom w:val="0"/>
                  <w:divBdr>
                    <w:top w:val="none" w:sz="0" w:space="0" w:color="auto"/>
                    <w:left w:val="none" w:sz="0" w:space="0" w:color="auto"/>
                    <w:bottom w:val="none" w:sz="0" w:space="0" w:color="auto"/>
                    <w:right w:val="none" w:sz="0" w:space="0" w:color="auto"/>
                  </w:divBdr>
                </w:div>
                <w:div w:id="21126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1808">
      <w:bodyDiv w:val="1"/>
      <w:marLeft w:val="0"/>
      <w:marRight w:val="0"/>
      <w:marTop w:val="0"/>
      <w:marBottom w:val="0"/>
      <w:divBdr>
        <w:top w:val="none" w:sz="0" w:space="0" w:color="auto"/>
        <w:left w:val="none" w:sz="0" w:space="0" w:color="auto"/>
        <w:bottom w:val="none" w:sz="0" w:space="0" w:color="auto"/>
        <w:right w:val="none" w:sz="0" w:space="0" w:color="auto"/>
      </w:divBdr>
    </w:div>
    <w:div w:id="924730022">
      <w:bodyDiv w:val="1"/>
      <w:marLeft w:val="0"/>
      <w:marRight w:val="0"/>
      <w:marTop w:val="0"/>
      <w:marBottom w:val="0"/>
      <w:divBdr>
        <w:top w:val="none" w:sz="0" w:space="0" w:color="auto"/>
        <w:left w:val="none" w:sz="0" w:space="0" w:color="auto"/>
        <w:bottom w:val="none" w:sz="0" w:space="0" w:color="auto"/>
        <w:right w:val="none" w:sz="0" w:space="0" w:color="auto"/>
      </w:divBdr>
    </w:div>
    <w:div w:id="925073245">
      <w:bodyDiv w:val="1"/>
      <w:marLeft w:val="0"/>
      <w:marRight w:val="0"/>
      <w:marTop w:val="0"/>
      <w:marBottom w:val="0"/>
      <w:divBdr>
        <w:top w:val="none" w:sz="0" w:space="0" w:color="auto"/>
        <w:left w:val="none" w:sz="0" w:space="0" w:color="auto"/>
        <w:bottom w:val="none" w:sz="0" w:space="0" w:color="auto"/>
        <w:right w:val="none" w:sz="0" w:space="0" w:color="auto"/>
      </w:divBdr>
    </w:div>
    <w:div w:id="927497455">
      <w:bodyDiv w:val="1"/>
      <w:marLeft w:val="0"/>
      <w:marRight w:val="0"/>
      <w:marTop w:val="0"/>
      <w:marBottom w:val="0"/>
      <w:divBdr>
        <w:top w:val="none" w:sz="0" w:space="0" w:color="auto"/>
        <w:left w:val="none" w:sz="0" w:space="0" w:color="auto"/>
        <w:bottom w:val="none" w:sz="0" w:space="0" w:color="auto"/>
        <w:right w:val="none" w:sz="0" w:space="0" w:color="auto"/>
      </w:divBdr>
    </w:div>
    <w:div w:id="927540038">
      <w:bodyDiv w:val="1"/>
      <w:marLeft w:val="0"/>
      <w:marRight w:val="0"/>
      <w:marTop w:val="0"/>
      <w:marBottom w:val="0"/>
      <w:divBdr>
        <w:top w:val="none" w:sz="0" w:space="0" w:color="auto"/>
        <w:left w:val="none" w:sz="0" w:space="0" w:color="auto"/>
        <w:bottom w:val="none" w:sz="0" w:space="0" w:color="auto"/>
        <w:right w:val="none" w:sz="0" w:space="0" w:color="auto"/>
      </w:divBdr>
    </w:div>
    <w:div w:id="928126346">
      <w:bodyDiv w:val="1"/>
      <w:marLeft w:val="0"/>
      <w:marRight w:val="0"/>
      <w:marTop w:val="0"/>
      <w:marBottom w:val="0"/>
      <w:divBdr>
        <w:top w:val="none" w:sz="0" w:space="0" w:color="auto"/>
        <w:left w:val="none" w:sz="0" w:space="0" w:color="auto"/>
        <w:bottom w:val="none" w:sz="0" w:space="0" w:color="auto"/>
        <w:right w:val="none" w:sz="0" w:space="0" w:color="auto"/>
      </w:divBdr>
    </w:div>
    <w:div w:id="932936002">
      <w:bodyDiv w:val="1"/>
      <w:marLeft w:val="0"/>
      <w:marRight w:val="0"/>
      <w:marTop w:val="0"/>
      <w:marBottom w:val="0"/>
      <w:divBdr>
        <w:top w:val="none" w:sz="0" w:space="0" w:color="auto"/>
        <w:left w:val="none" w:sz="0" w:space="0" w:color="auto"/>
        <w:bottom w:val="none" w:sz="0" w:space="0" w:color="auto"/>
        <w:right w:val="none" w:sz="0" w:space="0" w:color="auto"/>
      </w:divBdr>
    </w:div>
    <w:div w:id="934289399">
      <w:bodyDiv w:val="1"/>
      <w:marLeft w:val="0"/>
      <w:marRight w:val="0"/>
      <w:marTop w:val="0"/>
      <w:marBottom w:val="0"/>
      <w:divBdr>
        <w:top w:val="none" w:sz="0" w:space="0" w:color="auto"/>
        <w:left w:val="none" w:sz="0" w:space="0" w:color="auto"/>
        <w:bottom w:val="none" w:sz="0" w:space="0" w:color="auto"/>
        <w:right w:val="none" w:sz="0" w:space="0" w:color="auto"/>
      </w:divBdr>
    </w:div>
    <w:div w:id="934436329">
      <w:bodyDiv w:val="1"/>
      <w:marLeft w:val="0"/>
      <w:marRight w:val="0"/>
      <w:marTop w:val="0"/>
      <w:marBottom w:val="0"/>
      <w:divBdr>
        <w:top w:val="none" w:sz="0" w:space="0" w:color="auto"/>
        <w:left w:val="none" w:sz="0" w:space="0" w:color="auto"/>
        <w:bottom w:val="none" w:sz="0" w:space="0" w:color="auto"/>
        <w:right w:val="none" w:sz="0" w:space="0" w:color="auto"/>
      </w:divBdr>
    </w:div>
    <w:div w:id="935017892">
      <w:bodyDiv w:val="1"/>
      <w:marLeft w:val="0"/>
      <w:marRight w:val="0"/>
      <w:marTop w:val="0"/>
      <w:marBottom w:val="0"/>
      <w:divBdr>
        <w:top w:val="none" w:sz="0" w:space="0" w:color="auto"/>
        <w:left w:val="none" w:sz="0" w:space="0" w:color="auto"/>
        <w:bottom w:val="none" w:sz="0" w:space="0" w:color="auto"/>
        <w:right w:val="none" w:sz="0" w:space="0" w:color="auto"/>
      </w:divBdr>
    </w:div>
    <w:div w:id="937296436">
      <w:bodyDiv w:val="1"/>
      <w:marLeft w:val="0"/>
      <w:marRight w:val="0"/>
      <w:marTop w:val="0"/>
      <w:marBottom w:val="0"/>
      <w:divBdr>
        <w:top w:val="none" w:sz="0" w:space="0" w:color="auto"/>
        <w:left w:val="none" w:sz="0" w:space="0" w:color="auto"/>
        <w:bottom w:val="none" w:sz="0" w:space="0" w:color="auto"/>
        <w:right w:val="none" w:sz="0" w:space="0" w:color="auto"/>
      </w:divBdr>
    </w:div>
    <w:div w:id="938147951">
      <w:bodyDiv w:val="1"/>
      <w:marLeft w:val="0"/>
      <w:marRight w:val="0"/>
      <w:marTop w:val="0"/>
      <w:marBottom w:val="0"/>
      <w:divBdr>
        <w:top w:val="none" w:sz="0" w:space="0" w:color="auto"/>
        <w:left w:val="none" w:sz="0" w:space="0" w:color="auto"/>
        <w:bottom w:val="none" w:sz="0" w:space="0" w:color="auto"/>
        <w:right w:val="none" w:sz="0" w:space="0" w:color="auto"/>
      </w:divBdr>
    </w:div>
    <w:div w:id="939412864">
      <w:bodyDiv w:val="1"/>
      <w:marLeft w:val="0"/>
      <w:marRight w:val="0"/>
      <w:marTop w:val="0"/>
      <w:marBottom w:val="0"/>
      <w:divBdr>
        <w:top w:val="none" w:sz="0" w:space="0" w:color="auto"/>
        <w:left w:val="none" w:sz="0" w:space="0" w:color="auto"/>
        <w:bottom w:val="none" w:sz="0" w:space="0" w:color="auto"/>
        <w:right w:val="none" w:sz="0" w:space="0" w:color="auto"/>
      </w:divBdr>
    </w:div>
    <w:div w:id="941493521">
      <w:bodyDiv w:val="1"/>
      <w:marLeft w:val="0"/>
      <w:marRight w:val="0"/>
      <w:marTop w:val="0"/>
      <w:marBottom w:val="0"/>
      <w:divBdr>
        <w:top w:val="none" w:sz="0" w:space="0" w:color="auto"/>
        <w:left w:val="none" w:sz="0" w:space="0" w:color="auto"/>
        <w:bottom w:val="none" w:sz="0" w:space="0" w:color="auto"/>
        <w:right w:val="none" w:sz="0" w:space="0" w:color="auto"/>
      </w:divBdr>
      <w:divsChild>
        <w:div w:id="1332441888">
          <w:marLeft w:val="0"/>
          <w:marRight w:val="0"/>
          <w:marTop w:val="0"/>
          <w:marBottom w:val="0"/>
          <w:divBdr>
            <w:top w:val="none" w:sz="0" w:space="0" w:color="auto"/>
            <w:left w:val="none" w:sz="0" w:space="0" w:color="auto"/>
            <w:bottom w:val="none" w:sz="0" w:space="0" w:color="auto"/>
            <w:right w:val="none" w:sz="0" w:space="0" w:color="auto"/>
          </w:divBdr>
        </w:div>
      </w:divsChild>
    </w:div>
    <w:div w:id="941570607">
      <w:bodyDiv w:val="1"/>
      <w:marLeft w:val="0"/>
      <w:marRight w:val="0"/>
      <w:marTop w:val="0"/>
      <w:marBottom w:val="0"/>
      <w:divBdr>
        <w:top w:val="none" w:sz="0" w:space="0" w:color="auto"/>
        <w:left w:val="none" w:sz="0" w:space="0" w:color="auto"/>
        <w:bottom w:val="none" w:sz="0" w:space="0" w:color="auto"/>
        <w:right w:val="none" w:sz="0" w:space="0" w:color="auto"/>
      </w:divBdr>
    </w:div>
    <w:div w:id="941759722">
      <w:bodyDiv w:val="1"/>
      <w:marLeft w:val="0"/>
      <w:marRight w:val="0"/>
      <w:marTop w:val="0"/>
      <w:marBottom w:val="0"/>
      <w:divBdr>
        <w:top w:val="none" w:sz="0" w:space="0" w:color="auto"/>
        <w:left w:val="none" w:sz="0" w:space="0" w:color="auto"/>
        <w:bottom w:val="none" w:sz="0" w:space="0" w:color="auto"/>
        <w:right w:val="none" w:sz="0" w:space="0" w:color="auto"/>
      </w:divBdr>
    </w:div>
    <w:div w:id="943807375">
      <w:bodyDiv w:val="1"/>
      <w:marLeft w:val="0"/>
      <w:marRight w:val="0"/>
      <w:marTop w:val="0"/>
      <w:marBottom w:val="0"/>
      <w:divBdr>
        <w:top w:val="none" w:sz="0" w:space="0" w:color="auto"/>
        <w:left w:val="none" w:sz="0" w:space="0" w:color="auto"/>
        <w:bottom w:val="none" w:sz="0" w:space="0" w:color="auto"/>
        <w:right w:val="none" w:sz="0" w:space="0" w:color="auto"/>
      </w:divBdr>
    </w:div>
    <w:div w:id="946035886">
      <w:bodyDiv w:val="1"/>
      <w:marLeft w:val="0"/>
      <w:marRight w:val="0"/>
      <w:marTop w:val="0"/>
      <w:marBottom w:val="0"/>
      <w:divBdr>
        <w:top w:val="none" w:sz="0" w:space="0" w:color="auto"/>
        <w:left w:val="none" w:sz="0" w:space="0" w:color="auto"/>
        <w:bottom w:val="none" w:sz="0" w:space="0" w:color="auto"/>
        <w:right w:val="none" w:sz="0" w:space="0" w:color="auto"/>
      </w:divBdr>
    </w:div>
    <w:div w:id="954940637">
      <w:bodyDiv w:val="1"/>
      <w:marLeft w:val="0"/>
      <w:marRight w:val="0"/>
      <w:marTop w:val="0"/>
      <w:marBottom w:val="0"/>
      <w:divBdr>
        <w:top w:val="none" w:sz="0" w:space="0" w:color="auto"/>
        <w:left w:val="none" w:sz="0" w:space="0" w:color="auto"/>
        <w:bottom w:val="none" w:sz="0" w:space="0" w:color="auto"/>
        <w:right w:val="none" w:sz="0" w:space="0" w:color="auto"/>
      </w:divBdr>
    </w:div>
    <w:div w:id="956327583">
      <w:bodyDiv w:val="1"/>
      <w:marLeft w:val="0"/>
      <w:marRight w:val="0"/>
      <w:marTop w:val="0"/>
      <w:marBottom w:val="0"/>
      <w:divBdr>
        <w:top w:val="none" w:sz="0" w:space="0" w:color="auto"/>
        <w:left w:val="none" w:sz="0" w:space="0" w:color="auto"/>
        <w:bottom w:val="none" w:sz="0" w:space="0" w:color="auto"/>
        <w:right w:val="none" w:sz="0" w:space="0" w:color="auto"/>
      </w:divBdr>
      <w:divsChild>
        <w:div w:id="916594495">
          <w:marLeft w:val="0"/>
          <w:marRight w:val="0"/>
          <w:marTop w:val="0"/>
          <w:marBottom w:val="0"/>
          <w:divBdr>
            <w:top w:val="none" w:sz="0" w:space="0" w:color="auto"/>
            <w:left w:val="none" w:sz="0" w:space="0" w:color="auto"/>
            <w:bottom w:val="none" w:sz="0" w:space="0" w:color="auto"/>
            <w:right w:val="none" w:sz="0" w:space="0" w:color="auto"/>
          </w:divBdr>
        </w:div>
      </w:divsChild>
    </w:div>
    <w:div w:id="957758608">
      <w:bodyDiv w:val="1"/>
      <w:marLeft w:val="0"/>
      <w:marRight w:val="0"/>
      <w:marTop w:val="0"/>
      <w:marBottom w:val="0"/>
      <w:divBdr>
        <w:top w:val="none" w:sz="0" w:space="0" w:color="auto"/>
        <w:left w:val="none" w:sz="0" w:space="0" w:color="auto"/>
        <w:bottom w:val="none" w:sz="0" w:space="0" w:color="auto"/>
        <w:right w:val="none" w:sz="0" w:space="0" w:color="auto"/>
      </w:divBdr>
    </w:div>
    <w:div w:id="960497286">
      <w:bodyDiv w:val="1"/>
      <w:marLeft w:val="0"/>
      <w:marRight w:val="0"/>
      <w:marTop w:val="0"/>
      <w:marBottom w:val="0"/>
      <w:divBdr>
        <w:top w:val="none" w:sz="0" w:space="0" w:color="auto"/>
        <w:left w:val="none" w:sz="0" w:space="0" w:color="auto"/>
        <w:bottom w:val="none" w:sz="0" w:space="0" w:color="auto"/>
        <w:right w:val="none" w:sz="0" w:space="0" w:color="auto"/>
      </w:divBdr>
    </w:div>
    <w:div w:id="960847013">
      <w:bodyDiv w:val="1"/>
      <w:marLeft w:val="0"/>
      <w:marRight w:val="0"/>
      <w:marTop w:val="0"/>
      <w:marBottom w:val="0"/>
      <w:divBdr>
        <w:top w:val="none" w:sz="0" w:space="0" w:color="auto"/>
        <w:left w:val="none" w:sz="0" w:space="0" w:color="auto"/>
        <w:bottom w:val="none" w:sz="0" w:space="0" w:color="auto"/>
        <w:right w:val="none" w:sz="0" w:space="0" w:color="auto"/>
      </w:divBdr>
    </w:div>
    <w:div w:id="961152878">
      <w:bodyDiv w:val="1"/>
      <w:marLeft w:val="0"/>
      <w:marRight w:val="0"/>
      <w:marTop w:val="0"/>
      <w:marBottom w:val="0"/>
      <w:divBdr>
        <w:top w:val="none" w:sz="0" w:space="0" w:color="auto"/>
        <w:left w:val="none" w:sz="0" w:space="0" w:color="auto"/>
        <w:bottom w:val="none" w:sz="0" w:space="0" w:color="auto"/>
        <w:right w:val="none" w:sz="0" w:space="0" w:color="auto"/>
      </w:divBdr>
    </w:div>
    <w:div w:id="967206849">
      <w:bodyDiv w:val="1"/>
      <w:marLeft w:val="0"/>
      <w:marRight w:val="0"/>
      <w:marTop w:val="0"/>
      <w:marBottom w:val="0"/>
      <w:divBdr>
        <w:top w:val="none" w:sz="0" w:space="0" w:color="auto"/>
        <w:left w:val="none" w:sz="0" w:space="0" w:color="auto"/>
        <w:bottom w:val="none" w:sz="0" w:space="0" w:color="auto"/>
        <w:right w:val="none" w:sz="0" w:space="0" w:color="auto"/>
      </w:divBdr>
    </w:div>
    <w:div w:id="971444358">
      <w:bodyDiv w:val="1"/>
      <w:marLeft w:val="0"/>
      <w:marRight w:val="0"/>
      <w:marTop w:val="0"/>
      <w:marBottom w:val="0"/>
      <w:divBdr>
        <w:top w:val="none" w:sz="0" w:space="0" w:color="auto"/>
        <w:left w:val="none" w:sz="0" w:space="0" w:color="auto"/>
        <w:bottom w:val="none" w:sz="0" w:space="0" w:color="auto"/>
        <w:right w:val="none" w:sz="0" w:space="0" w:color="auto"/>
      </w:divBdr>
    </w:div>
    <w:div w:id="973481543">
      <w:bodyDiv w:val="1"/>
      <w:marLeft w:val="0"/>
      <w:marRight w:val="0"/>
      <w:marTop w:val="0"/>
      <w:marBottom w:val="0"/>
      <w:divBdr>
        <w:top w:val="none" w:sz="0" w:space="0" w:color="auto"/>
        <w:left w:val="none" w:sz="0" w:space="0" w:color="auto"/>
        <w:bottom w:val="none" w:sz="0" w:space="0" w:color="auto"/>
        <w:right w:val="none" w:sz="0" w:space="0" w:color="auto"/>
      </w:divBdr>
    </w:div>
    <w:div w:id="974945536">
      <w:bodyDiv w:val="1"/>
      <w:marLeft w:val="0"/>
      <w:marRight w:val="0"/>
      <w:marTop w:val="0"/>
      <w:marBottom w:val="0"/>
      <w:divBdr>
        <w:top w:val="none" w:sz="0" w:space="0" w:color="auto"/>
        <w:left w:val="none" w:sz="0" w:space="0" w:color="auto"/>
        <w:bottom w:val="none" w:sz="0" w:space="0" w:color="auto"/>
        <w:right w:val="none" w:sz="0" w:space="0" w:color="auto"/>
      </w:divBdr>
    </w:div>
    <w:div w:id="977495012">
      <w:bodyDiv w:val="1"/>
      <w:marLeft w:val="0"/>
      <w:marRight w:val="0"/>
      <w:marTop w:val="0"/>
      <w:marBottom w:val="0"/>
      <w:divBdr>
        <w:top w:val="none" w:sz="0" w:space="0" w:color="auto"/>
        <w:left w:val="none" w:sz="0" w:space="0" w:color="auto"/>
        <w:bottom w:val="none" w:sz="0" w:space="0" w:color="auto"/>
        <w:right w:val="none" w:sz="0" w:space="0" w:color="auto"/>
      </w:divBdr>
    </w:div>
    <w:div w:id="981811464">
      <w:bodyDiv w:val="1"/>
      <w:marLeft w:val="0"/>
      <w:marRight w:val="0"/>
      <w:marTop w:val="0"/>
      <w:marBottom w:val="0"/>
      <w:divBdr>
        <w:top w:val="none" w:sz="0" w:space="0" w:color="auto"/>
        <w:left w:val="none" w:sz="0" w:space="0" w:color="auto"/>
        <w:bottom w:val="none" w:sz="0" w:space="0" w:color="auto"/>
        <w:right w:val="none" w:sz="0" w:space="0" w:color="auto"/>
      </w:divBdr>
    </w:div>
    <w:div w:id="985663416">
      <w:bodyDiv w:val="1"/>
      <w:marLeft w:val="0"/>
      <w:marRight w:val="0"/>
      <w:marTop w:val="0"/>
      <w:marBottom w:val="0"/>
      <w:divBdr>
        <w:top w:val="none" w:sz="0" w:space="0" w:color="auto"/>
        <w:left w:val="none" w:sz="0" w:space="0" w:color="auto"/>
        <w:bottom w:val="none" w:sz="0" w:space="0" w:color="auto"/>
        <w:right w:val="none" w:sz="0" w:space="0" w:color="auto"/>
      </w:divBdr>
    </w:div>
    <w:div w:id="985744426">
      <w:bodyDiv w:val="1"/>
      <w:marLeft w:val="0"/>
      <w:marRight w:val="0"/>
      <w:marTop w:val="0"/>
      <w:marBottom w:val="0"/>
      <w:divBdr>
        <w:top w:val="none" w:sz="0" w:space="0" w:color="auto"/>
        <w:left w:val="none" w:sz="0" w:space="0" w:color="auto"/>
        <w:bottom w:val="none" w:sz="0" w:space="0" w:color="auto"/>
        <w:right w:val="none" w:sz="0" w:space="0" w:color="auto"/>
      </w:divBdr>
    </w:div>
    <w:div w:id="986206602">
      <w:bodyDiv w:val="1"/>
      <w:marLeft w:val="0"/>
      <w:marRight w:val="0"/>
      <w:marTop w:val="0"/>
      <w:marBottom w:val="0"/>
      <w:divBdr>
        <w:top w:val="none" w:sz="0" w:space="0" w:color="auto"/>
        <w:left w:val="none" w:sz="0" w:space="0" w:color="auto"/>
        <w:bottom w:val="none" w:sz="0" w:space="0" w:color="auto"/>
        <w:right w:val="none" w:sz="0" w:space="0" w:color="auto"/>
      </w:divBdr>
    </w:div>
    <w:div w:id="9897915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994987430">
      <w:bodyDiv w:val="1"/>
      <w:marLeft w:val="0"/>
      <w:marRight w:val="0"/>
      <w:marTop w:val="0"/>
      <w:marBottom w:val="0"/>
      <w:divBdr>
        <w:top w:val="none" w:sz="0" w:space="0" w:color="auto"/>
        <w:left w:val="none" w:sz="0" w:space="0" w:color="auto"/>
        <w:bottom w:val="none" w:sz="0" w:space="0" w:color="auto"/>
        <w:right w:val="none" w:sz="0" w:space="0" w:color="auto"/>
      </w:divBdr>
    </w:div>
    <w:div w:id="996693425">
      <w:bodyDiv w:val="1"/>
      <w:marLeft w:val="0"/>
      <w:marRight w:val="0"/>
      <w:marTop w:val="0"/>
      <w:marBottom w:val="0"/>
      <w:divBdr>
        <w:top w:val="none" w:sz="0" w:space="0" w:color="auto"/>
        <w:left w:val="none" w:sz="0" w:space="0" w:color="auto"/>
        <w:bottom w:val="none" w:sz="0" w:space="0" w:color="auto"/>
        <w:right w:val="none" w:sz="0" w:space="0" w:color="auto"/>
      </w:divBdr>
    </w:div>
    <w:div w:id="1002664294">
      <w:bodyDiv w:val="1"/>
      <w:marLeft w:val="0"/>
      <w:marRight w:val="0"/>
      <w:marTop w:val="0"/>
      <w:marBottom w:val="0"/>
      <w:divBdr>
        <w:top w:val="none" w:sz="0" w:space="0" w:color="auto"/>
        <w:left w:val="none" w:sz="0" w:space="0" w:color="auto"/>
        <w:bottom w:val="none" w:sz="0" w:space="0" w:color="auto"/>
        <w:right w:val="none" w:sz="0" w:space="0" w:color="auto"/>
      </w:divBdr>
    </w:div>
    <w:div w:id="1004237633">
      <w:bodyDiv w:val="1"/>
      <w:marLeft w:val="0"/>
      <w:marRight w:val="0"/>
      <w:marTop w:val="0"/>
      <w:marBottom w:val="0"/>
      <w:divBdr>
        <w:top w:val="none" w:sz="0" w:space="0" w:color="auto"/>
        <w:left w:val="none" w:sz="0" w:space="0" w:color="auto"/>
        <w:bottom w:val="none" w:sz="0" w:space="0" w:color="auto"/>
        <w:right w:val="none" w:sz="0" w:space="0" w:color="auto"/>
      </w:divBdr>
    </w:div>
    <w:div w:id="1007055961">
      <w:bodyDiv w:val="1"/>
      <w:marLeft w:val="0"/>
      <w:marRight w:val="0"/>
      <w:marTop w:val="0"/>
      <w:marBottom w:val="0"/>
      <w:divBdr>
        <w:top w:val="none" w:sz="0" w:space="0" w:color="auto"/>
        <w:left w:val="none" w:sz="0" w:space="0" w:color="auto"/>
        <w:bottom w:val="none" w:sz="0" w:space="0" w:color="auto"/>
        <w:right w:val="none" w:sz="0" w:space="0" w:color="auto"/>
      </w:divBdr>
    </w:div>
    <w:div w:id="1015958542">
      <w:bodyDiv w:val="1"/>
      <w:marLeft w:val="0"/>
      <w:marRight w:val="0"/>
      <w:marTop w:val="0"/>
      <w:marBottom w:val="0"/>
      <w:divBdr>
        <w:top w:val="none" w:sz="0" w:space="0" w:color="auto"/>
        <w:left w:val="none" w:sz="0" w:space="0" w:color="auto"/>
        <w:bottom w:val="none" w:sz="0" w:space="0" w:color="auto"/>
        <w:right w:val="none" w:sz="0" w:space="0" w:color="auto"/>
      </w:divBdr>
    </w:div>
    <w:div w:id="1016736718">
      <w:bodyDiv w:val="1"/>
      <w:marLeft w:val="0"/>
      <w:marRight w:val="0"/>
      <w:marTop w:val="0"/>
      <w:marBottom w:val="0"/>
      <w:divBdr>
        <w:top w:val="none" w:sz="0" w:space="0" w:color="auto"/>
        <w:left w:val="none" w:sz="0" w:space="0" w:color="auto"/>
        <w:bottom w:val="none" w:sz="0" w:space="0" w:color="auto"/>
        <w:right w:val="none" w:sz="0" w:space="0" w:color="auto"/>
      </w:divBdr>
    </w:div>
    <w:div w:id="1017196046">
      <w:bodyDiv w:val="1"/>
      <w:marLeft w:val="0"/>
      <w:marRight w:val="0"/>
      <w:marTop w:val="0"/>
      <w:marBottom w:val="0"/>
      <w:divBdr>
        <w:top w:val="none" w:sz="0" w:space="0" w:color="auto"/>
        <w:left w:val="none" w:sz="0" w:space="0" w:color="auto"/>
        <w:bottom w:val="none" w:sz="0" w:space="0" w:color="auto"/>
        <w:right w:val="none" w:sz="0" w:space="0" w:color="auto"/>
      </w:divBdr>
    </w:div>
    <w:div w:id="1018700594">
      <w:bodyDiv w:val="1"/>
      <w:marLeft w:val="0"/>
      <w:marRight w:val="0"/>
      <w:marTop w:val="0"/>
      <w:marBottom w:val="0"/>
      <w:divBdr>
        <w:top w:val="none" w:sz="0" w:space="0" w:color="auto"/>
        <w:left w:val="none" w:sz="0" w:space="0" w:color="auto"/>
        <w:bottom w:val="none" w:sz="0" w:space="0" w:color="auto"/>
        <w:right w:val="none" w:sz="0" w:space="0" w:color="auto"/>
      </w:divBdr>
    </w:div>
    <w:div w:id="1021054809">
      <w:bodyDiv w:val="1"/>
      <w:marLeft w:val="0"/>
      <w:marRight w:val="0"/>
      <w:marTop w:val="0"/>
      <w:marBottom w:val="0"/>
      <w:divBdr>
        <w:top w:val="none" w:sz="0" w:space="0" w:color="auto"/>
        <w:left w:val="none" w:sz="0" w:space="0" w:color="auto"/>
        <w:bottom w:val="none" w:sz="0" w:space="0" w:color="auto"/>
        <w:right w:val="none" w:sz="0" w:space="0" w:color="auto"/>
      </w:divBdr>
    </w:div>
    <w:div w:id="1025054272">
      <w:bodyDiv w:val="1"/>
      <w:marLeft w:val="0"/>
      <w:marRight w:val="0"/>
      <w:marTop w:val="0"/>
      <w:marBottom w:val="0"/>
      <w:divBdr>
        <w:top w:val="none" w:sz="0" w:space="0" w:color="auto"/>
        <w:left w:val="none" w:sz="0" w:space="0" w:color="auto"/>
        <w:bottom w:val="none" w:sz="0" w:space="0" w:color="auto"/>
        <w:right w:val="none" w:sz="0" w:space="0" w:color="auto"/>
      </w:divBdr>
    </w:div>
    <w:div w:id="1026177838">
      <w:bodyDiv w:val="1"/>
      <w:marLeft w:val="0"/>
      <w:marRight w:val="0"/>
      <w:marTop w:val="0"/>
      <w:marBottom w:val="0"/>
      <w:divBdr>
        <w:top w:val="none" w:sz="0" w:space="0" w:color="auto"/>
        <w:left w:val="none" w:sz="0" w:space="0" w:color="auto"/>
        <w:bottom w:val="none" w:sz="0" w:space="0" w:color="auto"/>
        <w:right w:val="none" w:sz="0" w:space="0" w:color="auto"/>
      </w:divBdr>
    </w:div>
    <w:div w:id="1027100579">
      <w:bodyDiv w:val="1"/>
      <w:marLeft w:val="0"/>
      <w:marRight w:val="0"/>
      <w:marTop w:val="0"/>
      <w:marBottom w:val="0"/>
      <w:divBdr>
        <w:top w:val="none" w:sz="0" w:space="0" w:color="auto"/>
        <w:left w:val="none" w:sz="0" w:space="0" w:color="auto"/>
        <w:bottom w:val="none" w:sz="0" w:space="0" w:color="auto"/>
        <w:right w:val="none" w:sz="0" w:space="0" w:color="auto"/>
      </w:divBdr>
    </w:div>
    <w:div w:id="1027871164">
      <w:bodyDiv w:val="1"/>
      <w:marLeft w:val="0"/>
      <w:marRight w:val="0"/>
      <w:marTop w:val="0"/>
      <w:marBottom w:val="0"/>
      <w:divBdr>
        <w:top w:val="none" w:sz="0" w:space="0" w:color="auto"/>
        <w:left w:val="none" w:sz="0" w:space="0" w:color="auto"/>
        <w:bottom w:val="none" w:sz="0" w:space="0" w:color="auto"/>
        <w:right w:val="none" w:sz="0" w:space="0" w:color="auto"/>
      </w:divBdr>
    </w:div>
    <w:div w:id="1028873105">
      <w:bodyDiv w:val="1"/>
      <w:marLeft w:val="0"/>
      <w:marRight w:val="0"/>
      <w:marTop w:val="0"/>
      <w:marBottom w:val="0"/>
      <w:divBdr>
        <w:top w:val="none" w:sz="0" w:space="0" w:color="auto"/>
        <w:left w:val="none" w:sz="0" w:space="0" w:color="auto"/>
        <w:bottom w:val="none" w:sz="0" w:space="0" w:color="auto"/>
        <w:right w:val="none" w:sz="0" w:space="0" w:color="auto"/>
      </w:divBdr>
    </w:div>
    <w:div w:id="1030183786">
      <w:bodyDiv w:val="1"/>
      <w:marLeft w:val="0"/>
      <w:marRight w:val="0"/>
      <w:marTop w:val="0"/>
      <w:marBottom w:val="0"/>
      <w:divBdr>
        <w:top w:val="none" w:sz="0" w:space="0" w:color="auto"/>
        <w:left w:val="none" w:sz="0" w:space="0" w:color="auto"/>
        <w:bottom w:val="none" w:sz="0" w:space="0" w:color="auto"/>
        <w:right w:val="none" w:sz="0" w:space="0" w:color="auto"/>
      </w:divBdr>
    </w:div>
    <w:div w:id="1031490450">
      <w:bodyDiv w:val="1"/>
      <w:marLeft w:val="0"/>
      <w:marRight w:val="0"/>
      <w:marTop w:val="0"/>
      <w:marBottom w:val="0"/>
      <w:divBdr>
        <w:top w:val="none" w:sz="0" w:space="0" w:color="auto"/>
        <w:left w:val="none" w:sz="0" w:space="0" w:color="auto"/>
        <w:bottom w:val="none" w:sz="0" w:space="0" w:color="auto"/>
        <w:right w:val="none" w:sz="0" w:space="0" w:color="auto"/>
      </w:divBdr>
    </w:div>
    <w:div w:id="1034691123">
      <w:bodyDiv w:val="1"/>
      <w:marLeft w:val="0"/>
      <w:marRight w:val="0"/>
      <w:marTop w:val="0"/>
      <w:marBottom w:val="0"/>
      <w:divBdr>
        <w:top w:val="none" w:sz="0" w:space="0" w:color="auto"/>
        <w:left w:val="none" w:sz="0" w:space="0" w:color="auto"/>
        <w:bottom w:val="none" w:sz="0" w:space="0" w:color="auto"/>
        <w:right w:val="none" w:sz="0" w:space="0" w:color="auto"/>
      </w:divBdr>
    </w:div>
    <w:div w:id="1038360477">
      <w:bodyDiv w:val="1"/>
      <w:marLeft w:val="0"/>
      <w:marRight w:val="0"/>
      <w:marTop w:val="0"/>
      <w:marBottom w:val="0"/>
      <w:divBdr>
        <w:top w:val="none" w:sz="0" w:space="0" w:color="auto"/>
        <w:left w:val="none" w:sz="0" w:space="0" w:color="auto"/>
        <w:bottom w:val="none" w:sz="0" w:space="0" w:color="auto"/>
        <w:right w:val="none" w:sz="0" w:space="0" w:color="auto"/>
      </w:divBdr>
    </w:div>
    <w:div w:id="1038700882">
      <w:bodyDiv w:val="1"/>
      <w:marLeft w:val="0"/>
      <w:marRight w:val="0"/>
      <w:marTop w:val="0"/>
      <w:marBottom w:val="0"/>
      <w:divBdr>
        <w:top w:val="none" w:sz="0" w:space="0" w:color="auto"/>
        <w:left w:val="none" w:sz="0" w:space="0" w:color="auto"/>
        <w:bottom w:val="none" w:sz="0" w:space="0" w:color="auto"/>
        <w:right w:val="none" w:sz="0" w:space="0" w:color="auto"/>
      </w:divBdr>
    </w:div>
    <w:div w:id="1038890733">
      <w:bodyDiv w:val="1"/>
      <w:marLeft w:val="0"/>
      <w:marRight w:val="0"/>
      <w:marTop w:val="0"/>
      <w:marBottom w:val="0"/>
      <w:divBdr>
        <w:top w:val="none" w:sz="0" w:space="0" w:color="auto"/>
        <w:left w:val="none" w:sz="0" w:space="0" w:color="auto"/>
        <w:bottom w:val="none" w:sz="0" w:space="0" w:color="auto"/>
        <w:right w:val="none" w:sz="0" w:space="0" w:color="auto"/>
      </w:divBdr>
    </w:div>
    <w:div w:id="1040668632">
      <w:bodyDiv w:val="1"/>
      <w:marLeft w:val="0"/>
      <w:marRight w:val="0"/>
      <w:marTop w:val="0"/>
      <w:marBottom w:val="0"/>
      <w:divBdr>
        <w:top w:val="none" w:sz="0" w:space="0" w:color="auto"/>
        <w:left w:val="none" w:sz="0" w:space="0" w:color="auto"/>
        <w:bottom w:val="none" w:sz="0" w:space="0" w:color="auto"/>
        <w:right w:val="none" w:sz="0" w:space="0" w:color="auto"/>
      </w:divBdr>
    </w:div>
    <w:div w:id="1041396499">
      <w:bodyDiv w:val="1"/>
      <w:marLeft w:val="0"/>
      <w:marRight w:val="0"/>
      <w:marTop w:val="0"/>
      <w:marBottom w:val="0"/>
      <w:divBdr>
        <w:top w:val="none" w:sz="0" w:space="0" w:color="auto"/>
        <w:left w:val="none" w:sz="0" w:space="0" w:color="auto"/>
        <w:bottom w:val="none" w:sz="0" w:space="0" w:color="auto"/>
        <w:right w:val="none" w:sz="0" w:space="0" w:color="auto"/>
      </w:divBdr>
    </w:div>
    <w:div w:id="1044327740">
      <w:bodyDiv w:val="1"/>
      <w:marLeft w:val="0"/>
      <w:marRight w:val="0"/>
      <w:marTop w:val="0"/>
      <w:marBottom w:val="0"/>
      <w:divBdr>
        <w:top w:val="none" w:sz="0" w:space="0" w:color="auto"/>
        <w:left w:val="none" w:sz="0" w:space="0" w:color="auto"/>
        <w:bottom w:val="none" w:sz="0" w:space="0" w:color="auto"/>
        <w:right w:val="none" w:sz="0" w:space="0" w:color="auto"/>
      </w:divBdr>
    </w:div>
    <w:div w:id="1045257012">
      <w:bodyDiv w:val="1"/>
      <w:marLeft w:val="0"/>
      <w:marRight w:val="0"/>
      <w:marTop w:val="0"/>
      <w:marBottom w:val="0"/>
      <w:divBdr>
        <w:top w:val="none" w:sz="0" w:space="0" w:color="auto"/>
        <w:left w:val="none" w:sz="0" w:space="0" w:color="auto"/>
        <w:bottom w:val="none" w:sz="0" w:space="0" w:color="auto"/>
        <w:right w:val="none" w:sz="0" w:space="0" w:color="auto"/>
      </w:divBdr>
    </w:div>
    <w:div w:id="1045373253">
      <w:bodyDiv w:val="1"/>
      <w:marLeft w:val="0"/>
      <w:marRight w:val="0"/>
      <w:marTop w:val="0"/>
      <w:marBottom w:val="0"/>
      <w:divBdr>
        <w:top w:val="none" w:sz="0" w:space="0" w:color="auto"/>
        <w:left w:val="none" w:sz="0" w:space="0" w:color="auto"/>
        <w:bottom w:val="none" w:sz="0" w:space="0" w:color="auto"/>
        <w:right w:val="none" w:sz="0" w:space="0" w:color="auto"/>
      </w:divBdr>
    </w:div>
    <w:div w:id="1046372251">
      <w:bodyDiv w:val="1"/>
      <w:marLeft w:val="0"/>
      <w:marRight w:val="0"/>
      <w:marTop w:val="0"/>
      <w:marBottom w:val="0"/>
      <w:divBdr>
        <w:top w:val="none" w:sz="0" w:space="0" w:color="auto"/>
        <w:left w:val="none" w:sz="0" w:space="0" w:color="auto"/>
        <w:bottom w:val="none" w:sz="0" w:space="0" w:color="auto"/>
        <w:right w:val="none" w:sz="0" w:space="0" w:color="auto"/>
      </w:divBdr>
    </w:div>
    <w:div w:id="1046444773">
      <w:bodyDiv w:val="1"/>
      <w:marLeft w:val="0"/>
      <w:marRight w:val="0"/>
      <w:marTop w:val="0"/>
      <w:marBottom w:val="0"/>
      <w:divBdr>
        <w:top w:val="none" w:sz="0" w:space="0" w:color="auto"/>
        <w:left w:val="none" w:sz="0" w:space="0" w:color="auto"/>
        <w:bottom w:val="none" w:sz="0" w:space="0" w:color="auto"/>
        <w:right w:val="none" w:sz="0" w:space="0" w:color="auto"/>
      </w:divBdr>
    </w:div>
    <w:div w:id="1047029188">
      <w:bodyDiv w:val="1"/>
      <w:marLeft w:val="0"/>
      <w:marRight w:val="0"/>
      <w:marTop w:val="0"/>
      <w:marBottom w:val="0"/>
      <w:divBdr>
        <w:top w:val="none" w:sz="0" w:space="0" w:color="auto"/>
        <w:left w:val="none" w:sz="0" w:space="0" w:color="auto"/>
        <w:bottom w:val="none" w:sz="0" w:space="0" w:color="auto"/>
        <w:right w:val="none" w:sz="0" w:space="0" w:color="auto"/>
      </w:divBdr>
    </w:div>
    <w:div w:id="1047801778">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051147281">
      <w:bodyDiv w:val="1"/>
      <w:marLeft w:val="0"/>
      <w:marRight w:val="0"/>
      <w:marTop w:val="0"/>
      <w:marBottom w:val="0"/>
      <w:divBdr>
        <w:top w:val="none" w:sz="0" w:space="0" w:color="auto"/>
        <w:left w:val="none" w:sz="0" w:space="0" w:color="auto"/>
        <w:bottom w:val="none" w:sz="0" w:space="0" w:color="auto"/>
        <w:right w:val="none" w:sz="0" w:space="0" w:color="auto"/>
      </w:divBdr>
    </w:div>
    <w:div w:id="1051147955">
      <w:bodyDiv w:val="1"/>
      <w:marLeft w:val="0"/>
      <w:marRight w:val="0"/>
      <w:marTop w:val="0"/>
      <w:marBottom w:val="0"/>
      <w:divBdr>
        <w:top w:val="none" w:sz="0" w:space="0" w:color="auto"/>
        <w:left w:val="none" w:sz="0" w:space="0" w:color="auto"/>
        <w:bottom w:val="none" w:sz="0" w:space="0" w:color="auto"/>
        <w:right w:val="none" w:sz="0" w:space="0" w:color="auto"/>
      </w:divBdr>
    </w:div>
    <w:div w:id="1052540453">
      <w:bodyDiv w:val="1"/>
      <w:marLeft w:val="0"/>
      <w:marRight w:val="0"/>
      <w:marTop w:val="0"/>
      <w:marBottom w:val="0"/>
      <w:divBdr>
        <w:top w:val="none" w:sz="0" w:space="0" w:color="auto"/>
        <w:left w:val="none" w:sz="0" w:space="0" w:color="auto"/>
        <w:bottom w:val="none" w:sz="0" w:space="0" w:color="auto"/>
        <w:right w:val="none" w:sz="0" w:space="0" w:color="auto"/>
      </w:divBdr>
      <w:divsChild>
        <w:div w:id="286620115">
          <w:marLeft w:val="0"/>
          <w:marRight w:val="0"/>
          <w:marTop w:val="0"/>
          <w:marBottom w:val="0"/>
          <w:divBdr>
            <w:top w:val="none" w:sz="0" w:space="0" w:color="auto"/>
            <w:left w:val="none" w:sz="0" w:space="0" w:color="auto"/>
            <w:bottom w:val="none" w:sz="0" w:space="0" w:color="auto"/>
            <w:right w:val="none" w:sz="0" w:space="0" w:color="auto"/>
          </w:divBdr>
        </w:div>
        <w:div w:id="736708421">
          <w:marLeft w:val="0"/>
          <w:marRight w:val="0"/>
          <w:marTop w:val="0"/>
          <w:marBottom w:val="0"/>
          <w:divBdr>
            <w:top w:val="none" w:sz="0" w:space="0" w:color="auto"/>
            <w:left w:val="none" w:sz="0" w:space="0" w:color="auto"/>
            <w:bottom w:val="none" w:sz="0" w:space="0" w:color="auto"/>
            <w:right w:val="none" w:sz="0" w:space="0" w:color="auto"/>
          </w:divBdr>
        </w:div>
        <w:div w:id="1123495543">
          <w:marLeft w:val="0"/>
          <w:marRight w:val="0"/>
          <w:marTop w:val="0"/>
          <w:marBottom w:val="0"/>
          <w:divBdr>
            <w:top w:val="none" w:sz="0" w:space="0" w:color="auto"/>
            <w:left w:val="none" w:sz="0" w:space="0" w:color="auto"/>
            <w:bottom w:val="none" w:sz="0" w:space="0" w:color="auto"/>
            <w:right w:val="none" w:sz="0" w:space="0" w:color="auto"/>
          </w:divBdr>
        </w:div>
      </w:divsChild>
    </w:div>
    <w:div w:id="1053773321">
      <w:bodyDiv w:val="1"/>
      <w:marLeft w:val="0"/>
      <w:marRight w:val="0"/>
      <w:marTop w:val="0"/>
      <w:marBottom w:val="0"/>
      <w:divBdr>
        <w:top w:val="none" w:sz="0" w:space="0" w:color="auto"/>
        <w:left w:val="none" w:sz="0" w:space="0" w:color="auto"/>
        <w:bottom w:val="none" w:sz="0" w:space="0" w:color="auto"/>
        <w:right w:val="none" w:sz="0" w:space="0" w:color="auto"/>
      </w:divBdr>
    </w:div>
    <w:div w:id="1054355235">
      <w:bodyDiv w:val="1"/>
      <w:marLeft w:val="0"/>
      <w:marRight w:val="0"/>
      <w:marTop w:val="0"/>
      <w:marBottom w:val="0"/>
      <w:divBdr>
        <w:top w:val="none" w:sz="0" w:space="0" w:color="auto"/>
        <w:left w:val="none" w:sz="0" w:space="0" w:color="auto"/>
        <w:bottom w:val="none" w:sz="0" w:space="0" w:color="auto"/>
        <w:right w:val="none" w:sz="0" w:space="0" w:color="auto"/>
      </w:divBdr>
    </w:div>
    <w:div w:id="1057821631">
      <w:bodyDiv w:val="1"/>
      <w:marLeft w:val="0"/>
      <w:marRight w:val="0"/>
      <w:marTop w:val="0"/>
      <w:marBottom w:val="0"/>
      <w:divBdr>
        <w:top w:val="none" w:sz="0" w:space="0" w:color="auto"/>
        <w:left w:val="none" w:sz="0" w:space="0" w:color="auto"/>
        <w:bottom w:val="none" w:sz="0" w:space="0" w:color="auto"/>
        <w:right w:val="none" w:sz="0" w:space="0" w:color="auto"/>
      </w:divBdr>
    </w:div>
    <w:div w:id="1063989033">
      <w:bodyDiv w:val="1"/>
      <w:marLeft w:val="0"/>
      <w:marRight w:val="0"/>
      <w:marTop w:val="0"/>
      <w:marBottom w:val="0"/>
      <w:divBdr>
        <w:top w:val="none" w:sz="0" w:space="0" w:color="auto"/>
        <w:left w:val="none" w:sz="0" w:space="0" w:color="auto"/>
        <w:bottom w:val="none" w:sz="0" w:space="0" w:color="auto"/>
        <w:right w:val="none" w:sz="0" w:space="0" w:color="auto"/>
      </w:divBdr>
    </w:div>
    <w:div w:id="1064568611">
      <w:bodyDiv w:val="1"/>
      <w:marLeft w:val="0"/>
      <w:marRight w:val="0"/>
      <w:marTop w:val="0"/>
      <w:marBottom w:val="0"/>
      <w:divBdr>
        <w:top w:val="none" w:sz="0" w:space="0" w:color="auto"/>
        <w:left w:val="none" w:sz="0" w:space="0" w:color="auto"/>
        <w:bottom w:val="none" w:sz="0" w:space="0" w:color="auto"/>
        <w:right w:val="none" w:sz="0" w:space="0" w:color="auto"/>
      </w:divBdr>
    </w:div>
    <w:div w:id="1067070507">
      <w:bodyDiv w:val="1"/>
      <w:marLeft w:val="0"/>
      <w:marRight w:val="0"/>
      <w:marTop w:val="0"/>
      <w:marBottom w:val="0"/>
      <w:divBdr>
        <w:top w:val="none" w:sz="0" w:space="0" w:color="auto"/>
        <w:left w:val="none" w:sz="0" w:space="0" w:color="auto"/>
        <w:bottom w:val="none" w:sz="0" w:space="0" w:color="auto"/>
        <w:right w:val="none" w:sz="0" w:space="0" w:color="auto"/>
      </w:divBdr>
    </w:div>
    <w:div w:id="1068458196">
      <w:bodyDiv w:val="1"/>
      <w:marLeft w:val="0"/>
      <w:marRight w:val="0"/>
      <w:marTop w:val="0"/>
      <w:marBottom w:val="0"/>
      <w:divBdr>
        <w:top w:val="none" w:sz="0" w:space="0" w:color="auto"/>
        <w:left w:val="none" w:sz="0" w:space="0" w:color="auto"/>
        <w:bottom w:val="none" w:sz="0" w:space="0" w:color="auto"/>
        <w:right w:val="none" w:sz="0" w:space="0" w:color="auto"/>
      </w:divBdr>
    </w:div>
    <w:div w:id="1070158874">
      <w:bodyDiv w:val="1"/>
      <w:marLeft w:val="0"/>
      <w:marRight w:val="0"/>
      <w:marTop w:val="0"/>
      <w:marBottom w:val="0"/>
      <w:divBdr>
        <w:top w:val="none" w:sz="0" w:space="0" w:color="auto"/>
        <w:left w:val="none" w:sz="0" w:space="0" w:color="auto"/>
        <w:bottom w:val="none" w:sz="0" w:space="0" w:color="auto"/>
        <w:right w:val="none" w:sz="0" w:space="0" w:color="auto"/>
      </w:divBdr>
    </w:div>
    <w:div w:id="1070424795">
      <w:bodyDiv w:val="1"/>
      <w:marLeft w:val="0"/>
      <w:marRight w:val="0"/>
      <w:marTop w:val="0"/>
      <w:marBottom w:val="0"/>
      <w:divBdr>
        <w:top w:val="none" w:sz="0" w:space="0" w:color="auto"/>
        <w:left w:val="none" w:sz="0" w:space="0" w:color="auto"/>
        <w:bottom w:val="none" w:sz="0" w:space="0" w:color="auto"/>
        <w:right w:val="none" w:sz="0" w:space="0" w:color="auto"/>
      </w:divBdr>
      <w:divsChild>
        <w:div w:id="1500924825">
          <w:marLeft w:val="0"/>
          <w:marRight w:val="0"/>
          <w:marTop w:val="0"/>
          <w:marBottom w:val="0"/>
          <w:divBdr>
            <w:top w:val="none" w:sz="0" w:space="0" w:color="auto"/>
            <w:left w:val="none" w:sz="0" w:space="0" w:color="auto"/>
            <w:bottom w:val="none" w:sz="0" w:space="0" w:color="auto"/>
            <w:right w:val="none" w:sz="0" w:space="0" w:color="auto"/>
          </w:divBdr>
        </w:div>
      </w:divsChild>
    </w:div>
    <w:div w:id="1073509800">
      <w:bodyDiv w:val="1"/>
      <w:marLeft w:val="0"/>
      <w:marRight w:val="0"/>
      <w:marTop w:val="0"/>
      <w:marBottom w:val="0"/>
      <w:divBdr>
        <w:top w:val="none" w:sz="0" w:space="0" w:color="auto"/>
        <w:left w:val="none" w:sz="0" w:space="0" w:color="auto"/>
        <w:bottom w:val="none" w:sz="0" w:space="0" w:color="auto"/>
        <w:right w:val="none" w:sz="0" w:space="0" w:color="auto"/>
      </w:divBdr>
    </w:div>
    <w:div w:id="1073623592">
      <w:bodyDiv w:val="1"/>
      <w:marLeft w:val="0"/>
      <w:marRight w:val="0"/>
      <w:marTop w:val="0"/>
      <w:marBottom w:val="0"/>
      <w:divBdr>
        <w:top w:val="none" w:sz="0" w:space="0" w:color="auto"/>
        <w:left w:val="none" w:sz="0" w:space="0" w:color="auto"/>
        <w:bottom w:val="none" w:sz="0" w:space="0" w:color="auto"/>
        <w:right w:val="none" w:sz="0" w:space="0" w:color="auto"/>
      </w:divBdr>
    </w:div>
    <w:div w:id="1074203797">
      <w:bodyDiv w:val="1"/>
      <w:marLeft w:val="0"/>
      <w:marRight w:val="0"/>
      <w:marTop w:val="0"/>
      <w:marBottom w:val="0"/>
      <w:divBdr>
        <w:top w:val="none" w:sz="0" w:space="0" w:color="auto"/>
        <w:left w:val="none" w:sz="0" w:space="0" w:color="auto"/>
        <w:bottom w:val="none" w:sz="0" w:space="0" w:color="auto"/>
        <w:right w:val="none" w:sz="0" w:space="0" w:color="auto"/>
      </w:divBdr>
    </w:div>
    <w:div w:id="1074619867">
      <w:bodyDiv w:val="1"/>
      <w:marLeft w:val="0"/>
      <w:marRight w:val="0"/>
      <w:marTop w:val="0"/>
      <w:marBottom w:val="0"/>
      <w:divBdr>
        <w:top w:val="none" w:sz="0" w:space="0" w:color="auto"/>
        <w:left w:val="none" w:sz="0" w:space="0" w:color="auto"/>
        <w:bottom w:val="none" w:sz="0" w:space="0" w:color="auto"/>
        <w:right w:val="none" w:sz="0" w:space="0" w:color="auto"/>
      </w:divBdr>
    </w:div>
    <w:div w:id="1077705016">
      <w:bodyDiv w:val="1"/>
      <w:marLeft w:val="0"/>
      <w:marRight w:val="0"/>
      <w:marTop w:val="0"/>
      <w:marBottom w:val="0"/>
      <w:divBdr>
        <w:top w:val="none" w:sz="0" w:space="0" w:color="auto"/>
        <w:left w:val="none" w:sz="0" w:space="0" w:color="auto"/>
        <w:bottom w:val="none" w:sz="0" w:space="0" w:color="auto"/>
        <w:right w:val="none" w:sz="0" w:space="0" w:color="auto"/>
      </w:divBdr>
    </w:div>
    <w:div w:id="1081290222">
      <w:bodyDiv w:val="1"/>
      <w:marLeft w:val="0"/>
      <w:marRight w:val="0"/>
      <w:marTop w:val="0"/>
      <w:marBottom w:val="0"/>
      <w:divBdr>
        <w:top w:val="none" w:sz="0" w:space="0" w:color="auto"/>
        <w:left w:val="none" w:sz="0" w:space="0" w:color="auto"/>
        <w:bottom w:val="none" w:sz="0" w:space="0" w:color="auto"/>
        <w:right w:val="none" w:sz="0" w:space="0" w:color="auto"/>
      </w:divBdr>
    </w:div>
    <w:div w:id="1081945072">
      <w:bodyDiv w:val="1"/>
      <w:marLeft w:val="0"/>
      <w:marRight w:val="0"/>
      <w:marTop w:val="0"/>
      <w:marBottom w:val="0"/>
      <w:divBdr>
        <w:top w:val="none" w:sz="0" w:space="0" w:color="auto"/>
        <w:left w:val="none" w:sz="0" w:space="0" w:color="auto"/>
        <w:bottom w:val="none" w:sz="0" w:space="0" w:color="auto"/>
        <w:right w:val="none" w:sz="0" w:space="0" w:color="auto"/>
      </w:divBdr>
    </w:div>
    <w:div w:id="1083378234">
      <w:bodyDiv w:val="1"/>
      <w:marLeft w:val="0"/>
      <w:marRight w:val="0"/>
      <w:marTop w:val="0"/>
      <w:marBottom w:val="0"/>
      <w:divBdr>
        <w:top w:val="none" w:sz="0" w:space="0" w:color="auto"/>
        <w:left w:val="none" w:sz="0" w:space="0" w:color="auto"/>
        <w:bottom w:val="none" w:sz="0" w:space="0" w:color="auto"/>
        <w:right w:val="none" w:sz="0" w:space="0" w:color="auto"/>
      </w:divBdr>
    </w:div>
    <w:div w:id="1085416697">
      <w:bodyDiv w:val="1"/>
      <w:marLeft w:val="0"/>
      <w:marRight w:val="0"/>
      <w:marTop w:val="0"/>
      <w:marBottom w:val="0"/>
      <w:divBdr>
        <w:top w:val="none" w:sz="0" w:space="0" w:color="auto"/>
        <w:left w:val="none" w:sz="0" w:space="0" w:color="auto"/>
        <w:bottom w:val="none" w:sz="0" w:space="0" w:color="auto"/>
        <w:right w:val="none" w:sz="0" w:space="0" w:color="auto"/>
      </w:divBdr>
    </w:div>
    <w:div w:id="1086657837">
      <w:bodyDiv w:val="1"/>
      <w:marLeft w:val="0"/>
      <w:marRight w:val="0"/>
      <w:marTop w:val="0"/>
      <w:marBottom w:val="0"/>
      <w:divBdr>
        <w:top w:val="none" w:sz="0" w:space="0" w:color="auto"/>
        <w:left w:val="none" w:sz="0" w:space="0" w:color="auto"/>
        <w:bottom w:val="none" w:sz="0" w:space="0" w:color="auto"/>
        <w:right w:val="none" w:sz="0" w:space="0" w:color="auto"/>
      </w:divBdr>
    </w:div>
    <w:div w:id="1086926910">
      <w:bodyDiv w:val="1"/>
      <w:marLeft w:val="0"/>
      <w:marRight w:val="0"/>
      <w:marTop w:val="0"/>
      <w:marBottom w:val="0"/>
      <w:divBdr>
        <w:top w:val="none" w:sz="0" w:space="0" w:color="auto"/>
        <w:left w:val="none" w:sz="0" w:space="0" w:color="auto"/>
        <w:bottom w:val="none" w:sz="0" w:space="0" w:color="auto"/>
        <w:right w:val="none" w:sz="0" w:space="0" w:color="auto"/>
      </w:divBdr>
    </w:div>
    <w:div w:id="1086993428">
      <w:bodyDiv w:val="1"/>
      <w:marLeft w:val="0"/>
      <w:marRight w:val="0"/>
      <w:marTop w:val="0"/>
      <w:marBottom w:val="0"/>
      <w:divBdr>
        <w:top w:val="none" w:sz="0" w:space="0" w:color="auto"/>
        <w:left w:val="none" w:sz="0" w:space="0" w:color="auto"/>
        <w:bottom w:val="none" w:sz="0" w:space="0" w:color="auto"/>
        <w:right w:val="none" w:sz="0" w:space="0" w:color="auto"/>
      </w:divBdr>
    </w:div>
    <w:div w:id="1087078295">
      <w:bodyDiv w:val="1"/>
      <w:marLeft w:val="0"/>
      <w:marRight w:val="0"/>
      <w:marTop w:val="0"/>
      <w:marBottom w:val="0"/>
      <w:divBdr>
        <w:top w:val="none" w:sz="0" w:space="0" w:color="auto"/>
        <w:left w:val="none" w:sz="0" w:space="0" w:color="auto"/>
        <w:bottom w:val="none" w:sz="0" w:space="0" w:color="auto"/>
        <w:right w:val="none" w:sz="0" w:space="0" w:color="auto"/>
      </w:divBdr>
    </w:div>
    <w:div w:id="1088648736">
      <w:bodyDiv w:val="1"/>
      <w:marLeft w:val="0"/>
      <w:marRight w:val="0"/>
      <w:marTop w:val="0"/>
      <w:marBottom w:val="0"/>
      <w:divBdr>
        <w:top w:val="none" w:sz="0" w:space="0" w:color="auto"/>
        <w:left w:val="none" w:sz="0" w:space="0" w:color="auto"/>
        <w:bottom w:val="none" w:sz="0" w:space="0" w:color="auto"/>
        <w:right w:val="none" w:sz="0" w:space="0" w:color="auto"/>
      </w:divBdr>
    </w:div>
    <w:div w:id="1090469706">
      <w:bodyDiv w:val="1"/>
      <w:marLeft w:val="0"/>
      <w:marRight w:val="0"/>
      <w:marTop w:val="0"/>
      <w:marBottom w:val="0"/>
      <w:divBdr>
        <w:top w:val="none" w:sz="0" w:space="0" w:color="auto"/>
        <w:left w:val="none" w:sz="0" w:space="0" w:color="auto"/>
        <w:bottom w:val="none" w:sz="0" w:space="0" w:color="auto"/>
        <w:right w:val="none" w:sz="0" w:space="0" w:color="auto"/>
      </w:divBdr>
    </w:div>
    <w:div w:id="1092048763">
      <w:bodyDiv w:val="1"/>
      <w:marLeft w:val="0"/>
      <w:marRight w:val="0"/>
      <w:marTop w:val="0"/>
      <w:marBottom w:val="0"/>
      <w:divBdr>
        <w:top w:val="none" w:sz="0" w:space="0" w:color="auto"/>
        <w:left w:val="none" w:sz="0" w:space="0" w:color="auto"/>
        <w:bottom w:val="none" w:sz="0" w:space="0" w:color="auto"/>
        <w:right w:val="none" w:sz="0" w:space="0" w:color="auto"/>
      </w:divBdr>
    </w:div>
    <w:div w:id="1092432836">
      <w:bodyDiv w:val="1"/>
      <w:marLeft w:val="0"/>
      <w:marRight w:val="0"/>
      <w:marTop w:val="0"/>
      <w:marBottom w:val="0"/>
      <w:divBdr>
        <w:top w:val="none" w:sz="0" w:space="0" w:color="auto"/>
        <w:left w:val="none" w:sz="0" w:space="0" w:color="auto"/>
        <w:bottom w:val="none" w:sz="0" w:space="0" w:color="auto"/>
        <w:right w:val="none" w:sz="0" w:space="0" w:color="auto"/>
      </w:divBdr>
    </w:div>
    <w:div w:id="1093280936">
      <w:bodyDiv w:val="1"/>
      <w:marLeft w:val="0"/>
      <w:marRight w:val="0"/>
      <w:marTop w:val="0"/>
      <w:marBottom w:val="0"/>
      <w:divBdr>
        <w:top w:val="none" w:sz="0" w:space="0" w:color="auto"/>
        <w:left w:val="none" w:sz="0" w:space="0" w:color="auto"/>
        <w:bottom w:val="none" w:sz="0" w:space="0" w:color="auto"/>
        <w:right w:val="none" w:sz="0" w:space="0" w:color="auto"/>
      </w:divBdr>
    </w:div>
    <w:div w:id="1098140161">
      <w:bodyDiv w:val="1"/>
      <w:marLeft w:val="0"/>
      <w:marRight w:val="0"/>
      <w:marTop w:val="0"/>
      <w:marBottom w:val="0"/>
      <w:divBdr>
        <w:top w:val="none" w:sz="0" w:space="0" w:color="auto"/>
        <w:left w:val="none" w:sz="0" w:space="0" w:color="auto"/>
        <w:bottom w:val="none" w:sz="0" w:space="0" w:color="auto"/>
        <w:right w:val="none" w:sz="0" w:space="0" w:color="auto"/>
      </w:divBdr>
    </w:div>
    <w:div w:id="1099594802">
      <w:bodyDiv w:val="1"/>
      <w:marLeft w:val="0"/>
      <w:marRight w:val="0"/>
      <w:marTop w:val="0"/>
      <w:marBottom w:val="0"/>
      <w:divBdr>
        <w:top w:val="none" w:sz="0" w:space="0" w:color="auto"/>
        <w:left w:val="none" w:sz="0" w:space="0" w:color="auto"/>
        <w:bottom w:val="none" w:sz="0" w:space="0" w:color="auto"/>
        <w:right w:val="none" w:sz="0" w:space="0" w:color="auto"/>
      </w:divBdr>
    </w:div>
    <w:div w:id="1100637338">
      <w:bodyDiv w:val="1"/>
      <w:marLeft w:val="0"/>
      <w:marRight w:val="0"/>
      <w:marTop w:val="0"/>
      <w:marBottom w:val="0"/>
      <w:divBdr>
        <w:top w:val="none" w:sz="0" w:space="0" w:color="auto"/>
        <w:left w:val="none" w:sz="0" w:space="0" w:color="auto"/>
        <w:bottom w:val="none" w:sz="0" w:space="0" w:color="auto"/>
        <w:right w:val="none" w:sz="0" w:space="0" w:color="auto"/>
      </w:divBdr>
    </w:div>
    <w:div w:id="1102188616">
      <w:bodyDiv w:val="1"/>
      <w:marLeft w:val="0"/>
      <w:marRight w:val="0"/>
      <w:marTop w:val="0"/>
      <w:marBottom w:val="0"/>
      <w:divBdr>
        <w:top w:val="none" w:sz="0" w:space="0" w:color="auto"/>
        <w:left w:val="none" w:sz="0" w:space="0" w:color="auto"/>
        <w:bottom w:val="none" w:sz="0" w:space="0" w:color="auto"/>
        <w:right w:val="none" w:sz="0" w:space="0" w:color="auto"/>
      </w:divBdr>
    </w:div>
    <w:div w:id="1105424592">
      <w:bodyDiv w:val="1"/>
      <w:marLeft w:val="0"/>
      <w:marRight w:val="0"/>
      <w:marTop w:val="0"/>
      <w:marBottom w:val="0"/>
      <w:divBdr>
        <w:top w:val="none" w:sz="0" w:space="0" w:color="auto"/>
        <w:left w:val="none" w:sz="0" w:space="0" w:color="auto"/>
        <w:bottom w:val="none" w:sz="0" w:space="0" w:color="auto"/>
        <w:right w:val="none" w:sz="0" w:space="0" w:color="auto"/>
      </w:divBdr>
    </w:div>
    <w:div w:id="1109200885">
      <w:bodyDiv w:val="1"/>
      <w:marLeft w:val="0"/>
      <w:marRight w:val="0"/>
      <w:marTop w:val="0"/>
      <w:marBottom w:val="0"/>
      <w:divBdr>
        <w:top w:val="none" w:sz="0" w:space="0" w:color="auto"/>
        <w:left w:val="none" w:sz="0" w:space="0" w:color="auto"/>
        <w:bottom w:val="none" w:sz="0" w:space="0" w:color="auto"/>
        <w:right w:val="none" w:sz="0" w:space="0" w:color="auto"/>
      </w:divBdr>
    </w:div>
    <w:div w:id="1111320755">
      <w:bodyDiv w:val="1"/>
      <w:marLeft w:val="0"/>
      <w:marRight w:val="0"/>
      <w:marTop w:val="0"/>
      <w:marBottom w:val="0"/>
      <w:divBdr>
        <w:top w:val="none" w:sz="0" w:space="0" w:color="auto"/>
        <w:left w:val="none" w:sz="0" w:space="0" w:color="auto"/>
        <w:bottom w:val="none" w:sz="0" w:space="0" w:color="auto"/>
        <w:right w:val="none" w:sz="0" w:space="0" w:color="auto"/>
      </w:divBdr>
      <w:divsChild>
        <w:div w:id="590968354">
          <w:marLeft w:val="0"/>
          <w:marRight w:val="0"/>
          <w:marTop w:val="0"/>
          <w:marBottom w:val="0"/>
          <w:divBdr>
            <w:top w:val="none" w:sz="0" w:space="0" w:color="auto"/>
            <w:left w:val="none" w:sz="0" w:space="0" w:color="auto"/>
            <w:bottom w:val="none" w:sz="0" w:space="0" w:color="auto"/>
            <w:right w:val="none" w:sz="0" w:space="0" w:color="auto"/>
          </w:divBdr>
        </w:div>
        <w:div w:id="807894190">
          <w:marLeft w:val="0"/>
          <w:marRight w:val="0"/>
          <w:marTop w:val="0"/>
          <w:marBottom w:val="0"/>
          <w:divBdr>
            <w:top w:val="none" w:sz="0" w:space="0" w:color="auto"/>
            <w:left w:val="none" w:sz="0" w:space="0" w:color="auto"/>
            <w:bottom w:val="none" w:sz="0" w:space="0" w:color="auto"/>
            <w:right w:val="none" w:sz="0" w:space="0" w:color="auto"/>
          </w:divBdr>
        </w:div>
        <w:div w:id="1336349335">
          <w:marLeft w:val="0"/>
          <w:marRight w:val="0"/>
          <w:marTop w:val="0"/>
          <w:marBottom w:val="0"/>
          <w:divBdr>
            <w:top w:val="none" w:sz="0" w:space="0" w:color="auto"/>
            <w:left w:val="none" w:sz="0" w:space="0" w:color="auto"/>
            <w:bottom w:val="none" w:sz="0" w:space="0" w:color="auto"/>
            <w:right w:val="none" w:sz="0" w:space="0" w:color="auto"/>
          </w:divBdr>
        </w:div>
      </w:divsChild>
    </w:div>
    <w:div w:id="1111321333">
      <w:bodyDiv w:val="1"/>
      <w:marLeft w:val="0"/>
      <w:marRight w:val="0"/>
      <w:marTop w:val="0"/>
      <w:marBottom w:val="0"/>
      <w:divBdr>
        <w:top w:val="none" w:sz="0" w:space="0" w:color="auto"/>
        <w:left w:val="none" w:sz="0" w:space="0" w:color="auto"/>
        <w:bottom w:val="none" w:sz="0" w:space="0" w:color="auto"/>
        <w:right w:val="none" w:sz="0" w:space="0" w:color="auto"/>
      </w:divBdr>
    </w:div>
    <w:div w:id="1116102474">
      <w:bodyDiv w:val="1"/>
      <w:marLeft w:val="0"/>
      <w:marRight w:val="0"/>
      <w:marTop w:val="0"/>
      <w:marBottom w:val="0"/>
      <w:divBdr>
        <w:top w:val="none" w:sz="0" w:space="0" w:color="auto"/>
        <w:left w:val="none" w:sz="0" w:space="0" w:color="auto"/>
        <w:bottom w:val="none" w:sz="0" w:space="0" w:color="auto"/>
        <w:right w:val="none" w:sz="0" w:space="0" w:color="auto"/>
      </w:divBdr>
      <w:divsChild>
        <w:div w:id="341207473">
          <w:marLeft w:val="0"/>
          <w:marRight w:val="0"/>
          <w:marTop w:val="0"/>
          <w:marBottom w:val="0"/>
          <w:divBdr>
            <w:top w:val="none" w:sz="0" w:space="0" w:color="auto"/>
            <w:left w:val="none" w:sz="0" w:space="0" w:color="auto"/>
            <w:bottom w:val="none" w:sz="0" w:space="0" w:color="auto"/>
            <w:right w:val="none" w:sz="0" w:space="0" w:color="auto"/>
          </w:divBdr>
          <w:divsChild>
            <w:div w:id="633367346">
              <w:marLeft w:val="0"/>
              <w:marRight w:val="0"/>
              <w:marTop w:val="0"/>
              <w:marBottom w:val="0"/>
              <w:divBdr>
                <w:top w:val="none" w:sz="0" w:space="0" w:color="auto"/>
                <w:left w:val="none" w:sz="0" w:space="0" w:color="auto"/>
                <w:bottom w:val="none" w:sz="0" w:space="0" w:color="auto"/>
                <w:right w:val="none" w:sz="0" w:space="0" w:color="auto"/>
              </w:divBdr>
              <w:divsChild>
                <w:div w:id="20185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9499">
          <w:marLeft w:val="0"/>
          <w:marRight w:val="0"/>
          <w:marTop w:val="0"/>
          <w:marBottom w:val="0"/>
          <w:divBdr>
            <w:top w:val="none" w:sz="0" w:space="0" w:color="auto"/>
            <w:left w:val="none" w:sz="0" w:space="0" w:color="auto"/>
            <w:bottom w:val="none" w:sz="0" w:space="0" w:color="auto"/>
            <w:right w:val="none" w:sz="0" w:space="0" w:color="auto"/>
          </w:divBdr>
        </w:div>
      </w:divsChild>
    </w:div>
    <w:div w:id="1120685110">
      <w:bodyDiv w:val="1"/>
      <w:marLeft w:val="0"/>
      <w:marRight w:val="0"/>
      <w:marTop w:val="0"/>
      <w:marBottom w:val="0"/>
      <w:divBdr>
        <w:top w:val="none" w:sz="0" w:space="0" w:color="auto"/>
        <w:left w:val="none" w:sz="0" w:space="0" w:color="auto"/>
        <w:bottom w:val="none" w:sz="0" w:space="0" w:color="auto"/>
        <w:right w:val="none" w:sz="0" w:space="0" w:color="auto"/>
      </w:divBdr>
    </w:div>
    <w:div w:id="1122967215">
      <w:bodyDiv w:val="1"/>
      <w:marLeft w:val="0"/>
      <w:marRight w:val="0"/>
      <w:marTop w:val="0"/>
      <w:marBottom w:val="0"/>
      <w:divBdr>
        <w:top w:val="none" w:sz="0" w:space="0" w:color="auto"/>
        <w:left w:val="none" w:sz="0" w:space="0" w:color="auto"/>
        <w:bottom w:val="none" w:sz="0" w:space="0" w:color="auto"/>
        <w:right w:val="none" w:sz="0" w:space="0" w:color="auto"/>
      </w:divBdr>
    </w:div>
    <w:div w:id="1123495442">
      <w:bodyDiv w:val="1"/>
      <w:marLeft w:val="0"/>
      <w:marRight w:val="0"/>
      <w:marTop w:val="0"/>
      <w:marBottom w:val="0"/>
      <w:divBdr>
        <w:top w:val="none" w:sz="0" w:space="0" w:color="auto"/>
        <w:left w:val="none" w:sz="0" w:space="0" w:color="auto"/>
        <w:bottom w:val="none" w:sz="0" w:space="0" w:color="auto"/>
        <w:right w:val="none" w:sz="0" w:space="0" w:color="auto"/>
      </w:divBdr>
    </w:div>
    <w:div w:id="1126121228">
      <w:bodyDiv w:val="1"/>
      <w:marLeft w:val="0"/>
      <w:marRight w:val="0"/>
      <w:marTop w:val="0"/>
      <w:marBottom w:val="0"/>
      <w:divBdr>
        <w:top w:val="none" w:sz="0" w:space="0" w:color="auto"/>
        <w:left w:val="none" w:sz="0" w:space="0" w:color="auto"/>
        <w:bottom w:val="none" w:sz="0" w:space="0" w:color="auto"/>
        <w:right w:val="none" w:sz="0" w:space="0" w:color="auto"/>
      </w:divBdr>
    </w:div>
    <w:div w:id="1126895789">
      <w:bodyDiv w:val="1"/>
      <w:marLeft w:val="0"/>
      <w:marRight w:val="0"/>
      <w:marTop w:val="0"/>
      <w:marBottom w:val="0"/>
      <w:divBdr>
        <w:top w:val="none" w:sz="0" w:space="0" w:color="auto"/>
        <w:left w:val="none" w:sz="0" w:space="0" w:color="auto"/>
        <w:bottom w:val="none" w:sz="0" w:space="0" w:color="auto"/>
        <w:right w:val="none" w:sz="0" w:space="0" w:color="auto"/>
      </w:divBdr>
    </w:div>
    <w:div w:id="1129279407">
      <w:bodyDiv w:val="1"/>
      <w:marLeft w:val="0"/>
      <w:marRight w:val="0"/>
      <w:marTop w:val="0"/>
      <w:marBottom w:val="0"/>
      <w:divBdr>
        <w:top w:val="none" w:sz="0" w:space="0" w:color="auto"/>
        <w:left w:val="none" w:sz="0" w:space="0" w:color="auto"/>
        <w:bottom w:val="none" w:sz="0" w:space="0" w:color="auto"/>
        <w:right w:val="none" w:sz="0" w:space="0" w:color="auto"/>
      </w:divBdr>
    </w:div>
    <w:div w:id="1129930344">
      <w:bodyDiv w:val="1"/>
      <w:marLeft w:val="0"/>
      <w:marRight w:val="0"/>
      <w:marTop w:val="0"/>
      <w:marBottom w:val="0"/>
      <w:divBdr>
        <w:top w:val="none" w:sz="0" w:space="0" w:color="auto"/>
        <w:left w:val="none" w:sz="0" w:space="0" w:color="auto"/>
        <w:bottom w:val="none" w:sz="0" w:space="0" w:color="auto"/>
        <w:right w:val="none" w:sz="0" w:space="0" w:color="auto"/>
      </w:divBdr>
    </w:div>
    <w:div w:id="1132479019">
      <w:bodyDiv w:val="1"/>
      <w:marLeft w:val="0"/>
      <w:marRight w:val="0"/>
      <w:marTop w:val="0"/>
      <w:marBottom w:val="0"/>
      <w:divBdr>
        <w:top w:val="none" w:sz="0" w:space="0" w:color="auto"/>
        <w:left w:val="none" w:sz="0" w:space="0" w:color="auto"/>
        <w:bottom w:val="none" w:sz="0" w:space="0" w:color="auto"/>
        <w:right w:val="none" w:sz="0" w:space="0" w:color="auto"/>
      </w:divBdr>
    </w:div>
    <w:div w:id="1135414923">
      <w:bodyDiv w:val="1"/>
      <w:marLeft w:val="0"/>
      <w:marRight w:val="0"/>
      <w:marTop w:val="0"/>
      <w:marBottom w:val="0"/>
      <w:divBdr>
        <w:top w:val="none" w:sz="0" w:space="0" w:color="auto"/>
        <w:left w:val="none" w:sz="0" w:space="0" w:color="auto"/>
        <w:bottom w:val="none" w:sz="0" w:space="0" w:color="auto"/>
        <w:right w:val="none" w:sz="0" w:space="0" w:color="auto"/>
      </w:divBdr>
      <w:divsChild>
        <w:div w:id="657459696">
          <w:marLeft w:val="0"/>
          <w:marRight w:val="0"/>
          <w:marTop w:val="0"/>
          <w:marBottom w:val="0"/>
          <w:divBdr>
            <w:top w:val="none" w:sz="0" w:space="0" w:color="auto"/>
            <w:left w:val="none" w:sz="0" w:space="0" w:color="auto"/>
            <w:bottom w:val="none" w:sz="0" w:space="0" w:color="auto"/>
            <w:right w:val="none" w:sz="0" w:space="0" w:color="auto"/>
          </w:divBdr>
        </w:div>
        <w:div w:id="712340404">
          <w:marLeft w:val="0"/>
          <w:marRight w:val="0"/>
          <w:marTop w:val="0"/>
          <w:marBottom w:val="0"/>
          <w:divBdr>
            <w:top w:val="none" w:sz="0" w:space="0" w:color="auto"/>
            <w:left w:val="none" w:sz="0" w:space="0" w:color="auto"/>
            <w:bottom w:val="none" w:sz="0" w:space="0" w:color="auto"/>
            <w:right w:val="none" w:sz="0" w:space="0" w:color="auto"/>
          </w:divBdr>
        </w:div>
        <w:div w:id="1079250913">
          <w:marLeft w:val="0"/>
          <w:marRight w:val="0"/>
          <w:marTop w:val="0"/>
          <w:marBottom w:val="0"/>
          <w:divBdr>
            <w:top w:val="none" w:sz="0" w:space="0" w:color="auto"/>
            <w:left w:val="none" w:sz="0" w:space="0" w:color="auto"/>
            <w:bottom w:val="none" w:sz="0" w:space="0" w:color="auto"/>
            <w:right w:val="none" w:sz="0" w:space="0" w:color="auto"/>
          </w:divBdr>
        </w:div>
        <w:div w:id="1718314423">
          <w:marLeft w:val="0"/>
          <w:marRight w:val="0"/>
          <w:marTop w:val="0"/>
          <w:marBottom w:val="0"/>
          <w:divBdr>
            <w:top w:val="none" w:sz="0" w:space="0" w:color="auto"/>
            <w:left w:val="none" w:sz="0" w:space="0" w:color="auto"/>
            <w:bottom w:val="none" w:sz="0" w:space="0" w:color="auto"/>
            <w:right w:val="none" w:sz="0" w:space="0" w:color="auto"/>
          </w:divBdr>
        </w:div>
        <w:div w:id="1946300497">
          <w:marLeft w:val="0"/>
          <w:marRight w:val="0"/>
          <w:marTop w:val="0"/>
          <w:marBottom w:val="0"/>
          <w:divBdr>
            <w:top w:val="none" w:sz="0" w:space="0" w:color="auto"/>
            <w:left w:val="none" w:sz="0" w:space="0" w:color="auto"/>
            <w:bottom w:val="none" w:sz="0" w:space="0" w:color="auto"/>
            <w:right w:val="none" w:sz="0" w:space="0" w:color="auto"/>
          </w:divBdr>
        </w:div>
      </w:divsChild>
    </w:div>
    <w:div w:id="1136215433">
      <w:bodyDiv w:val="1"/>
      <w:marLeft w:val="0"/>
      <w:marRight w:val="0"/>
      <w:marTop w:val="0"/>
      <w:marBottom w:val="0"/>
      <w:divBdr>
        <w:top w:val="none" w:sz="0" w:space="0" w:color="auto"/>
        <w:left w:val="none" w:sz="0" w:space="0" w:color="auto"/>
        <w:bottom w:val="none" w:sz="0" w:space="0" w:color="auto"/>
        <w:right w:val="none" w:sz="0" w:space="0" w:color="auto"/>
      </w:divBdr>
    </w:div>
    <w:div w:id="1137333126">
      <w:bodyDiv w:val="1"/>
      <w:marLeft w:val="0"/>
      <w:marRight w:val="0"/>
      <w:marTop w:val="0"/>
      <w:marBottom w:val="0"/>
      <w:divBdr>
        <w:top w:val="none" w:sz="0" w:space="0" w:color="auto"/>
        <w:left w:val="none" w:sz="0" w:space="0" w:color="auto"/>
        <w:bottom w:val="none" w:sz="0" w:space="0" w:color="auto"/>
        <w:right w:val="none" w:sz="0" w:space="0" w:color="auto"/>
      </w:divBdr>
    </w:div>
    <w:div w:id="1137407963">
      <w:bodyDiv w:val="1"/>
      <w:marLeft w:val="0"/>
      <w:marRight w:val="0"/>
      <w:marTop w:val="0"/>
      <w:marBottom w:val="0"/>
      <w:divBdr>
        <w:top w:val="none" w:sz="0" w:space="0" w:color="auto"/>
        <w:left w:val="none" w:sz="0" w:space="0" w:color="auto"/>
        <w:bottom w:val="none" w:sz="0" w:space="0" w:color="auto"/>
        <w:right w:val="none" w:sz="0" w:space="0" w:color="auto"/>
      </w:divBdr>
    </w:div>
    <w:div w:id="1138373230">
      <w:bodyDiv w:val="1"/>
      <w:marLeft w:val="0"/>
      <w:marRight w:val="0"/>
      <w:marTop w:val="0"/>
      <w:marBottom w:val="0"/>
      <w:divBdr>
        <w:top w:val="none" w:sz="0" w:space="0" w:color="auto"/>
        <w:left w:val="none" w:sz="0" w:space="0" w:color="auto"/>
        <w:bottom w:val="none" w:sz="0" w:space="0" w:color="auto"/>
        <w:right w:val="none" w:sz="0" w:space="0" w:color="auto"/>
      </w:divBdr>
    </w:div>
    <w:div w:id="1141773032">
      <w:bodyDiv w:val="1"/>
      <w:marLeft w:val="0"/>
      <w:marRight w:val="0"/>
      <w:marTop w:val="0"/>
      <w:marBottom w:val="0"/>
      <w:divBdr>
        <w:top w:val="none" w:sz="0" w:space="0" w:color="auto"/>
        <w:left w:val="none" w:sz="0" w:space="0" w:color="auto"/>
        <w:bottom w:val="none" w:sz="0" w:space="0" w:color="auto"/>
        <w:right w:val="none" w:sz="0" w:space="0" w:color="auto"/>
      </w:divBdr>
    </w:div>
    <w:div w:id="1146123409">
      <w:bodyDiv w:val="1"/>
      <w:marLeft w:val="0"/>
      <w:marRight w:val="0"/>
      <w:marTop w:val="0"/>
      <w:marBottom w:val="0"/>
      <w:divBdr>
        <w:top w:val="none" w:sz="0" w:space="0" w:color="auto"/>
        <w:left w:val="none" w:sz="0" w:space="0" w:color="auto"/>
        <w:bottom w:val="none" w:sz="0" w:space="0" w:color="auto"/>
        <w:right w:val="none" w:sz="0" w:space="0" w:color="auto"/>
      </w:divBdr>
    </w:div>
    <w:div w:id="1146438393">
      <w:bodyDiv w:val="1"/>
      <w:marLeft w:val="0"/>
      <w:marRight w:val="0"/>
      <w:marTop w:val="0"/>
      <w:marBottom w:val="0"/>
      <w:divBdr>
        <w:top w:val="none" w:sz="0" w:space="0" w:color="auto"/>
        <w:left w:val="none" w:sz="0" w:space="0" w:color="auto"/>
        <w:bottom w:val="none" w:sz="0" w:space="0" w:color="auto"/>
        <w:right w:val="none" w:sz="0" w:space="0" w:color="auto"/>
      </w:divBdr>
    </w:div>
    <w:div w:id="1147551882">
      <w:bodyDiv w:val="1"/>
      <w:marLeft w:val="0"/>
      <w:marRight w:val="0"/>
      <w:marTop w:val="0"/>
      <w:marBottom w:val="0"/>
      <w:divBdr>
        <w:top w:val="none" w:sz="0" w:space="0" w:color="auto"/>
        <w:left w:val="none" w:sz="0" w:space="0" w:color="auto"/>
        <w:bottom w:val="none" w:sz="0" w:space="0" w:color="auto"/>
        <w:right w:val="none" w:sz="0" w:space="0" w:color="auto"/>
      </w:divBdr>
    </w:div>
    <w:div w:id="1149857555">
      <w:bodyDiv w:val="1"/>
      <w:marLeft w:val="0"/>
      <w:marRight w:val="0"/>
      <w:marTop w:val="0"/>
      <w:marBottom w:val="0"/>
      <w:divBdr>
        <w:top w:val="none" w:sz="0" w:space="0" w:color="auto"/>
        <w:left w:val="none" w:sz="0" w:space="0" w:color="auto"/>
        <w:bottom w:val="none" w:sz="0" w:space="0" w:color="auto"/>
        <w:right w:val="none" w:sz="0" w:space="0" w:color="auto"/>
      </w:divBdr>
    </w:div>
    <w:div w:id="1150101932">
      <w:bodyDiv w:val="1"/>
      <w:marLeft w:val="0"/>
      <w:marRight w:val="0"/>
      <w:marTop w:val="0"/>
      <w:marBottom w:val="0"/>
      <w:divBdr>
        <w:top w:val="none" w:sz="0" w:space="0" w:color="auto"/>
        <w:left w:val="none" w:sz="0" w:space="0" w:color="auto"/>
        <w:bottom w:val="none" w:sz="0" w:space="0" w:color="auto"/>
        <w:right w:val="none" w:sz="0" w:space="0" w:color="auto"/>
      </w:divBdr>
    </w:div>
    <w:div w:id="1150177066">
      <w:bodyDiv w:val="1"/>
      <w:marLeft w:val="0"/>
      <w:marRight w:val="0"/>
      <w:marTop w:val="0"/>
      <w:marBottom w:val="0"/>
      <w:divBdr>
        <w:top w:val="none" w:sz="0" w:space="0" w:color="auto"/>
        <w:left w:val="none" w:sz="0" w:space="0" w:color="auto"/>
        <w:bottom w:val="none" w:sz="0" w:space="0" w:color="auto"/>
        <w:right w:val="none" w:sz="0" w:space="0" w:color="auto"/>
      </w:divBdr>
    </w:div>
    <w:div w:id="1152480394">
      <w:bodyDiv w:val="1"/>
      <w:marLeft w:val="0"/>
      <w:marRight w:val="0"/>
      <w:marTop w:val="0"/>
      <w:marBottom w:val="0"/>
      <w:divBdr>
        <w:top w:val="none" w:sz="0" w:space="0" w:color="auto"/>
        <w:left w:val="none" w:sz="0" w:space="0" w:color="auto"/>
        <w:bottom w:val="none" w:sz="0" w:space="0" w:color="auto"/>
        <w:right w:val="none" w:sz="0" w:space="0" w:color="auto"/>
      </w:divBdr>
    </w:div>
    <w:div w:id="1154293349">
      <w:bodyDiv w:val="1"/>
      <w:marLeft w:val="0"/>
      <w:marRight w:val="0"/>
      <w:marTop w:val="0"/>
      <w:marBottom w:val="0"/>
      <w:divBdr>
        <w:top w:val="none" w:sz="0" w:space="0" w:color="auto"/>
        <w:left w:val="none" w:sz="0" w:space="0" w:color="auto"/>
        <w:bottom w:val="none" w:sz="0" w:space="0" w:color="auto"/>
        <w:right w:val="none" w:sz="0" w:space="0" w:color="auto"/>
      </w:divBdr>
      <w:divsChild>
        <w:div w:id="7997355">
          <w:marLeft w:val="0"/>
          <w:marRight w:val="0"/>
          <w:marTop w:val="0"/>
          <w:marBottom w:val="0"/>
          <w:divBdr>
            <w:top w:val="none" w:sz="0" w:space="0" w:color="auto"/>
            <w:left w:val="none" w:sz="0" w:space="0" w:color="auto"/>
            <w:bottom w:val="none" w:sz="0" w:space="0" w:color="auto"/>
            <w:right w:val="none" w:sz="0" w:space="0" w:color="auto"/>
          </w:divBdr>
        </w:div>
        <w:div w:id="35013864">
          <w:marLeft w:val="0"/>
          <w:marRight w:val="0"/>
          <w:marTop w:val="0"/>
          <w:marBottom w:val="0"/>
          <w:divBdr>
            <w:top w:val="none" w:sz="0" w:space="0" w:color="auto"/>
            <w:left w:val="none" w:sz="0" w:space="0" w:color="auto"/>
            <w:bottom w:val="none" w:sz="0" w:space="0" w:color="auto"/>
            <w:right w:val="none" w:sz="0" w:space="0" w:color="auto"/>
          </w:divBdr>
        </w:div>
        <w:div w:id="36272917">
          <w:marLeft w:val="0"/>
          <w:marRight w:val="0"/>
          <w:marTop w:val="0"/>
          <w:marBottom w:val="0"/>
          <w:divBdr>
            <w:top w:val="none" w:sz="0" w:space="0" w:color="auto"/>
            <w:left w:val="none" w:sz="0" w:space="0" w:color="auto"/>
            <w:bottom w:val="none" w:sz="0" w:space="0" w:color="auto"/>
            <w:right w:val="none" w:sz="0" w:space="0" w:color="auto"/>
          </w:divBdr>
        </w:div>
        <w:div w:id="74939956">
          <w:marLeft w:val="0"/>
          <w:marRight w:val="0"/>
          <w:marTop w:val="0"/>
          <w:marBottom w:val="0"/>
          <w:divBdr>
            <w:top w:val="none" w:sz="0" w:space="0" w:color="auto"/>
            <w:left w:val="none" w:sz="0" w:space="0" w:color="auto"/>
            <w:bottom w:val="none" w:sz="0" w:space="0" w:color="auto"/>
            <w:right w:val="none" w:sz="0" w:space="0" w:color="auto"/>
          </w:divBdr>
        </w:div>
        <w:div w:id="78524893">
          <w:marLeft w:val="0"/>
          <w:marRight w:val="0"/>
          <w:marTop w:val="0"/>
          <w:marBottom w:val="0"/>
          <w:divBdr>
            <w:top w:val="none" w:sz="0" w:space="0" w:color="auto"/>
            <w:left w:val="none" w:sz="0" w:space="0" w:color="auto"/>
            <w:bottom w:val="none" w:sz="0" w:space="0" w:color="auto"/>
            <w:right w:val="none" w:sz="0" w:space="0" w:color="auto"/>
          </w:divBdr>
        </w:div>
        <w:div w:id="82722301">
          <w:marLeft w:val="0"/>
          <w:marRight w:val="0"/>
          <w:marTop w:val="0"/>
          <w:marBottom w:val="0"/>
          <w:divBdr>
            <w:top w:val="none" w:sz="0" w:space="0" w:color="auto"/>
            <w:left w:val="none" w:sz="0" w:space="0" w:color="auto"/>
            <w:bottom w:val="none" w:sz="0" w:space="0" w:color="auto"/>
            <w:right w:val="none" w:sz="0" w:space="0" w:color="auto"/>
          </w:divBdr>
        </w:div>
        <w:div w:id="107969512">
          <w:marLeft w:val="0"/>
          <w:marRight w:val="0"/>
          <w:marTop w:val="0"/>
          <w:marBottom w:val="0"/>
          <w:divBdr>
            <w:top w:val="none" w:sz="0" w:space="0" w:color="auto"/>
            <w:left w:val="none" w:sz="0" w:space="0" w:color="auto"/>
            <w:bottom w:val="none" w:sz="0" w:space="0" w:color="auto"/>
            <w:right w:val="none" w:sz="0" w:space="0" w:color="auto"/>
          </w:divBdr>
        </w:div>
        <w:div w:id="126049479">
          <w:marLeft w:val="0"/>
          <w:marRight w:val="0"/>
          <w:marTop w:val="0"/>
          <w:marBottom w:val="0"/>
          <w:divBdr>
            <w:top w:val="none" w:sz="0" w:space="0" w:color="auto"/>
            <w:left w:val="none" w:sz="0" w:space="0" w:color="auto"/>
            <w:bottom w:val="none" w:sz="0" w:space="0" w:color="auto"/>
            <w:right w:val="none" w:sz="0" w:space="0" w:color="auto"/>
          </w:divBdr>
        </w:div>
        <w:div w:id="154614498">
          <w:marLeft w:val="0"/>
          <w:marRight w:val="0"/>
          <w:marTop w:val="0"/>
          <w:marBottom w:val="0"/>
          <w:divBdr>
            <w:top w:val="none" w:sz="0" w:space="0" w:color="auto"/>
            <w:left w:val="none" w:sz="0" w:space="0" w:color="auto"/>
            <w:bottom w:val="none" w:sz="0" w:space="0" w:color="auto"/>
            <w:right w:val="none" w:sz="0" w:space="0" w:color="auto"/>
          </w:divBdr>
        </w:div>
        <w:div w:id="157431142">
          <w:marLeft w:val="0"/>
          <w:marRight w:val="0"/>
          <w:marTop w:val="0"/>
          <w:marBottom w:val="0"/>
          <w:divBdr>
            <w:top w:val="none" w:sz="0" w:space="0" w:color="auto"/>
            <w:left w:val="none" w:sz="0" w:space="0" w:color="auto"/>
            <w:bottom w:val="none" w:sz="0" w:space="0" w:color="auto"/>
            <w:right w:val="none" w:sz="0" w:space="0" w:color="auto"/>
          </w:divBdr>
        </w:div>
        <w:div w:id="157504795">
          <w:marLeft w:val="0"/>
          <w:marRight w:val="0"/>
          <w:marTop w:val="0"/>
          <w:marBottom w:val="0"/>
          <w:divBdr>
            <w:top w:val="none" w:sz="0" w:space="0" w:color="auto"/>
            <w:left w:val="none" w:sz="0" w:space="0" w:color="auto"/>
            <w:bottom w:val="none" w:sz="0" w:space="0" w:color="auto"/>
            <w:right w:val="none" w:sz="0" w:space="0" w:color="auto"/>
          </w:divBdr>
        </w:div>
        <w:div w:id="158812471">
          <w:marLeft w:val="0"/>
          <w:marRight w:val="0"/>
          <w:marTop w:val="0"/>
          <w:marBottom w:val="0"/>
          <w:divBdr>
            <w:top w:val="none" w:sz="0" w:space="0" w:color="auto"/>
            <w:left w:val="none" w:sz="0" w:space="0" w:color="auto"/>
            <w:bottom w:val="none" w:sz="0" w:space="0" w:color="auto"/>
            <w:right w:val="none" w:sz="0" w:space="0" w:color="auto"/>
          </w:divBdr>
        </w:div>
        <w:div w:id="163129694">
          <w:marLeft w:val="0"/>
          <w:marRight w:val="0"/>
          <w:marTop w:val="0"/>
          <w:marBottom w:val="0"/>
          <w:divBdr>
            <w:top w:val="none" w:sz="0" w:space="0" w:color="auto"/>
            <w:left w:val="none" w:sz="0" w:space="0" w:color="auto"/>
            <w:bottom w:val="none" w:sz="0" w:space="0" w:color="auto"/>
            <w:right w:val="none" w:sz="0" w:space="0" w:color="auto"/>
          </w:divBdr>
        </w:div>
        <w:div w:id="171535718">
          <w:marLeft w:val="0"/>
          <w:marRight w:val="0"/>
          <w:marTop w:val="0"/>
          <w:marBottom w:val="0"/>
          <w:divBdr>
            <w:top w:val="none" w:sz="0" w:space="0" w:color="auto"/>
            <w:left w:val="none" w:sz="0" w:space="0" w:color="auto"/>
            <w:bottom w:val="none" w:sz="0" w:space="0" w:color="auto"/>
            <w:right w:val="none" w:sz="0" w:space="0" w:color="auto"/>
          </w:divBdr>
        </w:div>
        <w:div w:id="173805880">
          <w:marLeft w:val="0"/>
          <w:marRight w:val="0"/>
          <w:marTop w:val="0"/>
          <w:marBottom w:val="0"/>
          <w:divBdr>
            <w:top w:val="none" w:sz="0" w:space="0" w:color="auto"/>
            <w:left w:val="none" w:sz="0" w:space="0" w:color="auto"/>
            <w:bottom w:val="none" w:sz="0" w:space="0" w:color="auto"/>
            <w:right w:val="none" w:sz="0" w:space="0" w:color="auto"/>
          </w:divBdr>
        </w:div>
        <w:div w:id="174729798">
          <w:marLeft w:val="0"/>
          <w:marRight w:val="0"/>
          <w:marTop w:val="0"/>
          <w:marBottom w:val="0"/>
          <w:divBdr>
            <w:top w:val="none" w:sz="0" w:space="0" w:color="auto"/>
            <w:left w:val="none" w:sz="0" w:space="0" w:color="auto"/>
            <w:bottom w:val="none" w:sz="0" w:space="0" w:color="auto"/>
            <w:right w:val="none" w:sz="0" w:space="0" w:color="auto"/>
          </w:divBdr>
        </w:div>
        <w:div w:id="198668276">
          <w:marLeft w:val="0"/>
          <w:marRight w:val="0"/>
          <w:marTop w:val="0"/>
          <w:marBottom w:val="0"/>
          <w:divBdr>
            <w:top w:val="none" w:sz="0" w:space="0" w:color="auto"/>
            <w:left w:val="none" w:sz="0" w:space="0" w:color="auto"/>
            <w:bottom w:val="none" w:sz="0" w:space="0" w:color="auto"/>
            <w:right w:val="none" w:sz="0" w:space="0" w:color="auto"/>
          </w:divBdr>
        </w:div>
        <w:div w:id="224951991">
          <w:marLeft w:val="0"/>
          <w:marRight w:val="0"/>
          <w:marTop w:val="0"/>
          <w:marBottom w:val="0"/>
          <w:divBdr>
            <w:top w:val="none" w:sz="0" w:space="0" w:color="auto"/>
            <w:left w:val="none" w:sz="0" w:space="0" w:color="auto"/>
            <w:bottom w:val="none" w:sz="0" w:space="0" w:color="auto"/>
            <w:right w:val="none" w:sz="0" w:space="0" w:color="auto"/>
          </w:divBdr>
        </w:div>
        <w:div w:id="230238581">
          <w:marLeft w:val="0"/>
          <w:marRight w:val="0"/>
          <w:marTop w:val="0"/>
          <w:marBottom w:val="0"/>
          <w:divBdr>
            <w:top w:val="none" w:sz="0" w:space="0" w:color="auto"/>
            <w:left w:val="none" w:sz="0" w:space="0" w:color="auto"/>
            <w:bottom w:val="none" w:sz="0" w:space="0" w:color="auto"/>
            <w:right w:val="none" w:sz="0" w:space="0" w:color="auto"/>
          </w:divBdr>
        </w:div>
        <w:div w:id="239869061">
          <w:marLeft w:val="0"/>
          <w:marRight w:val="0"/>
          <w:marTop w:val="0"/>
          <w:marBottom w:val="0"/>
          <w:divBdr>
            <w:top w:val="none" w:sz="0" w:space="0" w:color="auto"/>
            <w:left w:val="none" w:sz="0" w:space="0" w:color="auto"/>
            <w:bottom w:val="none" w:sz="0" w:space="0" w:color="auto"/>
            <w:right w:val="none" w:sz="0" w:space="0" w:color="auto"/>
          </w:divBdr>
        </w:div>
        <w:div w:id="258801697">
          <w:marLeft w:val="0"/>
          <w:marRight w:val="0"/>
          <w:marTop w:val="0"/>
          <w:marBottom w:val="0"/>
          <w:divBdr>
            <w:top w:val="none" w:sz="0" w:space="0" w:color="auto"/>
            <w:left w:val="none" w:sz="0" w:space="0" w:color="auto"/>
            <w:bottom w:val="none" w:sz="0" w:space="0" w:color="auto"/>
            <w:right w:val="none" w:sz="0" w:space="0" w:color="auto"/>
          </w:divBdr>
        </w:div>
        <w:div w:id="315031798">
          <w:marLeft w:val="0"/>
          <w:marRight w:val="0"/>
          <w:marTop w:val="0"/>
          <w:marBottom w:val="0"/>
          <w:divBdr>
            <w:top w:val="none" w:sz="0" w:space="0" w:color="auto"/>
            <w:left w:val="none" w:sz="0" w:space="0" w:color="auto"/>
            <w:bottom w:val="none" w:sz="0" w:space="0" w:color="auto"/>
            <w:right w:val="none" w:sz="0" w:space="0" w:color="auto"/>
          </w:divBdr>
        </w:div>
        <w:div w:id="331837948">
          <w:marLeft w:val="0"/>
          <w:marRight w:val="0"/>
          <w:marTop w:val="0"/>
          <w:marBottom w:val="0"/>
          <w:divBdr>
            <w:top w:val="none" w:sz="0" w:space="0" w:color="auto"/>
            <w:left w:val="none" w:sz="0" w:space="0" w:color="auto"/>
            <w:bottom w:val="none" w:sz="0" w:space="0" w:color="auto"/>
            <w:right w:val="none" w:sz="0" w:space="0" w:color="auto"/>
          </w:divBdr>
        </w:div>
        <w:div w:id="334848000">
          <w:marLeft w:val="0"/>
          <w:marRight w:val="0"/>
          <w:marTop w:val="0"/>
          <w:marBottom w:val="0"/>
          <w:divBdr>
            <w:top w:val="none" w:sz="0" w:space="0" w:color="auto"/>
            <w:left w:val="none" w:sz="0" w:space="0" w:color="auto"/>
            <w:bottom w:val="none" w:sz="0" w:space="0" w:color="auto"/>
            <w:right w:val="none" w:sz="0" w:space="0" w:color="auto"/>
          </w:divBdr>
        </w:div>
        <w:div w:id="357051024">
          <w:marLeft w:val="0"/>
          <w:marRight w:val="0"/>
          <w:marTop w:val="0"/>
          <w:marBottom w:val="0"/>
          <w:divBdr>
            <w:top w:val="none" w:sz="0" w:space="0" w:color="auto"/>
            <w:left w:val="none" w:sz="0" w:space="0" w:color="auto"/>
            <w:bottom w:val="none" w:sz="0" w:space="0" w:color="auto"/>
            <w:right w:val="none" w:sz="0" w:space="0" w:color="auto"/>
          </w:divBdr>
        </w:div>
        <w:div w:id="366413052">
          <w:marLeft w:val="0"/>
          <w:marRight w:val="0"/>
          <w:marTop w:val="0"/>
          <w:marBottom w:val="0"/>
          <w:divBdr>
            <w:top w:val="none" w:sz="0" w:space="0" w:color="auto"/>
            <w:left w:val="none" w:sz="0" w:space="0" w:color="auto"/>
            <w:bottom w:val="none" w:sz="0" w:space="0" w:color="auto"/>
            <w:right w:val="none" w:sz="0" w:space="0" w:color="auto"/>
          </w:divBdr>
        </w:div>
        <w:div w:id="390538165">
          <w:marLeft w:val="0"/>
          <w:marRight w:val="0"/>
          <w:marTop w:val="0"/>
          <w:marBottom w:val="0"/>
          <w:divBdr>
            <w:top w:val="none" w:sz="0" w:space="0" w:color="auto"/>
            <w:left w:val="none" w:sz="0" w:space="0" w:color="auto"/>
            <w:bottom w:val="none" w:sz="0" w:space="0" w:color="auto"/>
            <w:right w:val="none" w:sz="0" w:space="0" w:color="auto"/>
          </w:divBdr>
        </w:div>
        <w:div w:id="398133229">
          <w:marLeft w:val="0"/>
          <w:marRight w:val="0"/>
          <w:marTop w:val="0"/>
          <w:marBottom w:val="0"/>
          <w:divBdr>
            <w:top w:val="none" w:sz="0" w:space="0" w:color="auto"/>
            <w:left w:val="none" w:sz="0" w:space="0" w:color="auto"/>
            <w:bottom w:val="none" w:sz="0" w:space="0" w:color="auto"/>
            <w:right w:val="none" w:sz="0" w:space="0" w:color="auto"/>
          </w:divBdr>
        </w:div>
        <w:div w:id="403533587">
          <w:marLeft w:val="0"/>
          <w:marRight w:val="0"/>
          <w:marTop w:val="0"/>
          <w:marBottom w:val="0"/>
          <w:divBdr>
            <w:top w:val="none" w:sz="0" w:space="0" w:color="auto"/>
            <w:left w:val="none" w:sz="0" w:space="0" w:color="auto"/>
            <w:bottom w:val="none" w:sz="0" w:space="0" w:color="auto"/>
            <w:right w:val="none" w:sz="0" w:space="0" w:color="auto"/>
          </w:divBdr>
        </w:div>
        <w:div w:id="429207134">
          <w:marLeft w:val="0"/>
          <w:marRight w:val="0"/>
          <w:marTop w:val="0"/>
          <w:marBottom w:val="0"/>
          <w:divBdr>
            <w:top w:val="none" w:sz="0" w:space="0" w:color="auto"/>
            <w:left w:val="none" w:sz="0" w:space="0" w:color="auto"/>
            <w:bottom w:val="none" w:sz="0" w:space="0" w:color="auto"/>
            <w:right w:val="none" w:sz="0" w:space="0" w:color="auto"/>
          </w:divBdr>
        </w:div>
        <w:div w:id="429737748">
          <w:marLeft w:val="0"/>
          <w:marRight w:val="0"/>
          <w:marTop w:val="0"/>
          <w:marBottom w:val="0"/>
          <w:divBdr>
            <w:top w:val="none" w:sz="0" w:space="0" w:color="auto"/>
            <w:left w:val="none" w:sz="0" w:space="0" w:color="auto"/>
            <w:bottom w:val="none" w:sz="0" w:space="0" w:color="auto"/>
            <w:right w:val="none" w:sz="0" w:space="0" w:color="auto"/>
          </w:divBdr>
        </w:div>
        <w:div w:id="443618559">
          <w:marLeft w:val="0"/>
          <w:marRight w:val="0"/>
          <w:marTop w:val="0"/>
          <w:marBottom w:val="0"/>
          <w:divBdr>
            <w:top w:val="none" w:sz="0" w:space="0" w:color="auto"/>
            <w:left w:val="none" w:sz="0" w:space="0" w:color="auto"/>
            <w:bottom w:val="none" w:sz="0" w:space="0" w:color="auto"/>
            <w:right w:val="none" w:sz="0" w:space="0" w:color="auto"/>
          </w:divBdr>
        </w:div>
        <w:div w:id="448276702">
          <w:marLeft w:val="0"/>
          <w:marRight w:val="0"/>
          <w:marTop w:val="0"/>
          <w:marBottom w:val="0"/>
          <w:divBdr>
            <w:top w:val="none" w:sz="0" w:space="0" w:color="auto"/>
            <w:left w:val="none" w:sz="0" w:space="0" w:color="auto"/>
            <w:bottom w:val="none" w:sz="0" w:space="0" w:color="auto"/>
            <w:right w:val="none" w:sz="0" w:space="0" w:color="auto"/>
          </w:divBdr>
        </w:div>
        <w:div w:id="454448991">
          <w:marLeft w:val="0"/>
          <w:marRight w:val="0"/>
          <w:marTop w:val="0"/>
          <w:marBottom w:val="0"/>
          <w:divBdr>
            <w:top w:val="none" w:sz="0" w:space="0" w:color="auto"/>
            <w:left w:val="none" w:sz="0" w:space="0" w:color="auto"/>
            <w:bottom w:val="none" w:sz="0" w:space="0" w:color="auto"/>
            <w:right w:val="none" w:sz="0" w:space="0" w:color="auto"/>
          </w:divBdr>
        </w:div>
        <w:div w:id="467169199">
          <w:marLeft w:val="0"/>
          <w:marRight w:val="0"/>
          <w:marTop w:val="0"/>
          <w:marBottom w:val="0"/>
          <w:divBdr>
            <w:top w:val="none" w:sz="0" w:space="0" w:color="auto"/>
            <w:left w:val="none" w:sz="0" w:space="0" w:color="auto"/>
            <w:bottom w:val="none" w:sz="0" w:space="0" w:color="auto"/>
            <w:right w:val="none" w:sz="0" w:space="0" w:color="auto"/>
          </w:divBdr>
        </w:div>
        <w:div w:id="493767997">
          <w:marLeft w:val="0"/>
          <w:marRight w:val="0"/>
          <w:marTop w:val="0"/>
          <w:marBottom w:val="0"/>
          <w:divBdr>
            <w:top w:val="none" w:sz="0" w:space="0" w:color="auto"/>
            <w:left w:val="none" w:sz="0" w:space="0" w:color="auto"/>
            <w:bottom w:val="none" w:sz="0" w:space="0" w:color="auto"/>
            <w:right w:val="none" w:sz="0" w:space="0" w:color="auto"/>
          </w:divBdr>
        </w:div>
        <w:div w:id="498423748">
          <w:marLeft w:val="0"/>
          <w:marRight w:val="0"/>
          <w:marTop w:val="0"/>
          <w:marBottom w:val="0"/>
          <w:divBdr>
            <w:top w:val="none" w:sz="0" w:space="0" w:color="auto"/>
            <w:left w:val="none" w:sz="0" w:space="0" w:color="auto"/>
            <w:bottom w:val="none" w:sz="0" w:space="0" w:color="auto"/>
            <w:right w:val="none" w:sz="0" w:space="0" w:color="auto"/>
          </w:divBdr>
        </w:div>
        <w:div w:id="502547322">
          <w:marLeft w:val="0"/>
          <w:marRight w:val="0"/>
          <w:marTop w:val="0"/>
          <w:marBottom w:val="0"/>
          <w:divBdr>
            <w:top w:val="none" w:sz="0" w:space="0" w:color="auto"/>
            <w:left w:val="none" w:sz="0" w:space="0" w:color="auto"/>
            <w:bottom w:val="none" w:sz="0" w:space="0" w:color="auto"/>
            <w:right w:val="none" w:sz="0" w:space="0" w:color="auto"/>
          </w:divBdr>
        </w:div>
        <w:div w:id="524487041">
          <w:marLeft w:val="0"/>
          <w:marRight w:val="0"/>
          <w:marTop w:val="0"/>
          <w:marBottom w:val="0"/>
          <w:divBdr>
            <w:top w:val="none" w:sz="0" w:space="0" w:color="auto"/>
            <w:left w:val="none" w:sz="0" w:space="0" w:color="auto"/>
            <w:bottom w:val="none" w:sz="0" w:space="0" w:color="auto"/>
            <w:right w:val="none" w:sz="0" w:space="0" w:color="auto"/>
          </w:divBdr>
        </w:div>
        <w:div w:id="527910090">
          <w:marLeft w:val="0"/>
          <w:marRight w:val="0"/>
          <w:marTop w:val="0"/>
          <w:marBottom w:val="0"/>
          <w:divBdr>
            <w:top w:val="none" w:sz="0" w:space="0" w:color="auto"/>
            <w:left w:val="none" w:sz="0" w:space="0" w:color="auto"/>
            <w:bottom w:val="none" w:sz="0" w:space="0" w:color="auto"/>
            <w:right w:val="none" w:sz="0" w:space="0" w:color="auto"/>
          </w:divBdr>
        </w:div>
        <w:div w:id="532767700">
          <w:marLeft w:val="0"/>
          <w:marRight w:val="0"/>
          <w:marTop w:val="0"/>
          <w:marBottom w:val="0"/>
          <w:divBdr>
            <w:top w:val="none" w:sz="0" w:space="0" w:color="auto"/>
            <w:left w:val="none" w:sz="0" w:space="0" w:color="auto"/>
            <w:bottom w:val="none" w:sz="0" w:space="0" w:color="auto"/>
            <w:right w:val="none" w:sz="0" w:space="0" w:color="auto"/>
          </w:divBdr>
        </w:div>
        <w:div w:id="542787140">
          <w:marLeft w:val="0"/>
          <w:marRight w:val="0"/>
          <w:marTop w:val="0"/>
          <w:marBottom w:val="0"/>
          <w:divBdr>
            <w:top w:val="none" w:sz="0" w:space="0" w:color="auto"/>
            <w:left w:val="none" w:sz="0" w:space="0" w:color="auto"/>
            <w:bottom w:val="none" w:sz="0" w:space="0" w:color="auto"/>
            <w:right w:val="none" w:sz="0" w:space="0" w:color="auto"/>
          </w:divBdr>
        </w:div>
        <w:div w:id="545609147">
          <w:marLeft w:val="0"/>
          <w:marRight w:val="0"/>
          <w:marTop w:val="0"/>
          <w:marBottom w:val="0"/>
          <w:divBdr>
            <w:top w:val="none" w:sz="0" w:space="0" w:color="auto"/>
            <w:left w:val="none" w:sz="0" w:space="0" w:color="auto"/>
            <w:bottom w:val="none" w:sz="0" w:space="0" w:color="auto"/>
            <w:right w:val="none" w:sz="0" w:space="0" w:color="auto"/>
          </w:divBdr>
        </w:div>
        <w:div w:id="565456494">
          <w:marLeft w:val="0"/>
          <w:marRight w:val="0"/>
          <w:marTop w:val="0"/>
          <w:marBottom w:val="0"/>
          <w:divBdr>
            <w:top w:val="none" w:sz="0" w:space="0" w:color="auto"/>
            <w:left w:val="none" w:sz="0" w:space="0" w:color="auto"/>
            <w:bottom w:val="none" w:sz="0" w:space="0" w:color="auto"/>
            <w:right w:val="none" w:sz="0" w:space="0" w:color="auto"/>
          </w:divBdr>
        </w:div>
        <w:div w:id="582757889">
          <w:marLeft w:val="0"/>
          <w:marRight w:val="0"/>
          <w:marTop w:val="0"/>
          <w:marBottom w:val="0"/>
          <w:divBdr>
            <w:top w:val="none" w:sz="0" w:space="0" w:color="auto"/>
            <w:left w:val="none" w:sz="0" w:space="0" w:color="auto"/>
            <w:bottom w:val="none" w:sz="0" w:space="0" w:color="auto"/>
            <w:right w:val="none" w:sz="0" w:space="0" w:color="auto"/>
          </w:divBdr>
        </w:div>
        <w:div w:id="643511309">
          <w:marLeft w:val="0"/>
          <w:marRight w:val="0"/>
          <w:marTop w:val="0"/>
          <w:marBottom w:val="0"/>
          <w:divBdr>
            <w:top w:val="none" w:sz="0" w:space="0" w:color="auto"/>
            <w:left w:val="none" w:sz="0" w:space="0" w:color="auto"/>
            <w:bottom w:val="none" w:sz="0" w:space="0" w:color="auto"/>
            <w:right w:val="none" w:sz="0" w:space="0" w:color="auto"/>
          </w:divBdr>
        </w:div>
        <w:div w:id="651371084">
          <w:marLeft w:val="0"/>
          <w:marRight w:val="0"/>
          <w:marTop w:val="0"/>
          <w:marBottom w:val="0"/>
          <w:divBdr>
            <w:top w:val="none" w:sz="0" w:space="0" w:color="auto"/>
            <w:left w:val="none" w:sz="0" w:space="0" w:color="auto"/>
            <w:bottom w:val="none" w:sz="0" w:space="0" w:color="auto"/>
            <w:right w:val="none" w:sz="0" w:space="0" w:color="auto"/>
          </w:divBdr>
        </w:div>
        <w:div w:id="676152720">
          <w:marLeft w:val="0"/>
          <w:marRight w:val="0"/>
          <w:marTop w:val="0"/>
          <w:marBottom w:val="0"/>
          <w:divBdr>
            <w:top w:val="none" w:sz="0" w:space="0" w:color="auto"/>
            <w:left w:val="none" w:sz="0" w:space="0" w:color="auto"/>
            <w:bottom w:val="none" w:sz="0" w:space="0" w:color="auto"/>
            <w:right w:val="none" w:sz="0" w:space="0" w:color="auto"/>
          </w:divBdr>
        </w:div>
        <w:div w:id="681128676">
          <w:marLeft w:val="0"/>
          <w:marRight w:val="0"/>
          <w:marTop w:val="0"/>
          <w:marBottom w:val="0"/>
          <w:divBdr>
            <w:top w:val="none" w:sz="0" w:space="0" w:color="auto"/>
            <w:left w:val="none" w:sz="0" w:space="0" w:color="auto"/>
            <w:bottom w:val="none" w:sz="0" w:space="0" w:color="auto"/>
            <w:right w:val="none" w:sz="0" w:space="0" w:color="auto"/>
          </w:divBdr>
        </w:div>
        <w:div w:id="690028820">
          <w:marLeft w:val="0"/>
          <w:marRight w:val="0"/>
          <w:marTop w:val="0"/>
          <w:marBottom w:val="0"/>
          <w:divBdr>
            <w:top w:val="none" w:sz="0" w:space="0" w:color="auto"/>
            <w:left w:val="none" w:sz="0" w:space="0" w:color="auto"/>
            <w:bottom w:val="none" w:sz="0" w:space="0" w:color="auto"/>
            <w:right w:val="none" w:sz="0" w:space="0" w:color="auto"/>
          </w:divBdr>
        </w:div>
        <w:div w:id="718475860">
          <w:marLeft w:val="0"/>
          <w:marRight w:val="0"/>
          <w:marTop w:val="0"/>
          <w:marBottom w:val="0"/>
          <w:divBdr>
            <w:top w:val="none" w:sz="0" w:space="0" w:color="auto"/>
            <w:left w:val="none" w:sz="0" w:space="0" w:color="auto"/>
            <w:bottom w:val="none" w:sz="0" w:space="0" w:color="auto"/>
            <w:right w:val="none" w:sz="0" w:space="0" w:color="auto"/>
          </w:divBdr>
        </w:div>
        <w:div w:id="756907227">
          <w:marLeft w:val="0"/>
          <w:marRight w:val="0"/>
          <w:marTop w:val="0"/>
          <w:marBottom w:val="0"/>
          <w:divBdr>
            <w:top w:val="none" w:sz="0" w:space="0" w:color="auto"/>
            <w:left w:val="none" w:sz="0" w:space="0" w:color="auto"/>
            <w:bottom w:val="none" w:sz="0" w:space="0" w:color="auto"/>
            <w:right w:val="none" w:sz="0" w:space="0" w:color="auto"/>
          </w:divBdr>
        </w:div>
        <w:div w:id="763962351">
          <w:marLeft w:val="0"/>
          <w:marRight w:val="0"/>
          <w:marTop w:val="0"/>
          <w:marBottom w:val="0"/>
          <w:divBdr>
            <w:top w:val="none" w:sz="0" w:space="0" w:color="auto"/>
            <w:left w:val="none" w:sz="0" w:space="0" w:color="auto"/>
            <w:bottom w:val="none" w:sz="0" w:space="0" w:color="auto"/>
            <w:right w:val="none" w:sz="0" w:space="0" w:color="auto"/>
          </w:divBdr>
        </w:div>
        <w:div w:id="765540390">
          <w:marLeft w:val="0"/>
          <w:marRight w:val="0"/>
          <w:marTop w:val="0"/>
          <w:marBottom w:val="0"/>
          <w:divBdr>
            <w:top w:val="none" w:sz="0" w:space="0" w:color="auto"/>
            <w:left w:val="none" w:sz="0" w:space="0" w:color="auto"/>
            <w:bottom w:val="none" w:sz="0" w:space="0" w:color="auto"/>
            <w:right w:val="none" w:sz="0" w:space="0" w:color="auto"/>
          </w:divBdr>
        </w:div>
        <w:div w:id="769860694">
          <w:marLeft w:val="0"/>
          <w:marRight w:val="0"/>
          <w:marTop w:val="0"/>
          <w:marBottom w:val="0"/>
          <w:divBdr>
            <w:top w:val="none" w:sz="0" w:space="0" w:color="auto"/>
            <w:left w:val="none" w:sz="0" w:space="0" w:color="auto"/>
            <w:bottom w:val="none" w:sz="0" w:space="0" w:color="auto"/>
            <w:right w:val="none" w:sz="0" w:space="0" w:color="auto"/>
          </w:divBdr>
        </w:div>
        <w:div w:id="780225135">
          <w:marLeft w:val="0"/>
          <w:marRight w:val="0"/>
          <w:marTop w:val="0"/>
          <w:marBottom w:val="0"/>
          <w:divBdr>
            <w:top w:val="none" w:sz="0" w:space="0" w:color="auto"/>
            <w:left w:val="none" w:sz="0" w:space="0" w:color="auto"/>
            <w:bottom w:val="none" w:sz="0" w:space="0" w:color="auto"/>
            <w:right w:val="none" w:sz="0" w:space="0" w:color="auto"/>
          </w:divBdr>
        </w:div>
        <w:div w:id="794905169">
          <w:marLeft w:val="0"/>
          <w:marRight w:val="0"/>
          <w:marTop w:val="0"/>
          <w:marBottom w:val="0"/>
          <w:divBdr>
            <w:top w:val="none" w:sz="0" w:space="0" w:color="auto"/>
            <w:left w:val="none" w:sz="0" w:space="0" w:color="auto"/>
            <w:bottom w:val="none" w:sz="0" w:space="0" w:color="auto"/>
            <w:right w:val="none" w:sz="0" w:space="0" w:color="auto"/>
          </w:divBdr>
        </w:div>
        <w:div w:id="806237587">
          <w:marLeft w:val="0"/>
          <w:marRight w:val="0"/>
          <w:marTop w:val="0"/>
          <w:marBottom w:val="0"/>
          <w:divBdr>
            <w:top w:val="none" w:sz="0" w:space="0" w:color="auto"/>
            <w:left w:val="none" w:sz="0" w:space="0" w:color="auto"/>
            <w:bottom w:val="none" w:sz="0" w:space="0" w:color="auto"/>
            <w:right w:val="none" w:sz="0" w:space="0" w:color="auto"/>
          </w:divBdr>
        </w:div>
        <w:div w:id="822045859">
          <w:marLeft w:val="0"/>
          <w:marRight w:val="0"/>
          <w:marTop w:val="0"/>
          <w:marBottom w:val="0"/>
          <w:divBdr>
            <w:top w:val="none" w:sz="0" w:space="0" w:color="auto"/>
            <w:left w:val="none" w:sz="0" w:space="0" w:color="auto"/>
            <w:bottom w:val="none" w:sz="0" w:space="0" w:color="auto"/>
            <w:right w:val="none" w:sz="0" w:space="0" w:color="auto"/>
          </w:divBdr>
        </w:div>
        <w:div w:id="828330389">
          <w:marLeft w:val="0"/>
          <w:marRight w:val="0"/>
          <w:marTop w:val="0"/>
          <w:marBottom w:val="0"/>
          <w:divBdr>
            <w:top w:val="none" w:sz="0" w:space="0" w:color="auto"/>
            <w:left w:val="none" w:sz="0" w:space="0" w:color="auto"/>
            <w:bottom w:val="none" w:sz="0" w:space="0" w:color="auto"/>
            <w:right w:val="none" w:sz="0" w:space="0" w:color="auto"/>
          </w:divBdr>
        </w:div>
        <w:div w:id="838424845">
          <w:marLeft w:val="0"/>
          <w:marRight w:val="0"/>
          <w:marTop w:val="0"/>
          <w:marBottom w:val="0"/>
          <w:divBdr>
            <w:top w:val="none" w:sz="0" w:space="0" w:color="auto"/>
            <w:left w:val="none" w:sz="0" w:space="0" w:color="auto"/>
            <w:bottom w:val="none" w:sz="0" w:space="0" w:color="auto"/>
            <w:right w:val="none" w:sz="0" w:space="0" w:color="auto"/>
          </w:divBdr>
        </w:div>
        <w:div w:id="841627206">
          <w:marLeft w:val="0"/>
          <w:marRight w:val="0"/>
          <w:marTop w:val="0"/>
          <w:marBottom w:val="0"/>
          <w:divBdr>
            <w:top w:val="none" w:sz="0" w:space="0" w:color="auto"/>
            <w:left w:val="none" w:sz="0" w:space="0" w:color="auto"/>
            <w:bottom w:val="none" w:sz="0" w:space="0" w:color="auto"/>
            <w:right w:val="none" w:sz="0" w:space="0" w:color="auto"/>
          </w:divBdr>
        </w:div>
        <w:div w:id="857887957">
          <w:marLeft w:val="0"/>
          <w:marRight w:val="0"/>
          <w:marTop w:val="0"/>
          <w:marBottom w:val="0"/>
          <w:divBdr>
            <w:top w:val="none" w:sz="0" w:space="0" w:color="auto"/>
            <w:left w:val="none" w:sz="0" w:space="0" w:color="auto"/>
            <w:bottom w:val="none" w:sz="0" w:space="0" w:color="auto"/>
            <w:right w:val="none" w:sz="0" w:space="0" w:color="auto"/>
          </w:divBdr>
        </w:div>
        <w:div w:id="867522185">
          <w:marLeft w:val="0"/>
          <w:marRight w:val="0"/>
          <w:marTop w:val="0"/>
          <w:marBottom w:val="0"/>
          <w:divBdr>
            <w:top w:val="none" w:sz="0" w:space="0" w:color="auto"/>
            <w:left w:val="none" w:sz="0" w:space="0" w:color="auto"/>
            <w:bottom w:val="none" w:sz="0" w:space="0" w:color="auto"/>
            <w:right w:val="none" w:sz="0" w:space="0" w:color="auto"/>
          </w:divBdr>
        </w:div>
        <w:div w:id="878323091">
          <w:marLeft w:val="0"/>
          <w:marRight w:val="0"/>
          <w:marTop w:val="0"/>
          <w:marBottom w:val="0"/>
          <w:divBdr>
            <w:top w:val="none" w:sz="0" w:space="0" w:color="auto"/>
            <w:left w:val="none" w:sz="0" w:space="0" w:color="auto"/>
            <w:bottom w:val="none" w:sz="0" w:space="0" w:color="auto"/>
            <w:right w:val="none" w:sz="0" w:space="0" w:color="auto"/>
          </w:divBdr>
        </w:div>
        <w:div w:id="883564988">
          <w:marLeft w:val="0"/>
          <w:marRight w:val="0"/>
          <w:marTop w:val="0"/>
          <w:marBottom w:val="0"/>
          <w:divBdr>
            <w:top w:val="none" w:sz="0" w:space="0" w:color="auto"/>
            <w:left w:val="none" w:sz="0" w:space="0" w:color="auto"/>
            <w:bottom w:val="none" w:sz="0" w:space="0" w:color="auto"/>
            <w:right w:val="none" w:sz="0" w:space="0" w:color="auto"/>
          </w:divBdr>
        </w:div>
        <w:div w:id="899751526">
          <w:marLeft w:val="0"/>
          <w:marRight w:val="0"/>
          <w:marTop w:val="0"/>
          <w:marBottom w:val="0"/>
          <w:divBdr>
            <w:top w:val="none" w:sz="0" w:space="0" w:color="auto"/>
            <w:left w:val="none" w:sz="0" w:space="0" w:color="auto"/>
            <w:bottom w:val="none" w:sz="0" w:space="0" w:color="auto"/>
            <w:right w:val="none" w:sz="0" w:space="0" w:color="auto"/>
          </w:divBdr>
        </w:div>
        <w:div w:id="937326222">
          <w:marLeft w:val="0"/>
          <w:marRight w:val="0"/>
          <w:marTop w:val="0"/>
          <w:marBottom w:val="0"/>
          <w:divBdr>
            <w:top w:val="none" w:sz="0" w:space="0" w:color="auto"/>
            <w:left w:val="none" w:sz="0" w:space="0" w:color="auto"/>
            <w:bottom w:val="none" w:sz="0" w:space="0" w:color="auto"/>
            <w:right w:val="none" w:sz="0" w:space="0" w:color="auto"/>
          </w:divBdr>
        </w:div>
        <w:div w:id="943998165">
          <w:marLeft w:val="0"/>
          <w:marRight w:val="0"/>
          <w:marTop w:val="0"/>
          <w:marBottom w:val="0"/>
          <w:divBdr>
            <w:top w:val="none" w:sz="0" w:space="0" w:color="auto"/>
            <w:left w:val="none" w:sz="0" w:space="0" w:color="auto"/>
            <w:bottom w:val="none" w:sz="0" w:space="0" w:color="auto"/>
            <w:right w:val="none" w:sz="0" w:space="0" w:color="auto"/>
          </w:divBdr>
        </w:div>
        <w:div w:id="954094726">
          <w:marLeft w:val="0"/>
          <w:marRight w:val="0"/>
          <w:marTop w:val="0"/>
          <w:marBottom w:val="0"/>
          <w:divBdr>
            <w:top w:val="none" w:sz="0" w:space="0" w:color="auto"/>
            <w:left w:val="none" w:sz="0" w:space="0" w:color="auto"/>
            <w:bottom w:val="none" w:sz="0" w:space="0" w:color="auto"/>
            <w:right w:val="none" w:sz="0" w:space="0" w:color="auto"/>
          </w:divBdr>
        </w:div>
        <w:div w:id="961807546">
          <w:marLeft w:val="0"/>
          <w:marRight w:val="0"/>
          <w:marTop w:val="0"/>
          <w:marBottom w:val="0"/>
          <w:divBdr>
            <w:top w:val="none" w:sz="0" w:space="0" w:color="auto"/>
            <w:left w:val="none" w:sz="0" w:space="0" w:color="auto"/>
            <w:bottom w:val="none" w:sz="0" w:space="0" w:color="auto"/>
            <w:right w:val="none" w:sz="0" w:space="0" w:color="auto"/>
          </w:divBdr>
        </w:div>
        <w:div w:id="992413654">
          <w:marLeft w:val="0"/>
          <w:marRight w:val="0"/>
          <w:marTop w:val="0"/>
          <w:marBottom w:val="0"/>
          <w:divBdr>
            <w:top w:val="none" w:sz="0" w:space="0" w:color="auto"/>
            <w:left w:val="none" w:sz="0" w:space="0" w:color="auto"/>
            <w:bottom w:val="none" w:sz="0" w:space="0" w:color="auto"/>
            <w:right w:val="none" w:sz="0" w:space="0" w:color="auto"/>
          </w:divBdr>
        </w:div>
        <w:div w:id="1023091565">
          <w:marLeft w:val="0"/>
          <w:marRight w:val="0"/>
          <w:marTop w:val="0"/>
          <w:marBottom w:val="0"/>
          <w:divBdr>
            <w:top w:val="none" w:sz="0" w:space="0" w:color="auto"/>
            <w:left w:val="none" w:sz="0" w:space="0" w:color="auto"/>
            <w:bottom w:val="none" w:sz="0" w:space="0" w:color="auto"/>
            <w:right w:val="none" w:sz="0" w:space="0" w:color="auto"/>
          </w:divBdr>
        </w:div>
        <w:div w:id="1024939719">
          <w:marLeft w:val="0"/>
          <w:marRight w:val="0"/>
          <w:marTop w:val="0"/>
          <w:marBottom w:val="0"/>
          <w:divBdr>
            <w:top w:val="none" w:sz="0" w:space="0" w:color="auto"/>
            <w:left w:val="none" w:sz="0" w:space="0" w:color="auto"/>
            <w:bottom w:val="none" w:sz="0" w:space="0" w:color="auto"/>
            <w:right w:val="none" w:sz="0" w:space="0" w:color="auto"/>
          </w:divBdr>
        </w:div>
        <w:div w:id="1034816545">
          <w:marLeft w:val="0"/>
          <w:marRight w:val="0"/>
          <w:marTop w:val="0"/>
          <w:marBottom w:val="0"/>
          <w:divBdr>
            <w:top w:val="none" w:sz="0" w:space="0" w:color="auto"/>
            <w:left w:val="none" w:sz="0" w:space="0" w:color="auto"/>
            <w:bottom w:val="none" w:sz="0" w:space="0" w:color="auto"/>
            <w:right w:val="none" w:sz="0" w:space="0" w:color="auto"/>
          </w:divBdr>
        </w:div>
        <w:div w:id="1043289494">
          <w:marLeft w:val="0"/>
          <w:marRight w:val="0"/>
          <w:marTop w:val="0"/>
          <w:marBottom w:val="0"/>
          <w:divBdr>
            <w:top w:val="none" w:sz="0" w:space="0" w:color="auto"/>
            <w:left w:val="none" w:sz="0" w:space="0" w:color="auto"/>
            <w:bottom w:val="none" w:sz="0" w:space="0" w:color="auto"/>
            <w:right w:val="none" w:sz="0" w:space="0" w:color="auto"/>
          </w:divBdr>
        </w:div>
        <w:div w:id="1047417844">
          <w:marLeft w:val="0"/>
          <w:marRight w:val="0"/>
          <w:marTop w:val="0"/>
          <w:marBottom w:val="0"/>
          <w:divBdr>
            <w:top w:val="none" w:sz="0" w:space="0" w:color="auto"/>
            <w:left w:val="none" w:sz="0" w:space="0" w:color="auto"/>
            <w:bottom w:val="none" w:sz="0" w:space="0" w:color="auto"/>
            <w:right w:val="none" w:sz="0" w:space="0" w:color="auto"/>
          </w:divBdr>
        </w:div>
        <w:div w:id="1110008245">
          <w:marLeft w:val="0"/>
          <w:marRight w:val="0"/>
          <w:marTop w:val="0"/>
          <w:marBottom w:val="0"/>
          <w:divBdr>
            <w:top w:val="none" w:sz="0" w:space="0" w:color="auto"/>
            <w:left w:val="none" w:sz="0" w:space="0" w:color="auto"/>
            <w:bottom w:val="none" w:sz="0" w:space="0" w:color="auto"/>
            <w:right w:val="none" w:sz="0" w:space="0" w:color="auto"/>
          </w:divBdr>
        </w:div>
        <w:div w:id="1110782246">
          <w:marLeft w:val="0"/>
          <w:marRight w:val="0"/>
          <w:marTop w:val="0"/>
          <w:marBottom w:val="0"/>
          <w:divBdr>
            <w:top w:val="none" w:sz="0" w:space="0" w:color="auto"/>
            <w:left w:val="none" w:sz="0" w:space="0" w:color="auto"/>
            <w:bottom w:val="none" w:sz="0" w:space="0" w:color="auto"/>
            <w:right w:val="none" w:sz="0" w:space="0" w:color="auto"/>
          </w:divBdr>
        </w:div>
        <w:div w:id="1111976664">
          <w:marLeft w:val="0"/>
          <w:marRight w:val="0"/>
          <w:marTop w:val="0"/>
          <w:marBottom w:val="0"/>
          <w:divBdr>
            <w:top w:val="none" w:sz="0" w:space="0" w:color="auto"/>
            <w:left w:val="none" w:sz="0" w:space="0" w:color="auto"/>
            <w:bottom w:val="none" w:sz="0" w:space="0" w:color="auto"/>
            <w:right w:val="none" w:sz="0" w:space="0" w:color="auto"/>
          </w:divBdr>
        </w:div>
        <w:div w:id="1117145362">
          <w:marLeft w:val="0"/>
          <w:marRight w:val="0"/>
          <w:marTop w:val="0"/>
          <w:marBottom w:val="0"/>
          <w:divBdr>
            <w:top w:val="none" w:sz="0" w:space="0" w:color="auto"/>
            <w:left w:val="none" w:sz="0" w:space="0" w:color="auto"/>
            <w:bottom w:val="none" w:sz="0" w:space="0" w:color="auto"/>
            <w:right w:val="none" w:sz="0" w:space="0" w:color="auto"/>
          </w:divBdr>
        </w:div>
        <w:div w:id="1127549206">
          <w:marLeft w:val="0"/>
          <w:marRight w:val="0"/>
          <w:marTop w:val="0"/>
          <w:marBottom w:val="0"/>
          <w:divBdr>
            <w:top w:val="none" w:sz="0" w:space="0" w:color="auto"/>
            <w:left w:val="none" w:sz="0" w:space="0" w:color="auto"/>
            <w:bottom w:val="none" w:sz="0" w:space="0" w:color="auto"/>
            <w:right w:val="none" w:sz="0" w:space="0" w:color="auto"/>
          </w:divBdr>
        </w:div>
        <w:div w:id="1136994380">
          <w:marLeft w:val="0"/>
          <w:marRight w:val="0"/>
          <w:marTop w:val="0"/>
          <w:marBottom w:val="0"/>
          <w:divBdr>
            <w:top w:val="none" w:sz="0" w:space="0" w:color="auto"/>
            <w:left w:val="none" w:sz="0" w:space="0" w:color="auto"/>
            <w:bottom w:val="none" w:sz="0" w:space="0" w:color="auto"/>
            <w:right w:val="none" w:sz="0" w:space="0" w:color="auto"/>
          </w:divBdr>
        </w:div>
        <w:div w:id="1138181636">
          <w:marLeft w:val="0"/>
          <w:marRight w:val="0"/>
          <w:marTop w:val="0"/>
          <w:marBottom w:val="0"/>
          <w:divBdr>
            <w:top w:val="none" w:sz="0" w:space="0" w:color="auto"/>
            <w:left w:val="none" w:sz="0" w:space="0" w:color="auto"/>
            <w:bottom w:val="none" w:sz="0" w:space="0" w:color="auto"/>
            <w:right w:val="none" w:sz="0" w:space="0" w:color="auto"/>
          </w:divBdr>
        </w:div>
        <w:div w:id="1144468782">
          <w:marLeft w:val="0"/>
          <w:marRight w:val="0"/>
          <w:marTop w:val="0"/>
          <w:marBottom w:val="0"/>
          <w:divBdr>
            <w:top w:val="none" w:sz="0" w:space="0" w:color="auto"/>
            <w:left w:val="none" w:sz="0" w:space="0" w:color="auto"/>
            <w:bottom w:val="none" w:sz="0" w:space="0" w:color="auto"/>
            <w:right w:val="none" w:sz="0" w:space="0" w:color="auto"/>
          </w:divBdr>
        </w:div>
        <w:div w:id="1157693983">
          <w:marLeft w:val="0"/>
          <w:marRight w:val="0"/>
          <w:marTop w:val="0"/>
          <w:marBottom w:val="0"/>
          <w:divBdr>
            <w:top w:val="none" w:sz="0" w:space="0" w:color="auto"/>
            <w:left w:val="none" w:sz="0" w:space="0" w:color="auto"/>
            <w:bottom w:val="none" w:sz="0" w:space="0" w:color="auto"/>
            <w:right w:val="none" w:sz="0" w:space="0" w:color="auto"/>
          </w:divBdr>
        </w:div>
        <w:div w:id="1165319816">
          <w:marLeft w:val="0"/>
          <w:marRight w:val="0"/>
          <w:marTop w:val="0"/>
          <w:marBottom w:val="0"/>
          <w:divBdr>
            <w:top w:val="none" w:sz="0" w:space="0" w:color="auto"/>
            <w:left w:val="none" w:sz="0" w:space="0" w:color="auto"/>
            <w:bottom w:val="none" w:sz="0" w:space="0" w:color="auto"/>
            <w:right w:val="none" w:sz="0" w:space="0" w:color="auto"/>
          </w:divBdr>
        </w:div>
        <w:div w:id="1185750150">
          <w:marLeft w:val="0"/>
          <w:marRight w:val="0"/>
          <w:marTop w:val="0"/>
          <w:marBottom w:val="0"/>
          <w:divBdr>
            <w:top w:val="none" w:sz="0" w:space="0" w:color="auto"/>
            <w:left w:val="none" w:sz="0" w:space="0" w:color="auto"/>
            <w:bottom w:val="none" w:sz="0" w:space="0" w:color="auto"/>
            <w:right w:val="none" w:sz="0" w:space="0" w:color="auto"/>
          </w:divBdr>
        </w:div>
        <w:div w:id="1227183046">
          <w:marLeft w:val="0"/>
          <w:marRight w:val="0"/>
          <w:marTop w:val="0"/>
          <w:marBottom w:val="0"/>
          <w:divBdr>
            <w:top w:val="none" w:sz="0" w:space="0" w:color="auto"/>
            <w:left w:val="none" w:sz="0" w:space="0" w:color="auto"/>
            <w:bottom w:val="none" w:sz="0" w:space="0" w:color="auto"/>
            <w:right w:val="none" w:sz="0" w:space="0" w:color="auto"/>
          </w:divBdr>
        </w:div>
        <w:div w:id="1230119880">
          <w:marLeft w:val="0"/>
          <w:marRight w:val="0"/>
          <w:marTop w:val="0"/>
          <w:marBottom w:val="0"/>
          <w:divBdr>
            <w:top w:val="none" w:sz="0" w:space="0" w:color="auto"/>
            <w:left w:val="none" w:sz="0" w:space="0" w:color="auto"/>
            <w:bottom w:val="none" w:sz="0" w:space="0" w:color="auto"/>
            <w:right w:val="none" w:sz="0" w:space="0" w:color="auto"/>
          </w:divBdr>
        </w:div>
        <w:div w:id="1237588128">
          <w:marLeft w:val="0"/>
          <w:marRight w:val="0"/>
          <w:marTop w:val="0"/>
          <w:marBottom w:val="0"/>
          <w:divBdr>
            <w:top w:val="none" w:sz="0" w:space="0" w:color="auto"/>
            <w:left w:val="none" w:sz="0" w:space="0" w:color="auto"/>
            <w:bottom w:val="none" w:sz="0" w:space="0" w:color="auto"/>
            <w:right w:val="none" w:sz="0" w:space="0" w:color="auto"/>
          </w:divBdr>
        </w:div>
        <w:div w:id="1248224692">
          <w:marLeft w:val="0"/>
          <w:marRight w:val="0"/>
          <w:marTop w:val="0"/>
          <w:marBottom w:val="0"/>
          <w:divBdr>
            <w:top w:val="none" w:sz="0" w:space="0" w:color="auto"/>
            <w:left w:val="none" w:sz="0" w:space="0" w:color="auto"/>
            <w:bottom w:val="none" w:sz="0" w:space="0" w:color="auto"/>
            <w:right w:val="none" w:sz="0" w:space="0" w:color="auto"/>
          </w:divBdr>
        </w:div>
        <w:div w:id="1256398597">
          <w:marLeft w:val="0"/>
          <w:marRight w:val="0"/>
          <w:marTop w:val="0"/>
          <w:marBottom w:val="0"/>
          <w:divBdr>
            <w:top w:val="none" w:sz="0" w:space="0" w:color="auto"/>
            <w:left w:val="none" w:sz="0" w:space="0" w:color="auto"/>
            <w:bottom w:val="none" w:sz="0" w:space="0" w:color="auto"/>
            <w:right w:val="none" w:sz="0" w:space="0" w:color="auto"/>
          </w:divBdr>
        </w:div>
        <w:div w:id="1269971882">
          <w:marLeft w:val="0"/>
          <w:marRight w:val="0"/>
          <w:marTop w:val="0"/>
          <w:marBottom w:val="0"/>
          <w:divBdr>
            <w:top w:val="none" w:sz="0" w:space="0" w:color="auto"/>
            <w:left w:val="none" w:sz="0" w:space="0" w:color="auto"/>
            <w:bottom w:val="none" w:sz="0" w:space="0" w:color="auto"/>
            <w:right w:val="none" w:sz="0" w:space="0" w:color="auto"/>
          </w:divBdr>
        </w:div>
        <w:div w:id="1313946192">
          <w:marLeft w:val="0"/>
          <w:marRight w:val="0"/>
          <w:marTop w:val="0"/>
          <w:marBottom w:val="0"/>
          <w:divBdr>
            <w:top w:val="none" w:sz="0" w:space="0" w:color="auto"/>
            <w:left w:val="none" w:sz="0" w:space="0" w:color="auto"/>
            <w:bottom w:val="none" w:sz="0" w:space="0" w:color="auto"/>
            <w:right w:val="none" w:sz="0" w:space="0" w:color="auto"/>
          </w:divBdr>
        </w:div>
        <w:div w:id="1316450924">
          <w:marLeft w:val="0"/>
          <w:marRight w:val="0"/>
          <w:marTop w:val="0"/>
          <w:marBottom w:val="0"/>
          <w:divBdr>
            <w:top w:val="none" w:sz="0" w:space="0" w:color="auto"/>
            <w:left w:val="none" w:sz="0" w:space="0" w:color="auto"/>
            <w:bottom w:val="none" w:sz="0" w:space="0" w:color="auto"/>
            <w:right w:val="none" w:sz="0" w:space="0" w:color="auto"/>
          </w:divBdr>
        </w:div>
        <w:div w:id="1323586087">
          <w:marLeft w:val="0"/>
          <w:marRight w:val="0"/>
          <w:marTop w:val="0"/>
          <w:marBottom w:val="0"/>
          <w:divBdr>
            <w:top w:val="none" w:sz="0" w:space="0" w:color="auto"/>
            <w:left w:val="none" w:sz="0" w:space="0" w:color="auto"/>
            <w:bottom w:val="none" w:sz="0" w:space="0" w:color="auto"/>
            <w:right w:val="none" w:sz="0" w:space="0" w:color="auto"/>
          </w:divBdr>
        </w:div>
        <w:div w:id="1355494383">
          <w:marLeft w:val="0"/>
          <w:marRight w:val="0"/>
          <w:marTop w:val="0"/>
          <w:marBottom w:val="0"/>
          <w:divBdr>
            <w:top w:val="none" w:sz="0" w:space="0" w:color="auto"/>
            <w:left w:val="none" w:sz="0" w:space="0" w:color="auto"/>
            <w:bottom w:val="none" w:sz="0" w:space="0" w:color="auto"/>
            <w:right w:val="none" w:sz="0" w:space="0" w:color="auto"/>
          </w:divBdr>
        </w:div>
        <w:div w:id="1369842393">
          <w:marLeft w:val="0"/>
          <w:marRight w:val="0"/>
          <w:marTop w:val="0"/>
          <w:marBottom w:val="0"/>
          <w:divBdr>
            <w:top w:val="none" w:sz="0" w:space="0" w:color="auto"/>
            <w:left w:val="none" w:sz="0" w:space="0" w:color="auto"/>
            <w:bottom w:val="none" w:sz="0" w:space="0" w:color="auto"/>
            <w:right w:val="none" w:sz="0" w:space="0" w:color="auto"/>
          </w:divBdr>
        </w:div>
        <w:div w:id="1381392695">
          <w:marLeft w:val="0"/>
          <w:marRight w:val="0"/>
          <w:marTop w:val="0"/>
          <w:marBottom w:val="0"/>
          <w:divBdr>
            <w:top w:val="none" w:sz="0" w:space="0" w:color="auto"/>
            <w:left w:val="none" w:sz="0" w:space="0" w:color="auto"/>
            <w:bottom w:val="none" w:sz="0" w:space="0" w:color="auto"/>
            <w:right w:val="none" w:sz="0" w:space="0" w:color="auto"/>
          </w:divBdr>
        </w:div>
        <w:div w:id="1381590795">
          <w:marLeft w:val="0"/>
          <w:marRight w:val="0"/>
          <w:marTop w:val="0"/>
          <w:marBottom w:val="0"/>
          <w:divBdr>
            <w:top w:val="none" w:sz="0" w:space="0" w:color="auto"/>
            <w:left w:val="none" w:sz="0" w:space="0" w:color="auto"/>
            <w:bottom w:val="none" w:sz="0" w:space="0" w:color="auto"/>
            <w:right w:val="none" w:sz="0" w:space="0" w:color="auto"/>
          </w:divBdr>
        </w:div>
        <w:div w:id="1451850821">
          <w:marLeft w:val="0"/>
          <w:marRight w:val="0"/>
          <w:marTop w:val="0"/>
          <w:marBottom w:val="0"/>
          <w:divBdr>
            <w:top w:val="none" w:sz="0" w:space="0" w:color="auto"/>
            <w:left w:val="none" w:sz="0" w:space="0" w:color="auto"/>
            <w:bottom w:val="none" w:sz="0" w:space="0" w:color="auto"/>
            <w:right w:val="none" w:sz="0" w:space="0" w:color="auto"/>
          </w:divBdr>
        </w:div>
        <w:div w:id="1465006953">
          <w:marLeft w:val="0"/>
          <w:marRight w:val="0"/>
          <w:marTop w:val="0"/>
          <w:marBottom w:val="0"/>
          <w:divBdr>
            <w:top w:val="none" w:sz="0" w:space="0" w:color="auto"/>
            <w:left w:val="none" w:sz="0" w:space="0" w:color="auto"/>
            <w:bottom w:val="none" w:sz="0" w:space="0" w:color="auto"/>
            <w:right w:val="none" w:sz="0" w:space="0" w:color="auto"/>
          </w:divBdr>
        </w:div>
        <w:div w:id="1493713868">
          <w:marLeft w:val="0"/>
          <w:marRight w:val="0"/>
          <w:marTop w:val="0"/>
          <w:marBottom w:val="0"/>
          <w:divBdr>
            <w:top w:val="none" w:sz="0" w:space="0" w:color="auto"/>
            <w:left w:val="none" w:sz="0" w:space="0" w:color="auto"/>
            <w:bottom w:val="none" w:sz="0" w:space="0" w:color="auto"/>
            <w:right w:val="none" w:sz="0" w:space="0" w:color="auto"/>
          </w:divBdr>
        </w:div>
        <w:div w:id="1501895972">
          <w:marLeft w:val="0"/>
          <w:marRight w:val="0"/>
          <w:marTop w:val="0"/>
          <w:marBottom w:val="0"/>
          <w:divBdr>
            <w:top w:val="none" w:sz="0" w:space="0" w:color="auto"/>
            <w:left w:val="none" w:sz="0" w:space="0" w:color="auto"/>
            <w:bottom w:val="none" w:sz="0" w:space="0" w:color="auto"/>
            <w:right w:val="none" w:sz="0" w:space="0" w:color="auto"/>
          </w:divBdr>
        </w:div>
        <w:div w:id="1507208955">
          <w:marLeft w:val="0"/>
          <w:marRight w:val="0"/>
          <w:marTop w:val="0"/>
          <w:marBottom w:val="0"/>
          <w:divBdr>
            <w:top w:val="none" w:sz="0" w:space="0" w:color="auto"/>
            <w:left w:val="none" w:sz="0" w:space="0" w:color="auto"/>
            <w:bottom w:val="none" w:sz="0" w:space="0" w:color="auto"/>
            <w:right w:val="none" w:sz="0" w:space="0" w:color="auto"/>
          </w:divBdr>
        </w:div>
        <w:div w:id="1507475866">
          <w:marLeft w:val="0"/>
          <w:marRight w:val="0"/>
          <w:marTop w:val="0"/>
          <w:marBottom w:val="0"/>
          <w:divBdr>
            <w:top w:val="none" w:sz="0" w:space="0" w:color="auto"/>
            <w:left w:val="none" w:sz="0" w:space="0" w:color="auto"/>
            <w:bottom w:val="none" w:sz="0" w:space="0" w:color="auto"/>
            <w:right w:val="none" w:sz="0" w:space="0" w:color="auto"/>
          </w:divBdr>
        </w:div>
        <w:div w:id="1520197725">
          <w:marLeft w:val="0"/>
          <w:marRight w:val="0"/>
          <w:marTop w:val="0"/>
          <w:marBottom w:val="0"/>
          <w:divBdr>
            <w:top w:val="none" w:sz="0" w:space="0" w:color="auto"/>
            <w:left w:val="none" w:sz="0" w:space="0" w:color="auto"/>
            <w:bottom w:val="none" w:sz="0" w:space="0" w:color="auto"/>
            <w:right w:val="none" w:sz="0" w:space="0" w:color="auto"/>
          </w:divBdr>
        </w:div>
        <w:div w:id="1522278415">
          <w:marLeft w:val="0"/>
          <w:marRight w:val="0"/>
          <w:marTop w:val="0"/>
          <w:marBottom w:val="0"/>
          <w:divBdr>
            <w:top w:val="none" w:sz="0" w:space="0" w:color="auto"/>
            <w:left w:val="none" w:sz="0" w:space="0" w:color="auto"/>
            <w:bottom w:val="none" w:sz="0" w:space="0" w:color="auto"/>
            <w:right w:val="none" w:sz="0" w:space="0" w:color="auto"/>
          </w:divBdr>
        </w:div>
        <w:div w:id="1525752312">
          <w:marLeft w:val="0"/>
          <w:marRight w:val="0"/>
          <w:marTop w:val="0"/>
          <w:marBottom w:val="0"/>
          <w:divBdr>
            <w:top w:val="none" w:sz="0" w:space="0" w:color="auto"/>
            <w:left w:val="none" w:sz="0" w:space="0" w:color="auto"/>
            <w:bottom w:val="none" w:sz="0" w:space="0" w:color="auto"/>
            <w:right w:val="none" w:sz="0" w:space="0" w:color="auto"/>
          </w:divBdr>
        </w:div>
        <w:div w:id="1530146113">
          <w:marLeft w:val="0"/>
          <w:marRight w:val="0"/>
          <w:marTop w:val="0"/>
          <w:marBottom w:val="0"/>
          <w:divBdr>
            <w:top w:val="none" w:sz="0" w:space="0" w:color="auto"/>
            <w:left w:val="none" w:sz="0" w:space="0" w:color="auto"/>
            <w:bottom w:val="none" w:sz="0" w:space="0" w:color="auto"/>
            <w:right w:val="none" w:sz="0" w:space="0" w:color="auto"/>
          </w:divBdr>
        </w:div>
        <w:div w:id="1539510850">
          <w:marLeft w:val="0"/>
          <w:marRight w:val="0"/>
          <w:marTop w:val="0"/>
          <w:marBottom w:val="0"/>
          <w:divBdr>
            <w:top w:val="none" w:sz="0" w:space="0" w:color="auto"/>
            <w:left w:val="none" w:sz="0" w:space="0" w:color="auto"/>
            <w:bottom w:val="none" w:sz="0" w:space="0" w:color="auto"/>
            <w:right w:val="none" w:sz="0" w:space="0" w:color="auto"/>
          </w:divBdr>
        </w:div>
        <w:div w:id="1606380583">
          <w:marLeft w:val="0"/>
          <w:marRight w:val="0"/>
          <w:marTop w:val="0"/>
          <w:marBottom w:val="0"/>
          <w:divBdr>
            <w:top w:val="none" w:sz="0" w:space="0" w:color="auto"/>
            <w:left w:val="none" w:sz="0" w:space="0" w:color="auto"/>
            <w:bottom w:val="none" w:sz="0" w:space="0" w:color="auto"/>
            <w:right w:val="none" w:sz="0" w:space="0" w:color="auto"/>
          </w:divBdr>
        </w:div>
        <w:div w:id="1610698330">
          <w:marLeft w:val="0"/>
          <w:marRight w:val="0"/>
          <w:marTop w:val="0"/>
          <w:marBottom w:val="0"/>
          <w:divBdr>
            <w:top w:val="none" w:sz="0" w:space="0" w:color="auto"/>
            <w:left w:val="none" w:sz="0" w:space="0" w:color="auto"/>
            <w:bottom w:val="none" w:sz="0" w:space="0" w:color="auto"/>
            <w:right w:val="none" w:sz="0" w:space="0" w:color="auto"/>
          </w:divBdr>
        </w:div>
        <w:div w:id="1700887402">
          <w:marLeft w:val="0"/>
          <w:marRight w:val="0"/>
          <w:marTop w:val="0"/>
          <w:marBottom w:val="0"/>
          <w:divBdr>
            <w:top w:val="none" w:sz="0" w:space="0" w:color="auto"/>
            <w:left w:val="none" w:sz="0" w:space="0" w:color="auto"/>
            <w:bottom w:val="none" w:sz="0" w:space="0" w:color="auto"/>
            <w:right w:val="none" w:sz="0" w:space="0" w:color="auto"/>
          </w:divBdr>
        </w:div>
        <w:div w:id="1716155787">
          <w:marLeft w:val="0"/>
          <w:marRight w:val="0"/>
          <w:marTop w:val="0"/>
          <w:marBottom w:val="0"/>
          <w:divBdr>
            <w:top w:val="none" w:sz="0" w:space="0" w:color="auto"/>
            <w:left w:val="none" w:sz="0" w:space="0" w:color="auto"/>
            <w:bottom w:val="none" w:sz="0" w:space="0" w:color="auto"/>
            <w:right w:val="none" w:sz="0" w:space="0" w:color="auto"/>
          </w:divBdr>
        </w:div>
        <w:div w:id="1760373204">
          <w:marLeft w:val="0"/>
          <w:marRight w:val="0"/>
          <w:marTop w:val="0"/>
          <w:marBottom w:val="0"/>
          <w:divBdr>
            <w:top w:val="none" w:sz="0" w:space="0" w:color="auto"/>
            <w:left w:val="none" w:sz="0" w:space="0" w:color="auto"/>
            <w:bottom w:val="none" w:sz="0" w:space="0" w:color="auto"/>
            <w:right w:val="none" w:sz="0" w:space="0" w:color="auto"/>
          </w:divBdr>
        </w:div>
        <w:div w:id="1769619501">
          <w:marLeft w:val="0"/>
          <w:marRight w:val="0"/>
          <w:marTop w:val="0"/>
          <w:marBottom w:val="0"/>
          <w:divBdr>
            <w:top w:val="none" w:sz="0" w:space="0" w:color="auto"/>
            <w:left w:val="none" w:sz="0" w:space="0" w:color="auto"/>
            <w:bottom w:val="none" w:sz="0" w:space="0" w:color="auto"/>
            <w:right w:val="none" w:sz="0" w:space="0" w:color="auto"/>
          </w:divBdr>
        </w:div>
        <w:div w:id="1778868138">
          <w:marLeft w:val="0"/>
          <w:marRight w:val="0"/>
          <w:marTop w:val="0"/>
          <w:marBottom w:val="0"/>
          <w:divBdr>
            <w:top w:val="none" w:sz="0" w:space="0" w:color="auto"/>
            <w:left w:val="none" w:sz="0" w:space="0" w:color="auto"/>
            <w:bottom w:val="none" w:sz="0" w:space="0" w:color="auto"/>
            <w:right w:val="none" w:sz="0" w:space="0" w:color="auto"/>
          </w:divBdr>
        </w:div>
        <w:div w:id="1799837022">
          <w:marLeft w:val="0"/>
          <w:marRight w:val="0"/>
          <w:marTop w:val="0"/>
          <w:marBottom w:val="0"/>
          <w:divBdr>
            <w:top w:val="none" w:sz="0" w:space="0" w:color="auto"/>
            <w:left w:val="none" w:sz="0" w:space="0" w:color="auto"/>
            <w:bottom w:val="none" w:sz="0" w:space="0" w:color="auto"/>
            <w:right w:val="none" w:sz="0" w:space="0" w:color="auto"/>
          </w:divBdr>
        </w:div>
        <w:div w:id="1805809794">
          <w:marLeft w:val="0"/>
          <w:marRight w:val="0"/>
          <w:marTop w:val="0"/>
          <w:marBottom w:val="0"/>
          <w:divBdr>
            <w:top w:val="none" w:sz="0" w:space="0" w:color="auto"/>
            <w:left w:val="none" w:sz="0" w:space="0" w:color="auto"/>
            <w:bottom w:val="none" w:sz="0" w:space="0" w:color="auto"/>
            <w:right w:val="none" w:sz="0" w:space="0" w:color="auto"/>
          </w:divBdr>
        </w:div>
        <w:div w:id="1808467739">
          <w:marLeft w:val="0"/>
          <w:marRight w:val="0"/>
          <w:marTop w:val="0"/>
          <w:marBottom w:val="0"/>
          <w:divBdr>
            <w:top w:val="none" w:sz="0" w:space="0" w:color="auto"/>
            <w:left w:val="none" w:sz="0" w:space="0" w:color="auto"/>
            <w:bottom w:val="none" w:sz="0" w:space="0" w:color="auto"/>
            <w:right w:val="none" w:sz="0" w:space="0" w:color="auto"/>
          </w:divBdr>
        </w:div>
        <w:div w:id="1813672308">
          <w:marLeft w:val="0"/>
          <w:marRight w:val="0"/>
          <w:marTop w:val="0"/>
          <w:marBottom w:val="0"/>
          <w:divBdr>
            <w:top w:val="none" w:sz="0" w:space="0" w:color="auto"/>
            <w:left w:val="none" w:sz="0" w:space="0" w:color="auto"/>
            <w:bottom w:val="none" w:sz="0" w:space="0" w:color="auto"/>
            <w:right w:val="none" w:sz="0" w:space="0" w:color="auto"/>
          </w:divBdr>
        </w:div>
        <w:div w:id="1817380665">
          <w:marLeft w:val="0"/>
          <w:marRight w:val="0"/>
          <w:marTop w:val="0"/>
          <w:marBottom w:val="0"/>
          <w:divBdr>
            <w:top w:val="none" w:sz="0" w:space="0" w:color="auto"/>
            <w:left w:val="none" w:sz="0" w:space="0" w:color="auto"/>
            <w:bottom w:val="none" w:sz="0" w:space="0" w:color="auto"/>
            <w:right w:val="none" w:sz="0" w:space="0" w:color="auto"/>
          </w:divBdr>
        </w:div>
        <w:div w:id="1861552599">
          <w:marLeft w:val="0"/>
          <w:marRight w:val="0"/>
          <w:marTop w:val="0"/>
          <w:marBottom w:val="0"/>
          <w:divBdr>
            <w:top w:val="none" w:sz="0" w:space="0" w:color="auto"/>
            <w:left w:val="none" w:sz="0" w:space="0" w:color="auto"/>
            <w:bottom w:val="none" w:sz="0" w:space="0" w:color="auto"/>
            <w:right w:val="none" w:sz="0" w:space="0" w:color="auto"/>
          </w:divBdr>
        </w:div>
        <w:div w:id="1873228412">
          <w:marLeft w:val="0"/>
          <w:marRight w:val="0"/>
          <w:marTop w:val="0"/>
          <w:marBottom w:val="0"/>
          <w:divBdr>
            <w:top w:val="none" w:sz="0" w:space="0" w:color="auto"/>
            <w:left w:val="none" w:sz="0" w:space="0" w:color="auto"/>
            <w:bottom w:val="none" w:sz="0" w:space="0" w:color="auto"/>
            <w:right w:val="none" w:sz="0" w:space="0" w:color="auto"/>
          </w:divBdr>
        </w:div>
        <w:div w:id="1873884867">
          <w:marLeft w:val="0"/>
          <w:marRight w:val="0"/>
          <w:marTop w:val="0"/>
          <w:marBottom w:val="0"/>
          <w:divBdr>
            <w:top w:val="none" w:sz="0" w:space="0" w:color="auto"/>
            <w:left w:val="none" w:sz="0" w:space="0" w:color="auto"/>
            <w:bottom w:val="none" w:sz="0" w:space="0" w:color="auto"/>
            <w:right w:val="none" w:sz="0" w:space="0" w:color="auto"/>
          </w:divBdr>
        </w:div>
        <w:div w:id="1876455033">
          <w:marLeft w:val="0"/>
          <w:marRight w:val="0"/>
          <w:marTop w:val="0"/>
          <w:marBottom w:val="0"/>
          <w:divBdr>
            <w:top w:val="none" w:sz="0" w:space="0" w:color="auto"/>
            <w:left w:val="none" w:sz="0" w:space="0" w:color="auto"/>
            <w:bottom w:val="none" w:sz="0" w:space="0" w:color="auto"/>
            <w:right w:val="none" w:sz="0" w:space="0" w:color="auto"/>
          </w:divBdr>
        </w:div>
        <w:div w:id="1923292594">
          <w:marLeft w:val="0"/>
          <w:marRight w:val="0"/>
          <w:marTop w:val="0"/>
          <w:marBottom w:val="0"/>
          <w:divBdr>
            <w:top w:val="none" w:sz="0" w:space="0" w:color="auto"/>
            <w:left w:val="none" w:sz="0" w:space="0" w:color="auto"/>
            <w:bottom w:val="none" w:sz="0" w:space="0" w:color="auto"/>
            <w:right w:val="none" w:sz="0" w:space="0" w:color="auto"/>
          </w:divBdr>
        </w:div>
        <w:div w:id="1938173359">
          <w:marLeft w:val="0"/>
          <w:marRight w:val="0"/>
          <w:marTop w:val="0"/>
          <w:marBottom w:val="0"/>
          <w:divBdr>
            <w:top w:val="none" w:sz="0" w:space="0" w:color="auto"/>
            <w:left w:val="none" w:sz="0" w:space="0" w:color="auto"/>
            <w:bottom w:val="none" w:sz="0" w:space="0" w:color="auto"/>
            <w:right w:val="none" w:sz="0" w:space="0" w:color="auto"/>
          </w:divBdr>
        </w:div>
        <w:div w:id="1962614260">
          <w:marLeft w:val="0"/>
          <w:marRight w:val="0"/>
          <w:marTop w:val="0"/>
          <w:marBottom w:val="0"/>
          <w:divBdr>
            <w:top w:val="none" w:sz="0" w:space="0" w:color="auto"/>
            <w:left w:val="none" w:sz="0" w:space="0" w:color="auto"/>
            <w:bottom w:val="none" w:sz="0" w:space="0" w:color="auto"/>
            <w:right w:val="none" w:sz="0" w:space="0" w:color="auto"/>
          </w:divBdr>
        </w:div>
        <w:div w:id="1972051026">
          <w:marLeft w:val="0"/>
          <w:marRight w:val="0"/>
          <w:marTop w:val="0"/>
          <w:marBottom w:val="0"/>
          <w:divBdr>
            <w:top w:val="none" w:sz="0" w:space="0" w:color="auto"/>
            <w:left w:val="none" w:sz="0" w:space="0" w:color="auto"/>
            <w:bottom w:val="none" w:sz="0" w:space="0" w:color="auto"/>
            <w:right w:val="none" w:sz="0" w:space="0" w:color="auto"/>
          </w:divBdr>
        </w:div>
        <w:div w:id="1987318857">
          <w:marLeft w:val="0"/>
          <w:marRight w:val="0"/>
          <w:marTop w:val="0"/>
          <w:marBottom w:val="0"/>
          <w:divBdr>
            <w:top w:val="none" w:sz="0" w:space="0" w:color="auto"/>
            <w:left w:val="none" w:sz="0" w:space="0" w:color="auto"/>
            <w:bottom w:val="none" w:sz="0" w:space="0" w:color="auto"/>
            <w:right w:val="none" w:sz="0" w:space="0" w:color="auto"/>
          </w:divBdr>
        </w:div>
        <w:div w:id="1993873640">
          <w:marLeft w:val="0"/>
          <w:marRight w:val="0"/>
          <w:marTop w:val="0"/>
          <w:marBottom w:val="0"/>
          <w:divBdr>
            <w:top w:val="none" w:sz="0" w:space="0" w:color="auto"/>
            <w:left w:val="none" w:sz="0" w:space="0" w:color="auto"/>
            <w:bottom w:val="none" w:sz="0" w:space="0" w:color="auto"/>
            <w:right w:val="none" w:sz="0" w:space="0" w:color="auto"/>
          </w:divBdr>
        </w:div>
        <w:div w:id="2025352845">
          <w:marLeft w:val="0"/>
          <w:marRight w:val="0"/>
          <w:marTop w:val="0"/>
          <w:marBottom w:val="0"/>
          <w:divBdr>
            <w:top w:val="none" w:sz="0" w:space="0" w:color="auto"/>
            <w:left w:val="none" w:sz="0" w:space="0" w:color="auto"/>
            <w:bottom w:val="none" w:sz="0" w:space="0" w:color="auto"/>
            <w:right w:val="none" w:sz="0" w:space="0" w:color="auto"/>
          </w:divBdr>
        </w:div>
        <w:div w:id="2030525368">
          <w:marLeft w:val="0"/>
          <w:marRight w:val="0"/>
          <w:marTop w:val="0"/>
          <w:marBottom w:val="0"/>
          <w:divBdr>
            <w:top w:val="none" w:sz="0" w:space="0" w:color="auto"/>
            <w:left w:val="none" w:sz="0" w:space="0" w:color="auto"/>
            <w:bottom w:val="none" w:sz="0" w:space="0" w:color="auto"/>
            <w:right w:val="none" w:sz="0" w:space="0" w:color="auto"/>
          </w:divBdr>
        </w:div>
        <w:div w:id="2069377289">
          <w:marLeft w:val="0"/>
          <w:marRight w:val="0"/>
          <w:marTop w:val="0"/>
          <w:marBottom w:val="0"/>
          <w:divBdr>
            <w:top w:val="none" w:sz="0" w:space="0" w:color="auto"/>
            <w:left w:val="none" w:sz="0" w:space="0" w:color="auto"/>
            <w:bottom w:val="none" w:sz="0" w:space="0" w:color="auto"/>
            <w:right w:val="none" w:sz="0" w:space="0" w:color="auto"/>
          </w:divBdr>
        </w:div>
        <w:div w:id="2098092486">
          <w:marLeft w:val="0"/>
          <w:marRight w:val="0"/>
          <w:marTop w:val="0"/>
          <w:marBottom w:val="0"/>
          <w:divBdr>
            <w:top w:val="none" w:sz="0" w:space="0" w:color="auto"/>
            <w:left w:val="none" w:sz="0" w:space="0" w:color="auto"/>
            <w:bottom w:val="none" w:sz="0" w:space="0" w:color="auto"/>
            <w:right w:val="none" w:sz="0" w:space="0" w:color="auto"/>
          </w:divBdr>
        </w:div>
        <w:div w:id="2121297699">
          <w:marLeft w:val="0"/>
          <w:marRight w:val="0"/>
          <w:marTop w:val="0"/>
          <w:marBottom w:val="0"/>
          <w:divBdr>
            <w:top w:val="none" w:sz="0" w:space="0" w:color="auto"/>
            <w:left w:val="none" w:sz="0" w:space="0" w:color="auto"/>
            <w:bottom w:val="none" w:sz="0" w:space="0" w:color="auto"/>
            <w:right w:val="none" w:sz="0" w:space="0" w:color="auto"/>
          </w:divBdr>
        </w:div>
        <w:div w:id="2123760403">
          <w:marLeft w:val="0"/>
          <w:marRight w:val="0"/>
          <w:marTop w:val="0"/>
          <w:marBottom w:val="0"/>
          <w:divBdr>
            <w:top w:val="none" w:sz="0" w:space="0" w:color="auto"/>
            <w:left w:val="none" w:sz="0" w:space="0" w:color="auto"/>
            <w:bottom w:val="none" w:sz="0" w:space="0" w:color="auto"/>
            <w:right w:val="none" w:sz="0" w:space="0" w:color="auto"/>
          </w:divBdr>
        </w:div>
        <w:div w:id="2132092663">
          <w:marLeft w:val="0"/>
          <w:marRight w:val="0"/>
          <w:marTop w:val="0"/>
          <w:marBottom w:val="0"/>
          <w:divBdr>
            <w:top w:val="none" w:sz="0" w:space="0" w:color="auto"/>
            <w:left w:val="none" w:sz="0" w:space="0" w:color="auto"/>
            <w:bottom w:val="none" w:sz="0" w:space="0" w:color="auto"/>
            <w:right w:val="none" w:sz="0" w:space="0" w:color="auto"/>
          </w:divBdr>
        </w:div>
        <w:div w:id="2137334151">
          <w:marLeft w:val="0"/>
          <w:marRight w:val="0"/>
          <w:marTop w:val="0"/>
          <w:marBottom w:val="0"/>
          <w:divBdr>
            <w:top w:val="none" w:sz="0" w:space="0" w:color="auto"/>
            <w:left w:val="none" w:sz="0" w:space="0" w:color="auto"/>
            <w:bottom w:val="none" w:sz="0" w:space="0" w:color="auto"/>
            <w:right w:val="none" w:sz="0" w:space="0" w:color="auto"/>
          </w:divBdr>
        </w:div>
      </w:divsChild>
    </w:div>
    <w:div w:id="1155682133">
      <w:bodyDiv w:val="1"/>
      <w:marLeft w:val="0"/>
      <w:marRight w:val="0"/>
      <w:marTop w:val="0"/>
      <w:marBottom w:val="0"/>
      <w:divBdr>
        <w:top w:val="none" w:sz="0" w:space="0" w:color="auto"/>
        <w:left w:val="none" w:sz="0" w:space="0" w:color="auto"/>
        <w:bottom w:val="none" w:sz="0" w:space="0" w:color="auto"/>
        <w:right w:val="none" w:sz="0" w:space="0" w:color="auto"/>
      </w:divBdr>
    </w:div>
    <w:div w:id="1156607607">
      <w:bodyDiv w:val="1"/>
      <w:marLeft w:val="0"/>
      <w:marRight w:val="0"/>
      <w:marTop w:val="0"/>
      <w:marBottom w:val="0"/>
      <w:divBdr>
        <w:top w:val="none" w:sz="0" w:space="0" w:color="auto"/>
        <w:left w:val="none" w:sz="0" w:space="0" w:color="auto"/>
        <w:bottom w:val="none" w:sz="0" w:space="0" w:color="auto"/>
        <w:right w:val="none" w:sz="0" w:space="0" w:color="auto"/>
      </w:divBdr>
    </w:div>
    <w:div w:id="1156990646">
      <w:bodyDiv w:val="1"/>
      <w:marLeft w:val="0"/>
      <w:marRight w:val="0"/>
      <w:marTop w:val="0"/>
      <w:marBottom w:val="0"/>
      <w:divBdr>
        <w:top w:val="none" w:sz="0" w:space="0" w:color="auto"/>
        <w:left w:val="none" w:sz="0" w:space="0" w:color="auto"/>
        <w:bottom w:val="none" w:sz="0" w:space="0" w:color="auto"/>
        <w:right w:val="none" w:sz="0" w:space="0" w:color="auto"/>
      </w:divBdr>
    </w:div>
    <w:div w:id="1158813931">
      <w:bodyDiv w:val="1"/>
      <w:marLeft w:val="0"/>
      <w:marRight w:val="0"/>
      <w:marTop w:val="0"/>
      <w:marBottom w:val="0"/>
      <w:divBdr>
        <w:top w:val="none" w:sz="0" w:space="0" w:color="auto"/>
        <w:left w:val="none" w:sz="0" w:space="0" w:color="auto"/>
        <w:bottom w:val="none" w:sz="0" w:space="0" w:color="auto"/>
        <w:right w:val="none" w:sz="0" w:space="0" w:color="auto"/>
      </w:divBdr>
    </w:div>
    <w:div w:id="1159224684">
      <w:bodyDiv w:val="1"/>
      <w:marLeft w:val="0"/>
      <w:marRight w:val="0"/>
      <w:marTop w:val="0"/>
      <w:marBottom w:val="0"/>
      <w:divBdr>
        <w:top w:val="none" w:sz="0" w:space="0" w:color="auto"/>
        <w:left w:val="none" w:sz="0" w:space="0" w:color="auto"/>
        <w:bottom w:val="none" w:sz="0" w:space="0" w:color="auto"/>
        <w:right w:val="none" w:sz="0" w:space="0" w:color="auto"/>
      </w:divBdr>
    </w:div>
    <w:div w:id="1164590524">
      <w:bodyDiv w:val="1"/>
      <w:marLeft w:val="0"/>
      <w:marRight w:val="0"/>
      <w:marTop w:val="0"/>
      <w:marBottom w:val="0"/>
      <w:divBdr>
        <w:top w:val="none" w:sz="0" w:space="0" w:color="auto"/>
        <w:left w:val="none" w:sz="0" w:space="0" w:color="auto"/>
        <w:bottom w:val="none" w:sz="0" w:space="0" w:color="auto"/>
        <w:right w:val="none" w:sz="0" w:space="0" w:color="auto"/>
      </w:divBdr>
    </w:div>
    <w:div w:id="1165054514">
      <w:bodyDiv w:val="1"/>
      <w:marLeft w:val="0"/>
      <w:marRight w:val="0"/>
      <w:marTop w:val="0"/>
      <w:marBottom w:val="0"/>
      <w:divBdr>
        <w:top w:val="none" w:sz="0" w:space="0" w:color="auto"/>
        <w:left w:val="none" w:sz="0" w:space="0" w:color="auto"/>
        <w:bottom w:val="none" w:sz="0" w:space="0" w:color="auto"/>
        <w:right w:val="none" w:sz="0" w:space="0" w:color="auto"/>
      </w:divBdr>
    </w:div>
    <w:div w:id="1168442331">
      <w:bodyDiv w:val="1"/>
      <w:marLeft w:val="0"/>
      <w:marRight w:val="0"/>
      <w:marTop w:val="0"/>
      <w:marBottom w:val="0"/>
      <w:divBdr>
        <w:top w:val="none" w:sz="0" w:space="0" w:color="auto"/>
        <w:left w:val="none" w:sz="0" w:space="0" w:color="auto"/>
        <w:bottom w:val="none" w:sz="0" w:space="0" w:color="auto"/>
        <w:right w:val="none" w:sz="0" w:space="0" w:color="auto"/>
      </w:divBdr>
    </w:div>
    <w:div w:id="1170563825">
      <w:bodyDiv w:val="1"/>
      <w:marLeft w:val="0"/>
      <w:marRight w:val="0"/>
      <w:marTop w:val="0"/>
      <w:marBottom w:val="0"/>
      <w:divBdr>
        <w:top w:val="none" w:sz="0" w:space="0" w:color="auto"/>
        <w:left w:val="none" w:sz="0" w:space="0" w:color="auto"/>
        <w:bottom w:val="none" w:sz="0" w:space="0" w:color="auto"/>
        <w:right w:val="none" w:sz="0" w:space="0" w:color="auto"/>
      </w:divBdr>
    </w:div>
    <w:div w:id="1172841866">
      <w:bodyDiv w:val="1"/>
      <w:marLeft w:val="0"/>
      <w:marRight w:val="0"/>
      <w:marTop w:val="0"/>
      <w:marBottom w:val="0"/>
      <w:divBdr>
        <w:top w:val="none" w:sz="0" w:space="0" w:color="auto"/>
        <w:left w:val="none" w:sz="0" w:space="0" w:color="auto"/>
        <w:bottom w:val="none" w:sz="0" w:space="0" w:color="auto"/>
        <w:right w:val="none" w:sz="0" w:space="0" w:color="auto"/>
      </w:divBdr>
    </w:div>
    <w:div w:id="1174609209">
      <w:bodyDiv w:val="1"/>
      <w:marLeft w:val="0"/>
      <w:marRight w:val="0"/>
      <w:marTop w:val="0"/>
      <w:marBottom w:val="0"/>
      <w:divBdr>
        <w:top w:val="none" w:sz="0" w:space="0" w:color="auto"/>
        <w:left w:val="none" w:sz="0" w:space="0" w:color="auto"/>
        <w:bottom w:val="none" w:sz="0" w:space="0" w:color="auto"/>
        <w:right w:val="none" w:sz="0" w:space="0" w:color="auto"/>
      </w:divBdr>
    </w:div>
    <w:div w:id="1175346154">
      <w:bodyDiv w:val="1"/>
      <w:marLeft w:val="0"/>
      <w:marRight w:val="0"/>
      <w:marTop w:val="0"/>
      <w:marBottom w:val="0"/>
      <w:divBdr>
        <w:top w:val="none" w:sz="0" w:space="0" w:color="auto"/>
        <w:left w:val="none" w:sz="0" w:space="0" w:color="auto"/>
        <w:bottom w:val="none" w:sz="0" w:space="0" w:color="auto"/>
        <w:right w:val="none" w:sz="0" w:space="0" w:color="auto"/>
      </w:divBdr>
    </w:div>
    <w:div w:id="1182163720">
      <w:bodyDiv w:val="1"/>
      <w:marLeft w:val="0"/>
      <w:marRight w:val="0"/>
      <w:marTop w:val="0"/>
      <w:marBottom w:val="0"/>
      <w:divBdr>
        <w:top w:val="none" w:sz="0" w:space="0" w:color="auto"/>
        <w:left w:val="none" w:sz="0" w:space="0" w:color="auto"/>
        <w:bottom w:val="none" w:sz="0" w:space="0" w:color="auto"/>
        <w:right w:val="none" w:sz="0" w:space="0" w:color="auto"/>
      </w:divBdr>
    </w:div>
    <w:div w:id="1182474760">
      <w:bodyDiv w:val="1"/>
      <w:marLeft w:val="0"/>
      <w:marRight w:val="0"/>
      <w:marTop w:val="0"/>
      <w:marBottom w:val="0"/>
      <w:divBdr>
        <w:top w:val="none" w:sz="0" w:space="0" w:color="auto"/>
        <w:left w:val="none" w:sz="0" w:space="0" w:color="auto"/>
        <w:bottom w:val="none" w:sz="0" w:space="0" w:color="auto"/>
        <w:right w:val="none" w:sz="0" w:space="0" w:color="auto"/>
      </w:divBdr>
    </w:div>
    <w:div w:id="1183012052">
      <w:bodyDiv w:val="1"/>
      <w:marLeft w:val="0"/>
      <w:marRight w:val="0"/>
      <w:marTop w:val="0"/>
      <w:marBottom w:val="0"/>
      <w:divBdr>
        <w:top w:val="none" w:sz="0" w:space="0" w:color="auto"/>
        <w:left w:val="none" w:sz="0" w:space="0" w:color="auto"/>
        <w:bottom w:val="none" w:sz="0" w:space="0" w:color="auto"/>
        <w:right w:val="none" w:sz="0" w:space="0" w:color="auto"/>
      </w:divBdr>
    </w:div>
    <w:div w:id="1184369577">
      <w:bodyDiv w:val="1"/>
      <w:marLeft w:val="0"/>
      <w:marRight w:val="0"/>
      <w:marTop w:val="0"/>
      <w:marBottom w:val="0"/>
      <w:divBdr>
        <w:top w:val="none" w:sz="0" w:space="0" w:color="auto"/>
        <w:left w:val="none" w:sz="0" w:space="0" w:color="auto"/>
        <w:bottom w:val="none" w:sz="0" w:space="0" w:color="auto"/>
        <w:right w:val="none" w:sz="0" w:space="0" w:color="auto"/>
      </w:divBdr>
    </w:div>
    <w:div w:id="1186823194">
      <w:bodyDiv w:val="1"/>
      <w:marLeft w:val="0"/>
      <w:marRight w:val="0"/>
      <w:marTop w:val="0"/>
      <w:marBottom w:val="0"/>
      <w:divBdr>
        <w:top w:val="none" w:sz="0" w:space="0" w:color="auto"/>
        <w:left w:val="none" w:sz="0" w:space="0" w:color="auto"/>
        <w:bottom w:val="none" w:sz="0" w:space="0" w:color="auto"/>
        <w:right w:val="none" w:sz="0" w:space="0" w:color="auto"/>
      </w:divBdr>
    </w:div>
    <w:div w:id="1188375215">
      <w:bodyDiv w:val="1"/>
      <w:marLeft w:val="0"/>
      <w:marRight w:val="0"/>
      <w:marTop w:val="0"/>
      <w:marBottom w:val="0"/>
      <w:divBdr>
        <w:top w:val="none" w:sz="0" w:space="0" w:color="auto"/>
        <w:left w:val="none" w:sz="0" w:space="0" w:color="auto"/>
        <w:bottom w:val="none" w:sz="0" w:space="0" w:color="auto"/>
        <w:right w:val="none" w:sz="0" w:space="0" w:color="auto"/>
      </w:divBdr>
    </w:div>
    <w:div w:id="1189948251">
      <w:bodyDiv w:val="1"/>
      <w:marLeft w:val="0"/>
      <w:marRight w:val="0"/>
      <w:marTop w:val="0"/>
      <w:marBottom w:val="0"/>
      <w:divBdr>
        <w:top w:val="none" w:sz="0" w:space="0" w:color="auto"/>
        <w:left w:val="none" w:sz="0" w:space="0" w:color="auto"/>
        <w:bottom w:val="none" w:sz="0" w:space="0" w:color="auto"/>
        <w:right w:val="none" w:sz="0" w:space="0" w:color="auto"/>
      </w:divBdr>
    </w:div>
    <w:div w:id="1191531241">
      <w:bodyDiv w:val="1"/>
      <w:marLeft w:val="0"/>
      <w:marRight w:val="0"/>
      <w:marTop w:val="0"/>
      <w:marBottom w:val="0"/>
      <w:divBdr>
        <w:top w:val="none" w:sz="0" w:space="0" w:color="auto"/>
        <w:left w:val="none" w:sz="0" w:space="0" w:color="auto"/>
        <w:bottom w:val="none" w:sz="0" w:space="0" w:color="auto"/>
        <w:right w:val="none" w:sz="0" w:space="0" w:color="auto"/>
      </w:divBdr>
    </w:div>
    <w:div w:id="1192571851">
      <w:bodyDiv w:val="1"/>
      <w:marLeft w:val="0"/>
      <w:marRight w:val="0"/>
      <w:marTop w:val="0"/>
      <w:marBottom w:val="0"/>
      <w:divBdr>
        <w:top w:val="none" w:sz="0" w:space="0" w:color="auto"/>
        <w:left w:val="none" w:sz="0" w:space="0" w:color="auto"/>
        <w:bottom w:val="none" w:sz="0" w:space="0" w:color="auto"/>
        <w:right w:val="none" w:sz="0" w:space="0" w:color="auto"/>
      </w:divBdr>
      <w:divsChild>
        <w:div w:id="418252976">
          <w:marLeft w:val="0"/>
          <w:marRight w:val="0"/>
          <w:marTop w:val="0"/>
          <w:marBottom w:val="0"/>
          <w:divBdr>
            <w:top w:val="none" w:sz="0" w:space="0" w:color="auto"/>
            <w:left w:val="none" w:sz="0" w:space="0" w:color="auto"/>
            <w:bottom w:val="none" w:sz="0" w:space="0" w:color="auto"/>
            <w:right w:val="none" w:sz="0" w:space="0" w:color="auto"/>
          </w:divBdr>
        </w:div>
      </w:divsChild>
    </w:div>
    <w:div w:id="1193300954">
      <w:bodyDiv w:val="1"/>
      <w:marLeft w:val="0"/>
      <w:marRight w:val="0"/>
      <w:marTop w:val="0"/>
      <w:marBottom w:val="0"/>
      <w:divBdr>
        <w:top w:val="none" w:sz="0" w:space="0" w:color="auto"/>
        <w:left w:val="none" w:sz="0" w:space="0" w:color="auto"/>
        <w:bottom w:val="none" w:sz="0" w:space="0" w:color="auto"/>
        <w:right w:val="none" w:sz="0" w:space="0" w:color="auto"/>
      </w:divBdr>
    </w:div>
    <w:div w:id="1194150853">
      <w:bodyDiv w:val="1"/>
      <w:marLeft w:val="0"/>
      <w:marRight w:val="0"/>
      <w:marTop w:val="0"/>
      <w:marBottom w:val="0"/>
      <w:divBdr>
        <w:top w:val="none" w:sz="0" w:space="0" w:color="auto"/>
        <w:left w:val="none" w:sz="0" w:space="0" w:color="auto"/>
        <w:bottom w:val="none" w:sz="0" w:space="0" w:color="auto"/>
        <w:right w:val="none" w:sz="0" w:space="0" w:color="auto"/>
      </w:divBdr>
    </w:div>
    <w:div w:id="1194270356">
      <w:bodyDiv w:val="1"/>
      <w:marLeft w:val="0"/>
      <w:marRight w:val="0"/>
      <w:marTop w:val="0"/>
      <w:marBottom w:val="0"/>
      <w:divBdr>
        <w:top w:val="none" w:sz="0" w:space="0" w:color="auto"/>
        <w:left w:val="none" w:sz="0" w:space="0" w:color="auto"/>
        <w:bottom w:val="none" w:sz="0" w:space="0" w:color="auto"/>
        <w:right w:val="none" w:sz="0" w:space="0" w:color="auto"/>
      </w:divBdr>
    </w:div>
    <w:div w:id="1194348225">
      <w:bodyDiv w:val="1"/>
      <w:marLeft w:val="0"/>
      <w:marRight w:val="0"/>
      <w:marTop w:val="0"/>
      <w:marBottom w:val="0"/>
      <w:divBdr>
        <w:top w:val="none" w:sz="0" w:space="0" w:color="auto"/>
        <w:left w:val="none" w:sz="0" w:space="0" w:color="auto"/>
        <w:bottom w:val="none" w:sz="0" w:space="0" w:color="auto"/>
        <w:right w:val="none" w:sz="0" w:space="0" w:color="auto"/>
      </w:divBdr>
    </w:div>
    <w:div w:id="1194533073">
      <w:bodyDiv w:val="1"/>
      <w:marLeft w:val="0"/>
      <w:marRight w:val="0"/>
      <w:marTop w:val="0"/>
      <w:marBottom w:val="0"/>
      <w:divBdr>
        <w:top w:val="none" w:sz="0" w:space="0" w:color="auto"/>
        <w:left w:val="none" w:sz="0" w:space="0" w:color="auto"/>
        <w:bottom w:val="none" w:sz="0" w:space="0" w:color="auto"/>
        <w:right w:val="none" w:sz="0" w:space="0" w:color="auto"/>
      </w:divBdr>
    </w:div>
    <w:div w:id="1199197586">
      <w:bodyDiv w:val="1"/>
      <w:marLeft w:val="0"/>
      <w:marRight w:val="0"/>
      <w:marTop w:val="0"/>
      <w:marBottom w:val="0"/>
      <w:divBdr>
        <w:top w:val="none" w:sz="0" w:space="0" w:color="auto"/>
        <w:left w:val="none" w:sz="0" w:space="0" w:color="auto"/>
        <w:bottom w:val="none" w:sz="0" w:space="0" w:color="auto"/>
        <w:right w:val="none" w:sz="0" w:space="0" w:color="auto"/>
      </w:divBdr>
    </w:div>
    <w:div w:id="1204563013">
      <w:bodyDiv w:val="1"/>
      <w:marLeft w:val="0"/>
      <w:marRight w:val="0"/>
      <w:marTop w:val="0"/>
      <w:marBottom w:val="0"/>
      <w:divBdr>
        <w:top w:val="none" w:sz="0" w:space="0" w:color="auto"/>
        <w:left w:val="none" w:sz="0" w:space="0" w:color="auto"/>
        <w:bottom w:val="none" w:sz="0" w:space="0" w:color="auto"/>
        <w:right w:val="none" w:sz="0" w:space="0" w:color="auto"/>
      </w:divBdr>
    </w:div>
    <w:div w:id="1212301692">
      <w:bodyDiv w:val="1"/>
      <w:marLeft w:val="0"/>
      <w:marRight w:val="0"/>
      <w:marTop w:val="0"/>
      <w:marBottom w:val="0"/>
      <w:divBdr>
        <w:top w:val="none" w:sz="0" w:space="0" w:color="auto"/>
        <w:left w:val="none" w:sz="0" w:space="0" w:color="auto"/>
        <w:bottom w:val="none" w:sz="0" w:space="0" w:color="auto"/>
        <w:right w:val="none" w:sz="0" w:space="0" w:color="auto"/>
      </w:divBdr>
    </w:div>
    <w:div w:id="1214347845">
      <w:bodyDiv w:val="1"/>
      <w:marLeft w:val="0"/>
      <w:marRight w:val="0"/>
      <w:marTop w:val="0"/>
      <w:marBottom w:val="0"/>
      <w:divBdr>
        <w:top w:val="none" w:sz="0" w:space="0" w:color="auto"/>
        <w:left w:val="none" w:sz="0" w:space="0" w:color="auto"/>
        <w:bottom w:val="none" w:sz="0" w:space="0" w:color="auto"/>
        <w:right w:val="none" w:sz="0" w:space="0" w:color="auto"/>
      </w:divBdr>
    </w:div>
    <w:div w:id="1217548027">
      <w:bodyDiv w:val="1"/>
      <w:marLeft w:val="0"/>
      <w:marRight w:val="0"/>
      <w:marTop w:val="0"/>
      <w:marBottom w:val="0"/>
      <w:divBdr>
        <w:top w:val="none" w:sz="0" w:space="0" w:color="auto"/>
        <w:left w:val="none" w:sz="0" w:space="0" w:color="auto"/>
        <w:bottom w:val="none" w:sz="0" w:space="0" w:color="auto"/>
        <w:right w:val="none" w:sz="0" w:space="0" w:color="auto"/>
      </w:divBdr>
    </w:div>
    <w:div w:id="1217744024">
      <w:bodyDiv w:val="1"/>
      <w:marLeft w:val="0"/>
      <w:marRight w:val="0"/>
      <w:marTop w:val="0"/>
      <w:marBottom w:val="0"/>
      <w:divBdr>
        <w:top w:val="none" w:sz="0" w:space="0" w:color="auto"/>
        <w:left w:val="none" w:sz="0" w:space="0" w:color="auto"/>
        <w:bottom w:val="none" w:sz="0" w:space="0" w:color="auto"/>
        <w:right w:val="none" w:sz="0" w:space="0" w:color="auto"/>
      </w:divBdr>
    </w:div>
    <w:div w:id="1218005625">
      <w:bodyDiv w:val="1"/>
      <w:marLeft w:val="0"/>
      <w:marRight w:val="0"/>
      <w:marTop w:val="0"/>
      <w:marBottom w:val="0"/>
      <w:divBdr>
        <w:top w:val="none" w:sz="0" w:space="0" w:color="auto"/>
        <w:left w:val="none" w:sz="0" w:space="0" w:color="auto"/>
        <w:bottom w:val="none" w:sz="0" w:space="0" w:color="auto"/>
        <w:right w:val="none" w:sz="0" w:space="0" w:color="auto"/>
      </w:divBdr>
    </w:div>
    <w:div w:id="1218468714">
      <w:bodyDiv w:val="1"/>
      <w:marLeft w:val="0"/>
      <w:marRight w:val="0"/>
      <w:marTop w:val="0"/>
      <w:marBottom w:val="0"/>
      <w:divBdr>
        <w:top w:val="none" w:sz="0" w:space="0" w:color="auto"/>
        <w:left w:val="none" w:sz="0" w:space="0" w:color="auto"/>
        <w:bottom w:val="none" w:sz="0" w:space="0" w:color="auto"/>
        <w:right w:val="none" w:sz="0" w:space="0" w:color="auto"/>
      </w:divBdr>
    </w:div>
    <w:div w:id="1220287147">
      <w:bodyDiv w:val="1"/>
      <w:marLeft w:val="0"/>
      <w:marRight w:val="0"/>
      <w:marTop w:val="0"/>
      <w:marBottom w:val="0"/>
      <w:divBdr>
        <w:top w:val="none" w:sz="0" w:space="0" w:color="auto"/>
        <w:left w:val="none" w:sz="0" w:space="0" w:color="auto"/>
        <w:bottom w:val="none" w:sz="0" w:space="0" w:color="auto"/>
        <w:right w:val="none" w:sz="0" w:space="0" w:color="auto"/>
      </w:divBdr>
    </w:div>
    <w:div w:id="1220635160">
      <w:bodyDiv w:val="1"/>
      <w:marLeft w:val="0"/>
      <w:marRight w:val="0"/>
      <w:marTop w:val="0"/>
      <w:marBottom w:val="0"/>
      <w:divBdr>
        <w:top w:val="none" w:sz="0" w:space="0" w:color="auto"/>
        <w:left w:val="none" w:sz="0" w:space="0" w:color="auto"/>
        <w:bottom w:val="none" w:sz="0" w:space="0" w:color="auto"/>
        <w:right w:val="none" w:sz="0" w:space="0" w:color="auto"/>
      </w:divBdr>
    </w:div>
    <w:div w:id="1222444340">
      <w:bodyDiv w:val="1"/>
      <w:marLeft w:val="0"/>
      <w:marRight w:val="0"/>
      <w:marTop w:val="0"/>
      <w:marBottom w:val="0"/>
      <w:divBdr>
        <w:top w:val="none" w:sz="0" w:space="0" w:color="auto"/>
        <w:left w:val="none" w:sz="0" w:space="0" w:color="auto"/>
        <w:bottom w:val="none" w:sz="0" w:space="0" w:color="auto"/>
        <w:right w:val="none" w:sz="0" w:space="0" w:color="auto"/>
      </w:divBdr>
    </w:div>
    <w:div w:id="1226145263">
      <w:bodyDiv w:val="1"/>
      <w:marLeft w:val="0"/>
      <w:marRight w:val="0"/>
      <w:marTop w:val="0"/>
      <w:marBottom w:val="0"/>
      <w:divBdr>
        <w:top w:val="none" w:sz="0" w:space="0" w:color="auto"/>
        <w:left w:val="none" w:sz="0" w:space="0" w:color="auto"/>
        <w:bottom w:val="none" w:sz="0" w:space="0" w:color="auto"/>
        <w:right w:val="none" w:sz="0" w:space="0" w:color="auto"/>
      </w:divBdr>
    </w:div>
    <w:div w:id="1227833732">
      <w:bodyDiv w:val="1"/>
      <w:marLeft w:val="0"/>
      <w:marRight w:val="0"/>
      <w:marTop w:val="0"/>
      <w:marBottom w:val="0"/>
      <w:divBdr>
        <w:top w:val="none" w:sz="0" w:space="0" w:color="auto"/>
        <w:left w:val="none" w:sz="0" w:space="0" w:color="auto"/>
        <w:bottom w:val="none" w:sz="0" w:space="0" w:color="auto"/>
        <w:right w:val="none" w:sz="0" w:space="0" w:color="auto"/>
      </w:divBdr>
    </w:div>
    <w:div w:id="1228958570">
      <w:bodyDiv w:val="1"/>
      <w:marLeft w:val="0"/>
      <w:marRight w:val="0"/>
      <w:marTop w:val="0"/>
      <w:marBottom w:val="0"/>
      <w:divBdr>
        <w:top w:val="none" w:sz="0" w:space="0" w:color="auto"/>
        <w:left w:val="none" w:sz="0" w:space="0" w:color="auto"/>
        <w:bottom w:val="none" w:sz="0" w:space="0" w:color="auto"/>
        <w:right w:val="none" w:sz="0" w:space="0" w:color="auto"/>
      </w:divBdr>
    </w:div>
    <w:div w:id="1234895574">
      <w:bodyDiv w:val="1"/>
      <w:marLeft w:val="0"/>
      <w:marRight w:val="0"/>
      <w:marTop w:val="0"/>
      <w:marBottom w:val="0"/>
      <w:divBdr>
        <w:top w:val="none" w:sz="0" w:space="0" w:color="auto"/>
        <w:left w:val="none" w:sz="0" w:space="0" w:color="auto"/>
        <w:bottom w:val="none" w:sz="0" w:space="0" w:color="auto"/>
        <w:right w:val="none" w:sz="0" w:space="0" w:color="auto"/>
      </w:divBdr>
    </w:div>
    <w:div w:id="1235892408">
      <w:bodyDiv w:val="1"/>
      <w:marLeft w:val="0"/>
      <w:marRight w:val="0"/>
      <w:marTop w:val="0"/>
      <w:marBottom w:val="0"/>
      <w:divBdr>
        <w:top w:val="none" w:sz="0" w:space="0" w:color="auto"/>
        <w:left w:val="none" w:sz="0" w:space="0" w:color="auto"/>
        <w:bottom w:val="none" w:sz="0" w:space="0" w:color="auto"/>
        <w:right w:val="none" w:sz="0" w:space="0" w:color="auto"/>
      </w:divBdr>
    </w:div>
    <w:div w:id="1240020420">
      <w:bodyDiv w:val="1"/>
      <w:marLeft w:val="0"/>
      <w:marRight w:val="0"/>
      <w:marTop w:val="0"/>
      <w:marBottom w:val="0"/>
      <w:divBdr>
        <w:top w:val="none" w:sz="0" w:space="0" w:color="auto"/>
        <w:left w:val="none" w:sz="0" w:space="0" w:color="auto"/>
        <w:bottom w:val="none" w:sz="0" w:space="0" w:color="auto"/>
        <w:right w:val="none" w:sz="0" w:space="0" w:color="auto"/>
      </w:divBdr>
    </w:div>
    <w:div w:id="1243878386">
      <w:bodyDiv w:val="1"/>
      <w:marLeft w:val="0"/>
      <w:marRight w:val="0"/>
      <w:marTop w:val="0"/>
      <w:marBottom w:val="0"/>
      <w:divBdr>
        <w:top w:val="none" w:sz="0" w:space="0" w:color="auto"/>
        <w:left w:val="none" w:sz="0" w:space="0" w:color="auto"/>
        <w:bottom w:val="none" w:sz="0" w:space="0" w:color="auto"/>
        <w:right w:val="none" w:sz="0" w:space="0" w:color="auto"/>
      </w:divBdr>
    </w:div>
    <w:div w:id="1246691337">
      <w:bodyDiv w:val="1"/>
      <w:marLeft w:val="0"/>
      <w:marRight w:val="0"/>
      <w:marTop w:val="0"/>
      <w:marBottom w:val="0"/>
      <w:divBdr>
        <w:top w:val="none" w:sz="0" w:space="0" w:color="auto"/>
        <w:left w:val="none" w:sz="0" w:space="0" w:color="auto"/>
        <w:bottom w:val="none" w:sz="0" w:space="0" w:color="auto"/>
        <w:right w:val="none" w:sz="0" w:space="0" w:color="auto"/>
      </w:divBdr>
    </w:div>
    <w:div w:id="1248467098">
      <w:bodyDiv w:val="1"/>
      <w:marLeft w:val="0"/>
      <w:marRight w:val="0"/>
      <w:marTop w:val="0"/>
      <w:marBottom w:val="0"/>
      <w:divBdr>
        <w:top w:val="none" w:sz="0" w:space="0" w:color="auto"/>
        <w:left w:val="none" w:sz="0" w:space="0" w:color="auto"/>
        <w:bottom w:val="none" w:sz="0" w:space="0" w:color="auto"/>
        <w:right w:val="none" w:sz="0" w:space="0" w:color="auto"/>
      </w:divBdr>
    </w:div>
    <w:div w:id="1252471348">
      <w:bodyDiv w:val="1"/>
      <w:marLeft w:val="0"/>
      <w:marRight w:val="0"/>
      <w:marTop w:val="0"/>
      <w:marBottom w:val="0"/>
      <w:divBdr>
        <w:top w:val="none" w:sz="0" w:space="0" w:color="auto"/>
        <w:left w:val="none" w:sz="0" w:space="0" w:color="auto"/>
        <w:bottom w:val="none" w:sz="0" w:space="0" w:color="auto"/>
        <w:right w:val="none" w:sz="0" w:space="0" w:color="auto"/>
      </w:divBdr>
    </w:div>
    <w:div w:id="1257711609">
      <w:bodyDiv w:val="1"/>
      <w:marLeft w:val="0"/>
      <w:marRight w:val="0"/>
      <w:marTop w:val="0"/>
      <w:marBottom w:val="0"/>
      <w:divBdr>
        <w:top w:val="none" w:sz="0" w:space="0" w:color="auto"/>
        <w:left w:val="none" w:sz="0" w:space="0" w:color="auto"/>
        <w:bottom w:val="none" w:sz="0" w:space="0" w:color="auto"/>
        <w:right w:val="none" w:sz="0" w:space="0" w:color="auto"/>
      </w:divBdr>
    </w:div>
    <w:div w:id="1259947874">
      <w:bodyDiv w:val="1"/>
      <w:marLeft w:val="0"/>
      <w:marRight w:val="0"/>
      <w:marTop w:val="0"/>
      <w:marBottom w:val="0"/>
      <w:divBdr>
        <w:top w:val="none" w:sz="0" w:space="0" w:color="auto"/>
        <w:left w:val="none" w:sz="0" w:space="0" w:color="auto"/>
        <w:bottom w:val="none" w:sz="0" w:space="0" w:color="auto"/>
        <w:right w:val="none" w:sz="0" w:space="0" w:color="auto"/>
      </w:divBdr>
    </w:div>
    <w:div w:id="1260262235">
      <w:bodyDiv w:val="1"/>
      <w:marLeft w:val="0"/>
      <w:marRight w:val="0"/>
      <w:marTop w:val="0"/>
      <w:marBottom w:val="0"/>
      <w:divBdr>
        <w:top w:val="none" w:sz="0" w:space="0" w:color="auto"/>
        <w:left w:val="none" w:sz="0" w:space="0" w:color="auto"/>
        <w:bottom w:val="none" w:sz="0" w:space="0" w:color="auto"/>
        <w:right w:val="none" w:sz="0" w:space="0" w:color="auto"/>
      </w:divBdr>
    </w:div>
    <w:div w:id="1261912074">
      <w:bodyDiv w:val="1"/>
      <w:marLeft w:val="0"/>
      <w:marRight w:val="0"/>
      <w:marTop w:val="0"/>
      <w:marBottom w:val="0"/>
      <w:divBdr>
        <w:top w:val="none" w:sz="0" w:space="0" w:color="auto"/>
        <w:left w:val="none" w:sz="0" w:space="0" w:color="auto"/>
        <w:bottom w:val="none" w:sz="0" w:space="0" w:color="auto"/>
        <w:right w:val="none" w:sz="0" w:space="0" w:color="auto"/>
      </w:divBdr>
    </w:div>
    <w:div w:id="1263028404">
      <w:bodyDiv w:val="1"/>
      <w:marLeft w:val="0"/>
      <w:marRight w:val="0"/>
      <w:marTop w:val="0"/>
      <w:marBottom w:val="0"/>
      <w:divBdr>
        <w:top w:val="none" w:sz="0" w:space="0" w:color="auto"/>
        <w:left w:val="none" w:sz="0" w:space="0" w:color="auto"/>
        <w:bottom w:val="none" w:sz="0" w:space="0" w:color="auto"/>
        <w:right w:val="none" w:sz="0" w:space="0" w:color="auto"/>
      </w:divBdr>
    </w:div>
    <w:div w:id="1265571181">
      <w:bodyDiv w:val="1"/>
      <w:marLeft w:val="0"/>
      <w:marRight w:val="0"/>
      <w:marTop w:val="0"/>
      <w:marBottom w:val="0"/>
      <w:divBdr>
        <w:top w:val="none" w:sz="0" w:space="0" w:color="auto"/>
        <w:left w:val="none" w:sz="0" w:space="0" w:color="auto"/>
        <w:bottom w:val="none" w:sz="0" w:space="0" w:color="auto"/>
        <w:right w:val="none" w:sz="0" w:space="0" w:color="auto"/>
      </w:divBdr>
    </w:div>
    <w:div w:id="1275283786">
      <w:bodyDiv w:val="1"/>
      <w:marLeft w:val="0"/>
      <w:marRight w:val="0"/>
      <w:marTop w:val="0"/>
      <w:marBottom w:val="0"/>
      <w:divBdr>
        <w:top w:val="none" w:sz="0" w:space="0" w:color="auto"/>
        <w:left w:val="none" w:sz="0" w:space="0" w:color="auto"/>
        <w:bottom w:val="none" w:sz="0" w:space="0" w:color="auto"/>
        <w:right w:val="none" w:sz="0" w:space="0" w:color="auto"/>
      </w:divBdr>
    </w:div>
    <w:div w:id="1276519255">
      <w:bodyDiv w:val="1"/>
      <w:marLeft w:val="0"/>
      <w:marRight w:val="0"/>
      <w:marTop w:val="0"/>
      <w:marBottom w:val="0"/>
      <w:divBdr>
        <w:top w:val="none" w:sz="0" w:space="0" w:color="auto"/>
        <w:left w:val="none" w:sz="0" w:space="0" w:color="auto"/>
        <w:bottom w:val="none" w:sz="0" w:space="0" w:color="auto"/>
        <w:right w:val="none" w:sz="0" w:space="0" w:color="auto"/>
      </w:divBdr>
    </w:div>
    <w:div w:id="1278296562">
      <w:bodyDiv w:val="1"/>
      <w:marLeft w:val="0"/>
      <w:marRight w:val="0"/>
      <w:marTop w:val="0"/>
      <w:marBottom w:val="0"/>
      <w:divBdr>
        <w:top w:val="none" w:sz="0" w:space="0" w:color="auto"/>
        <w:left w:val="none" w:sz="0" w:space="0" w:color="auto"/>
        <w:bottom w:val="none" w:sz="0" w:space="0" w:color="auto"/>
        <w:right w:val="none" w:sz="0" w:space="0" w:color="auto"/>
      </w:divBdr>
    </w:div>
    <w:div w:id="1278487167">
      <w:bodyDiv w:val="1"/>
      <w:marLeft w:val="0"/>
      <w:marRight w:val="0"/>
      <w:marTop w:val="0"/>
      <w:marBottom w:val="0"/>
      <w:divBdr>
        <w:top w:val="none" w:sz="0" w:space="0" w:color="auto"/>
        <w:left w:val="none" w:sz="0" w:space="0" w:color="auto"/>
        <w:bottom w:val="none" w:sz="0" w:space="0" w:color="auto"/>
        <w:right w:val="none" w:sz="0" w:space="0" w:color="auto"/>
      </w:divBdr>
    </w:div>
    <w:div w:id="1278636390">
      <w:bodyDiv w:val="1"/>
      <w:marLeft w:val="0"/>
      <w:marRight w:val="0"/>
      <w:marTop w:val="0"/>
      <w:marBottom w:val="0"/>
      <w:divBdr>
        <w:top w:val="none" w:sz="0" w:space="0" w:color="auto"/>
        <w:left w:val="none" w:sz="0" w:space="0" w:color="auto"/>
        <w:bottom w:val="none" w:sz="0" w:space="0" w:color="auto"/>
        <w:right w:val="none" w:sz="0" w:space="0" w:color="auto"/>
      </w:divBdr>
    </w:div>
    <w:div w:id="1280574942">
      <w:bodyDiv w:val="1"/>
      <w:marLeft w:val="0"/>
      <w:marRight w:val="0"/>
      <w:marTop w:val="0"/>
      <w:marBottom w:val="0"/>
      <w:divBdr>
        <w:top w:val="none" w:sz="0" w:space="0" w:color="auto"/>
        <w:left w:val="none" w:sz="0" w:space="0" w:color="auto"/>
        <w:bottom w:val="none" w:sz="0" w:space="0" w:color="auto"/>
        <w:right w:val="none" w:sz="0" w:space="0" w:color="auto"/>
      </w:divBdr>
    </w:div>
    <w:div w:id="1282305037">
      <w:bodyDiv w:val="1"/>
      <w:marLeft w:val="0"/>
      <w:marRight w:val="0"/>
      <w:marTop w:val="0"/>
      <w:marBottom w:val="0"/>
      <w:divBdr>
        <w:top w:val="none" w:sz="0" w:space="0" w:color="auto"/>
        <w:left w:val="none" w:sz="0" w:space="0" w:color="auto"/>
        <w:bottom w:val="none" w:sz="0" w:space="0" w:color="auto"/>
        <w:right w:val="none" w:sz="0" w:space="0" w:color="auto"/>
      </w:divBdr>
    </w:div>
    <w:div w:id="1283147388">
      <w:bodyDiv w:val="1"/>
      <w:marLeft w:val="0"/>
      <w:marRight w:val="0"/>
      <w:marTop w:val="0"/>
      <w:marBottom w:val="0"/>
      <w:divBdr>
        <w:top w:val="none" w:sz="0" w:space="0" w:color="auto"/>
        <w:left w:val="none" w:sz="0" w:space="0" w:color="auto"/>
        <w:bottom w:val="none" w:sz="0" w:space="0" w:color="auto"/>
        <w:right w:val="none" w:sz="0" w:space="0" w:color="auto"/>
      </w:divBdr>
    </w:div>
    <w:div w:id="1283267117">
      <w:bodyDiv w:val="1"/>
      <w:marLeft w:val="0"/>
      <w:marRight w:val="0"/>
      <w:marTop w:val="0"/>
      <w:marBottom w:val="0"/>
      <w:divBdr>
        <w:top w:val="none" w:sz="0" w:space="0" w:color="auto"/>
        <w:left w:val="none" w:sz="0" w:space="0" w:color="auto"/>
        <w:bottom w:val="none" w:sz="0" w:space="0" w:color="auto"/>
        <w:right w:val="none" w:sz="0" w:space="0" w:color="auto"/>
      </w:divBdr>
    </w:div>
    <w:div w:id="1284463824">
      <w:bodyDiv w:val="1"/>
      <w:marLeft w:val="0"/>
      <w:marRight w:val="0"/>
      <w:marTop w:val="0"/>
      <w:marBottom w:val="0"/>
      <w:divBdr>
        <w:top w:val="none" w:sz="0" w:space="0" w:color="auto"/>
        <w:left w:val="none" w:sz="0" w:space="0" w:color="auto"/>
        <w:bottom w:val="none" w:sz="0" w:space="0" w:color="auto"/>
        <w:right w:val="none" w:sz="0" w:space="0" w:color="auto"/>
      </w:divBdr>
    </w:div>
    <w:div w:id="1289509090">
      <w:bodyDiv w:val="1"/>
      <w:marLeft w:val="0"/>
      <w:marRight w:val="0"/>
      <w:marTop w:val="0"/>
      <w:marBottom w:val="0"/>
      <w:divBdr>
        <w:top w:val="none" w:sz="0" w:space="0" w:color="auto"/>
        <w:left w:val="none" w:sz="0" w:space="0" w:color="auto"/>
        <w:bottom w:val="none" w:sz="0" w:space="0" w:color="auto"/>
        <w:right w:val="none" w:sz="0" w:space="0" w:color="auto"/>
      </w:divBdr>
    </w:div>
    <w:div w:id="1291396815">
      <w:bodyDiv w:val="1"/>
      <w:marLeft w:val="0"/>
      <w:marRight w:val="0"/>
      <w:marTop w:val="0"/>
      <w:marBottom w:val="0"/>
      <w:divBdr>
        <w:top w:val="none" w:sz="0" w:space="0" w:color="auto"/>
        <w:left w:val="none" w:sz="0" w:space="0" w:color="auto"/>
        <w:bottom w:val="none" w:sz="0" w:space="0" w:color="auto"/>
        <w:right w:val="none" w:sz="0" w:space="0" w:color="auto"/>
      </w:divBdr>
    </w:div>
    <w:div w:id="1292908066">
      <w:bodyDiv w:val="1"/>
      <w:marLeft w:val="0"/>
      <w:marRight w:val="0"/>
      <w:marTop w:val="0"/>
      <w:marBottom w:val="0"/>
      <w:divBdr>
        <w:top w:val="none" w:sz="0" w:space="0" w:color="auto"/>
        <w:left w:val="none" w:sz="0" w:space="0" w:color="auto"/>
        <w:bottom w:val="none" w:sz="0" w:space="0" w:color="auto"/>
        <w:right w:val="none" w:sz="0" w:space="0" w:color="auto"/>
      </w:divBdr>
    </w:div>
    <w:div w:id="1293173490">
      <w:bodyDiv w:val="1"/>
      <w:marLeft w:val="0"/>
      <w:marRight w:val="0"/>
      <w:marTop w:val="0"/>
      <w:marBottom w:val="0"/>
      <w:divBdr>
        <w:top w:val="none" w:sz="0" w:space="0" w:color="auto"/>
        <w:left w:val="none" w:sz="0" w:space="0" w:color="auto"/>
        <w:bottom w:val="none" w:sz="0" w:space="0" w:color="auto"/>
        <w:right w:val="none" w:sz="0" w:space="0" w:color="auto"/>
      </w:divBdr>
    </w:div>
    <w:div w:id="1293562968">
      <w:bodyDiv w:val="1"/>
      <w:marLeft w:val="0"/>
      <w:marRight w:val="0"/>
      <w:marTop w:val="0"/>
      <w:marBottom w:val="0"/>
      <w:divBdr>
        <w:top w:val="none" w:sz="0" w:space="0" w:color="auto"/>
        <w:left w:val="none" w:sz="0" w:space="0" w:color="auto"/>
        <w:bottom w:val="none" w:sz="0" w:space="0" w:color="auto"/>
        <w:right w:val="none" w:sz="0" w:space="0" w:color="auto"/>
      </w:divBdr>
    </w:div>
    <w:div w:id="1295408154">
      <w:bodyDiv w:val="1"/>
      <w:marLeft w:val="0"/>
      <w:marRight w:val="0"/>
      <w:marTop w:val="0"/>
      <w:marBottom w:val="0"/>
      <w:divBdr>
        <w:top w:val="none" w:sz="0" w:space="0" w:color="auto"/>
        <w:left w:val="none" w:sz="0" w:space="0" w:color="auto"/>
        <w:bottom w:val="none" w:sz="0" w:space="0" w:color="auto"/>
        <w:right w:val="none" w:sz="0" w:space="0" w:color="auto"/>
      </w:divBdr>
    </w:div>
    <w:div w:id="1298685249">
      <w:bodyDiv w:val="1"/>
      <w:marLeft w:val="0"/>
      <w:marRight w:val="0"/>
      <w:marTop w:val="0"/>
      <w:marBottom w:val="0"/>
      <w:divBdr>
        <w:top w:val="none" w:sz="0" w:space="0" w:color="auto"/>
        <w:left w:val="none" w:sz="0" w:space="0" w:color="auto"/>
        <w:bottom w:val="none" w:sz="0" w:space="0" w:color="auto"/>
        <w:right w:val="none" w:sz="0" w:space="0" w:color="auto"/>
      </w:divBdr>
    </w:div>
    <w:div w:id="1299187523">
      <w:bodyDiv w:val="1"/>
      <w:marLeft w:val="0"/>
      <w:marRight w:val="0"/>
      <w:marTop w:val="0"/>
      <w:marBottom w:val="0"/>
      <w:divBdr>
        <w:top w:val="none" w:sz="0" w:space="0" w:color="auto"/>
        <w:left w:val="none" w:sz="0" w:space="0" w:color="auto"/>
        <w:bottom w:val="none" w:sz="0" w:space="0" w:color="auto"/>
        <w:right w:val="none" w:sz="0" w:space="0" w:color="auto"/>
      </w:divBdr>
    </w:div>
    <w:div w:id="1301301470">
      <w:bodyDiv w:val="1"/>
      <w:marLeft w:val="0"/>
      <w:marRight w:val="0"/>
      <w:marTop w:val="0"/>
      <w:marBottom w:val="0"/>
      <w:divBdr>
        <w:top w:val="none" w:sz="0" w:space="0" w:color="auto"/>
        <w:left w:val="none" w:sz="0" w:space="0" w:color="auto"/>
        <w:bottom w:val="none" w:sz="0" w:space="0" w:color="auto"/>
        <w:right w:val="none" w:sz="0" w:space="0" w:color="auto"/>
      </w:divBdr>
    </w:div>
    <w:div w:id="1302348120">
      <w:bodyDiv w:val="1"/>
      <w:marLeft w:val="0"/>
      <w:marRight w:val="0"/>
      <w:marTop w:val="0"/>
      <w:marBottom w:val="0"/>
      <w:divBdr>
        <w:top w:val="none" w:sz="0" w:space="0" w:color="auto"/>
        <w:left w:val="none" w:sz="0" w:space="0" w:color="auto"/>
        <w:bottom w:val="none" w:sz="0" w:space="0" w:color="auto"/>
        <w:right w:val="none" w:sz="0" w:space="0" w:color="auto"/>
      </w:divBdr>
    </w:div>
    <w:div w:id="1304890219">
      <w:bodyDiv w:val="1"/>
      <w:marLeft w:val="0"/>
      <w:marRight w:val="0"/>
      <w:marTop w:val="0"/>
      <w:marBottom w:val="0"/>
      <w:divBdr>
        <w:top w:val="none" w:sz="0" w:space="0" w:color="auto"/>
        <w:left w:val="none" w:sz="0" w:space="0" w:color="auto"/>
        <w:bottom w:val="none" w:sz="0" w:space="0" w:color="auto"/>
        <w:right w:val="none" w:sz="0" w:space="0" w:color="auto"/>
      </w:divBdr>
    </w:div>
    <w:div w:id="1308630886">
      <w:bodyDiv w:val="1"/>
      <w:marLeft w:val="0"/>
      <w:marRight w:val="0"/>
      <w:marTop w:val="0"/>
      <w:marBottom w:val="0"/>
      <w:divBdr>
        <w:top w:val="none" w:sz="0" w:space="0" w:color="auto"/>
        <w:left w:val="none" w:sz="0" w:space="0" w:color="auto"/>
        <w:bottom w:val="none" w:sz="0" w:space="0" w:color="auto"/>
        <w:right w:val="none" w:sz="0" w:space="0" w:color="auto"/>
      </w:divBdr>
    </w:div>
    <w:div w:id="1310208076">
      <w:bodyDiv w:val="1"/>
      <w:marLeft w:val="0"/>
      <w:marRight w:val="0"/>
      <w:marTop w:val="0"/>
      <w:marBottom w:val="0"/>
      <w:divBdr>
        <w:top w:val="none" w:sz="0" w:space="0" w:color="auto"/>
        <w:left w:val="none" w:sz="0" w:space="0" w:color="auto"/>
        <w:bottom w:val="none" w:sz="0" w:space="0" w:color="auto"/>
        <w:right w:val="none" w:sz="0" w:space="0" w:color="auto"/>
      </w:divBdr>
    </w:div>
    <w:div w:id="1311204433">
      <w:bodyDiv w:val="1"/>
      <w:marLeft w:val="0"/>
      <w:marRight w:val="0"/>
      <w:marTop w:val="0"/>
      <w:marBottom w:val="0"/>
      <w:divBdr>
        <w:top w:val="none" w:sz="0" w:space="0" w:color="auto"/>
        <w:left w:val="none" w:sz="0" w:space="0" w:color="auto"/>
        <w:bottom w:val="none" w:sz="0" w:space="0" w:color="auto"/>
        <w:right w:val="none" w:sz="0" w:space="0" w:color="auto"/>
      </w:divBdr>
    </w:div>
    <w:div w:id="1312708501">
      <w:bodyDiv w:val="1"/>
      <w:marLeft w:val="0"/>
      <w:marRight w:val="0"/>
      <w:marTop w:val="0"/>
      <w:marBottom w:val="0"/>
      <w:divBdr>
        <w:top w:val="none" w:sz="0" w:space="0" w:color="auto"/>
        <w:left w:val="none" w:sz="0" w:space="0" w:color="auto"/>
        <w:bottom w:val="none" w:sz="0" w:space="0" w:color="auto"/>
        <w:right w:val="none" w:sz="0" w:space="0" w:color="auto"/>
      </w:divBdr>
    </w:div>
    <w:div w:id="1315648119">
      <w:bodyDiv w:val="1"/>
      <w:marLeft w:val="0"/>
      <w:marRight w:val="0"/>
      <w:marTop w:val="0"/>
      <w:marBottom w:val="0"/>
      <w:divBdr>
        <w:top w:val="none" w:sz="0" w:space="0" w:color="auto"/>
        <w:left w:val="none" w:sz="0" w:space="0" w:color="auto"/>
        <w:bottom w:val="none" w:sz="0" w:space="0" w:color="auto"/>
        <w:right w:val="none" w:sz="0" w:space="0" w:color="auto"/>
      </w:divBdr>
    </w:div>
    <w:div w:id="1315836325">
      <w:bodyDiv w:val="1"/>
      <w:marLeft w:val="0"/>
      <w:marRight w:val="0"/>
      <w:marTop w:val="0"/>
      <w:marBottom w:val="0"/>
      <w:divBdr>
        <w:top w:val="none" w:sz="0" w:space="0" w:color="auto"/>
        <w:left w:val="none" w:sz="0" w:space="0" w:color="auto"/>
        <w:bottom w:val="none" w:sz="0" w:space="0" w:color="auto"/>
        <w:right w:val="none" w:sz="0" w:space="0" w:color="auto"/>
      </w:divBdr>
    </w:div>
    <w:div w:id="1318805814">
      <w:bodyDiv w:val="1"/>
      <w:marLeft w:val="0"/>
      <w:marRight w:val="0"/>
      <w:marTop w:val="0"/>
      <w:marBottom w:val="0"/>
      <w:divBdr>
        <w:top w:val="none" w:sz="0" w:space="0" w:color="auto"/>
        <w:left w:val="none" w:sz="0" w:space="0" w:color="auto"/>
        <w:bottom w:val="none" w:sz="0" w:space="0" w:color="auto"/>
        <w:right w:val="none" w:sz="0" w:space="0" w:color="auto"/>
      </w:divBdr>
    </w:div>
    <w:div w:id="1321542377">
      <w:bodyDiv w:val="1"/>
      <w:marLeft w:val="0"/>
      <w:marRight w:val="0"/>
      <w:marTop w:val="0"/>
      <w:marBottom w:val="0"/>
      <w:divBdr>
        <w:top w:val="none" w:sz="0" w:space="0" w:color="auto"/>
        <w:left w:val="none" w:sz="0" w:space="0" w:color="auto"/>
        <w:bottom w:val="none" w:sz="0" w:space="0" w:color="auto"/>
        <w:right w:val="none" w:sz="0" w:space="0" w:color="auto"/>
      </w:divBdr>
    </w:div>
    <w:div w:id="1321805828">
      <w:bodyDiv w:val="1"/>
      <w:marLeft w:val="0"/>
      <w:marRight w:val="0"/>
      <w:marTop w:val="0"/>
      <w:marBottom w:val="0"/>
      <w:divBdr>
        <w:top w:val="none" w:sz="0" w:space="0" w:color="auto"/>
        <w:left w:val="none" w:sz="0" w:space="0" w:color="auto"/>
        <w:bottom w:val="none" w:sz="0" w:space="0" w:color="auto"/>
        <w:right w:val="none" w:sz="0" w:space="0" w:color="auto"/>
      </w:divBdr>
    </w:div>
    <w:div w:id="1323853949">
      <w:bodyDiv w:val="1"/>
      <w:marLeft w:val="0"/>
      <w:marRight w:val="0"/>
      <w:marTop w:val="0"/>
      <w:marBottom w:val="0"/>
      <w:divBdr>
        <w:top w:val="none" w:sz="0" w:space="0" w:color="auto"/>
        <w:left w:val="none" w:sz="0" w:space="0" w:color="auto"/>
        <w:bottom w:val="none" w:sz="0" w:space="0" w:color="auto"/>
        <w:right w:val="none" w:sz="0" w:space="0" w:color="auto"/>
      </w:divBdr>
    </w:div>
    <w:div w:id="1325011202">
      <w:bodyDiv w:val="1"/>
      <w:marLeft w:val="0"/>
      <w:marRight w:val="0"/>
      <w:marTop w:val="0"/>
      <w:marBottom w:val="0"/>
      <w:divBdr>
        <w:top w:val="none" w:sz="0" w:space="0" w:color="auto"/>
        <w:left w:val="none" w:sz="0" w:space="0" w:color="auto"/>
        <w:bottom w:val="none" w:sz="0" w:space="0" w:color="auto"/>
        <w:right w:val="none" w:sz="0" w:space="0" w:color="auto"/>
      </w:divBdr>
    </w:div>
    <w:div w:id="1326402269">
      <w:bodyDiv w:val="1"/>
      <w:marLeft w:val="0"/>
      <w:marRight w:val="0"/>
      <w:marTop w:val="0"/>
      <w:marBottom w:val="0"/>
      <w:divBdr>
        <w:top w:val="none" w:sz="0" w:space="0" w:color="auto"/>
        <w:left w:val="none" w:sz="0" w:space="0" w:color="auto"/>
        <w:bottom w:val="none" w:sz="0" w:space="0" w:color="auto"/>
        <w:right w:val="none" w:sz="0" w:space="0" w:color="auto"/>
      </w:divBdr>
    </w:div>
    <w:div w:id="1327972620">
      <w:bodyDiv w:val="1"/>
      <w:marLeft w:val="0"/>
      <w:marRight w:val="0"/>
      <w:marTop w:val="0"/>
      <w:marBottom w:val="0"/>
      <w:divBdr>
        <w:top w:val="none" w:sz="0" w:space="0" w:color="auto"/>
        <w:left w:val="none" w:sz="0" w:space="0" w:color="auto"/>
        <w:bottom w:val="none" w:sz="0" w:space="0" w:color="auto"/>
        <w:right w:val="none" w:sz="0" w:space="0" w:color="auto"/>
      </w:divBdr>
    </w:div>
    <w:div w:id="1331760012">
      <w:bodyDiv w:val="1"/>
      <w:marLeft w:val="0"/>
      <w:marRight w:val="0"/>
      <w:marTop w:val="0"/>
      <w:marBottom w:val="0"/>
      <w:divBdr>
        <w:top w:val="none" w:sz="0" w:space="0" w:color="auto"/>
        <w:left w:val="none" w:sz="0" w:space="0" w:color="auto"/>
        <w:bottom w:val="none" w:sz="0" w:space="0" w:color="auto"/>
        <w:right w:val="none" w:sz="0" w:space="0" w:color="auto"/>
      </w:divBdr>
    </w:div>
    <w:div w:id="1333994980">
      <w:bodyDiv w:val="1"/>
      <w:marLeft w:val="0"/>
      <w:marRight w:val="0"/>
      <w:marTop w:val="0"/>
      <w:marBottom w:val="0"/>
      <w:divBdr>
        <w:top w:val="none" w:sz="0" w:space="0" w:color="auto"/>
        <w:left w:val="none" w:sz="0" w:space="0" w:color="auto"/>
        <w:bottom w:val="none" w:sz="0" w:space="0" w:color="auto"/>
        <w:right w:val="none" w:sz="0" w:space="0" w:color="auto"/>
      </w:divBdr>
    </w:div>
    <w:div w:id="1337147943">
      <w:bodyDiv w:val="1"/>
      <w:marLeft w:val="0"/>
      <w:marRight w:val="0"/>
      <w:marTop w:val="0"/>
      <w:marBottom w:val="0"/>
      <w:divBdr>
        <w:top w:val="none" w:sz="0" w:space="0" w:color="auto"/>
        <w:left w:val="none" w:sz="0" w:space="0" w:color="auto"/>
        <w:bottom w:val="none" w:sz="0" w:space="0" w:color="auto"/>
        <w:right w:val="none" w:sz="0" w:space="0" w:color="auto"/>
      </w:divBdr>
    </w:div>
    <w:div w:id="1341199824">
      <w:bodyDiv w:val="1"/>
      <w:marLeft w:val="0"/>
      <w:marRight w:val="0"/>
      <w:marTop w:val="0"/>
      <w:marBottom w:val="0"/>
      <w:divBdr>
        <w:top w:val="none" w:sz="0" w:space="0" w:color="auto"/>
        <w:left w:val="none" w:sz="0" w:space="0" w:color="auto"/>
        <w:bottom w:val="none" w:sz="0" w:space="0" w:color="auto"/>
        <w:right w:val="none" w:sz="0" w:space="0" w:color="auto"/>
      </w:divBdr>
    </w:div>
    <w:div w:id="1341547623">
      <w:bodyDiv w:val="1"/>
      <w:marLeft w:val="0"/>
      <w:marRight w:val="0"/>
      <w:marTop w:val="0"/>
      <w:marBottom w:val="0"/>
      <w:divBdr>
        <w:top w:val="none" w:sz="0" w:space="0" w:color="auto"/>
        <w:left w:val="none" w:sz="0" w:space="0" w:color="auto"/>
        <w:bottom w:val="none" w:sz="0" w:space="0" w:color="auto"/>
        <w:right w:val="none" w:sz="0" w:space="0" w:color="auto"/>
      </w:divBdr>
    </w:div>
    <w:div w:id="1348364631">
      <w:bodyDiv w:val="1"/>
      <w:marLeft w:val="0"/>
      <w:marRight w:val="0"/>
      <w:marTop w:val="0"/>
      <w:marBottom w:val="0"/>
      <w:divBdr>
        <w:top w:val="none" w:sz="0" w:space="0" w:color="auto"/>
        <w:left w:val="none" w:sz="0" w:space="0" w:color="auto"/>
        <w:bottom w:val="none" w:sz="0" w:space="0" w:color="auto"/>
        <w:right w:val="none" w:sz="0" w:space="0" w:color="auto"/>
      </w:divBdr>
    </w:div>
    <w:div w:id="1348480185">
      <w:bodyDiv w:val="1"/>
      <w:marLeft w:val="0"/>
      <w:marRight w:val="0"/>
      <w:marTop w:val="0"/>
      <w:marBottom w:val="0"/>
      <w:divBdr>
        <w:top w:val="none" w:sz="0" w:space="0" w:color="auto"/>
        <w:left w:val="none" w:sz="0" w:space="0" w:color="auto"/>
        <w:bottom w:val="none" w:sz="0" w:space="0" w:color="auto"/>
        <w:right w:val="none" w:sz="0" w:space="0" w:color="auto"/>
      </w:divBdr>
    </w:div>
    <w:div w:id="1353455591">
      <w:bodyDiv w:val="1"/>
      <w:marLeft w:val="0"/>
      <w:marRight w:val="0"/>
      <w:marTop w:val="0"/>
      <w:marBottom w:val="0"/>
      <w:divBdr>
        <w:top w:val="none" w:sz="0" w:space="0" w:color="auto"/>
        <w:left w:val="none" w:sz="0" w:space="0" w:color="auto"/>
        <w:bottom w:val="none" w:sz="0" w:space="0" w:color="auto"/>
        <w:right w:val="none" w:sz="0" w:space="0" w:color="auto"/>
      </w:divBdr>
    </w:div>
    <w:div w:id="1353998661">
      <w:bodyDiv w:val="1"/>
      <w:marLeft w:val="0"/>
      <w:marRight w:val="0"/>
      <w:marTop w:val="0"/>
      <w:marBottom w:val="0"/>
      <w:divBdr>
        <w:top w:val="none" w:sz="0" w:space="0" w:color="auto"/>
        <w:left w:val="none" w:sz="0" w:space="0" w:color="auto"/>
        <w:bottom w:val="none" w:sz="0" w:space="0" w:color="auto"/>
        <w:right w:val="none" w:sz="0" w:space="0" w:color="auto"/>
      </w:divBdr>
    </w:div>
    <w:div w:id="1356806228">
      <w:bodyDiv w:val="1"/>
      <w:marLeft w:val="0"/>
      <w:marRight w:val="0"/>
      <w:marTop w:val="0"/>
      <w:marBottom w:val="0"/>
      <w:divBdr>
        <w:top w:val="none" w:sz="0" w:space="0" w:color="auto"/>
        <w:left w:val="none" w:sz="0" w:space="0" w:color="auto"/>
        <w:bottom w:val="none" w:sz="0" w:space="0" w:color="auto"/>
        <w:right w:val="none" w:sz="0" w:space="0" w:color="auto"/>
      </w:divBdr>
    </w:div>
    <w:div w:id="1359043258">
      <w:bodyDiv w:val="1"/>
      <w:marLeft w:val="0"/>
      <w:marRight w:val="0"/>
      <w:marTop w:val="0"/>
      <w:marBottom w:val="0"/>
      <w:divBdr>
        <w:top w:val="none" w:sz="0" w:space="0" w:color="auto"/>
        <w:left w:val="none" w:sz="0" w:space="0" w:color="auto"/>
        <w:bottom w:val="none" w:sz="0" w:space="0" w:color="auto"/>
        <w:right w:val="none" w:sz="0" w:space="0" w:color="auto"/>
      </w:divBdr>
    </w:div>
    <w:div w:id="1359969159">
      <w:bodyDiv w:val="1"/>
      <w:marLeft w:val="0"/>
      <w:marRight w:val="0"/>
      <w:marTop w:val="0"/>
      <w:marBottom w:val="0"/>
      <w:divBdr>
        <w:top w:val="none" w:sz="0" w:space="0" w:color="auto"/>
        <w:left w:val="none" w:sz="0" w:space="0" w:color="auto"/>
        <w:bottom w:val="none" w:sz="0" w:space="0" w:color="auto"/>
        <w:right w:val="none" w:sz="0" w:space="0" w:color="auto"/>
      </w:divBdr>
    </w:div>
    <w:div w:id="1362169928">
      <w:bodyDiv w:val="1"/>
      <w:marLeft w:val="0"/>
      <w:marRight w:val="0"/>
      <w:marTop w:val="0"/>
      <w:marBottom w:val="0"/>
      <w:divBdr>
        <w:top w:val="none" w:sz="0" w:space="0" w:color="auto"/>
        <w:left w:val="none" w:sz="0" w:space="0" w:color="auto"/>
        <w:bottom w:val="none" w:sz="0" w:space="0" w:color="auto"/>
        <w:right w:val="none" w:sz="0" w:space="0" w:color="auto"/>
      </w:divBdr>
      <w:divsChild>
        <w:div w:id="1361707588">
          <w:marLeft w:val="0"/>
          <w:marRight w:val="0"/>
          <w:marTop w:val="0"/>
          <w:marBottom w:val="0"/>
          <w:divBdr>
            <w:top w:val="none" w:sz="0" w:space="0" w:color="auto"/>
            <w:left w:val="none" w:sz="0" w:space="0" w:color="auto"/>
            <w:bottom w:val="none" w:sz="0" w:space="0" w:color="auto"/>
            <w:right w:val="none" w:sz="0" w:space="0" w:color="auto"/>
          </w:divBdr>
        </w:div>
        <w:div w:id="50156535">
          <w:marLeft w:val="0"/>
          <w:marRight w:val="0"/>
          <w:marTop w:val="0"/>
          <w:marBottom w:val="0"/>
          <w:divBdr>
            <w:top w:val="none" w:sz="0" w:space="0" w:color="auto"/>
            <w:left w:val="none" w:sz="0" w:space="0" w:color="auto"/>
            <w:bottom w:val="none" w:sz="0" w:space="0" w:color="auto"/>
            <w:right w:val="none" w:sz="0" w:space="0" w:color="auto"/>
          </w:divBdr>
        </w:div>
      </w:divsChild>
    </w:div>
    <w:div w:id="1364094628">
      <w:bodyDiv w:val="1"/>
      <w:marLeft w:val="0"/>
      <w:marRight w:val="0"/>
      <w:marTop w:val="0"/>
      <w:marBottom w:val="0"/>
      <w:divBdr>
        <w:top w:val="none" w:sz="0" w:space="0" w:color="auto"/>
        <w:left w:val="none" w:sz="0" w:space="0" w:color="auto"/>
        <w:bottom w:val="none" w:sz="0" w:space="0" w:color="auto"/>
        <w:right w:val="none" w:sz="0" w:space="0" w:color="auto"/>
      </w:divBdr>
    </w:div>
    <w:div w:id="1366561692">
      <w:bodyDiv w:val="1"/>
      <w:marLeft w:val="0"/>
      <w:marRight w:val="0"/>
      <w:marTop w:val="0"/>
      <w:marBottom w:val="0"/>
      <w:divBdr>
        <w:top w:val="none" w:sz="0" w:space="0" w:color="auto"/>
        <w:left w:val="none" w:sz="0" w:space="0" w:color="auto"/>
        <w:bottom w:val="none" w:sz="0" w:space="0" w:color="auto"/>
        <w:right w:val="none" w:sz="0" w:space="0" w:color="auto"/>
      </w:divBdr>
    </w:div>
    <w:div w:id="1367636315">
      <w:bodyDiv w:val="1"/>
      <w:marLeft w:val="0"/>
      <w:marRight w:val="0"/>
      <w:marTop w:val="0"/>
      <w:marBottom w:val="0"/>
      <w:divBdr>
        <w:top w:val="none" w:sz="0" w:space="0" w:color="auto"/>
        <w:left w:val="none" w:sz="0" w:space="0" w:color="auto"/>
        <w:bottom w:val="none" w:sz="0" w:space="0" w:color="auto"/>
        <w:right w:val="none" w:sz="0" w:space="0" w:color="auto"/>
      </w:divBdr>
    </w:div>
    <w:div w:id="1368677126">
      <w:bodyDiv w:val="1"/>
      <w:marLeft w:val="0"/>
      <w:marRight w:val="0"/>
      <w:marTop w:val="0"/>
      <w:marBottom w:val="0"/>
      <w:divBdr>
        <w:top w:val="none" w:sz="0" w:space="0" w:color="auto"/>
        <w:left w:val="none" w:sz="0" w:space="0" w:color="auto"/>
        <w:bottom w:val="none" w:sz="0" w:space="0" w:color="auto"/>
        <w:right w:val="none" w:sz="0" w:space="0" w:color="auto"/>
      </w:divBdr>
    </w:div>
    <w:div w:id="1370299893">
      <w:bodyDiv w:val="1"/>
      <w:marLeft w:val="0"/>
      <w:marRight w:val="0"/>
      <w:marTop w:val="0"/>
      <w:marBottom w:val="0"/>
      <w:divBdr>
        <w:top w:val="none" w:sz="0" w:space="0" w:color="auto"/>
        <w:left w:val="none" w:sz="0" w:space="0" w:color="auto"/>
        <w:bottom w:val="none" w:sz="0" w:space="0" w:color="auto"/>
        <w:right w:val="none" w:sz="0" w:space="0" w:color="auto"/>
      </w:divBdr>
    </w:div>
    <w:div w:id="1372222780">
      <w:bodyDiv w:val="1"/>
      <w:marLeft w:val="0"/>
      <w:marRight w:val="0"/>
      <w:marTop w:val="0"/>
      <w:marBottom w:val="0"/>
      <w:divBdr>
        <w:top w:val="none" w:sz="0" w:space="0" w:color="auto"/>
        <w:left w:val="none" w:sz="0" w:space="0" w:color="auto"/>
        <w:bottom w:val="none" w:sz="0" w:space="0" w:color="auto"/>
        <w:right w:val="none" w:sz="0" w:space="0" w:color="auto"/>
      </w:divBdr>
    </w:div>
    <w:div w:id="1373117566">
      <w:bodyDiv w:val="1"/>
      <w:marLeft w:val="0"/>
      <w:marRight w:val="0"/>
      <w:marTop w:val="0"/>
      <w:marBottom w:val="0"/>
      <w:divBdr>
        <w:top w:val="none" w:sz="0" w:space="0" w:color="auto"/>
        <w:left w:val="none" w:sz="0" w:space="0" w:color="auto"/>
        <w:bottom w:val="none" w:sz="0" w:space="0" w:color="auto"/>
        <w:right w:val="none" w:sz="0" w:space="0" w:color="auto"/>
      </w:divBdr>
    </w:div>
    <w:div w:id="1374034137">
      <w:bodyDiv w:val="1"/>
      <w:marLeft w:val="0"/>
      <w:marRight w:val="0"/>
      <w:marTop w:val="0"/>
      <w:marBottom w:val="0"/>
      <w:divBdr>
        <w:top w:val="none" w:sz="0" w:space="0" w:color="auto"/>
        <w:left w:val="none" w:sz="0" w:space="0" w:color="auto"/>
        <w:bottom w:val="none" w:sz="0" w:space="0" w:color="auto"/>
        <w:right w:val="none" w:sz="0" w:space="0" w:color="auto"/>
      </w:divBdr>
    </w:div>
    <w:div w:id="1375737071">
      <w:bodyDiv w:val="1"/>
      <w:marLeft w:val="0"/>
      <w:marRight w:val="0"/>
      <w:marTop w:val="0"/>
      <w:marBottom w:val="0"/>
      <w:divBdr>
        <w:top w:val="none" w:sz="0" w:space="0" w:color="auto"/>
        <w:left w:val="none" w:sz="0" w:space="0" w:color="auto"/>
        <w:bottom w:val="none" w:sz="0" w:space="0" w:color="auto"/>
        <w:right w:val="none" w:sz="0" w:space="0" w:color="auto"/>
      </w:divBdr>
    </w:div>
    <w:div w:id="1375809713">
      <w:bodyDiv w:val="1"/>
      <w:marLeft w:val="0"/>
      <w:marRight w:val="0"/>
      <w:marTop w:val="0"/>
      <w:marBottom w:val="0"/>
      <w:divBdr>
        <w:top w:val="none" w:sz="0" w:space="0" w:color="auto"/>
        <w:left w:val="none" w:sz="0" w:space="0" w:color="auto"/>
        <w:bottom w:val="none" w:sz="0" w:space="0" w:color="auto"/>
        <w:right w:val="none" w:sz="0" w:space="0" w:color="auto"/>
      </w:divBdr>
    </w:div>
    <w:div w:id="1375931981">
      <w:bodyDiv w:val="1"/>
      <w:marLeft w:val="0"/>
      <w:marRight w:val="0"/>
      <w:marTop w:val="0"/>
      <w:marBottom w:val="0"/>
      <w:divBdr>
        <w:top w:val="none" w:sz="0" w:space="0" w:color="auto"/>
        <w:left w:val="none" w:sz="0" w:space="0" w:color="auto"/>
        <w:bottom w:val="none" w:sz="0" w:space="0" w:color="auto"/>
        <w:right w:val="none" w:sz="0" w:space="0" w:color="auto"/>
      </w:divBdr>
    </w:div>
    <w:div w:id="1377774293">
      <w:bodyDiv w:val="1"/>
      <w:marLeft w:val="0"/>
      <w:marRight w:val="0"/>
      <w:marTop w:val="0"/>
      <w:marBottom w:val="0"/>
      <w:divBdr>
        <w:top w:val="none" w:sz="0" w:space="0" w:color="auto"/>
        <w:left w:val="none" w:sz="0" w:space="0" w:color="auto"/>
        <w:bottom w:val="none" w:sz="0" w:space="0" w:color="auto"/>
        <w:right w:val="none" w:sz="0" w:space="0" w:color="auto"/>
      </w:divBdr>
    </w:div>
    <w:div w:id="1380784318">
      <w:bodyDiv w:val="1"/>
      <w:marLeft w:val="0"/>
      <w:marRight w:val="0"/>
      <w:marTop w:val="0"/>
      <w:marBottom w:val="0"/>
      <w:divBdr>
        <w:top w:val="none" w:sz="0" w:space="0" w:color="auto"/>
        <w:left w:val="none" w:sz="0" w:space="0" w:color="auto"/>
        <w:bottom w:val="none" w:sz="0" w:space="0" w:color="auto"/>
        <w:right w:val="none" w:sz="0" w:space="0" w:color="auto"/>
      </w:divBdr>
    </w:div>
    <w:div w:id="1383939140">
      <w:bodyDiv w:val="1"/>
      <w:marLeft w:val="0"/>
      <w:marRight w:val="0"/>
      <w:marTop w:val="0"/>
      <w:marBottom w:val="0"/>
      <w:divBdr>
        <w:top w:val="none" w:sz="0" w:space="0" w:color="auto"/>
        <w:left w:val="none" w:sz="0" w:space="0" w:color="auto"/>
        <w:bottom w:val="none" w:sz="0" w:space="0" w:color="auto"/>
        <w:right w:val="none" w:sz="0" w:space="0" w:color="auto"/>
      </w:divBdr>
    </w:div>
    <w:div w:id="1385332594">
      <w:bodyDiv w:val="1"/>
      <w:marLeft w:val="0"/>
      <w:marRight w:val="0"/>
      <w:marTop w:val="0"/>
      <w:marBottom w:val="0"/>
      <w:divBdr>
        <w:top w:val="none" w:sz="0" w:space="0" w:color="auto"/>
        <w:left w:val="none" w:sz="0" w:space="0" w:color="auto"/>
        <w:bottom w:val="none" w:sz="0" w:space="0" w:color="auto"/>
        <w:right w:val="none" w:sz="0" w:space="0" w:color="auto"/>
      </w:divBdr>
    </w:div>
    <w:div w:id="1385644281">
      <w:bodyDiv w:val="1"/>
      <w:marLeft w:val="0"/>
      <w:marRight w:val="0"/>
      <w:marTop w:val="0"/>
      <w:marBottom w:val="0"/>
      <w:divBdr>
        <w:top w:val="none" w:sz="0" w:space="0" w:color="auto"/>
        <w:left w:val="none" w:sz="0" w:space="0" w:color="auto"/>
        <w:bottom w:val="none" w:sz="0" w:space="0" w:color="auto"/>
        <w:right w:val="none" w:sz="0" w:space="0" w:color="auto"/>
      </w:divBdr>
    </w:div>
    <w:div w:id="1387338096">
      <w:bodyDiv w:val="1"/>
      <w:marLeft w:val="0"/>
      <w:marRight w:val="0"/>
      <w:marTop w:val="0"/>
      <w:marBottom w:val="0"/>
      <w:divBdr>
        <w:top w:val="none" w:sz="0" w:space="0" w:color="auto"/>
        <w:left w:val="none" w:sz="0" w:space="0" w:color="auto"/>
        <w:bottom w:val="none" w:sz="0" w:space="0" w:color="auto"/>
        <w:right w:val="none" w:sz="0" w:space="0" w:color="auto"/>
      </w:divBdr>
    </w:div>
    <w:div w:id="1389107842">
      <w:bodyDiv w:val="1"/>
      <w:marLeft w:val="0"/>
      <w:marRight w:val="0"/>
      <w:marTop w:val="0"/>
      <w:marBottom w:val="0"/>
      <w:divBdr>
        <w:top w:val="none" w:sz="0" w:space="0" w:color="auto"/>
        <w:left w:val="none" w:sz="0" w:space="0" w:color="auto"/>
        <w:bottom w:val="none" w:sz="0" w:space="0" w:color="auto"/>
        <w:right w:val="none" w:sz="0" w:space="0" w:color="auto"/>
      </w:divBdr>
      <w:divsChild>
        <w:div w:id="1375081111">
          <w:marLeft w:val="0"/>
          <w:marRight w:val="0"/>
          <w:marTop w:val="0"/>
          <w:marBottom w:val="0"/>
          <w:divBdr>
            <w:top w:val="none" w:sz="0" w:space="0" w:color="auto"/>
            <w:left w:val="none" w:sz="0" w:space="0" w:color="auto"/>
            <w:bottom w:val="none" w:sz="0" w:space="0" w:color="auto"/>
            <w:right w:val="none" w:sz="0" w:space="0" w:color="auto"/>
          </w:divBdr>
        </w:div>
        <w:div w:id="672268924">
          <w:marLeft w:val="0"/>
          <w:marRight w:val="0"/>
          <w:marTop w:val="0"/>
          <w:marBottom w:val="0"/>
          <w:divBdr>
            <w:top w:val="none" w:sz="0" w:space="0" w:color="auto"/>
            <w:left w:val="none" w:sz="0" w:space="0" w:color="auto"/>
            <w:bottom w:val="none" w:sz="0" w:space="0" w:color="auto"/>
            <w:right w:val="none" w:sz="0" w:space="0" w:color="auto"/>
          </w:divBdr>
        </w:div>
        <w:div w:id="1455172482">
          <w:marLeft w:val="0"/>
          <w:marRight w:val="0"/>
          <w:marTop w:val="0"/>
          <w:marBottom w:val="0"/>
          <w:divBdr>
            <w:top w:val="none" w:sz="0" w:space="0" w:color="auto"/>
            <w:left w:val="none" w:sz="0" w:space="0" w:color="auto"/>
            <w:bottom w:val="none" w:sz="0" w:space="0" w:color="auto"/>
            <w:right w:val="none" w:sz="0" w:space="0" w:color="auto"/>
          </w:divBdr>
        </w:div>
        <w:div w:id="993416195">
          <w:marLeft w:val="0"/>
          <w:marRight w:val="0"/>
          <w:marTop w:val="0"/>
          <w:marBottom w:val="0"/>
          <w:divBdr>
            <w:top w:val="none" w:sz="0" w:space="0" w:color="auto"/>
            <w:left w:val="none" w:sz="0" w:space="0" w:color="auto"/>
            <w:bottom w:val="none" w:sz="0" w:space="0" w:color="auto"/>
            <w:right w:val="none" w:sz="0" w:space="0" w:color="auto"/>
          </w:divBdr>
        </w:div>
        <w:div w:id="584850501">
          <w:marLeft w:val="0"/>
          <w:marRight w:val="0"/>
          <w:marTop w:val="0"/>
          <w:marBottom w:val="0"/>
          <w:divBdr>
            <w:top w:val="none" w:sz="0" w:space="0" w:color="auto"/>
            <w:left w:val="none" w:sz="0" w:space="0" w:color="auto"/>
            <w:bottom w:val="none" w:sz="0" w:space="0" w:color="auto"/>
            <w:right w:val="none" w:sz="0" w:space="0" w:color="auto"/>
          </w:divBdr>
        </w:div>
        <w:div w:id="408767798">
          <w:marLeft w:val="0"/>
          <w:marRight w:val="0"/>
          <w:marTop w:val="0"/>
          <w:marBottom w:val="0"/>
          <w:divBdr>
            <w:top w:val="none" w:sz="0" w:space="0" w:color="auto"/>
            <w:left w:val="none" w:sz="0" w:space="0" w:color="auto"/>
            <w:bottom w:val="none" w:sz="0" w:space="0" w:color="auto"/>
            <w:right w:val="none" w:sz="0" w:space="0" w:color="auto"/>
          </w:divBdr>
        </w:div>
        <w:div w:id="676081107">
          <w:marLeft w:val="0"/>
          <w:marRight w:val="0"/>
          <w:marTop w:val="0"/>
          <w:marBottom w:val="0"/>
          <w:divBdr>
            <w:top w:val="none" w:sz="0" w:space="0" w:color="auto"/>
            <w:left w:val="none" w:sz="0" w:space="0" w:color="auto"/>
            <w:bottom w:val="none" w:sz="0" w:space="0" w:color="auto"/>
            <w:right w:val="none" w:sz="0" w:space="0" w:color="auto"/>
          </w:divBdr>
        </w:div>
        <w:div w:id="2145736539">
          <w:marLeft w:val="0"/>
          <w:marRight w:val="0"/>
          <w:marTop w:val="0"/>
          <w:marBottom w:val="0"/>
          <w:divBdr>
            <w:top w:val="none" w:sz="0" w:space="0" w:color="auto"/>
            <w:left w:val="none" w:sz="0" w:space="0" w:color="auto"/>
            <w:bottom w:val="none" w:sz="0" w:space="0" w:color="auto"/>
            <w:right w:val="none" w:sz="0" w:space="0" w:color="auto"/>
          </w:divBdr>
        </w:div>
        <w:div w:id="1437599943">
          <w:marLeft w:val="0"/>
          <w:marRight w:val="0"/>
          <w:marTop w:val="0"/>
          <w:marBottom w:val="0"/>
          <w:divBdr>
            <w:top w:val="none" w:sz="0" w:space="0" w:color="auto"/>
            <w:left w:val="none" w:sz="0" w:space="0" w:color="auto"/>
            <w:bottom w:val="none" w:sz="0" w:space="0" w:color="auto"/>
            <w:right w:val="none" w:sz="0" w:space="0" w:color="auto"/>
          </w:divBdr>
        </w:div>
        <w:div w:id="833109646">
          <w:marLeft w:val="0"/>
          <w:marRight w:val="0"/>
          <w:marTop w:val="0"/>
          <w:marBottom w:val="0"/>
          <w:divBdr>
            <w:top w:val="none" w:sz="0" w:space="0" w:color="auto"/>
            <w:left w:val="none" w:sz="0" w:space="0" w:color="auto"/>
            <w:bottom w:val="none" w:sz="0" w:space="0" w:color="auto"/>
            <w:right w:val="none" w:sz="0" w:space="0" w:color="auto"/>
          </w:divBdr>
        </w:div>
        <w:div w:id="1556117544">
          <w:marLeft w:val="0"/>
          <w:marRight w:val="0"/>
          <w:marTop w:val="0"/>
          <w:marBottom w:val="0"/>
          <w:divBdr>
            <w:top w:val="none" w:sz="0" w:space="0" w:color="auto"/>
            <w:left w:val="none" w:sz="0" w:space="0" w:color="auto"/>
            <w:bottom w:val="none" w:sz="0" w:space="0" w:color="auto"/>
            <w:right w:val="none" w:sz="0" w:space="0" w:color="auto"/>
          </w:divBdr>
        </w:div>
      </w:divsChild>
    </w:div>
    <w:div w:id="1389526002">
      <w:bodyDiv w:val="1"/>
      <w:marLeft w:val="0"/>
      <w:marRight w:val="0"/>
      <w:marTop w:val="0"/>
      <w:marBottom w:val="0"/>
      <w:divBdr>
        <w:top w:val="none" w:sz="0" w:space="0" w:color="auto"/>
        <w:left w:val="none" w:sz="0" w:space="0" w:color="auto"/>
        <w:bottom w:val="none" w:sz="0" w:space="0" w:color="auto"/>
        <w:right w:val="none" w:sz="0" w:space="0" w:color="auto"/>
      </w:divBdr>
    </w:div>
    <w:div w:id="1394432408">
      <w:bodyDiv w:val="1"/>
      <w:marLeft w:val="0"/>
      <w:marRight w:val="0"/>
      <w:marTop w:val="0"/>
      <w:marBottom w:val="0"/>
      <w:divBdr>
        <w:top w:val="none" w:sz="0" w:space="0" w:color="auto"/>
        <w:left w:val="none" w:sz="0" w:space="0" w:color="auto"/>
        <w:bottom w:val="none" w:sz="0" w:space="0" w:color="auto"/>
        <w:right w:val="none" w:sz="0" w:space="0" w:color="auto"/>
      </w:divBdr>
    </w:div>
    <w:div w:id="1396784545">
      <w:bodyDiv w:val="1"/>
      <w:marLeft w:val="0"/>
      <w:marRight w:val="0"/>
      <w:marTop w:val="0"/>
      <w:marBottom w:val="0"/>
      <w:divBdr>
        <w:top w:val="none" w:sz="0" w:space="0" w:color="auto"/>
        <w:left w:val="none" w:sz="0" w:space="0" w:color="auto"/>
        <w:bottom w:val="none" w:sz="0" w:space="0" w:color="auto"/>
        <w:right w:val="none" w:sz="0" w:space="0" w:color="auto"/>
      </w:divBdr>
    </w:div>
    <w:div w:id="1398749032">
      <w:bodyDiv w:val="1"/>
      <w:marLeft w:val="0"/>
      <w:marRight w:val="0"/>
      <w:marTop w:val="0"/>
      <w:marBottom w:val="0"/>
      <w:divBdr>
        <w:top w:val="none" w:sz="0" w:space="0" w:color="auto"/>
        <w:left w:val="none" w:sz="0" w:space="0" w:color="auto"/>
        <w:bottom w:val="none" w:sz="0" w:space="0" w:color="auto"/>
        <w:right w:val="none" w:sz="0" w:space="0" w:color="auto"/>
      </w:divBdr>
    </w:div>
    <w:div w:id="1400135965">
      <w:bodyDiv w:val="1"/>
      <w:marLeft w:val="0"/>
      <w:marRight w:val="0"/>
      <w:marTop w:val="0"/>
      <w:marBottom w:val="0"/>
      <w:divBdr>
        <w:top w:val="none" w:sz="0" w:space="0" w:color="auto"/>
        <w:left w:val="none" w:sz="0" w:space="0" w:color="auto"/>
        <w:bottom w:val="none" w:sz="0" w:space="0" w:color="auto"/>
        <w:right w:val="none" w:sz="0" w:space="0" w:color="auto"/>
      </w:divBdr>
    </w:div>
    <w:div w:id="1401633020">
      <w:bodyDiv w:val="1"/>
      <w:marLeft w:val="0"/>
      <w:marRight w:val="0"/>
      <w:marTop w:val="0"/>
      <w:marBottom w:val="0"/>
      <w:divBdr>
        <w:top w:val="none" w:sz="0" w:space="0" w:color="auto"/>
        <w:left w:val="none" w:sz="0" w:space="0" w:color="auto"/>
        <w:bottom w:val="none" w:sz="0" w:space="0" w:color="auto"/>
        <w:right w:val="none" w:sz="0" w:space="0" w:color="auto"/>
      </w:divBdr>
    </w:div>
    <w:div w:id="1403404713">
      <w:bodyDiv w:val="1"/>
      <w:marLeft w:val="0"/>
      <w:marRight w:val="0"/>
      <w:marTop w:val="0"/>
      <w:marBottom w:val="0"/>
      <w:divBdr>
        <w:top w:val="none" w:sz="0" w:space="0" w:color="auto"/>
        <w:left w:val="none" w:sz="0" w:space="0" w:color="auto"/>
        <w:bottom w:val="none" w:sz="0" w:space="0" w:color="auto"/>
        <w:right w:val="none" w:sz="0" w:space="0" w:color="auto"/>
      </w:divBdr>
      <w:divsChild>
        <w:div w:id="3174887">
          <w:marLeft w:val="0"/>
          <w:marRight w:val="0"/>
          <w:marTop w:val="0"/>
          <w:marBottom w:val="0"/>
          <w:divBdr>
            <w:top w:val="none" w:sz="0" w:space="0" w:color="auto"/>
            <w:left w:val="none" w:sz="0" w:space="0" w:color="auto"/>
            <w:bottom w:val="none" w:sz="0" w:space="0" w:color="auto"/>
            <w:right w:val="none" w:sz="0" w:space="0" w:color="auto"/>
          </w:divBdr>
        </w:div>
        <w:div w:id="348727737">
          <w:marLeft w:val="0"/>
          <w:marRight w:val="0"/>
          <w:marTop w:val="0"/>
          <w:marBottom w:val="0"/>
          <w:divBdr>
            <w:top w:val="none" w:sz="0" w:space="0" w:color="auto"/>
            <w:left w:val="none" w:sz="0" w:space="0" w:color="auto"/>
            <w:bottom w:val="none" w:sz="0" w:space="0" w:color="auto"/>
            <w:right w:val="none" w:sz="0" w:space="0" w:color="auto"/>
          </w:divBdr>
        </w:div>
        <w:div w:id="573516118">
          <w:marLeft w:val="0"/>
          <w:marRight w:val="0"/>
          <w:marTop w:val="0"/>
          <w:marBottom w:val="0"/>
          <w:divBdr>
            <w:top w:val="none" w:sz="0" w:space="0" w:color="auto"/>
            <w:left w:val="none" w:sz="0" w:space="0" w:color="auto"/>
            <w:bottom w:val="none" w:sz="0" w:space="0" w:color="auto"/>
            <w:right w:val="none" w:sz="0" w:space="0" w:color="auto"/>
          </w:divBdr>
        </w:div>
        <w:div w:id="633875133">
          <w:marLeft w:val="0"/>
          <w:marRight w:val="0"/>
          <w:marTop w:val="0"/>
          <w:marBottom w:val="0"/>
          <w:divBdr>
            <w:top w:val="none" w:sz="0" w:space="0" w:color="auto"/>
            <w:left w:val="none" w:sz="0" w:space="0" w:color="auto"/>
            <w:bottom w:val="none" w:sz="0" w:space="0" w:color="auto"/>
            <w:right w:val="none" w:sz="0" w:space="0" w:color="auto"/>
          </w:divBdr>
        </w:div>
        <w:div w:id="697123293">
          <w:marLeft w:val="0"/>
          <w:marRight w:val="0"/>
          <w:marTop w:val="0"/>
          <w:marBottom w:val="0"/>
          <w:divBdr>
            <w:top w:val="none" w:sz="0" w:space="0" w:color="auto"/>
            <w:left w:val="none" w:sz="0" w:space="0" w:color="auto"/>
            <w:bottom w:val="none" w:sz="0" w:space="0" w:color="auto"/>
            <w:right w:val="none" w:sz="0" w:space="0" w:color="auto"/>
          </w:divBdr>
        </w:div>
        <w:div w:id="961299774">
          <w:marLeft w:val="0"/>
          <w:marRight w:val="0"/>
          <w:marTop w:val="0"/>
          <w:marBottom w:val="0"/>
          <w:divBdr>
            <w:top w:val="none" w:sz="0" w:space="0" w:color="auto"/>
            <w:left w:val="none" w:sz="0" w:space="0" w:color="auto"/>
            <w:bottom w:val="none" w:sz="0" w:space="0" w:color="auto"/>
            <w:right w:val="none" w:sz="0" w:space="0" w:color="auto"/>
          </w:divBdr>
        </w:div>
        <w:div w:id="1394541870">
          <w:marLeft w:val="0"/>
          <w:marRight w:val="0"/>
          <w:marTop w:val="0"/>
          <w:marBottom w:val="0"/>
          <w:divBdr>
            <w:top w:val="none" w:sz="0" w:space="0" w:color="auto"/>
            <w:left w:val="none" w:sz="0" w:space="0" w:color="auto"/>
            <w:bottom w:val="none" w:sz="0" w:space="0" w:color="auto"/>
            <w:right w:val="none" w:sz="0" w:space="0" w:color="auto"/>
          </w:divBdr>
        </w:div>
        <w:div w:id="1418408407">
          <w:marLeft w:val="0"/>
          <w:marRight w:val="0"/>
          <w:marTop w:val="0"/>
          <w:marBottom w:val="0"/>
          <w:divBdr>
            <w:top w:val="none" w:sz="0" w:space="0" w:color="auto"/>
            <w:left w:val="none" w:sz="0" w:space="0" w:color="auto"/>
            <w:bottom w:val="none" w:sz="0" w:space="0" w:color="auto"/>
            <w:right w:val="none" w:sz="0" w:space="0" w:color="auto"/>
          </w:divBdr>
        </w:div>
      </w:divsChild>
    </w:div>
    <w:div w:id="1403791805">
      <w:bodyDiv w:val="1"/>
      <w:marLeft w:val="0"/>
      <w:marRight w:val="0"/>
      <w:marTop w:val="0"/>
      <w:marBottom w:val="0"/>
      <w:divBdr>
        <w:top w:val="none" w:sz="0" w:space="0" w:color="auto"/>
        <w:left w:val="none" w:sz="0" w:space="0" w:color="auto"/>
        <w:bottom w:val="none" w:sz="0" w:space="0" w:color="auto"/>
        <w:right w:val="none" w:sz="0" w:space="0" w:color="auto"/>
      </w:divBdr>
      <w:divsChild>
        <w:div w:id="67657308">
          <w:marLeft w:val="0"/>
          <w:marRight w:val="0"/>
          <w:marTop w:val="0"/>
          <w:marBottom w:val="0"/>
          <w:divBdr>
            <w:top w:val="none" w:sz="0" w:space="0" w:color="auto"/>
            <w:left w:val="none" w:sz="0" w:space="0" w:color="auto"/>
            <w:bottom w:val="none" w:sz="0" w:space="0" w:color="auto"/>
            <w:right w:val="none" w:sz="0" w:space="0" w:color="auto"/>
          </w:divBdr>
        </w:div>
        <w:div w:id="102192416">
          <w:marLeft w:val="0"/>
          <w:marRight w:val="0"/>
          <w:marTop w:val="0"/>
          <w:marBottom w:val="0"/>
          <w:divBdr>
            <w:top w:val="none" w:sz="0" w:space="0" w:color="auto"/>
            <w:left w:val="none" w:sz="0" w:space="0" w:color="auto"/>
            <w:bottom w:val="none" w:sz="0" w:space="0" w:color="auto"/>
            <w:right w:val="none" w:sz="0" w:space="0" w:color="auto"/>
          </w:divBdr>
        </w:div>
        <w:div w:id="168447625">
          <w:marLeft w:val="0"/>
          <w:marRight w:val="0"/>
          <w:marTop w:val="0"/>
          <w:marBottom w:val="0"/>
          <w:divBdr>
            <w:top w:val="none" w:sz="0" w:space="0" w:color="auto"/>
            <w:left w:val="none" w:sz="0" w:space="0" w:color="auto"/>
            <w:bottom w:val="none" w:sz="0" w:space="0" w:color="auto"/>
            <w:right w:val="none" w:sz="0" w:space="0" w:color="auto"/>
          </w:divBdr>
        </w:div>
        <w:div w:id="210533059">
          <w:marLeft w:val="0"/>
          <w:marRight w:val="0"/>
          <w:marTop w:val="0"/>
          <w:marBottom w:val="0"/>
          <w:divBdr>
            <w:top w:val="none" w:sz="0" w:space="0" w:color="auto"/>
            <w:left w:val="none" w:sz="0" w:space="0" w:color="auto"/>
            <w:bottom w:val="none" w:sz="0" w:space="0" w:color="auto"/>
            <w:right w:val="none" w:sz="0" w:space="0" w:color="auto"/>
          </w:divBdr>
        </w:div>
        <w:div w:id="235089146">
          <w:marLeft w:val="0"/>
          <w:marRight w:val="0"/>
          <w:marTop w:val="0"/>
          <w:marBottom w:val="0"/>
          <w:divBdr>
            <w:top w:val="none" w:sz="0" w:space="0" w:color="auto"/>
            <w:left w:val="none" w:sz="0" w:space="0" w:color="auto"/>
            <w:bottom w:val="none" w:sz="0" w:space="0" w:color="auto"/>
            <w:right w:val="none" w:sz="0" w:space="0" w:color="auto"/>
          </w:divBdr>
        </w:div>
        <w:div w:id="250625210">
          <w:marLeft w:val="0"/>
          <w:marRight w:val="0"/>
          <w:marTop w:val="0"/>
          <w:marBottom w:val="0"/>
          <w:divBdr>
            <w:top w:val="none" w:sz="0" w:space="0" w:color="auto"/>
            <w:left w:val="none" w:sz="0" w:space="0" w:color="auto"/>
            <w:bottom w:val="none" w:sz="0" w:space="0" w:color="auto"/>
            <w:right w:val="none" w:sz="0" w:space="0" w:color="auto"/>
          </w:divBdr>
        </w:div>
        <w:div w:id="288515171">
          <w:marLeft w:val="0"/>
          <w:marRight w:val="0"/>
          <w:marTop w:val="0"/>
          <w:marBottom w:val="0"/>
          <w:divBdr>
            <w:top w:val="none" w:sz="0" w:space="0" w:color="auto"/>
            <w:left w:val="none" w:sz="0" w:space="0" w:color="auto"/>
            <w:bottom w:val="none" w:sz="0" w:space="0" w:color="auto"/>
            <w:right w:val="none" w:sz="0" w:space="0" w:color="auto"/>
          </w:divBdr>
        </w:div>
        <w:div w:id="372006309">
          <w:marLeft w:val="0"/>
          <w:marRight w:val="0"/>
          <w:marTop w:val="0"/>
          <w:marBottom w:val="0"/>
          <w:divBdr>
            <w:top w:val="none" w:sz="0" w:space="0" w:color="auto"/>
            <w:left w:val="none" w:sz="0" w:space="0" w:color="auto"/>
            <w:bottom w:val="none" w:sz="0" w:space="0" w:color="auto"/>
            <w:right w:val="none" w:sz="0" w:space="0" w:color="auto"/>
          </w:divBdr>
        </w:div>
        <w:div w:id="425807548">
          <w:marLeft w:val="0"/>
          <w:marRight w:val="0"/>
          <w:marTop w:val="0"/>
          <w:marBottom w:val="0"/>
          <w:divBdr>
            <w:top w:val="none" w:sz="0" w:space="0" w:color="auto"/>
            <w:left w:val="none" w:sz="0" w:space="0" w:color="auto"/>
            <w:bottom w:val="none" w:sz="0" w:space="0" w:color="auto"/>
            <w:right w:val="none" w:sz="0" w:space="0" w:color="auto"/>
          </w:divBdr>
        </w:div>
        <w:div w:id="577709964">
          <w:marLeft w:val="0"/>
          <w:marRight w:val="0"/>
          <w:marTop w:val="0"/>
          <w:marBottom w:val="0"/>
          <w:divBdr>
            <w:top w:val="none" w:sz="0" w:space="0" w:color="auto"/>
            <w:left w:val="none" w:sz="0" w:space="0" w:color="auto"/>
            <w:bottom w:val="none" w:sz="0" w:space="0" w:color="auto"/>
            <w:right w:val="none" w:sz="0" w:space="0" w:color="auto"/>
          </w:divBdr>
        </w:div>
        <w:div w:id="721290360">
          <w:marLeft w:val="0"/>
          <w:marRight w:val="0"/>
          <w:marTop w:val="0"/>
          <w:marBottom w:val="0"/>
          <w:divBdr>
            <w:top w:val="none" w:sz="0" w:space="0" w:color="auto"/>
            <w:left w:val="none" w:sz="0" w:space="0" w:color="auto"/>
            <w:bottom w:val="none" w:sz="0" w:space="0" w:color="auto"/>
            <w:right w:val="none" w:sz="0" w:space="0" w:color="auto"/>
          </w:divBdr>
        </w:div>
        <w:div w:id="740760309">
          <w:marLeft w:val="0"/>
          <w:marRight w:val="0"/>
          <w:marTop w:val="0"/>
          <w:marBottom w:val="0"/>
          <w:divBdr>
            <w:top w:val="none" w:sz="0" w:space="0" w:color="auto"/>
            <w:left w:val="none" w:sz="0" w:space="0" w:color="auto"/>
            <w:bottom w:val="none" w:sz="0" w:space="0" w:color="auto"/>
            <w:right w:val="none" w:sz="0" w:space="0" w:color="auto"/>
          </w:divBdr>
        </w:div>
        <w:div w:id="782192596">
          <w:marLeft w:val="0"/>
          <w:marRight w:val="0"/>
          <w:marTop w:val="0"/>
          <w:marBottom w:val="0"/>
          <w:divBdr>
            <w:top w:val="none" w:sz="0" w:space="0" w:color="auto"/>
            <w:left w:val="none" w:sz="0" w:space="0" w:color="auto"/>
            <w:bottom w:val="none" w:sz="0" w:space="0" w:color="auto"/>
            <w:right w:val="none" w:sz="0" w:space="0" w:color="auto"/>
          </w:divBdr>
        </w:div>
        <w:div w:id="885290124">
          <w:marLeft w:val="0"/>
          <w:marRight w:val="0"/>
          <w:marTop w:val="0"/>
          <w:marBottom w:val="0"/>
          <w:divBdr>
            <w:top w:val="none" w:sz="0" w:space="0" w:color="auto"/>
            <w:left w:val="none" w:sz="0" w:space="0" w:color="auto"/>
            <w:bottom w:val="none" w:sz="0" w:space="0" w:color="auto"/>
            <w:right w:val="none" w:sz="0" w:space="0" w:color="auto"/>
          </w:divBdr>
        </w:div>
        <w:div w:id="924191720">
          <w:marLeft w:val="0"/>
          <w:marRight w:val="0"/>
          <w:marTop w:val="0"/>
          <w:marBottom w:val="0"/>
          <w:divBdr>
            <w:top w:val="none" w:sz="0" w:space="0" w:color="auto"/>
            <w:left w:val="none" w:sz="0" w:space="0" w:color="auto"/>
            <w:bottom w:val="none" w:sz="0" w:space="0" w:color="auto"/>
            <w:right w:val="none" w:sz="0" w:space="0" w:color="auto"/>
          </w:divBdr>
        </w:div>
        <w:div w:id="991181664">
          <w:marLeft w:val="0"/>
          <w:marRight w:val="0"/>
          <w:marTop w:val="0"/>
          <w:marBottom w:val="0"/>
          <w:divBdr>
            <w:top w:val="none" w:sz="0" w:space="0" w:color="auto"/>
            <w:left w:val="none" w:sz="0" w:space="0" w:color="auto"/>
            <w:bottom w:val="none" w:sz="0" w:space="0" w:color="auto"/>
            <w:right w:val="none" w:sz="0" w:space="0" w:color="auto"/>
          </w:divBdr>
        </w:div>
        <w:div w:id="1004744900">
          <w:marLeft w:val="0"/>
          <w:marRight w:val="0"/>
          <w:marTop w:val="0"/>
          <w:marBottom w:val="0"/>
          <w:divBdr>
            <w:top w:val="none" w:sz="0" w:space="0" w:color="auto"/>
            <w:left w:val="none" w:sz="0" w:space="0" w:color="auto"/>
            <w:bottom w:val="none" w:sz="0" w:space="0" w:color="auto"/>
            <w:right w:val="none" w:sz="0" w:space="0" w:color="auto"/>
          </w:divBdr>
        </w:div>
        <w:div w:id="1045105259">
          <w:marLeft w:val="0"/>
          <w:marRight w:val="0"/>
          <w:marTop w:val="0"/>
          <w:marBottom w:val="0"/>
          <w:divBdr>
            <w:top w:val="none" w:sz="0" w:space="0" w:color="auto"/>
            <w:left w:val="none" w:sz="0" w:space="0" w:color="auto"/>
            <w:bottom w:val="none" w:sz="0" w:space="0" w:color="auto"/>
            <w:right w:val="none" w:sz="0" w:space="0" w:color="auto"/>
          </w:divBdr>
        </w:div>
        <w:div w:id="1140927475">
          <w:marLeft w:val="0"/>
          <w:marRight w:val="0"/>
          <w:marTop w:val="0"/>
          <w:marBottom w:val="0"/>
          <w:divBdr>
            <w:top w:val="none" w:sz="0" w:space="0" w:color="auto"/>
            <w:left w:val="none" w:sz="0" w:space="0" w:color="auto"/>
            <w:bottom w:val="none" w:sz="0" w:space="0" w:color="auto"/>
            <w:right w:val="none" w:sz="0" w:space="0" w:color="auto"/>
          </w:divBdr>
        </w:div>
        <w:div w:id="1192765373">
          <w:marLeft w:val="0"/>
          <w:marRight w:val="0"/>
          <w:marTop w:val="0"/>
          <w:marBottom w:val="0"/>
          <w:divBdr>
            <w:top w:val="none" w:sz="0" w:space="0" w:color="auto"/>
            <w:left w:val="none" w:sz="0" w:space="0" w:color="auto"/>
            <w:bottom w:val="none" w:sz="0" w:space="0" w:color="auto"/>
            <w:right w:val="none" w:sz="0" w:space="0" w:color="auto"/>
          </w:divBdr>
        </w:div>
        <w:div w:id="1429960248">
          <w:marLeft w:val="0"/>
          <w:marRight w:val="0"/>
          <w:marTop w:val="0"/>
          <w:marBottom w:val="0"/>
          <w:divBdr>
            <w:top w:val="none" w:sz="0" w:space="0" w:color="auto"/>
            <w:left w:val="none" w:sz="0" w:space="0" w:color="auto"/>
            <w:bottom w:val="none" w:sz="0" w:space="0" w:color="auto"/>
            <w:right w:val="none" w:sz="0" w:space="0" w:color="auto"/>
          </w:divBdr>
        </w:div>
        <w:div w:id="1456096082">
          <w:marLeft w:val="0"/>
          <w:marRight w:val="0"/>
          <w:marTop w:val="0"/>
          <w:marBottom w:val="0"/>
          <w:divBdr>
            <w:top w:val="none" w:sz="0" w:space="0" w:color="auto"/>
            <w:left w:val="none" w:sz="0" w:space="0" w:color="auto"/>
            <w:bottom w:val="none" w:sz="0" w:space="0" w:color="auto"/>
            <w:right w:val="none" w:sz="0" w:space="0" w:color="auto"/>
          </w:divBdr>
        </w:div>
        <w:div w:id="1471898409">
          <w:marLeft w:val="0"/>
          <w:marRight w:val="0"/>
          <w:marTop w:val="0"/>
          <w:marBottom w:val="0"/>
          <w:divBdr>
            <w:top w:val="none" w:sz="0" w:space="0" w:color="auto"/>
            <w:left w:val="none" w:sz="0" w:space="0" w:color="auto"/>
            <w:bottom w:val="none" w:sz="0" w:space="0" w:color="auto"/>
            <w:right w:val="none" w:sz="0" w:space="0" w:color="auto"/>
          </w:divBdr>
        </w:div>
        <w:div w:id="1502544793">
          <w:marLeft w:val="0"/>
          <w:marRight w:val="0"/>
          <w:marTop w:val="0"/>
          <w:marBottom w:val="0"/>
          <w:divBdr>
            <w:top w:val="none" w:sz="0" w:space="0" w:color="auto"/>
            <w:left w:val="none" w:sz="0" w:space="0" w:color="auto"/>
            <w:bottom w:val="none" w:sz="0" w:space="0" w:color="auto"/>
            <w:right w:val="none" w:sz="0" w:space="0" w:color="auto"/>
          </w:divBdr>
        </w:div>
        <w:div w:id="1643577714">
          <w:marLeft w:val="0"/>
          <w:marRight w:val="0"/>
          <w:marTop w:val="0"/>
          <w:marBottom w:val="0"/>
          <w:divBdr>
            <w:top w:val="none" w:sz="0" w:space="0" w:color="auto"/>
            <w:left w:val="none" w:sz="0" w:space="0" w:color="auto"/>
            <w:bottom w:val="none" w:sz="0" w:space="0" w:color="auto"/>
            <w:right w:val="none" w:sz="0" w:space="0" w:color="auto"/>
          </w:divBdr>
        </w:div>
        <w:div w:id="1771855699">
          <w:marLeft w:val="0"/>
          <w:marRight w:val="0"/>
          <w:marTop w:val="0"/>
          <w:marBottom w:val="0"/>
          <w:divBdr>
            <w:top w:val="none" w:sz="0" w:space="0" w:color="auto"/>
            <w:left w:val="none" w:sz="0" w:space="0" w:color="auto"/>
            <w:bottom w:val="none" w:sz="0" w:space="0" w:color="auto"/>
            <w:right w:val="none" w:sz="0" w:space="0" w:color="auto"/>
          </w:divBdr>
        </w:div>
        <w:div w:id="1803763370">
          <w:marLeft w:val="0"/>
          <w:marRight w:val="0"/>
          <w:marTop w:val="0"/>
          <w:marBottom w:val="0"/>
          <w:divBdr>
            <w:top w:val="none" w:sz="0" w:space="0" w:color="auto"/>
            <w:left w:val="none" w:sz="0" w:space="0" w:color="auto"/>
            <w:bottom w:val="none" w:sz="0" w:space="0" w:color="auto"/>
            <w:right w:val="none" w:sz="0" w:space="0" w:color="auto"/>
          </w:divBdr>
        </w:div>
      </w:divsChild>
    </w:div>
    <w:div w:id="1404328211">
      <w:bodyDiv w:val="1"/>
      <w:marLeft w:val="0"/>
      <w:marRight w:val="0"/>
      <w:marTop w:val="0"/>
      <w:marBottom w:val="0"/>
      <w:divBdr>
        <w:top w:val="none" w:sz="0" w:space="0" w:color="auto"/>
        <w:left w:val="none" w:sz="0" w:space="0" w:color="auto"/>
        <w:bottom w:val="none" w:sz="0" w:space="0" w:color="auto"/>
        <w:right w:val="none" w:sz="0" w:space="0" w:color="auto"/>
      </w:divBdr>
    </w:div>
    <w:div w:id="1405180954">
      <w:bodyDiv w:val="1"/>
      <w:marLeft w:val="0"/>
      <w:marRight w:val="0"/>
      <w:marTop w:val="0"/>
      <w:marBottom w:val="0"/>
      <w:divBdr>
        <w:top w:val="none" w:sz="0" w:space="0" w:color="auto"/>
        <w:left w:val="none" w:sz="0" w:space="0" w:color="auto"/>
        <w:bottom w:val="none" w:sz="0" w:space="0" w:color="auto"/>
        <w:right w:val="none" w:sz="0" w:space="0" w:color="auto"/>
      </w:divBdr>
    </w:div>
    <w:div w:id="1410153417">
      <w:bodyDiv w:val="1"/>
      <w:marLeft w:val="0"/>
      <w:marRight w:val="0"/>
      <w:marTop w:val="0"/>
      <w:marBottom w:val="0"/>
      <w:divBdr>
        <w:top w:val="none" w:sz="0" w:space="0" w:color="auto"/>
        <w:left w:val="none" w:sz="0" w:space="0" w:color="auto"/>
        <w:bottom w:val="none" w:sz="0" w:space="0" w:color="auto"/>
        <w:right w:val="none" w:sz="0" w:space="0" w:color="auto"/>
      </w:divBdr>
    </w:div>
    <w:div w:id="1419520665">
      <w:bodyDiv w:val="1"/>
      <w:marLeft w:val="0"/>
      <w:marRight w:val="0"/>
      <w:marTop w:val="0"/>
      <w:marBottom w:val="0"/>
      <w:divBdr>
        <w:top w:val="none" w:sz="0" w:space="0" w:color="auto"/>
        <w:left w:val="none" w:sz="0" w:space="0" w:color="auto"/>
        <w:bottom w:val="none" w:sz="0" w:space="0" w:color="auto"/>
        <w:right w:val="none" w:sz="0" w:space="0" w:color="auto"/>
      </w:divBdr>
    </w:div>
    <w:div w:id="1426802518">
      <w:bodyDiv w:val="1"/>
      <w:marLeft w:val="0"/>
      <w:marRight w:val="0"/>
      <w:marTop w:val="0"/>
      <w:marBottom w:val="0"/>
      <w:divBdr>
        <w:top w:val="none" w:sz="0" w:space="0" w:color="auto"/>
        <w:left w:val="none" w:sz="0" w:space="0" w:color="auto"/>
        <w:bottom w:val="none" w:sz="0" w:space="0" w:color="auto"/>
        <w:right w:val="none" w:sz="0" w:space="0" w:color="auto"/>
      </w:divBdr>
    </w:div>
    <w:div w:id="1426875865">
      <w:bodyDiv w:val="1"/>
      <w:marLeft w:val="0"/>
      <w:marRight w:val="0"/>
      <w:marTop w:val="0"/>
      <w:marBottom w:val="0"/>
      <w:divBdr>
        <w:top w:val="none" w:sz="0" w:space="0" w:color="auto"/>
        <w:left w:val="none" w:sz="0" w:space="0" w:color="auto"/>
        <w:bottom w:val="none" w:sz="0" w:space="0" w:color="auto"/>
        <w:right w:val="none" w:sz="0" w:space="0" w:color="auto"/>
      </w:divBdr>
    </w:div>
    <w:div w:id="1428767636">
      <w:bodyDiv w:val="1"/>
      <w:marLeft w:val="0"/>
      <w:marRight w:val="0"/>
      <w:marTop w:val="0"/>
      <w:marBottom w:val="0"/>
      <w:divBdr>
        <w:top w:val="none" w:sz="0" w:space="0" w:color="auto"/>
        <w:left w:val="none" w:sz="0" w:space="0" w:color="auto"/>
        <w:bottom w:val="none" w:sz="0" w:space="0" w:color="auto"/>
        <w:right w:val="none" w:sz="0" w:space="0" w:color="auto"/>
      </w:divBdr>
      <w:divsChild>
        <w:div w:id="197861606">
          <w:marLeft w:val="0"/>
          <w:marRight w:val="0"/>
          <w:marTop w:val="0"/>
          <w:marBottom w:val="0"/>
          <w:divBdr>
            <w:top w:val="none" w:sz="0" w:space="0" w:color="auto"/>
            <w:left w:val="none" w:sz="0" w:space="0" w:color="auto"/>
            <w:bottom w:val="none" w:sz="0" w:space="0" w:color="auto"/>
            <w:right w:val="none" w:sz="0" w:space="0" w:color="auto"/>
          </w:divBdr>
        </w:div>
        <w:div w:id="601954894">
          <w:marLeft w:val="0"/>
          <w:marRight w:val="0"/>
          <w:marTop w:val="0"/>
          <w:marBottom w:val="0"/>
          <w:divBdr>
            <w:top w:val="none" w:sz="0" w:space="0" w:color="auto"/>
            <w:left w:val="none" w:sz="0" w:space="0" w:color="auto"/>
            <w:bottom w:val="none" w:sz="0" w:space="0" w:color="auto"/>
            <w:right w:val="none" w:sz="0" w:space="0" w:color="auto"/>
          </w:divBdr>
        </w:div>
        <w:div w:id="685014777">
          <w:marLeft w:val="0"/>
          <w:marRight w:val="0"/>
          <w:marTop w:val="0"/>
          <w:marBottom w:val="0"/>
          <w:divBdr>
            <w:top w:val="none" w:sz="0" w:space="0" w:color="auto"/>
            <w:left w:val="none" w:sz="0" w:space="0" w:color="auto"/>
            <w:bottom w:val="none" w:sz="0" w:space="0" w:color="auto"/>
            <w:right w:val="none" w:sz="0" w:space="0" w:color="auto"/>
          </w:divBdr>
        </w:div>
        <w:div w:id="815758759">
          <w:marLeft w:val="0"/>
          <w:marRight w:val="0"/>
          <w:marTop w:val="0"/>
          <w:marBottom w:val="0"/>
          <w:divBdr>
            <w:top w:val="none" w:sz="0" w:space="0" w:color="auto"/>
            <w:left w:val="none" w:sz="0" w:space="0" w:color="auto"/>
            <w:bottom w:val="none" w:sz="0" w:space="0" w:color="auto"/>
            <w:right w:val="none" w:sz="0" w:space="0" w:color="auto"/>
          </w:divBdr>
        </w:div>
        <w:div w:id="842663257">
          <w:marLeft w:val="0"/>
          <w:marRight w:val="0"/>
          <w:marTop w:val="0"/>
          <w:marBottom w:val="0"/>
          <w:divBdr>
            <w:top w:val="none" w:sz="0" w:space="0" w:color="auto"/>
            <w:left w:val="none" w:sz="0" w:space="0" w:color="auto"/>
            <w:bottom w:val="none" w:sz="0" w:space="0" w:color="auto"/>
            <w:right w:val="none" w:sz="0" w:space="0" w:color="auto"/>
          </w:divBdr>
        </w:div>
        <w:div w:id="1028071170">
          <w:marLeft w:val="0"/>
          <w:marRight w:val="0"/>
          <w:marTop w:val="0"/>
          <w:marBottom w:val="0"/>
          <w:divBdr>
            <w:top w:val="none" w:sz="0" w:space="0" w:color="auto"/>
            <w:left w:val="none" w:sz="0" w:space="0" w:color="auto"/>
            <w:bottom w:val="none" w:sz="0" w:space="0" w:color="auto"/>
            <w:right w:val="none" w:sz="0" w:space="0" w:color="auto"/>
          </w:divBdr>
        </w:div>
        <w:div w:id="1392730127">
          <w:marLeft w:val="0"/>
          <w:marRight w:val="0"/>
          <w:marTop w:val="0"/>
          <w:marBottom w:val="0"/>
          <w:divBdr>
            <w:top w:val="none" w:sz="0" w:space="0" w:color="auto"/>
            <w:left w:val="none" w:sz="0" w:space="0" w:color="auto"/>
            <w:bottom w:val="none" w:sz="0" w:space="0" w:color="auto"/>
            <w:right w:val="none" w:sz="0" w:space="0" w:color="auto"/>
          </w:divBdr>
        </w:div>
        <w:div w:id="1653368994">
          <w:marLeft w:val="0"/>
          <w:marRight w:val="0"/>
          <w:marTop w:val="0"/>
          <w:marBottom w:val="0"/>
          <w:divBdr>
            <w:top w:val="none" w:sz="0" w:space="0" w:color="auto"/>
            <w:left w:val="none" w:sz="0" w:space="0" w:color="auto"/>
            <w:bottom w:val="none" w:sz="0" w:space="0" w:color="auto"/>
            <w:right w:val="none" w:sz="0" w:space="0" w:color="auto"/>
          </w:divBdr>
        </w:div>
      </w:divsChild>
    </w:div>
    <w:div w:id="1431269739">
      <w:bodyDiv w:val="1"/>
      <w:marLeft w:val="0"/>
      <w:marRight w:val="0"/>
      <w:marTop w:val="0"/>
      <w:marBottom w:val="0"/>
      <w:divBdr>
        <w:top w:val="none" w:sz="0" w:space="0" w:color="auto"/>
        <w:left w:val="none" w:sz="0" w:space="0" w:color="auto"/>
        <w:bottom w:val="none" w:sz="0" w:space="0" w:color="auto"/>
        <w:right w:val="none" w:sz="0" w:space="0" w:color="auto"/>
      </w:divBdr>
    </w:div>
    <w:div w:id="1435204414">
      <w:bodyDiv w:val="1"/>
      <w:marLeft w:val="0"/>
      <w:marRight w:val="0"/>
      <w:marTop w:val="0"/>
      <w:marBottom w:val="0"/>
      <w:divBdr>
        <w:top w:val="none" w:sz="0" w:space="0" w:color="auto"/>
        <w:left w:val="none" w:sz="0" w:space="0" w:color="auto"/>
        <w:bottom w:val="none" w:sz="0" w:space="0" w:color="auto"/>
        <w:right w:val="none" w:sz="0" w:space="0" w:color="auto"/>
      </w:divBdr>
    </w:div>
    <w:div w:id="1439906079">
      <w:bodyDiv w:val="1"/>
      <w:marLeft w:val="0"/>
      <w:marRight w:val="0"/>
      <w:marTop w:val="0"/>
      <w:marBottom w:val="0"/>
      <w:divBdr>
        <w:top w:val="none" w:sz="0" w:space="0" w:color="auto"/>
        <w:left w:val="none" w:sz="0" w:space="0" w:color="auto"/>
        <w:bottom w:val="none" w:sz="0" w:space="0" w:color="auto"/>
        <w:right w:val="none" w:sz="0" w:space="0" w:color="auto"/>
      </w:divBdr>
    </w:div>
    <w:div w:id="1441415378">
      <w:bodyDiv w:val="1"/>
      <w:marLeft w:val="0"/>
      <w:marRight w:val="0"/>
      <w:marTop w:val="0"/>
      <w:marBottom w:val="0"/>
      <w:divBdr>
        <w:top w:val="none" w:sz="0" w:space="0" w:color="auto"/>
        <w:left w:val="none" w:sz="0" w:space="0" w:color="auto"/>
        <w:bottom w:val="none" w:sz="0" w:space="0" w:color="auto"/>
        <w:right w:val="none" w:sz="0" w:space="0" w:color="auto"/>
      </w:divBdr>
    </w:div>
    <w:div w:id="1443766417">
      <w:bodyDiv w:val="1"/>
      <w:marLeft w:val="0"/>
      <w:marRight w:val="0"/>
      <w:marTop w:val="0"/>
      <w:marBottom w:val="0"/>
      <w:divBdr>
        <w:top w:val="none" w:sz="0" w:space="0" w:color="auto"/>
        <w:left w:val="none" w:sz="0" w:space="0" w:color="auto"/>
        <w:bottom w:val="none" w:sz="0" w:space="0" w:color="auto"/>
        <w:right w:val="none" w:sz="0" w:space="0" w:color="auto"/>
      </w:divBdr>
    </w:div>
    <w:div w:id="1446846428">
      <w:bodyDiv w:val="1"/>
      <w:marLeft w:val="0"/>
      <w:marRight w:val="0"/>
      <w:marTop w:val="0"/>
      <w:marBottom w:val="0"/>
      <w:divBdr>
        <w:top w:val="none" w:sz="0" w:space="0" w:color="auto"/>
        <w:left w:val="none" w:sz="0" w:space="0" w:color="auto"/>
        <w:bottom w:val="none" w:sz="0" w:space="0" w:color="auto"/>
        <w:right w:val="none" w:sz="0" w:space="0" w:color="auto"/>
      </w:divBdr>
    </w:div>
    <w:div w:id="1448114041">
      <w:bodyDiv w:val="1"/>
      <w:marLeft w:val="0"/>
      <w:marRight w:val="0"/>
      <w:marTop w:val="0"/>
      <w:marBottom w:val="0"/>
      <w:divBdr>
        <w:top w:val="none" w:sz="0" w:space="0" w:color="auto"/>
        <w:left w:val="none" w:sz="0" w:space="0" w:color="auto"/>
        <w:bottom w:val="none" w:sz="0" w:space="0" w:color="auto"/>
        <w:right w:val="none" w:sz="0" w:space="0" w:color="auto"/>
      </w:divBdr>
    </w:div>
    <w:div w:id="1450082127">
      <w:bodyDiv w:val="1"/>
      <w:marLeft w:val="0"/>
      <w:marRight w:val="0"/>
      <w:marTop w:val="0"/>
      <w:marBottom w:val="0"/>
      <w:divBdr>
        <w:top w:val="none" w:sz="0" w:space="0" w:color="auto"/>
        <w:left w:val="none" w:sz="0" w:space="0" w:color="auto"/>
        <w:bottom w:val="none" w:sz="0" w:space="0" w:color="auto"/>
        <w:right w:val="none" w:sz="0" w:space="0" w:color="auto"/>
      </w:divBdr>
    </w:div>
    <w:div w:id="1451972041">
      <w:bodyDiv w:val="1"/>
      <w:marLeft w:val="0"/>
      <w:marRight w:val="0"/>
      <w:marTop w:val="0"/>
      <w:marBottom w:val="0"/>
      <w:divBdr>
        <w:top w:val="none" w:sz="0" w:space="0" w:color="auto"/>
        <w:left w:val="none" w:sz="0" w:space="0" w:color="auto"/>
        <w:bottom w:val="none" w:sz="0" w:space="0" w:color="auto"/>
        <w:right w:val="none" w:sz="0" w:space="0" w:color="auto"/>
      </w:divBdr>
    </w:div>
    <w:div w:id="1453013995">
      <w:bodyDiv w:val="1"/>
      <w:marLeft w:val="0"/>
      <w:marRight w:val="0"/>
      <w:marTop w:val="0"/>
      <w:marBottom w:val="0"/>
      <w:divBdr>
        <w:top w:val="none" w:sz="0" w:space="0" w:color="auto"/>
        <w:left w:val="none" w:sz="0" w:space="0" w:color="auto"/>
        <w:bottom w:val="none" w:sz="0" w:space="0" w:color="auto"/>
        <w:right w:val="none" w:sz="0" w:space="0" w:color="auto"/>
      </w:divBdr>
    </w:div>
    <w:div w:id="1453594521">
      <w:bodyDiv w:val="1"/>
      <w:marLeft w:val="0"/>
      <w:marRight w:val="0"/>
      <w:marTop w:val="0"/>
      <w:marBottom w:val="0"/>
      <w:divBdr>
        <w:top w:val="none" w:sz="0" w:space="0" w:color="auto"/>
        <w:left w:val="none" w:sz="0" w:space="0" w:color="auto"/>
        <w:bottom w:val="none" w:sz="0" w:space="0" w:color="auto"/>
        <w:right w:val="none" w:sz="0" w:space="0" w:color="auto"/>
      </w:divBdr>
    </w:div>
    <w:div w:id="1456828591">
      <w:bodyDiv w:val="1"/>
      <w:marLeft w:val="0"/>
      <w:marRight w:val="0"/>
      <w:marTop w:val="0"/>
      <w:marBottom w:val="0"/>
      <w:divBdr>
        <w:top w:val="none" w:sz="0" w:space="0" w:color="auto"/>
        <w:left w:val="none" w:sz="0" w:space="0" w:color="auto"/>
        <w:bottom w:val="none" w:sz="0" w:space="0" w:color="auto"/>
        <w:right w:val="none" w:sz="0" w:space="0" w:color="auto"/>
      </w:divBdr>
    </w:div>
    <w:div w:id="1459643962">
      <w:bodyDiv w:val="1"/>
      <w:marLeft w:val="0"/>
      <w:marRight w:val="0"/>
      <w:marTop w:val="0"/>
      <w:marBottom w:val="0"/>
      <w:divBdr>
        <w:top w:val="none" w:sz="0" w:space="0" w:color="auto"/>
        <w:left w:val="none" w:sz="0" w:space="0" w:color="auto"/>
        <w:bottom w:val="none" w:sz="0" w:space="0" w:color="auto"/>
        <w:right w:val="none" w:sz="0" w:space="0" w:color="auto"/>
      </w:divBdr>
    </w:div>
    <w:div w:id="1463496825">
      <w:bodyDiv w:val="1"/>
      <w:marLeft w:val="0"/>
      <w:marRight w:val="0"/>
      <w:marTop w:val="0"/>
      <w:marBottom w:val="0"/>
      <w:divBdr>
        <w:top w:val="none" w:sz="0" w:space="0" w:color="auto"/>
        <w:left w:val="none" w:sz="0" w:space="0" w:color="auto"/>
        <w:bottom w:val="none" w:sz="0" w:space="0" w:color="auto"/>
        <w:right w:val="none" w:sz="0" w:space="0" w:color="auto"/>
      </w:divBdr>
    </w:div>
    <w:div w:id="1474299281">
      <w:bodyDiv w:val="1"/>
      <w:marLeft w:val="0"/>
      <w:marRight w:val="0"/>
      <w:marTop w:val="0"/>
      <w:marBottom w:val="0"/>
      <w:divBdr>
        <w:top w:val="none" w:sz="0" w:space="0" w:color="auto"/>
        <w:left w:val="none" w:sz="0" w:space="0" w:color="auto"/>
        <w:bottom w:val="none" w:sz="0" w:space="0" w:color="auto"/>
        <w:right w:val="none" w:sz="0" w:space="0" w:color="auto"/>
      </w:divBdr>
    </w:div>
    <w:div w:id="1481121118">
      <w:bodyDiv w:val="1"/>
      <w:marLeft w:val="0"/>
      <w:marRight w:val="0"/>
      <w:marTop w:val="0"/>
      <w:marBottom w:val="0"/>
      <w:divBdr>
        <w:top w:val="none" w:sz="0" w:space="0" w:color="auto"/>
        <w:left w:val="none" w:sz="0" w:space="0" w:color="auto"/>
        <w:bottom w:val="none" w:sz="0" w:space="0" w:color="auto"/>
        <w:right w:val="none" w:sz="0" w:space="0" w:color="auto"/>
      </w:divBdr>
    </w:div>
    <w:div w:id="1481534507">
      <w:bodyDiv w:val="1"/>
      <w:marLeft w:val="0"/>
      <w:marRight w:val="0"/>
      <w:marTop w:val="0"/>
      <w:marBottom w:val="0"/>
      <w:divBdr>
        <w:top w:val="none" w:sz="0" w:space="0" w:color="auto"/>
        <w:left w:val="none" w:sz="0" w:space="0" w:color="auto"/>
        <w:bottom w:val="none" w:sz="0" w:space="0" w:color="auto"/>
        <w:right w:val="none" w:sz="0" w:space="0" w:color="auto"/>
      </w:divBdr>
    </w:div>
    <w:div w:id="1481573850">
      <w:bodyDiv w:val="1"/>
      <w:marLeft w:val="0"/>
      <w:marRight w:val="0"/>
      <w:marTop w:val="0"/>
      <w:marBottom w:val="0"/>
      <w:divBdr>
        <w:top w:val="none" w:sz="0" w:space="0" w:color="auto"/>
        <w:left w:val="none" w:sz="0" w:space="0" w:color="auto"/>
        <w:bottom w:val="none" w:sz="0" w:space="0" w:color="auto"/>
        <w:right w:val="none" w:sz="0" w:space="0" w:color="auto"/>
      </w:divBdr>
    </w:div>
    <w:div w:id="1482113172">
      <w:bodyDiv w:val="1"/>
      <w:marLeft w:val="0"/>
      <w:marRight w:val="0"/>
      <w:marTop w:val="0"/>
      <w:marBottom w:val="0"/>
      <w:divBdr>
        <w:top w:val="none" w:sz="0" w:space="0" w:color="auto"/>
        <w:left w:val="none" w:sz="0" w:space="0" w:color="auto"/>
        <w:bottom w:val="none" w:sz="0" w:space="0" w:color="auto"/>
        <w:right w:val="none" w:sz="0" w:space="0" w:color="auto"/>
      </w:divBdr>
    </w:div>
    <w:div w:id="1490898204">
      <w:bodyDiv w:val="1"/>
      <w:marLeft w:val="0"/>
      <w:marRight w:val="0"/>
      <w:marTop w:val="0"/>
      <w:marBottom w:val="0"/>
      <w:divBdr>
        <w:top w:val="none" w:sz="0" w:space="0" w:color="auto"/>
        <w:left w:val="none" w:sz="0" w:space="0" w:color="auto"/>
        <w:bottom w:val="none" w:sz="0" w:space="0" w:color="auto"/>
        <w:right w:val="none" w:sz="0" w:space="0" w:color="auto"/>
      </w:divBdr>
    </w:div>
    <w:div w:id="1495876945">
      <w:bodyDiv w:val="1"/>
      <w:marLeft w:val="0"/>
      <w:marRight w:val="0"/>
      <w:marTop w:val="0"/>
      <w:marBottom w:val="0"/>
      <w:divBdr>
        <w:top w:val="none" w:sz="0" w:space="0" w:color="auto"/>
        <w:left w:val="none" w:sz="0" w:space="0" w:color="auto"/>
        <w:bottom w:val="none" w:sz="0" w:space="0" w:color="auto"/>
        <w:right w:val="none" w:sz="0" w:space="0" w:color="auto"/>
      </w:divBdr>
    </w:div>
    <w:div w:id="1498302175">
      <w:bodyDiv w:val="1"/>
      <w:marLeft w:val="0"/>
      <w:marRight w:val="0"/>
      <w:marTop w:val="0"/>
      <w:marBottom w:val="0"/>
      <w:divBdr>
        <w:top w:val="none" w:sz="0" w:space="0" w:color="auto"/>
        <w:left w:val="none" w:sz="0" w:space="0" w:color="auto"/>
        <w:bottom w:val="none" w:sz="0" w:space="0" w:color="auto"/>
        <w:right w:val="none" w:sz="0" w:space="0" w:color="auto"/>
      </w:divBdr>
    </w:div>
    <w:div w:id="1503012501">
      <w:bodyDiv w:val="1"/>
      <w:marLeft w:val="0"/>
      <w:marRight w:val="0"/>
      <w:marTop w:val="0"/>
      <w:marBottom w:val="0"/>
      <w:divBdr>
        <w:top w:val="none" w:sz="0" w:space="0" w:color="auto"/>
        <w:left w:val="none" w:sz="0" w:space="0" w:color="auto"/>
        <w:bottom w:val="none" w:sz="0" w:space="0" w:color="auto"/>
        <w:right w:val="none" w:sz="0" w:space="0" w:color="auto"/>
      </w:divBdr>
    </w:div>
    <w:div w:id="1503931150">
      <w:bodyDiv w:val="1"/>
      <w:marLeft w:val="0"/>
      <w:marRight w:val="0"/>
      <w:marTop w:val="0"/>
      <w:marBottom w:val="0"/>
      <w:divBdr>
        <w:top w:val="none" w:sz="0" w:space="0" w:color="auto"/>
        <w:left w:val="none" w:sz="0" w:space="0" w:color="auto"/>
        <w:bottom w:val="none" w:sz="0" w:space="0" w:color="auto"/>
        <w:right w:val="none" w:sz="0" w:space="0" w:color="auto"/>
      </w:divBdr>
    </w:div>
    <w:div w:id="1508056217">
      <w:bodyDiv w:val="1"/>
      <w:marLeft w:val="0"/>
      <w:marRight w:val="0"/>
      <w:marTop w:val="0"/>
      <w:marBottom w:val="0"/>
      <w:divBdr>
        <w:top w:val="none" w:sz="0" w:space="0" w:color="auto"/>
        <w:left w:val="none" w:sz="0" w:space="0" w:color="auto"/>
        <w:bottom w:val="none" w:sz="0" w:space="0" w:color="auto"/>
        <w:right w:val="none" w:sz="0" w:space="0" w:color="auto"/>
      </w:divBdr>
    </w:div>
    <w:div w:id="1508984476">
      <w:bodyDiv w:val="1"/>
      <w:marLeft w:val="0"/>
      <w:marRight w:val="0"/>
      <w:marTop w:val="0"/>
      <w:marBottom w:val="0"/>
      <w:divBdr>
        <w:top w:val="none" w:sz="0" w:space="0" w:color="auto"/>
        <w:left w:val="none" w:sz="0" w:space="0" w:color="auto"/>
        <w:bottom w:val="none" w:sz="0" w:space="0" w:color="auto"/>
        <w:right w:val="none" w:sz="0" w:space="0" w:color="auto"/>
      </w:divBdr>
    </w:div>
    <w:div w:id="1512718984">
      <w:bodyDiv w:val="1"/>
      <w:marLeft w:val="0"/>
      <w:marRight w:val="0"/>
      <w:marTop w:val="0"/>
      <w:marBottom w:val="0"/>
      <w:divBdr>
        <w:top w:val="none" w:sz="0" w:space="0" w:color="auto"/>
        <w:left w:val="none" w:sz="0" w:space="0" w:color="auto"/>
        <w:bottom w:val="none" w:sz="0" w:space="0" w:color="auto"/>
        <w:right w:val="none" w:sz="0" w:space="0" w:color="auto"/>
      </w:divBdr>
    </w:div>
    <w:div w:id="1514488634">
      <w:bodyDiv w:val="1"/>
      <w:marLeft w:val="0"/>
      <w:marRight w:val="0"/>
      <w:marTop w:val="0"/>
      <w:marBottom w:val="0"/>
      <w:divBdr>
        <w:top w:val="none" w:sz="0" w:space="0" w:color="auto"/>
        <w:left w:val="none" w:sz="0" w:space="0" w:color="auto"/>
        <w:bottom w:val="none" w:sz="0" w:space="0" w:color="auto"/>
        <w:right w:val="none" w:sz="0" w:space="0" w:color="auto"/>
      </w:divBdr>
      <w:divsChild>
        <w:div w:id="506988560">
          <w:marLeft w:val="0"/>
          <w:marRight w:val="0"/>
          <w:marTop w:val="0"/>
          <w:marBottom w:val="0"/>
          <w:divBdr>
            <w:top w:val="none" w:sz="0" w:space="0" w:color="auto"/>
            <w:left w:val="none" w:sz="0" w:space="0" w:color="auto"/>
            <w:bottom w:val="none" w:sz="0" w:space="0" w:color="auto"/>
            <w:right w:val="none" w:sz="0" w:space="0" w:color="auto"/>
          </w:divBdr>
        </w:div>
        <w:div w:id="1536314172">
          <w:marLeft w:val="0"/>
          <w:marRight w:val="0"/>
          <w:marTop w:val="0"/>
          <w:marBottom w:val="0"/>
          <w:divBdr>
            <w:top w:val="none" w:sz="0" w:space="0" w:color="auto"/>
            <w:left w:val="none" w:sz="0" w:space="0" w:color="auto"/>
            <w:bottom w:val="none" w:sz="0" w:space="0" w:color="auto"/>
            <w:right w:val="none" w:sz="0" w:space="0" w:color="auto"/>
          </w:divBdr>
        </w:div>
        <w:div w:id="1540163874">
          <w:marLeft w:val="0"/>
          <w:marRight w:val="0"/>
          <w:marTop w:val="0"/>
          <w:marBottom w:val="0"/>
          <w:divBdr>
            <w:top w:val="none" w:sz="0" w:space="0" w:color="auto"/>
            <w:left w:val="none" w:sz="0" w:space="0" w:color="auto"/>
            <w:bottom w:val="none" w:sz="0" w:space="0" w:color="auto"/>
            <w:right w:val="none" w:sz="0" w:space="0" w:color="auto"/>
          </w:divBdr>
        </w:div>
        <w:div w:id="1746224294">
          <w:marLeft w:val="0"/>
          <w:marRight w:val="0"/>
          <w:marTop w:val="0"/>
          <w:marBottom w:val="0"/>
          <w:divBdr>
            <w:top w:val="none" w:sz="0" w:space="0" w:color="auto"/>
            <w:left w:val="none" w:sz="0" w:space="0" w:color="auto"/>
            <w:bottom w:val="none" w:sz="0" w:space="0" w:color="auto"/>
            <w:right w:val="none" w:sz="0" w:space="0" w:color="auto"/>
          </w:divBdr>
        </w:div>
      </w:divsChild>
    </w:div>
    <w:div w:id="1516187785">
      <w:bodyDiv w:val="1"/>
      <w:marLeft w:val="0"/>
      <w:marRight w:val="0"/>
      <w:marTop w:val="0"/>
      <w:marBottom w:val="0"/>
      <w:divBdr>
        <w:top w:val="none" w:sz="0" w:space="0" w:color="auto"/>
        <w:left w:val="none" w:sz="0" w:space="0" w:color="auto"/>
        <w:bottom w:val="none" w:sz="0" w:space="0" w:color="auto"/>
        <w:right w:val="none" w:sz="0" w:space="0" w:color="auto"/>
      </w:divBdr>
    </w:div>
    <w:div w:id="1520925518">
      <w:bodyDiv w:val="1"/>
      <w:marLeft w:val="0"/>
      <w:marRight w:val="0"/>
      <w:marTop w:val="0"/>
      <w:marBottom w:val="0"/>
      <w:divBdr>
        <w:top w:val="none" w:sz="0" w:space="0" w:color="auto"/>
        <w:left w:val="none" w:sz="0" w:space="0" w:color="auto"/>
        <w:bottom w:val="none" w:sz="0" w:space="0" w:color="auto"/>
        <w:right w:val="none" w:sz="0" w:space="0" w:color="auto"/>
      </w:divBdr>
    </w:div>
    <w:div w:id="1522669843">
      <w:bodyDiv w:val="1"/>
      <w:marLeft w:val="0"/>
      <w:marRight w:val="0"/>
      <w:marTop w:val="0"/>
      <w:marBottom w:val="0"/>
      <w:divBdr>
        <w:top w:val="none" w:sz="0" w:space="0" w:color="auto"/>
        <w:left w:val="none" w:sz="0" w:space="0" w:color="auto"/>
        <w:bottom w:val="none" w:sz="0" w:space="0" w:color="auto"/>
        <w:right w:val="none" w:sz="0" w:space="0" w:color="auto"/>
      </w:divBdr>
    </w:div>
    <w:div w:id="1525095151">
      <w:bodyDiv w:val="1"/>
      <w:marLeft w:val="0"/>
      <w:marRight w:val="0"/>
      <w:marTop w:val="0"/>
      <w:marBottom w:val="0"/>
      <w:divBdr>
        <w:top w:val="none" w:sz="0" w:space="0" w:color="auto"/>
        <w:left w:val="none" w:sz="0" w:space="0" w:color="auto"/>
        <w:bottom w:val="none" w:sz="0" w:space="0" w:color="auto"/>
        <w:right w:val="none" w:sz="0" w:space="0" w:color="auto"/>
      </w:divBdr>
    </w:div>
    <w:div w:id="1526554706">
      <w:bodyDiv w:val="1"/>
      <w:marLeft w:val="0"/>
      <w:marRight w:val="0"/>
      <w:marTop w:val="0"/>
      <w:marBottom w:val="0"/>
      <w:divBdr>
        <w:top w:val="none" w:sz="0" w:space="0" w:color="auto"/>
        <w:left w:val="none" w:sz="0" w:space="0" w:color="auto"/>
        <w:bottom w:val="none" w:sz="0" w:space="0" w:color="auto"/>
        <w:right w:val="none" w:sz="0" w:space="0" w:color="auto"/>
      </w:divBdr>
    </w:div>
    <w:div w:id="1531652241">
      <w:bodyDiv w:val="1"/>
      <w:marLeft w:val="0"/>
      <w:marRight w:val="0"/>
      <w:marTop w:val="0"/>
      <w:marBottom w:val="0"/>
      <w:divBdr>
        <w:top w:val="none" w:sz="0" w:space="0" w:color="auto"/>
        <w:left w:val="none" w:sz="0" w:space="0" w:color="auto"/>
        <w:bottom w:val="none" w:sz="0" w:space="0" w:color="auto"/>
        <w:right w:val="none" w:sz="0" w:space="0" w:color="auto"/>
      </w:divBdr>
    </w:div>
    <w:div w:id="1533492102">
      <w:bodyDiv w:val="1"/>
      <w:marLeft w:val="0"/>
      <w:marRight w:val="0"/>
      <w:marTop w:val="0"/>
      <w:marBottom w:val="0"/>
      <w:divBdr>
        <w:top w:val="none" w:sz="0" w:space="0" w:color="auto"/>
        <w:left w:val="none" w:sz="0" w:space="0" w:color="auto"/>
        <w:bottom w:val="none" w:sz="0" w:space="0" w:color="auto"/>
        <w:right w:val="none" w:sz="0" w:space="0" w:color="auto"/>
      </w:divBdr>
    </w:div>
    <w:div w:id="1534342966">
      <w:bodyDiv w:val="1"/>
      <w:marLeft w:val="0"/>
      <w:marRight w:val="0"/>
      <w:marTop w:val="0"/>
      <w:marBottom w:val="0"/>
      <w:divBdr>
        <w:top w:val="none" w:sz="0" w:space="0" w:color="auto"/>
        <w:left w:val="none" w:sz="0" w:space="0" w:color="auto"/>
        <w:bottom w:val="none" w:sz="0" w:space="0" w:color="auto"/>
        <w:right w:val="none" w:sz="0" w:space="0" w:color="auto"/>
      </w:divBdr>
    </w:div>
    <w:div w:id="1534688473">
      <w:bodyDiv w:val="1"/>
      <w:marLeft w:val="0"/>
      <w:marRight w:val="0"/>
      <w:marTop w:val="0"/>
      <w:marBottom w:val="0"/>
      <w:divBdr>
        <w:top w:val="none" w:sz="0" w:space="0" w:color="auto"/>
        <w:left w:val="none" w:sz="0" w:space="0" w:color="auto"/>
        <w:bottom w:val="none" w:sz="0" w:space="0" w:color="auto"/>
        <w:right w:val="none" w:sz="0" w:space="0" w:color="auto"/>
      </w:divBdr>
    </w:div>
    <w:div w:id="1535465556">
      <w:bodyDiv w:val="1"/>
      <w:marLeft w:val="0"/>
      <w:marRight w:val="0"/>
      <w:marTop w:val="0"/>
      <w:marBottom w:val="0"/>
      <w:divBdr>
        <w:top w:val="none" w:sz="0" w:space="0" w:color="auto"/>
        <w:left w:val="none" w:sz="0" w:space="0" w:color="auto"/>
        <w:bottom w:val="none" w:sz="0" w:space="0" w:color="auto"/>
        <w:right w:val="none" w:sz="0" w:space="0" w:color="auto"/>
      </w:divBdr>
    </w:div>
    <w:div w:id="1539048623">
      <w:bodyDiv w:val="1"/>
      <w:marLeft w:val="0"/>
      <w:marRight w:val="0"/>
      <w:marTop w:val="0"/>
      <w:marBottom w:val="0"/>
      <w:divBdr>
        <w:top w:val="none" w:sz="0" w:space="0" w:color="auto"/>
        <w:left w:val="none" w:sz="0" w:space="0" w:color="auto"/>
        <w:bottom w:val="none" w:sz="0" w:space="0" w:color="auto"/>
        <w:right w:val="none" w:sz="0" w:space="0" w:color="auto"/>
      </w:divBdr>
    </w:div>
    <w:div w:id="1542010558">
      <w:bodyDiv w:val="1"/>
      <w:marLeft w:val="0"/>
      <w:marRight w:val="0"/>
      <w:marTop w:val="0"/>
      <w:marBottom w:val="0"/>
      <w:divBdr>
        <w:top w:val="none" w:sz="0" w:space="0" w:color="auto"/>
        <w:left w:val="none" w:sz="0" w:space="0" w:color="auto"/>
        <w:bottom w:val="none" w:sz="0" w:space="0" w:color="auto"/>
        <w:right w:val="none" w:sz="0" w:space="0" w:color="auto"/>
      </w:divBdr>
      <w:divsChild>
        <w:div w:id="828594131">
          <w:marLeft w:val="0"/>
          <w:marRight w:val="0"/>
          <w:marTop w:val="0"/>
          <w:marBottom w:val="0"/>
          <w:divBdr>
            <w:top w:val="none" w:sz="0" w:space="0" w:color="auto"/>
            <w:left w:val="none" w:sz="0" w:space="0" w:color="auto"/>
            <w:bottom w:val="none" w:sz="0" w:space="0" w:color="auto"/>
            <w:right w:val="none" w:sz="0" w:space="0" w:color="auto"/>
          </w:divBdr>
        </w:div>
      </w:divsChild>
    </w:div>
    <w:div w:id="1542087050">
      <w:bodyDiv w:val="1"/>
      <w:marLeft w:val="0"/>
      <w:marRight w:val="0"/>
      <w:marTop w:val="0"/>
      <w:marBottom w:val="0"/>
      <w:divBdr>
        <w:top w:val="none" w:sz="0" w:space="0" w:color="auto"/>
        <w:left w:val="none" w:sz="0" w:space="0" w:color="auto"/>
        <w:bottom w:val="none" w:sz="0" w:space="0" w:color="auto"/>
        <w:right w:val="none" w:sz="0" w:space="0" w:color="auto"/>
      </w:divBdr>
    </w:div>
    <w:div w:id="1551720507">
      <w:bodyDiv w:val="1"/>
      <w:marLeft w:val="0"/>
      <w:marRight w:val="0"/>
      <w:marTop w:val="0"/>
      <w:marBottom w:val="0"/>
      <w:divBdr>
        <w:top w:val="none" w:sz="0" w:space="0" w:color="auto"/>
        <w:left w:val="none" w:sz="0" w:space="0" w:color="auto"/>
        <w:bottom w:val="none" w:sz="0" w:space="0" w:color="auto"/>
        <w:right w:val="none" w:sz="0" w:space="0" w:color="auto"/>
      </w:divBdr>
    </w:div>
    <w:div w:id="1551845969">
      <w:bodyDiv w:val="1"/>
      <w:marLeft w:val="0"/>
      <w:marRight w:val="0"/>
      <w:marTop w:val="0"/>
      <w:marBottom w:val="0"/>
      <w:divBdr>
        <w:top w:val="none" w:sz="0" w:space="0" w:color="auto"/>
        <w:left w:val="none" w:sz="0" w:space="0" w:color="auto"/>
        <w:bottom w:val="none" w:sz="0" w:space="0" w:color="auto"/>
        <w:right w:val="none" w:sz="0" w:space="0" w:color="auto"/>
      </w:divBdr>
    </w:div>
    <w:div w:id="1553301254">
      <w:bodyDiv w:val="1"/>
      <w:marLeft w:val="0"/>
      <w:marRight w:val="0"/>
      <w:marTop w:val="0"/>
      <w:marBottom w:val="0"/>
      <w:divBdr>
        <w:top w:val="none" w:sz="0" w:space="0" w:color="auto"/>
        <w:left w:val="none" w:sz="0" w:space="0" w:color="auto"/>
        <w:bottom w:val="none" w:sz="0" w:space="0" w:color="auto"/>
        <w:right w:val="none" w:sz="0" w:space="0" w:color="auto"/>
      </w:divBdr>
    </w:div>
    <w:div w:id="1557887880">
      <w:bodyDiv w:val="1"/>
      <w:marLeft w:val="0"/>
      <w:marRight w:val="0"/>
      <w:marTop w:val="0"/>
      <w:marBottom w:val="0"/>
      <w:divBdr>
        <w:top w:val="none" w:sz="0" w:space="0" w:color="auto"/>
        <w:left w:val="none" w:sz="0" w:space="0" w:color="auto"/>
        <w:bottom w:val="none" w:sz="0" w:space="0" w:color="auto"/>
        <w:right w:val="none" w:sz="0" w:space="0" w:color="auto"/>
      </w:divBdr>
    </w:div>
    <w:div w:id="1559979205">
      <w:bodyDiv w:val="1"/>
      <w:marLeft w:val="0"/>
      <w:marRight w:val="0"/>
      <w:marTop w:val="0"/>
      <w:marBottom w:val="0"/>
      <w:divBdr>
        <w:top w:val="none" w:sz="0" w:space="0" w:color="auto"/>
        <w:left w:val="none" w:sz="0" w:space="0" w:color="auto"/>
        <w:bottom w:val="none" w:sz="0" w:space="0" w:color="auto"/>
        <w:right w:val="none" w:sz="0" w:space="0" w:color="auto"/>
      </w:divBdr>
    </w:div>
    <w:div w:id="1560362458">
      <w:bodyDiv w:val="1"/>
      <w:marLeft w:val="0"/>
      <w:marRight w:val="0"/>
      <w:marTop w:val="0"/>
      <w:marBottom w:val="0"/>
      <w:divBdr>
        <w:top w:val="none" w:sz="0" w:space="0" w:color="auto"/>
        <w:left w:val="none" w:sz="0" w:space="0" w:color="auto"/>
        <w:bottom w:val="none" w:sz="0" w:space="0" w:color="auto"/>
        <w:right w:val="none" w:sz="0" w:space="0" w:color="auto"/>
      </w:divBdr>
    </w:div>
    <w:div w:id="1561213355">
      <w:bodyDiv w:val="1"/>
      <w:marLeft w:val="0"/>
      <w:marRight w:val="0"/>
      <w:marTop w:val="0"/>
      <w:marBottom w:val="0"/>
      <w:divBdr>
        <w:top w:val="none" w:sz="0" w:space="0" w:color="auto"/>
        <w:left w:val="none" w:sz="0" w:space="0" w:color="auto"/>
        <w:bottom w:val="none" w:sz="0" w:space="0" w:color="auto"/>
        <w:right w:val="none" w:sz="0" w:space="0" w:color="auto"/>
      </w:divBdr>
    </w:div>
    <w:div w:id="1562252631">
      <w:bodyDiv w:val="1"/>
      <w:marLeft w:val="0"/>
      <w:marRight w:val="0"/>
      <w:marTop w:val="0"/>
      <w:marBottom w:val="0"/>
      <w:divBdr>
        <w:top w:val="none" w:sz="0" w:space="0" w:color="auto"/>
        <w:left w:val="none" w:sz="0" w:space="0" w:color="auto"/>
        <w:bottom w:val="none" w:sz="0" w:space="0" w:color="auto"/>
        <w:right w:val="none" w:sz="0" w:space="0" w:color="auto"/>
      </w:divBdr>
    </w:div>
    <w:div w:id="1562668245">
      <w:bodyDiv w:val="1"/>
      <w:marLeft w:val="0"/>
      <w:marRight w:val="0"/>
      <w:marTop w:val="0"/>
      <w:marBottom w:val="0"/>
      <w:divBdr>
        <w:top w:val="none" w:sz="0" w:space="0" w:color="auto"/>
        <w:left w:val="none" w:sz="0" w:space="0" w:color="auto"/>
        <w:bottom w:val="none" w:sz="0" w:space="0" w:color="auto"/>
        <w:right w:val="none" w:sz="0" w:space="0" w:color="auto"/>
      </w:divBdr>
    </w:div>
    <w:div w:id="1563053002">
      <w:bodyDiv w:val="1"/>
      <w:marLeft w:val="0"/>
      <w:marRight w:val="0"/>
      <w:marTop w:val="0"/>
      <w:marBottom w:val="0"/>
      <w:divBdr>
        <w:top w:val="none" w:sz="0" w:space="0" w:color="auto"/>
        <w:left w:val="none" w:sz="0" w:space="0" w:color="auto"/>
        <w:bottom w:val="none" w:sz="0" w:space="0" w:color="auto"/>
        <w:right w:val="none" w:sz="0" w:space="0" w:color="auto"/>
      </w:divBdr>
    </w:div>
    <w:div w:id="1563327101">
      <w:bodyDiv w:val="1"/>
      <w:marLeft w:val="0"/>
      <w:marRight w:val="0"/>
      <w:marTop w:val="0"/>
      <w:marBottom w:val="0"/>
      <w:divBdr>
        <w:top w:val="none" w:sz="0" w:space="0" w:color="auto"/>
        <w:left w:val="none" w:sz="0" w:space="0" w:color="auto"/>
        <w:bottom w:val="none" w:sz="0" w:space="0" w:color="auto"/>
        <w:right w:val="none" w:sz="0" w:space="0" w:color="auto"/>
      </w:divBdr>
    </w:div>
    <w:div w:id="1570192880">
      <w:bodyDiv w:val="1"/>
      <w:marLeft w:val="0"/>
      <w:marRight w:val="0"/>
      <w:marTop w:val="0"/>
      <w:marBottom w:val="0"/>
      <w:divBdr>
        <w:top w:val="none" w:sz="0" w:space="0" w:color="auto"/>
        <w:left w:val="none" w:sz="0" w:space="0" w:color="auto"/>
        <w:bottom w:val="none" w:sz="0" w:space="0" w:color="auto"/>
        <w:right w:val="none" w:sz="0" w:space="0" w:color="auto"/>
      </w:divBdr>
      <w:divsChild>
        <w:div w:id="175190489">
          <w:marLeft w:val="0"/>
          <w:marRight w:val="0"/>
          <w:marTop w:val="0"/>
          <w:marBottom w:val="0"/>
          <w:divBdr>
            <w:top w:val="none" w:sz="0" w:space="0" w:color="auto"/>
            <w:left w:val="none" w:sz="0" w:space="0" w:color="auto"/>
            <w:bottom w:val="none" w:sz="0" w:space="0" w:color="auto"/>
            <w:right w:val="none" w:sz="0" w:space="0" w:color="auto"/>
          </w:divBdr>
        </w:div>
        <w:div w:id="1159882779">
          <w:marLeft w:val="0"/>
          <w:marRight w:val="0"/>
          <w:marTop w:val="0"/>
          <w:marBottom w:val="0"/>
          <w:divBdr>
            <w:top w:val="none" w:sz="0" w:space="0" w:color="auto"/>
            <w:left w:val="none" w:sz="0" w:space="0" w:color="auto"/>
            <w:bottom w:val="none" w:sz="0" w:space="0" w:color="auto"/>
            <w:right w:val="none" w:sz="0" w:space="0" w:color="auto"/>
          </w:divBdr>
        </w:div>
        <w:div w:id="1418750425">
          <w:marLeft w:val="0"/>
          <w:marRight w:val="0"/>
          <w:marTop w:val="0"/>
          <w:marBottom w:val="0"/>
          <w:divBdr>
            <w:top w:val="none" w:sz="0" w:space="0" w:color="auto"/>
            <w:left w:val="none" w:sz="0" w:space="0" w:color="auto"/>
            <w:bottom w:val="none" w:sz="0" w:space="0" w:color="auto"/>
            <w:right w:val="none" w:sz="0" w:space="0" w:color="auto"/>
          </w:divBdr>
        </w:div>
        <w:div w:id="1516921554">
          <w:marLeft w:val="0"/>
          <w:marRight w:val="0"/>
          <w:marTop w:val="0"/>
          <w:marBottom w:val="0"/>
          <w:divBdr>
            <w:top w:val="none" w:sz="0" w:space="0" w:color="auto"/>
            <w:left w:val="none" w:sz="0" w:space="0" w:color="auto"/>
            <w:bottom w:val="none" w:sz="0" w:space="0" w:color="auto"/>
            <w:right w:val="none" w:sz="0" w:space="0" w:color="auto"/>
          </w:divBdr>
        </w:div>
      </w:divsChild>
    </w:div>
    <w:div w:id="1574974611">
      <w:bodyDiv w:val="1"/>
      <w:marLeft w:val="0"/>
      <w:marRight w:val="0"/>
      <w:marTop w:val="0"/>
      <w:marBottom w:val="0"/>
      <w:divBdr>
        <w:top w:val="none" w:sz="0" w:space="0" w:color="auto"/>
        <w:left w:val="none" w:sz="0" w:space="0" w:color="auto"/>
        <w:bottom w:val="none" w:sz="0" w:space="0" w:color="auto"/>
        <w:right w:val="none" w:sz="0" w:space="0" w:color="auto"/>
      </w:divBdr>
    </w:div>
    <w:div w:id="1576041489">
      <w:bodyDiv w:val="1"/>
      <w:marLeft w:val="0"/>
      <w:marRight w:val="0"/>
      <w:marTop w:val="0"/>
      <w:marBottom w:val="0"/>
      <w:divBdr>
        <w:top w:val="none" w:sz="0" w:space="0" w:color="auto"/>
        <w:left w:val="none" w:sz="0" w:space="0" w:color="auto"/>
        <w:bottom w:val="none" w:sz="0" w:space="0" w:color="auto"/>
        <w:right w:val="none" w:sz="0" w:space="0" w:color="auto"/>
      </w:divBdr>
    </w:div>
    <w:div w:id="1579367367">
      <w:bodyDiv w:val="1"/>
      <w:marLeft w:val="0"/>
      <w:marRight w:val="0"/>
      <w:marTop w:val="0"/>
      <w:marBottom w:val="0"/>
      <w:divBdr>
        <w:top w:val="none" w:sz="0" w:space="0" w:color="auto"/>
        <w:left w:val="none" w:sz="0" w:space="0" w:color="auto"/>
        <w:bottom w:val="none" w:sz="0" w:space="0" w:color="auto"/>
        <w:right w:val="none" w:sz="0" w:space="0" w:color="auto"/>
      </w:divBdr>
    </w:div>
    <w:div w:id="1580216797">
      <w:bodyDiv w:val="1"/>
      <w:marLeft w:val="0"/>
      <w:marRight w:val="0"/>
      <w:marTop w:val="0"/>
      <w:marBottom w:val="0"/>
      <w:divBdr>
        <w:top w:val="none" w:sz="0" w:space="0" w:color="auto"/>
        <w:left w:val="none" w:sz="0" w:space="0" w:color="auto"/>
        <w:bottom w:val="none" w:sz="0" w:space="0" w:color="auto"/>
        <w:right w:val="none" w:sz="0" w:space="0" w:color="auto"/>
      </w:divBdr>
    </w:div>
    <w:div w:id="1584022259">
      <w:bodyDiv w:val="1"/>
      <w:marLeft w:val="0"/>
      <w:marRight w:val="0"/>
      <w:marTop w:val="0"/>
      <w:marBottom w:val="0"/>
      <w:divBdr>
        <w:top w:val="none" w:sz="0" w:space="0" w:color="auto"/>
        <w:left w:val="none" w:sz="0" w:space="0" w:color="auto"/>
        <w:bottom w:val="none" w:sz="0" w:space="0" w:color="auto"/>
        <w:right w:val="none" w:sz="0" w:space="0" w:color="auto"/>
      </w:divBdr>
    </w:div>
    <w:div w:id="1588885373">
      <w:bodyDiv w:val="1"/>
      <w:marLeft w:val="0"/>
      <w:marRight w:val="0"/>
      <w:marTop w:val="0"/>
      <w:marBottom w:val="0"/>
      <w:divBdr>
        <w:top w:val="none" w:sz="0" w:space="0" w:color="auto"/>
        <w:left w:val="none" w:sz="0" w:space="0" w:color="auto"/>
        <w:bottom w:val="none" w:sz="0" w:space="0" w:color="auto"/>
        <w:right w:val="none" w:sz="0" w:space="0" w:color="auto"/>
      </w:divBdr>
    </w:div>
    <w:div w:id="1589803291">
      <w:bodyDiv w:val="1"/>
      <w:marLeft w:val="0"/>
      <w:marRight w:val="0"/>
      <w:marTop w:val="0"/>
      <w:marBottom w:val="0"/>
      <w:divBdr>
        <w:top w:val="none" w:sz="0" w:space="0" w:color="auto"/>
        <w:left w:val="none" w:sz="0" w:space="0" w:color="auto"/>
        <w:bottom w:val="none" w:sz="0" w:space="0" w:color="auto"/>
        <w:right w:val="none" w:sz="0" w:space="0" w:color="auto"/>
      </w:divBdr>
    </w:div>
    <w:div w:id="1590894199">
      <w:bodyDiv w:val="1"/>
      <w:marLeft w:val="0"/>
      <w:marRight w:val="0"/>
      <w:marTop w:val="0"/>
      <w:marBottom w:val="0"/>
      <w:divBdr>
        <w:top w:val="none" w:sz="0" w:space="0" w:color="auto"/>
        <w:left w:val="none" w:sz="0" w:space="0" w:color="auto"/>
        <w:bottom w:val="none" w:sz="0" w:space="0" w:color="auto"/>
        <w:right w:val="none" w:sz="0" w:space="0" w:color="auto"/>
      </w:divBdr>
    </w:div>
    <w:div w:id="1593467049">
      <w:bodyDiv w:val="1"/>
      <w:marLeft w:val="0"/>
      <w:marRight w:val="0"/>
      <w:marTop w:val="0"/>
      <w:marBottom w:val="0"/>
      <w:divBdr>
        <w:top w:val="none" w:sz="0" w:space="0" w:color="auto"/>
        <w:left w:val="none" w:sz="0" w:space="0" w:color="auto"/>
        <w:bottom w:val="none" w:sz="0" w:space="0" w:color="auto"/>
        <w:right w:val="none" w:sz="0" w:space="0" w:color="auto"/>
      </w:divBdr>
    </w:div>
    <w:div w:id="1595280462">
      <w:bodyDiv w:val="1"/>
      <w:marLeft w:val="0"/>
      <w:marRight w:val="0"/>
      <w:marTop w:val="0"/>
      <w:marBottom w:val="0"/>
      <w:divBdr>
        <w:top w:val="none" w:sz="0" w:space="0" w:color="auto"/>
        <w:left w:val="none" w:sz="0" w:space="0" w:color="auto"/>
        <w:bottom w:val="none" w:sz="0" w:space="0" w:color="auto"/>
        <w:right w:val="none" w:sz="0" w:space="0" w:color="auto"/>
      </w:divBdr>
    </w:div>
    <w:div w:id="1597056786">
      <w:bodyDiv w:val="1"/>
      <w:marLeft w:val="0"/>
      <w:marRight w:val="0"/>
      <w:marTop w:val="0"/>
      <w:marBottom w:val="0"/>
      <w:divBdr>
        <w:top w:val="none" w:sz="0" w:space="0" w:color="auto"/>
        <w:left w:val="none" w:sz="0" w:space="0" w:color="auto"/>
        <w:bottom w:val="none" w:sz="0" w:space="0" w:color="auto"/>
        <w:right w:val="none" w:sz="0" w:space="0" w:color="auto"/>
      </w:divBdr>
    </w:div>
    <w:div w:id="1597981588">
      <w:bodyDiv w:val="1"/>
      <w:marLeft w:val="0"/>
      <w:marRight w:val="0"/>
      <w:marTop w:val="0"/>
      <w:marBottom w:val="0"/>
      <w:divBdr>
        <w:top w:val="none" w:sz="0" w:space="0" w:color="auto"/>
        <w:left w:val="none" w:sz="0" w:space="0" w:color="auto"/>
        <w:bottom w:val="none" w:sz="0" w:space="0" w:color="auto"/>
        <w:right w:val="none" w:sz="0" w:space="0" w:color="auto"/>
      </w:divBdr>
    </w:div>
    <w:div w:id="1599410758">
      <w:bodyDiv w:val="1"/>
      <w:marLeft w:val="0"/>
      <w:marRight w:val="0"/>
      <w:marTop w:val="0"/>
      <w:marBottom w:val="0"/>
      <w:divBdr>
        <w:top w:val="none" w:sz="0" w:space="0" w:color="auto"/>
        <w:left w:val="none" w:sz="0" w:space="0" w:color="auto"/>
        <w:bottom w:val="none" w:sz="0" w:space="0" w:color="auto"/>
        <w:right w:val="none" w:sz="0" w:space="0" w:color="auto"/>
      </w:divBdr>
    </w:div>
    <w:div w:id="1601136643">
      <w:bodyDiv w:val="1"/>
      <w:marLeft w:val="0"/>
      <w:marRight w:val="0"/>
      <w:marTop w:val="0"/>
      <w:marBottom w:val="0"/>
      <w:divBdr>
        <w:top w:val="none" w:sz="0" w:space="0" w:color="auto"/>
        <w:left w:val="none" w:sz="0" w:space="0" w:color="auto"/>
        <w:bottom w:val="none" w:sz="0" w:space="0" w:color="auto"/>
        <w:right w:val="none" w:sz="0" w:space="0" w:color="auto"/>
      </w:divBdr>
    </w:div>
    <w:div w:id="1608582724">
      <w:bodyDiv w:val="1"/>
      <w:marLeft w:val="0"/>
      <w:marRight w:val="0"/>
      <w:marTop w:val="0"/>
      <w:marBottom w:val="0"/>
      <w:divBdr>
        <w:top w:val="none" w:sz="0" w:space="0" w:color="auto"/>
        <w:left w:val="none" w:sz="0" w:space="0" w:color="auto"/>
        <w:bottom w:val="none" w:sz="0" w:space="0" w:color="auto"/>
        <w:right w:val="none" w:sz="0" w:space="0" w:color="auto"/>
      </w:divBdr>
    </w:div>
    <w:div w:id="1609312519">
      <w:bodyDiv w:val="1"/>
      <w:marLeft w:val="0"/>
      <w:marRight w:val="0"/>
      <w:marTop w:val="0"/>
      <w:marBottom w:val="0"/>
      <w:divBdr>
        <w:top w:val="none" w:sz="0" w:space="0" w:color="auto"/>
        <w:left w:val="none" w:sz="0" w:space="0" w:color="auto"/>
        <w:bottom w:val="none" w:sz="0" w:space="0" w:color="auto"/>
        <w:right w:val="none" w:sz="0" w:space="0" w:color="auto"/>
      </w:divBdr>
    </w:div>
    <w:div w:id="1612735678">
      <w:bodyDiv w:val="1"/>
      <w:marLeft w:val="0"/>
      <w:marRight w:val="0"/>
      <w:marTop w:val="0"/>
      <w:marBottom w:val="0"/>
      <w:divBdr>
        <w:top w:val="none" w:sz="0" w:space="0" w:color="auto"/>
        <w:left w:val="none" w:sz="0" w:space="0" w:color="auto"/>
        <w:bottom w:val="none" w:sz="0" w:space="0" w:color="auto"/>
        <w:right w:val="none" w:sz="0" w:space="0" w:color="auto"/>
      </w:divBdr>
    </w:div>
    <w:div w:id="1614286783">
      <w:bodyDiv w:val="1"/>
      <w:marLeft w:val="0"/>
      <w:marRight w:val="0"/>
      <w:marTop w:val="0"/>
      <w:marBottom w:val="0"/>
      <w:divBdr>
        <w:top w:val="none" w:sz="0" w:space="0" w:color="auto"/>
        <w:left w:val="none" w:sz="0" w:space="0" w:color="auto"/>
        <w:bottom w:val="none" w:sz="0" w:space="0" w:color="auto"/>
        <w:right w:val="none" w:sz="0" w:space="0" w:color="auto"/>
      </w:divBdr>
    </w:div>
    <w:div w:id="1617254799">
      <w:bodyDiv w:val="1"/>
      <w:marLeft w:val="0"/>
      <w:marRight w:val="0"/>
      <w:marTop w:val="0"/>
      <w:marBottom w:val="0"/>
      <w:divBdr>
        <w:top w:val="none" w:sz="0" w:space="0" w:color="auto"/>
        <w:left w:val="none" w:sz="0" w:space="0" w:color="auto"/>
        <w:bottom w:val="none" w:sz="0" w:space="0" w:color="auto"/>
        <w:right w:val="none" w:sz="0" w:space="0" w:color="auto"/>
      </w:divBdr>
    </w:div>
    <w:div w:id="1626960820">
      <w:bodyDiv w:val="1"/>
      <w:marLeft w:val="0"/>
      <w:marRight w:val="0"/>
      <w:marTop w:val="0"/>
      <w:marBottom w:val="0"/>
      <w:divBdr>
        <w:top w:val="none" w:sz="0" w:space="0" w:color="auto"/>
        <w:left w:val="none" w:sz="0" w:space="0" w:color="auto"/>
        <w:bottom w:val="none" w:sz="0" w:space="0" w:color="auto"/>
        <w:right w:val="none" w:sz="0" w:space="0" w:color="auto"/>
      </w:divBdr>
    </w:div>
    <w:div w:id="1627858380">
      <w:bodyDiv w:val="1"/>
      <w:marLeft w:val="0"/>
      <w:marRight w:val="0"/>
      <w:marTop w:val="0"/>
      <w:marBottom w:val="0"/>
      <w:divBdr>
        <w:top w:val="none" w:sz="0" w:space="0" w:color="auto"/>
        <w:left w:val="none" w:sz="0" w:space="0" w:color="auto"/>
        <w:bottom w:val="none" w:sz="0" w:space="0" w:color="auto"/>
        <w:right w:val="none" w:sz="0" w:space="0" w:color="auto"/>
      </w:divBdr>
    </w:div>
    <w:div w:id="1628661463">
      <w:bodyDiv w:val="1"/>
      <w:marLeft w:val="0"/>
      <w:marRight w:val="0"/>
      <w:marTop w:val="0"/>
      <w:marBottom w:val="0"/>
      <w:divBdr>
        <w:top w:val="none" w:sz="0" w:space="0" w:color="auto"/>
        <w:left w:val="none" w:sz="0" w:space="0" w:color="auto"/>
        <w:bottom w:val="none" w:sz="0" w:space="0" w:color="auto"/>
        <w:right w:val="none" w:sz="0" w:space="0" w:color="auto"/>
      </w:divBdr>
    </w:div>
    <w:div w:id="1628928951">
      <w:bodyDiv w:val="1"/>
      <w:marLeft w:val="0"/>
      <w:marRight w:val="0"/>
      <w:marTop w:val="0"/>
      <w:marBottom w:val="0"/>
      <w:divBdr>
        <w:top w:val="none" w:sz="0" w:space="0" w:color="auto"/>
        <w:left w:val="none" w:sz="0" w:space="0" w:color="auto"/>
        <w:bottom w:val="none" w:sz="0" w:space="0" w:color="auto"/>
        <w:right w:val="none" w:sz="0" w:space="0" w:color="auto"/>
      </w:divBdr>
    </w:div>
    <w:div w:id="1629893355">
      <w:bodyDiv w:val="1"/>
      <w:marLeft w:val="0"/>
      <w:marRight w:val="0"/>
      <w:marTop w:val="0"/>
      <w:marBottom w:val="0"/>
      <w:divBdr>
        <w:top w:val="none" w:sz="0" w:space="0" w:color="auto"/>
        <w:left w:val="none" w:sz="0" w:space="0" w:color="auto"/>
        <w:bottom w:val="none" w:sz="0" w:space="0" w:color="auto"/>
        <w:right w:val="none" w:sz="0" w:space="0" w:color="auto"/>
      </w:divBdr>
    </w:div>
    <w:div w:id="1629965741">
      <w:bodyDiv w:val="1"/>
      <w:marLeft w:val="0"/>
      <w:marRight w:val="0"/>
      <w:marTop w:val="0"/>
      <w:marBottom w:val="0"/>
      <w:divBdr>
        <w:top w:val="none" w:sz="0" w:space="0" w:color="auto"/>
        <w:left w:val="none" w:sz="0" w:space="0" w:color="auto"/>
        <w:bottom w:val="none" w:sz="0" w:space="0" w:color="auto"/>
        <w:right w:val="none" w:sz="0" w:space="0" w:color="auto"/>
      </w:divBdr>
    </w:div>
    <w:div w:id="1630085958">
      <w:bodyDiv w:val="1"/>
      <w:marLeft w:val="0"/>
      <w:marRight w:val="0"/>
      <w:marTop w:val="0"/>
      <w:marBottom w:val="0"/>
      <w:divBdr>
        <w:top w:val="none" w:sz="0" w:space="0" w:color="auto"/>
        <w:left w:val="none" w:sz="0" w:space="0" w:color="auto"/>
        <w:bottom w:val="none" w:sz="0" w:space="0" w:color="auto"/>
        <w:right w:val="none" w:sz="0" w:space="0" w:color="auto"/>
      </w:divBdr>
    </w:div>
    <w:div w:id="1630739248">
      <w:bodyDiv w:val="1"/>
      <w:marLeft w:val="0"/>
      <w:marRight w:val="0"/>
      <w:marTop w:val="0"/>
      <w:marBottom w:val="0"/>
      <w:divBdr>
        <w:top w:val="none" w:sz="0" w:space="0" w:color="auto"/>
        <w:left w:val="none" w:sz="0" w:space="0" w:color="auto"/>
        <w:bottom w:val="none" w:sz="0" w:space="0" w:color="auto"/>
        <w:right w:val="none" w:sz="0" w:space="0" w:color="auto"/>
      </w:divBdr>
    </w:div>
    <w:div w:id="1630739573">
      <w:bodyDiv w:val="1"/>
      <w:marLeft w:val="0"/>
      <w:marRight w:val="0"/>
      <w:marTop w:val="0"/>
      <w:marBottom w:val="0"/>
      <w:divBdr>
        <w:top w:val="none" w:sz="0" w:space="0" w:color="auto"/>
        <w:left w:val="none" w:sz="0" w:space="0" w:color="auto"/>
        <w:bottom w:val="none" w:sz="0" w:space="0" w:color="auto"/>
        <w:right w:val="none" w:sz="0" w:space="0" w:color="auto"/>
      </w:divBdr>
    </w:div>
    <w:div w:id="1632831156">
      <w:bodyDiv w:val="1"/>
      <w:marLeft w:val="0"/>
      <w:marRight w:val="0"/>
      <w:marTop w:val="0"/>
      <w:marBottom w:val="0"/>
      <w:divBdr>
        <w:top w:val="none" w:sz="0" w:space="0" w:color="auto"/>
        <w:left w:val="none" w:sz="0" w:space="0" w:color="auto"/>
        <w:bottom w:val="none" w:sz="0" w:space="0" w:color="auto"/>
        <w:right w:val="none" w:sz="0" w:space="0" w:color="auto"/>
      </w:divBdr>
    </w:div>
    <w:div w:id="1640839055">
      <w:bodyDiv w:val="1"/>
      <w:marLeft w:val="0"/>
      <w:marRight w:val="0"/>
      <w:marTop w:val="0"/>
      <w:marBottom w:val="0"/>
      <w:divBdr>
        <w:top w:val="none" w:sz="0" w:space="0" w:color="auto"/>
        <w:left w:val="none" w:sz="0" w:space="0" w:color="auto"/>
        <w:bottom w:val="none" w:sz="0" w:space="0" w:color="auto"/>
        <w:right w:val="none" w:sz="0" w:space="0" w:color="auto"/>
      </w:divBdr>
    </w:div>
    <w:div w:id="1641106793">
      <w:bodyDiv w:val="1"/>
      <w:marLeft w:val="0"/>
      <w:marRight w:val="0"/>
      <w:marTop w:val="0"/>
      <w:marBottom w:val="0"/>
      <w:divBdr>
        <w:top w:val="none" w:sz="0" w:space="0" w:color="auto"/>
        <w:left w:val="none" w:sz="0" w:space="0" w:color="auto"/>
        <w:bottom w:val="none" w:sz="0" w:space="0" w:color="auto"/>
        <w:right w:val="none" w:sz="0" w:space="0" w:color="auto"/>
      </w:divBdr>
    </w:div>
    <w:div w:id="1642729148">
      <w:bodyDiv w:val="1"/>
      <w:marLeft w:val="0"/>
      <w:marRight w:val="0"/>
      <w:marTop w:val="0"/>
      <w:marBottom w:val="0"/>
      <w:divBdr>
        <w:top w:val="none" w:sz="0" w:space="0" w:color="auto"/>
        <w:left w:val="none" w:sz="0" w:space="0" w:color="auto"/>
        <w:bottom w:val="none" w:sz="0" w:space="0" w:color="auto"/>
        <w:right w:val="none" w:sz="0" w:space="0" w:color="auto"/>
      </w:divBdr>
    </w:div>
    <w:div w:id="1643851384">
      <w:bodyDiv w:val="1"/>
      <w:marLeft w:val="0"/>
      <w:marRight w:val="0"/>
      <w:marTop w:val="0"/>
      <w:marBottom w:val="0"/>
      <w:divBdr>
        <w:top w:val="none" w:sz="0" w:space="0" w:color="auto"/>
        <w:left w:val="none" w:sz="0" w:space="0" w:color="auto"/>
        <w:bottom w:val="none" w:sz="0" w:space="0" w:color="auto"/>
        <w:right w:val="none" w:sz="0" w:space="0" w:color="auto"/>
      </w:divBdr>
    </w:div>
    <w:div w:id="1645310051">
      <w:bodyDiv w:val="1"/>
      <w:marLeft w:val="0"/>
      <w:marRight w:val="0"/>
      <w:marTop w:val="0"/>
      <w:marBottom w:val="0"/>
      <w:divBdr>
        <w:top w:val="none" w:sz="0" w:space="0" w:color="auto"/>
        <w:left w:val="none" w:sz="0" w:space="0" w:color="auto"/>
        <w:bottom w:val="none" w:sz="0" w:space="0" w:color="auto"/>
        <w:right w:val="none" w:sz="0" w:space="0" w:color="auto"/>
      </w:divBdr>
    </w:div>
    <w:div w:id="1648124009">
      <w:bodyDiv w:val="1"/>
      <w:marLeft w:val="0"/>
      <w:marRight w:val="0"/>
      <w:marTop w:val="0"/>
      <w:marBottom w:val="0"/>
      <w:divBdr>
        <w:top w:val="none" w:sz="0" w:space="0" w:color="auto"/>
        <w:left w:val="none" w:sz="0" w:space="0" w:color="auto"/>
        <w:bottom w:val="none" w:sz="0" w:space="0" w:color="auto"/>
        <w:right w:val="none" w:sz="0" w:space="0" w:color="auto"/>
      </w:divBdr>
    </w:div>
    <w:div w:id="1649092599">
      <w:bodyDiv w:val="1"/>
      <w:marLeft w:val="0"/>
      <w:marRight w:val="0"/>
      <w:marTop w:val="0"/>
      <w:marBottom w:val="0"/>
      <w:divBdr>
        <w:top w:val="none" w:sz="0" w:space="0" w:color="auto"/>
        <w:left w:val="none" w:sz="0" w:space="0" w:color="auto"/>
        <w:bottom w:val="none" w:sz="0" w:space="0" w:color="auto"/>
        <w:right w:val="none" w:sz="0" w:space="0" w:color="auto"/>
      </w:divBdr>
    </w:div>
    <w:div w:id="1649238761">
      <w:bodyDiv w:val="1"/>
      <w:marLeft w:val="0"/>
      <w:marRight w:val="0"/>
      <w:marTop w:val="0"/>
      <w:marBottom w:val="0"/>
      <w:divBdr>
        <w:top w:val="none" w:sz="0" w:space="0" w:color="auto"/>
        <w:left w:val="none" w:sz="0" w:space="0" w:color="auto"/>
        <w:bottom w:val="none" w:sz="0" w:space="0" w:color="auto"/>
        <w:right w:val="none" w:sz="0" w:space="0" w:color="auto"/>
      </w:divBdr>
    </w:div>
    <w:div w:id="1656254737">
      <w:bodyDiv w:val="1"/>
      <w:marLeft w:val="0"/>
      <w:marRight w:val="0"/>
      <w:marTop w:val="0"/>
      <w:marBottom w:val="0"/>
      <w:divBdr>
        <w:top w:val="none" w:sz="0" w:space="0" w:color="auto"/>
        <w:left w:val="none" w:sz="0" w:space="0" w:color="auto"/>
        <w:bottom w:val="none" w:sz="0" w:space="0" w:color="auto"/>
        <w:right w:val="none" w:sz="0" w:space="0" w:color="auto"/>
      </w:divBdr>
    </w:div>
    <w:div w:id="1659262967">
      <w:bodyDiv w:val="1"/>
      <w:marLeft w:val="0"/>
      <w:marRight w:val="0"/>
      <w:marTop w:val="0"/>
      <w:marBottom w:val="0"/>
      <w:divBdr>
        <w:top w:val="none" w:sz="0" w:space="0" w:color="auto"/>
        <w:left w:val="none" w:sz="0" w:space="0" w:color="auto"/>
        <w:bottom w:val="none" w:sz="0" w:space="0" w:color="auto"/>
        <w:right w:val="none" w:sz="0" w:space="0" w:color="auto"/>
      </w:divBdr>
    </w:div>
    <w:div w:id="1659263838">
      <w:bodyDiv w:val="1"/>
      <w:marLeft w:val="0"/>
      <w:marRight w:val="0"/>
      <w:marTop w:val="0"/>
      <w:marBottom w:val="0"/>
      <w:divBdr>
        <w:top w:val="none" w:sz="0" w:space="0" w:color="auto"/>
        <w:left w:val="none" w:sz="0" w:space="0" w:color="auto"/>
        <w:bottom w:val="none" w:sz="0" w:space="0" w:color="auto"/>
        <w:right w:val="none" w:sz="0" w:space="0" w:color="auto"/>
      </w:divBdr>
    </w:div>
    <w:div w:id="1664118276">
      <w:bodyDiv w:val="1"/>
      <w:marLeft w:val="0"/>
      <w:marRight w:val="0"/>
      <w:marTop w:val="0"/>
      <w:marBottom w:val="0"/>
      <w:divBdr>
        <w:top w:val="none" w:sz="0" w:space="0" w:color="auto"/>
        <w:left w:val="none" w:sz="0" w:space="0" w:color="auto"/>
        <w:bottom w:val="none" w:sz="0" w:space="0" w:color="auto"/>
        <w:right w:val="none" w:sz="0" w:space="0" w:color="auto"/>
      </w:divBdr>
    </w:div>
    <w:div w:id="1664698465">
      <w:bodyDiv w:val="1"/>
      <w:marLeft w:val="0"/>
      <w:marRight w:val="0"/>
      <w:marTop w:val="0"/>
      <w:marBottom w:val="0"/>
      <w:divBdr>
        <w:top w:val="none" w:sz="0" w:space="0" w:color="auto"/>
        <w:left w:val="none" w:sz="0" w:space="0" w:color="auto"/>
        <w:bottom w:val="none" w:sz="0" w:space="0" w:color="auto"/>
        <w:right w:val="none" w:sz="0" w:space="0" w:color="auto"/>
      </w:divBdr>
    </w:div>
    <w:div w:id="1665468984">
      <w:bodyDiv w:val="1"/>
      <w:marLeft w:val="0"/>
      <w:marRight w:val="0"/>
      <w:marTop w:val="0"/>
      <w:marBottom w:val="0"/>
      <w:divBdr>
        <w:top w:val="none" w:sz="0" w:space="0" w:color="auto"/>
        <w:left w:val="none" w:sz="0" w:space="0" w:color="auto"/>
        <w:bottom w:val="none" w:sz="0" w:space="0" w:color="auto"/>
        <w:right w:val="none" w:sz="0" w:space="0" w:color="auto"/>
      </w:divBdr>
    </w:div>
    <w:div w:id="1667443475">
      <w:bodyDiv w:val="1"/>
      <w:marLeft w:val="0"/>
      <w:marRight w:val="0"/>
      <w:marTop w:val="0"/>
      <w:marBottom w:val="0"/>
      <w:divBdr>
        <w:top w:val="none" w:sz="0" w:space="0" w:color="auto"/>
        <w:left w:val="none" w:sz="0" w:space="0" w:color="auto"/>
        <w:bottom w:val="none" w:sz="0" w:space="0" w:color="auto"/>
        <w:right w:val="none" w:sz="0" w:space="0" w:color="auto"/>
      </w:divBdr>
    </w:div>
    <w:div w:id="1671256931">
      <w:bodyDiv w:val="1"/>
      <w:marLeft w:val="0"/>
      <w:marRight w:val="0"/>
      <w:marTop w:val="0"/>
      <w:marBottom w:val="0"/>
      <w:divBdr>
        <w:top w:val="none" w:sz="0" w:space="0" w:color="auto"/>
        <w:left w:val="none" w:sz="0" w:space="0" w:color="auto"/>
        <w:bottom w:val="none" w:sz="0" w:space="0" w:color="auto"/>
        <w:right w:val="none" w:sz="0" w:space="0" w:color="auto"/>
      </w:divBdr>
    </w:div>
    <w:div w:id="1673294048">
      <w:bodyDiv w:val="1"/>
      <w:marLeft w:val="0"/>
      <w:marRight w:val="0"/>
      <w:marTop w:val="0"/>
      <w:marBottom w:val="0"/>
      <w:divBdr>
        <w:top w:val="none" w:sz="0" w:space="0" w:color="auto"/>
        <w:left w:val="none" w:sz="0" w:space="0" w:color="auto"/>
        <w:bottom w:val="none" w:sz="0" w:space="0" w:color="auto"/>
        <w:right w:val="none" w:sz="0" w:space="0" w:color="auto"/>
      </w:divBdr>
    </w:div>
    <w:div w:id="1674067107">
      <w:bodyDiv w:val="1"/>
      <w:marLeft w:val="0"/>
      <w:marRight w:val="0"/>
      <w:marTop w:val="0"/>
      <w:marBottom w:val="0"/>
      <w:divBdr>
        <w:top w:val="none" w:sz="0" w:space="0" w:color="auto"/>
        <w:left w:val="none" w:sz="0" w:space="0" w:color="auto"/>
        <w:bottom w:val="none" w:sz="0" w:space="0" w:color="auto"/>
        <w:right w:val="none" w:sz="0" w:space="0" w:color="auto"/>
      </w:divBdr>
    </w:div>
    <w:div w:id="1675646917">
      <w:bodyDiv w:val="1"/>
      <w:marLeft w:val="0"/>
      <w:marRight w:val="0"/>
      <w:marTop w:val="0"/>
      <w:marBottom w:val="0"/>
      <w:divBdr>
        <w:top w:val="none" w:sz="0" w:space="0" w:color="auto"/>
        <w:left w:val="none" w:sz="0" w:space="0" w:color="auto"/>
        <w:bottom w:val="none" w:sz="0" w:space="0" w:color="auto"/>
        <w:right w:val="none" w:sz="0" w:space="0" w:color="auto"/>
      </w:divBdr>
    </w:div>
    <w:div w:id="1676110717">
      <w:bodyDiv w:val="1"/>
      <w:marLeft w:val="0"/>
      <w:marRight w:val="0"/>
      <w:marTop w:val="0"/>
      <w:marBottom w:val="0"/>
      <w:divBdr>
        <w:top w:val="none" w:sz="0" w:space="0" w:color="auto"/>
        <w:left w:val="none" w:sz="0" w:space="0" w:color="auto"/>
        <w:bottom w:val="none" w:sz="0" w:space="0" w:color="auto"/>
        <w:right w:val="none" w:sz="0" w:space="0" w:color="auto"/>
      </w:divBdr>
    </w:div>
    <w:div w:id="1676959652">
      <w:bodyDiv w:val="1"/>
      <w:marLeft w:val="0"/>
      <w:marRight w:val="0"/>
      <w:marTop w:val="0"/>
      <w:marBottom w:val="0"/>
      <w:divBdr>
        <w:top w:val="none" w:sz="0" w:space="0" w:color="auto"/>
        <w:left w:val="none" w:sz="0" w:space="0" w:color="auto"/>
        <w:bottom w:val="none" w:sz="0" w:space="0" w:color="auto"/>
        <w:right w:val="none" w:sz="0" w:space="0" w:color="auto"/>
      </w:divBdr>
    </w:div>
    <w:div w:id="1678655118">
      <w:bodyDiv w:val="1"/>
      <w:marLeft w:val="0"/>
      <w:marRight w:val="0"/>
      <w:marTop w:val="0"/>
      <w:marBottom w:val="0"/>
      <w:divBdr>
        <w:top w:val="none" w:sz="0" w:space="0" w:color="auto"/>
        <w:left w:val="none" w:sz="0" w:space="0" w:color="auto"/>
        <w:bottom w:val="none" w:sz="0" w:space="0" w:color="auto"/>
        <w:right w:val="none" w:sz="0" w:space="0" w:color="auto"/>
      </w:divBdr>
    </w:div>
    <w:div w:id="1681272574">
      <w:bodyDiv w:val="1"/>
      <w:marLeft w:val="0"/>
      <w:marRight w:val="0"/>
      <w:marTop w:val="0"/>
      <w:marBottom w:val="0"/>
      <w:divBdr>
        <w:top w:val="none" w:sz="0" w:space="0" w:color="auto"/>
        <w:left w:val="none" w:sz="0" w:space="0" w:color="auto"/>
        <w:bottom w:val="none" w:sz="0" w:space="0" w:color="auto"/>
        <w:right w:val="none" w:sz="0" w:space="0" w:color="auto"/>
      </w:divBdr>
    </w:div>
    <w:div w:id="1682274004">
      <w:bodyDiv w:val="1"/>
      <w:marLeft w:val="0"/>
      <w:marRight w:val="0"/>
      <w:marTop w:val="0"/>
      <w:marBottom w:val="0"/>
      <w:divBdr>
        <w:top w:val="none" w:sz="0" w:space="0" w:color="auto"/>
        <w:left w:val="none" w:sz="0" w:space="0" w:color="auto"/>
        <w:bottom w:val="none" w:sz="0" w:space="0" w:color="auto"/>
        <w:right w:val="none" w:sz="0" w:space="0" w:color="auto"/>
      </w:divBdr>
    </w:div>
    <w:div w:id="1683624524">
      <w:bodyDiv w:val="1"/>
      <w:marLeft w:val="0"/>
      <w:marRight w:val="0"/>
      <w:marTop w:val="0"/>
      <w:marBottom w:val="0"/>
      <w:divBdr>
        <w:top w:val="none" w:sz="0" w:space="0" w:color="auto"/>
        <w:left w:val="none" w:sz="0" w:space="0" w:color="auto"/>
        <w:bottom w:val="none" w:sz="0" w:space="0" w:color="auto"/>
        <w:right w:val="none" w:sz="0" w:space="0" w:color="auto"/>
      </w:divBdr>
    </w:div>
    <w:div w:id="1683706961">
      <w:bodyDiv w:val="1"/>
      <w:marLeft w:val="0"/>
      <w:marRight w:val="0"/>
      <w:marTop w:val="0"/>
      <w:marBottom w:val="0"/>
      <w:divBdr>
        <w:top w:val="none" w:sz="0" w:space="0" w:color="auto"/>
        <w:left w:val="none" w:sz="0" w:space="0" w:color="auto"/>
        <w:bottom w:val="none" w:sz="0" w:space="0" w:color="auto"/>
        <w:right w:val="none" w:sz="0" w:space="0" w:color="auto"/>
      </w:divBdr>
      <w:divsChild>
        <w:div w:id="72747258">
          <w:marLeft w:val="0"/>
          <w:marRight w:val="0"/>
          <w:marTop w:val="0"/>
          <w:marBottom w:val="0"/>
          <w:divBdr>
            <w:top w:val="none" w:sz="0" w:space="0" w:color="auto"/>
            <w:left w:val="none" w:sz="0" w:space="0" w:color="auto"/>
            <w:bottom w:val="none" w:sz="0" w:space="0" w:color="auto"/>
            <w:right w:val="none" w:sz="0" w:space="0" w:color="auto"/>
          </w:divBdr>
        </w:div>
        <w:div w:id="242372553">
          <w:marLeft w:val="0"/>
          <w:marRight w:val="0"/>
          <w:marTop w:val="0"/>
          <w:marBottom w:val="0"/>
          <w:divBdr>
            <w:top w:val="none" w:sz="0" w:space="0" w:color="auto"/>
            <w:left w:val="none" w:sz="0" w:space="0" w:color="auto"/>
            <w:bottom w:val="none" w:sz="0" w:space="0" w:color="auto"/>
            <w:right w:val="none" w:sz="0" w:space="0" w:color="auto"/>
          </w:divBdr>
        </w:div>
        <w:div w:id="294070984">
          <w:marLeft w:val="0"/>
          <w:marRight w:val="0"/>
          <w:marTop w:val="0"/>
          <w:marBottom w:val="0"/>
          <w:divBdr>
            <w:top w:val="none" w:sz="0" w:space="0" w:color="auto"/>
            <w:left w:val="none" w:sz="0" w:space="0" w:color="auto"/>
            <w:bottom w:val="none" w:sz="0" w:space="0" w:color="auto"/>
            <w:right w:val="none" w:sz="0" w:space="0" w:color="auto"/>
          </w:divBdr>
        </w:div>
        <w:div w:id="405422539">
          <w:marLeft w:val="0"/>
          <w:marRight w:val="0"/>
          <w:marTop w:val="0"/>
          <w:marBottom w:val="0"/>
          <w:divBdr>
            <w:top w:val="none" w:sz="0" w:space="0" w:color="auto"/>
            <w:left w:val="none" w:sz="0" w:space="0" w:color="auto"/>
            <w:bottom w:val="none" w:sz="0" w:space="0" w:color="auto"/>
            <w:right w:val="none" w:sz="0" w:space="0" w:color="auto"/>
          </w:divBdr>
        </w:div>
        <w:div w:id="425350075">
          <w:marLeft w:val="0"/>
          <w:marRight w:val="0"/>
          <w:marTop w:val="0"/>
          <w:marBottom w:val="0"/>
          <w:divBdr>
            <w:top w:val="none" w:sz="0" w:space="0" w:color="auto"/>
            <w:left w:val="none" w:sz="0" w:space="0" w:color="auto"/>
            <w:bottom w:val="none" w:sz="0" w:space="0" w:color="auto"/>
            <w:right w:val="none" w:sz="0" w:space="0" w:color="auto"/>
          </w:divBdr>
        </w:div>
        <w:div w:id="602882082">
          <w:marLeft w:val="0"/>
          <w:marRight w:val="0"/>
          <w:marTop w:val="0"/>
          <w:marBottom w:val="0"/>
          <w:divBdr>
            <w:top w:val="none" w:sz="0" w:space="0" w:color="auto"/>
            <w:left w:val="none" w:sz="0" w:space="0" w:color="auto"/>
            <w:bottom w:val="none" w:sz="0" w:space="0" w:color="auto"/>
            <w:right w:val="none" w:sz="0" w:space="0" w:color="auto"/>
          </w:divBdr>
        </w:div>
        <w:div w:id="1289579915">
          <w:marLeft w:val="0"/>
          <w:marRight w:val="0"/>
          <w:marTop w:val="0"/>
          <w:marBottom w:val="0"/>
          <w:divBdr>
            <w:top w:val="none" w:sz="0" w:space="0" w:color="auto"/>
            <w:left w:val="none" w:sz="0" w:space="0" w:color="auto"/>
            <w:bottom w:val="none" w:sz="0" w:space="0" w:color="auto"/>
            <w:right w:val="none" w:sz="0" w:space="0" w:color="auto"/>
          </w:divBdr>
        </w:div>
        <w:div w:id="1290280282">
          <w:marLeft w:val="0"/>
          <w:marRight w:val="0"/>
          <w:marTop w:val="0"/>
          <w:marBottom w:val="0"/>
          <w:divBdr>
            <w:top w:val="none" w:sz="0" w:space="0" w:color="auto"/>
            <w:left w:val="none" w:sz="0" w:space="0" w:color="auto"/>
            <w:bottom w:val="none" w:sz="0" w:space="0" w:color="auto"/>
            <w:right w:val="none" w:sz="0" w:space="0" w:color="auto"/>
          </w:divBdr>
        </w:div>
        <w:div w:id="1317303027">
          <w:marLeft w:val="0"/>
          <w:marRight w:val="0"/>
          <w:marTop w:val="0"/>
          <w:marBottom w:val="0"/>
          <w:divBdr>
            <w:top w:val="none" w:sz="0" w:space="0" w:color="auto"/>
            <w:left w:val="none" w:sz="0" w:space="0" w:color="auto"/>
            <w:bottom w:val="none" w:sz="0" w:space="0" w:color="auto"/>
            <w:right w:val="none" w:sz="0" w:space="0" w:color="auto"/>
          </w:divBdr>
        </w:div>
        <w:div w:id="1591426144">
          <w:marLeft w:val="0"/>
          <w:marRight w:val="0"/>
          <w:marTop w:val="0"/>
          <w:marBottom w:val="0"/>
          <w:divBdr>
            <w:top w:val="none" w:sz="0" w:space="0" w:color="auto"/>
            <w:left w:val="none" w:sz="0" w:space="0" w:color="auto"/>
            <w:bottom w:val="none" w:sz="0" w:space="0" w:color="auto"/>
            <w:right w:val="none" w:sz="0" w:space="0" w:color="auto"/>
          </w:divBdr>
        </w:div>
        <w:div w:id="1835487398">
          <w:marLeft w:val="0"/>
          <w:marRight w:val="0"/>
          <w:marTop w:val="0"/>
          <w:marBottom w:val="0"/>
          <w:divBdr>
            <w:top w:val="none" w:sz="0" w:space="0" w:color="auto"/>
            <w:left w:val="none" w:sz="0" w:space="0" w:color="auto"/>
            <w:bottom w:val="none" w:sz="0" w:space="0" w:color="auto"/>
            <w:right w:val="none" w:sz="0" w:space="0" w:color="auto"/>
          </w:divBdr>
        </w:div>
      </w:divsChild>
    </w:div>
    <w:div w:id="1686979553">
      <w:bodyDiv w:val="1"/>
      <w:marLeft w:val="0"/>
      <w:marRight w:val="0"/>
      <w:marTop w:val="0"/>
      <w:marBottom w:val="0"/>
      <w:divBdr>
        <w:top w:val="none" w:sz="0" w:space="0" w:color="auto"/>
        <w:left w:val="none" w:sz="0" w:space="0" w:color="auto"/>
        <w:bottom w:val="none" w:sz="0" w:space="0" w:color="auto"/>
        <w:right w:val="none" w:sz="0" w:space="0" w:color="auto"/>
      </w:divBdr>
    </w:div>
    <w:div w:id="1688557900">
      <w:bodyDiv w:val="1"/>
      <w:marLeft w:val="0"/>
      <w:marRight w:val="0"/>
      <w:marTop w:val="0"/>
      <w:marBottom w:val="0"/>
      <w:divBdr>
        <w:top w:val="none" w:sz="0" w:space="0" w:color="auto"/>
        <w:left w:val="none" w:sz="0" w:space="0" w:color="auto"/>
        <w:bottom w:val="none" w:sz="0" w:space="0" w:color="auto"/>
        <w:right w:val="none" w:sz="0" w:space="0" w:color="auto"/>
      </w:divBdr>
    </w:div>
    <w:div w:id="1690183054">
      <w:bodyDiv w:val="1"/>
      <w:marLeft w:val="0"/>
      <w:marRight w:val="0"/>
      <w:marTop w:val="0"/>
      <w:marBottom w:val="0"/>
      <w:divBdr>
        <w:top w:val="none" w:sz="0" w:space="0" w:color="auto"/>
        <w:left w:val="none" w:sz="0" w:space="0" w:color="auto"/>
        <w:bottom w:val="none" w:sz="0" w:space="0" w:color="auto"/>
        <w:right w:val="none" w:sz="0" w:space="0" w:color="auto"/>
      </w:divBdr>
    </w:div>
    <w:div w:id="1692299848">
      <w:bodyDiv w:val="1"/>
      <w:marLeft w:val="0"/>
      <w:marRight w:val="0"/>
      <w:marTop w:val="0"/>
      <w:marBottom w:val="0"/>
      <w:divBdr>
        <w:top w:val="none" w:sz="0" w:space="0" w:color="auto"/>
        <w:left w:val="none" w:sz="0" w:space="0" w:color="auto"/>
        <w:bottom w:val="none" w:sz="0" w:space="0" w:color="auto"/>
        <w:right w:val="none" w:sz="0" w:space="0" w:color="auto"/>
      </w:divBdr>
    </w:div>
    <w:div w:id="1692759525">
      <w:bodyDiv w:val="1"/>
      <w:marLeft w:val="0"/>
      <w:marRight w:val="0"/>
      <w:marTop w:val="0"/>
      <w:marBottom w:val="0"/>
      <w:divBdr>
        <w:top w:val="none" w:sz="0" w:space="0" w:color="auto"/>
        <w:left w:val="none" w:sz="0" w:space="0" w:color="auto"/>
        <w:bottom w:val="none" w:sz="0" w:space="0" w:color="auto"/>
        <w:right w:val="none" w:sz="0" w:space="0" w:color="auto"/>
      </w:divBdr>
    </w:div>
    <w:div w:id="1695811543">
      <w:bodyDiv w:val="1"/>
      <w:marLeft w:val="0"/>
      <w:marRight w:val="0"/>
      <w:marTop w:val="0"/>
      <w:marBottom w:val="0"/>
      <w:divBdr>
        <w:top w:val="none" w:sz="0" w:space="0" w:color="auto"/>
        <w:left w:val="none" w:sz="0" w:space="0" w:color="auto"/>
        <w:bottom w:val="none" w:sz="0" w:space="0" w:color="auto"/>
        <w:right w:val="none" w:sz="0" w:space="0" w:color="auto"/>
      </w:divBdr>
    </w:div>
    <w:div w:id="1697850140">
      <w:bodyDiv w:val="1"/>
      <w:marLeft w:val="0"/>
      <w:marRight w:val="0"/>
      <w:marTop w:val="0"/>
      <w:marBottom w:val="0"/>
      <w:divBdr>
        <w:top w:val="none" w:sz="0" w:space="0" w:color="auto"/>
        <w:left w:val="none" w:sz="0" w:space="0" w:color="auto"/>
        <w:bottom w:val="none" w:sz="0" w:space="0" w:color="auto"/>
        <w:right w:val="none" w:sz="0" w:space="0" w:color="auto"/>
      </w:divBdr>
    </w:div>
    <w:div w:id="1700162566">
      <w:bodyDiv w:val="1"/>
      <w:marLeft w:val="0"/>
      <w:marRight w:val="0"/>
      <w:marTop w:val="0"/>
      <w:marBottom w:val="0"/>
      <w:divBdr>
        <w:top w:val="none" w:sz="0" w:space="0" w:color="auto"/>
        <w:left w:val="none" w:sz="0" w:space="0" w:color="auto"/>
        <w:bottom w:val="none" w:sz="0" w:space="0" w:color="auto"/>
        <w:right w:val="none" w:sz="0" w:space="0" w:color="auto"/>
      </w:divBdr>
    </w:div>
    <w:div w:id="1701126658">
      <w:bodyDiv w:val="1"/>
      <w:marLeft w:val="0"/>
      <w:marRight w:val="0"/>
      <w:marTop w:val="0"/>
      <w:marBottom w:val="0"/>
      <w:divBdr>
        <w:top w:val="none" w:sz="0" w:space="0" w:color="auto"/>
        <w:left w:val="none" w:sz="0" w:space="0" w:color="auto"/>
        <w:bottom w:val="none" w:sz="0" w:space="0" w:color="auto"/>
        <w:right w:val="none" w:sz="0" w:space="0" w:color="auto"/>
      </w:divBdr>
    </w:div>
    <w:div w:id="1703742698">
      <w:bodyDiv w:val="1"/>
      <w:marLeft w:val="0"/>
      <w:marRight w:val="0"/>
      <w:marTop w:val="0"/>
      <w:marBottom w:val="0"/>
      <w:divBdr>
        <w:top w:val="none" w:sz="0" w:space="0" w:color="auto"/>
        <w:left w:val="none" w:sz="0" w:space="0" w:color="auto"/>
        <w:bottom w:val="none" w:sz="0" w:space="0" w:color="auto"/>
        <w:right w:val="none" w:sz="0" w:space="0" w:color="auto"/>
      </w:divBdr>
    </w:div>
    <w:div w:id="1708677010">
      <w:bodyDiv w:val="1"/>
      <w:marLeft w:val="0"/>
      <w:marRight w:val="0"/>
      <w:marTop w:val="0"/>
      <w:marBottom w:val="0"/>
      <w:divBdr>
        <w:top w:val="none" w:sz="0" w:space="0" w:color="auto"/>
        <w:left w:val="none" w:sz="0" w:space="0" w:color="auto"/>
        <w:bottom w:val="none" w:sz="0" w:space="0" w:color="auto"/>
        <w:right w:val="none" w:sz="0" w:space="0" w:color="auto"/>
      </w:divBdr>
    </w:div>
    <w:div w:id="1712269582">
      <w:bodyDiv w:val="1"/>
      <w:marLeft w:val="0"/>
      <w:marRight w:val="0"/>
      <w:marTop w:val="0"/>
      <w:marBottom w:val="0"/>
      <w:divBdr>
        <w:top w:val="none" w:sz="0" w:space="0" w:color="auto"/>
        <w:left w:val="none" w:sz="0" w:space="0" w:color="auto"/>
        <w:bottom w:val="none" w:sz="0" w:space="0" w:color="auto"/>
        <w:right w:val="none" w:sz="0" w:space="0" w:color="auto"/>
      </w:divBdr>
    </w:div>
    <w:div w:id="1712921204">
      <w:bodyDiv w:val="1"/>
      <w:marLeft w:val="0"/>
      <w:marRight w:val="0"/>
      <w:marTop w:val="0"/>
      <w:marBottom w:val="0"/>
      <w:divBdr>
        <w:top w:val="none" w:sz="0" w:space="0" w:color="auto"/>
        <w:left w:val="none" w:sz="0" w:space="0" w:color="auto"/>
        <w:bottom w:val="none" w:sz="0" w:space="0" w:color="auto"/>
        <w:right w:val="none" w:sz="0" w:space="0" w:color="auto"/>
      </w:divBdr>
    </w:div>
    <w:div w:id="1713534954">
      <w:bodyDiv w:val="1"/>
      <w:marLeft w:val="0"/>
      <w:marRight w:val="0"/>
      <w:marTop w:val="0"/>
      <w:marBottom w:val="0"/>
      <w:divBdr>
        <w:top w:val="none" w:sz="0" w:space="0" w:color="auto"/>
        <w:left w:val="none" w:sz="0" w:space="0" w:color="auto"/>
        <w:bottom w:val="none" w:sz="0" w:space="0" w:color="auto"/>
        <w:right w:val="none" w:sz="0" w:space="0" w:color="auto"/>
      </w:divBdr>
    </w:div>
    <w:div w:id="1714311110">
      <w:bodyDiv w:val="1"/>
      <w:marLeft w:val="0"/>
      <w:marRight w:val="0"/>
      <w:marTop w:val="0"/>
      <w:marBottom w:val="0"/>
      <w:divBdr>
        <w:top w:val="none" w:sz="0" w:space="0" w:color="auto"/>
        <w:left w:val="none" w:sz="0" w:space="0" w:color="auto"/>
        <w:bottom w:val="none" w:sz="0" w:space="0" w:color="auto"/>
        <w:right w:val="none" w:sz="0" w:space="0" w:color="auto"/>
      </w:divBdr>
    </w:div>
    <w:div w:id="1717898531">
      <w:bodyDiv w:val="1"/>
      <w:marLeft w:val="0"/>
      <w:marRight w:val="0"/>
      <w:marTop w:val="0"/>
      <w:marBottom w:val="0"/>
      <w:divBdr>
        <w:top w:val="none" w:sz="0" w:space="0" w:color="auto"/>
        <w:left w:val="none" w:sz="0" w:space="0" w:color="auto"/>
        <w:bottom w:val="none" w:sz="0" w:space="0" w:color="auto"/>
        <w:right w:val="none" w:sz="0" w:space="0" w:color="auto"/>
      </w:divBdr>
    </w:div>
    <w:div w:id="1718316672">
      <w:bodyDiv w:val="1"/>
      <w:marLeft w:val="0"/>
      <w:marRight w:val="0"/>
      <w:marTop w:val="0"/>
      <w:marBottom w:val="0"/>
      <w:divBdr>
        <w:top w:val="none" w:sz="0" w:space="0" w:color="auto"/>
        <w:left w:val="none" w:sz="0" w:space="0" w:color="auto"/>
        <w:bottom w:val="none" w:sz="0" w:space="0" w:color="auto"/>
        <w:right w:val="none" w:sz="0" w:space="0" w:color="auto"/>
      </w:divBdr>
    </w:div>
    <w:div w:id="1723404973">
      <w:bodyDiv w:val="1"/>
      <w:marLeft w:val="0"/>
      <w:marRight w:val="0"/>
      <w:marTop w:val="0"/>
      <w:marBottom w:val="0"/>
      <w:divBdr>
        <w:top w:val="none" w:sz="0" w:space="0" w:color="auto"/>
        <w:left w:val="none" w:sz="0" w:space="0" w:color="auto"/>
        <w:bottom w:val="none" w:sz="0" w:space="0" w:color="auto"/>
        <w:right w:val="none" w:sz="0" w:space="0" w:color="auto"/>
      </w:divBdr>
    </w:div>
    <w:div w:id="1724718047">
      <w:bodyDiv w:val="1"/>
      <w:marLeft w:val="0"/>
      <w:marRight w:val="0"/>
      <w:marTop w:val="0"/>
      <w:marBottom w:val="0"/>
      <w:divBdr>
        <w:top w:val="none" w:sz="0" w:space="0" w:color="auto"/>
        <w:left w:val="none" w:sz="0" w:space="0" w:color="auto"/>
        <w:bottom w:val="none" w:sz="0" w:space="0" w:color="auto"/>
        <w:right w:val="none" w:sz="0" w:space="0" w:color="auto"/>
      </w:divBdr>
    </w:div>
    <w:div w:id="1727337837">
      <w:bodyDiv w:val="1"/>
      <w:marLeft w:val="0"/>
      <w:marRight w:val="0"/>
      <w:marTop w:val="0"/>
      <w:marBottom w:val="0"/>
      <w:divBdr>
        <w:top w:val="none" w:sz="0" w:space="0" w:color="auto"/>
        <w:left w:val="none" w:sz="0" w:space="0" w:color="auto"/>
        <w:bottom w:val="none" w:sz="0" w:space="0" w:color="auto"/>
        <w:right w:val="none" w:sz="0" w:space="0" w:color="auto"/>
      </w:divBdr>
    </w:div>
    <w:div w:id="1728189421">
      <w:bodyDiv w:val="1"/>
      <w:marLeft w:val="0"/>
      <w:marRight w:val="0"/>
      <w:marTop w:val="0"/>
      <w:marBottom w:val="0"/>
      <w:divBdr>
        <w:top w:val="none" w:sz="0" w:space="0" w:color="auto"/>
        <w:left w:val="none" w:sz="0" w:space="0" w:color="auto"/>
        <w:bottom w:val="none" w:sz="0" w:space="0" w:color="auto"/>
        <w:right w:val="none" w:sz="0" w:space="0" w:color="auto"/>
      </w:divBdr>
    </w:div>
    <w:div w:id="1729567886">
      <w:bodyDiv w:val="1"/>
      <w:marLeft w:val="0"/>
      <w:marRight w:val="0"/>
      <w:marTop w:val="0"/>
      <w:marBottom w:val="0"/>
      <w:divBdr>
        <w:top w:val="none" w:sz="0" w:space="0" w:color="auto"/>
        <w:left w:val="none" w:sz="0" w:space="0" w:color="auto"/>
        <w:bottom w:val="none" w:sz="0" w:space="0" w:color="auto"/>
        <w:right w:val="none" w:sz="0" w:space="0" w:color="auto"/>
      </w:divBdr>
      <w:divsChild>
        <w:div w:id="366370562">
          <w:marLeft w:val="0"/>
          <w:marRight w:val="0"/>
          <w:marTop w:val="0"/>
          <w:marBottom w:val="0"/>
          <w:divBdr>
            <w:top w:val="none" w:sz="0" w:space="0" w:color="auto"/>
            <w:left w:val="none" w:sz="0" w:space="0" w:color="auto"/>
            <w:bottom w:val="none" w:sz="0" w:space="0" w:color="auto"/>
            <w:right w:val="none" w:sz="0" w:space="0" w:color="auto"/>
          </w:divBdr>
        </w:div>
      </w:divsChild>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5619254">
      <w:bodyDiv w:val="1"/>
      <w:marLeft w:val="0"/>
      <w:marRight w:val="0"/>
      <w:marTop w:val="0"/>
      <w:marBottom w:val="0"/>
      <w:divBdr>
        <w:top w:val="none" w:sz="0" w:space="0" w:color="auto"/>
        <w:left w:val="none" w:sz="0" w:space="0" w:color="auto"/>
        <w:bottom w:val="none" w:sz="0" w:space="0" w:color="auto"/>
        <w:right w:val="none" w:sz="0" w:space="0" w:color="auto"/>
      </w:divBdr>
    </w:div>
    <w:div w:id="1739985167">
      <w:bodyDiv w:val="1"/>
      <w:marLeft w:val="0"/>
      <w:marRight w:val="0"/>
      <w:marTop w:val="0"/>
      <w:marBottom w:val="0"/>
      <w:divBdr>
        <w:top w:val="none" w:sz="0" w:space="0" w:color="auto"/>
        <w:left w:val="none" w:sz="0" w:space="0" w:color="auto"/>
        <w:bottom w:val="none" w:sz="0" w:space="0" w:color="auto"/>
        <w:right w:val="none" w:sz="0" w:space="0" w:color="auto"/>
      </w:divBdr>
    </w:div>
    <w:div w:id="1741950611">
      <w:bodyDiv w:val="1"/>
      <w:marLeft w:val="0"/>
      <w:marRight w:val="0"/>
      <w:marTop w:val="0"/>
      <w:marBottom w:val="0"/>
      <w:divBdr>
        <w:top w:val="none" w:sz="0" w:space="0" w:color="auto"/>
        <w:left w:val="none" w:sz="0" w:space="0" w:color="auto"/>
        <w:bottom w:val="none" w:sz="0" w:space="0" w:color="auto"/>
        <w:right w:val="none" w:sz="0" w:space="0" w:color="auto"/>
      </w:divBdr>
    </w:div>
    <w:div w:id="1743870907">
      <w:bodyDiv w:val="1"/>
      <w:marLeft w:val="0"/>
      <w:marRight w:val="0"/>
      <w:marTop w:val="0"/>
      <w:marBottom w:val="0"/>
      <w:divBdr>
        <w:top w:val="none" w:sz="0" w:space="0" w:color="auto"/>
        <w:left w:val="none" w:sz="0" w:space="0" w:color="auto"/>
        <w:bottom w:val="none" w:sz="0" w:space="0" w:color="auto"/>
        <w:right w:val="none" w:sz="0" w:space="0" w:color="auto"/>
      </w:divBdr>
    </w:div>
    <w:div w:id="1744789389">
      <w:bodyDiv w:val="1"/>
      <w:marLeft w:val="0"/>
      <w:marRight w:val="0"/>
      <w:marTop w:val="0"/>
      <w:marBottom w:val="0"/>
      <w:divBdr>
        <w:top w:val="none" w:sz="0" w:space="0" w:color="auto"/>
        <w:left w:val="none" w:sz="0" w:space="0" w:color="auto"/>
        <w:bottom w:val="none" w:sz="0" w:space="0" w:color="auto"/>
        <w:right w:val="none" w:sz="0" w:space="0" w:color="auto"/>
      </w:divBdr>
    </w:div>
    <w:div w:id="1744913398">
      <w:bodyDiv w:val="1"/>
      <w:marLeft w:val="0"/>
      <w:marRight w:val="0"/>
      <w:marTop w:val="0"/>
      <w:marBottom w:val="0"/>
      <w:divBdr>
        <w:top w:val="none" w:sz="0" w:space="0" w:color="auto"/>
        <w:left w:val="none" w:sz="0" w:space="0" w:color="auto"/>
        <w:bottom w:val="none" w:sz="0" w:space="0" w:color="auto"/>
        <w:right w:val="none" w:sz="0" w:space="0" w:color="auto"/>
      </w:divBdr>
    </w:div>
    <w:div w:id="1747221840">
      <w:bodyDiv w:val="1"/>
      <w:marLeft w:val="0"/>
      <w:marRight w:val="0"/>
      <w:marTop w:val="0"/>
      <w:marBottom w:val="0"/>
      <w:divBdr>
        <w:top w:val="none" w:sz="0" w:space="0" w:color="auto"/>
        <w:left w:val="none" w:sz="0" w:space="0" w:color="auto"/>
        <w:bottom w:val="none" w:sz="0" w:space="0" w:color="auto"/>
        <w:right w:val="none" w:sz="0" w:space="0" w:color="auto"/>
      </w:divBdr>
    </w:div>
    <w:div w:id="1747996764">
      <w:bodyDiv w:val="1"/>
      <w:marLeft w:val="0"/>
      <w:marRight w:val="0"/>
      <w:marTop w:val="0"/>
      <w:marBottom w:val="0"/>
      <w:divBdr>
        <w:top w:val="none" w:sz="0" w:space="0" w:color="auto"/>
        <w:left w:val="none" w:sz="0" w:space="0" w:color="auto"/>
        <w:bottom w:val="none" w:sz="0" w:space="0" w:color="auto"/>
        <w:right w:val="none" w:sz="0" w:space="0" w:color="auto"/>
      </w:divBdr>
    </w:div>
    <w:div w:id="1750344870">
      <w:bodyDiv w:val="1"/>
      <w:marLeft w:val="0"/>
      <w:marRight w:val="0"/>
      <w:marTop w:val="0"/>
      <w:marBottom w:val="0"/>
      <w:divBdr>
        <w:top w:val="none" w:sz="0" w:space="0" w:color="auto"/>
        <w:left w:val="none" w:sz="0" w:space="0" w:color="auto"/>
        <w:bottom w:val="none" w:sz="0" w:space="0" w:color="auto"/>
        <w:right w:val="none" w:sz="0" w:space="0" w:color="auto"/>
      </w:divBdr>
    </w:div>
    <w:div w:id="1750808837">
      <w:bodyDiv w:val="1"/>
      <w:marLeft w:val="0"/>
      <w:marRight w:val="0"/>
      <w:marTop w:val="0"/>
      <w:marBottom w:val="0"/>
      <w:divBdr>
        <w:top w:val="none" w:sz="0" w:space="0" w:color="auto"/>
        <w:left w:val="none" w:sz="0" w:space="0" w:color="auto"/>
        <w:bottom w:val="none" w:sz="0" w:space="0" w:color="auto"/>
        <w:right w:val="none" w:sz="0" w:space="0" w:color="auto"/>
      </w:divBdr>
    </w:div>
    <w:div w:id="1754624720">
      <w:bodyDiv w:val="1"/>
      <w:marLeft w:val="0"/>
      <w:marRight w:val="0"/>
      <w:marTop w:val="0"/>
      <w:marBottom w:val="0"/>
      <w:divBdr>
        <w:top w:val="none" w:sz="0" w:space="0" w:color="auto"/>
        <w:left w:val="none" w:sz="0" w:space="0" w:color="auto"/>
        <w:bottom w:val="none" w:sz="0" w:space="0" w:color="auto"/>
        <w:right w:val="none" w:sz="0" w:space="0" w:color="auto"/>
      </w:divBdr>
    </w:div>
    <w:div w:id="1754736303">
      <w:bodyDiv w:val="1"/>
      <w:marLeft w:val="0"/>
      <w:marRight w:val="0"/>
      <w:marTop w:val="0"/>
      <w:marBottom w:val="0"/>
      <w:divBdr>
        <w:top w:val="none" w:sz="0" w:space="0" w:color="auto"/>
        <w:left w:val="none" w:sz="0" w:space="0" w:color="auto"/>
        <w:bottom w:val="none" w:sz="0" w:space="0" w:color="auto"/>
        <w:right w:val="none" w:sz="0" w:space="0" w:color="auto"/>
      </w:divBdr>
    </w:div>
    <w:div w:id="1755975079">
      <w:bodyDiv w:val="1"/>
      <w:marLeft w:val="0"/>
      <w:marRight w:val="0"/>
      <w:marTop w:val="0"/>
      <w:marBottom w:val="0"/>
      <w:divBdr>
        <w:top w:val="none" w:sz="0" w:space="0" w:color="auto"/>
        <w:left w:val="none" w:sz="0" w:space="0" w:color="auto"/>
        <w:bottom w:val="none" w:sz="0" w:space="0" w:color="auto"/>
        <w:right w:val="none" w:sz="0" w:space="0" w:color="auto"/>
      </w:divBdr>
    </w:div>
    <w:div w:id="1759713576">
      <w:bodyDiv w:val="1"/>
      <w:marLeft w:val="0"/>
      <w:marRight w:val="0"/>
      <w:marTop w:val="0"/>
      <w:marBottom w:val="0"/>
      <w:divBdr>
        <w:top w:val="none" w:sz="0" w:space="0" w:color="auto"/>
        <w:left w:val="none" w:sz="0" w:space="0" w:color="auto"/>
        <w:bottom w:val="none" w:sz="0" w:space="0" w:color="auto"/>
        <w:right w:val="none" w:sz="0" w:space="0" w:color="auto"/>
      </w:divBdr>
    </w:div>
    <w:div w:id="1766995016">
      <w:bodyDiv w:val="1"/>
      <w:marLeft w:val="0"/>
      <w:marRight w:val="0"/>
      <w:marTop w:val="0"/>
      <w:marBottom w:val="0"/>
      <w:divBdr>
        <w:top w:val="none" w:sz="0" w:space="0" w:color="auto"/>
        <w:left w:val="none" w:sz="0" w:space="0" w:color="auto"/>
        <w:bottom w:val="none" w:sz="0" w:space="0" w:color="auto"/>
        <w:right w:val="none" w:sz="0" w:space="0" w:color="auto"/>
      </w:divBdr>
    </w:div>
    <w:div w:id="1769539451">
      <w:bodyDiv w:val="1"/>
      <w:marLeft w:val="0"/>
      <w:marRight w:val="0"/>
      <w:marTop w:val="0"/>
      <w:marBottom w:val="0"/>
      <w:divBdr>
        <w:top w:val="none" w:sz="0" w:space="0" w:color="auto"/>
        <w:left w:val="none" w:sz="0" w:space="0" w:color="auto"/>
        <w:bottom w:val="none" w:sz="0" w:space="0" w:color="auto"/>
        <w:right w:val="none" w:sz="0" w:space="0" w:color="auto"/>
      </w:divBdr>
    </w:div>
    <w:div w:id="1774396582">
      <w:bodyDiv w:val="1"/>
      <w:marLeft w:val="0"/>
      <w:marRight w:val="0"/>
      <w:marTop w:val="0"/>
      <w:marBottom w:val="0"/>
      <w:divBdr>
        <w:top w:val="none" w:sz="0" w:space="0" w:color="auto"/>
        <w:left w:val="none" w:sz="0" w:space="0" w:color="auto"/>
        <w:bottom w:val="none" w:sz="0" w:space="0" w:color="auto"/>
        <w:right w:val="none" w:sz="0" w:space="0" w:color="auto"/>
      </w:divBdr>
    </w:div>
    <w:div w:id="1775442486">
      <w:bodyDiv w:val="1"/>
      <w:marLeft w:val="0"/>
      <w:marRight w:val="0"/>
      <w:marTop w:val="0"/>
      <w:marBottom w:val="0"/>
      <w:divBdr>
        <w:top w:val="none" w:sz="0" w:space="0" w:color="auto"/>
        <w:left w:val="none" w:sz="0" w:space="0" w:color="auto"/>
        <w:bottom w:val="none" w:sz="0" w:space="0" w:color="auto"/>
        <w:right w:val="none" w:sz="0" w:space="0" w:color="auto"/>
      </w:divBdr>
    </w:div>
    <w:div w:id="1776361940">
      <w:bodyDiv w:val="1"/>
      <w:marLeft w:val="0"/>
      <w:marRight w:val="0"/>
      <w:marTop w:val="0"/>
      <w:marBottom w:val="0"/>
      <w:divBdr>
        <w:top w:val="none" w:sz="0" w:space="0" w:color="auto"/>
        <w:left w:val="none" w:sz="0" w:space="0" w:color="auto"/>
        <w:bottom w:val="none" w:sz="0" w:space="0" w:color="auto"/>
        <w:right w:val="none" w:sz="0" w:space="0" w:color="auto"/>
      </w:divBdr>
    </w:div>
    <w:div w:id="1780568335">
      <w:bodyDiv w:val="1"/>
      <w:marLeft w:val="0"/>
      <w:marRight w:val="0"/>
      <w:marTop w:val="0"/>
      <w:marBottom w:val="0"/>
      <w:divBdr>
        <w:top w:val="none" w:sz="0" w:space="0" w:color="auto"/>
        <w:left w:val="none" w:sz="0" w:space="0" w:color="auto"/>
        <w:bottom w:val="none" w:sz="0" w:space="0" w:color="auto"/>
        <w:right w:val="none" w:sz="0" w:space="0" w:color="auto"/>
      </w:divBdr>
    </w:div>
    <w:div w:id="1781412360">
      <w:bodyDiv w:val="1"/>
      <w:marLeft w:val="0"/>
      <w:marRight w:val="0"/>
      <w:marTop w:val="0"/>
      <w:marBottom w:val="0"/>
      <w:divBdr>
        <w:top w:val="none" w:sz="0" w:space="0" w:color="auto"/>
        <w:left w:val="none" w:sz="0" w:space="0" w:color="auto"/>
        <w:bottom w:val="none" w:sz="0" w:space="0" w:color="auto"/>
        <w:right w:val="none" w:sz="0" w:space="0" w:color="auto"/>
      </w:divBdr>
    </w:div>
    <w:div w:id="1785147970">
      <w:bodyDiv w:val="1"/>
      <w:marLeft w:val="0"/>
      <w:marRight w:val="0"/>
      <w:marTop w:val="0"/>
      <w:marBottom w:val="0"/>
      <w:divBdr>
        <w:top w:val="none" w:sz="0" w:space="0" w:color="auto"/>
        <w:left w:val="none" w:sz="0" w:space="0" w:color="auto"/>
        <w:bottom w:val="none" w:sz="0" w:space="0" w:color="auto"/>
        <w:right w:val="none" w:sz="0" w:space="0" w:color="auto"/>
      </w:divBdr>
    </w:div>
    <w:div w:id="1785155151">
      <w:bodyDiv w:val="1"/>
      <w:marLeft w:val="0"/>
      <w:marRight w:val="0"/>
      <w:marTop w:val="0"/>
      <w:marBottom w:val="0"/>
      <w:divBdr>
        <w:top w:val="none" w:sz="0" w:space="0" w:color="auto"/>
        <w:left w:val="none" w:sz="0" w:space="0" w:color="auto"/>
        <w:bottom w:val="none" w:sz="0" w:space="0" w:color="auto"/>
        <w:right w:val="none" w:sz="0" w:space="0" w:color="auto"/>
      </w:divBdr>
    </w:div>
    <w:div w:id="1786734254">
      <w:bodyDiv w:val="1"/>
      <w:marLeft w:val="0"/>
      <w:marRight w:val="0"/>
      <w:marTop w:val="0"/>
      <w:marBottom w:val="0"/>
      <w:divBdr>
        <w:top w:val="none" w:sz="0" w:space="0" w:color="auto"/>
        <w:left w:val="none" w:sz="0" w:space="0" w:color="auto"/>
        <w:bottom w:val="none" w:sz="0" w:space="0" w:color="auto"/>
        <w:right w:val="none" w:sz="0" w:space="0" w:color="auto"/>
      </w:divBdr>
    </w:div>
    <w:div w:id="1790123191">
      <w:bodyDiv w:val="1"/>
      <w:marLeft w:val="0"/>
      <w:marRight w:val="0"/>
      <w:marTop w:val="0"/>
      <w:marBottom w:val="0"/>
      <w:divBdr>
        <w:top w:val="none" w:sz="0" w:space="0" w:color="auto"/>
        <w:left w:val="none" w:sz="0" w:space="0" w:color="auto"/>
        <w:bottom w:val="none" w:sz="0" w:space="0" w:color="auto"/>
        <w:right w:val="none" w:sz="0" w:space="0" w:color="auto"/>
      </w:divBdr>
    </w:div>
    <w:div w:id="1791513131">
      <w:bodyDiv w:val="1"/>
      <w:marLeft w:val="0"/>
      <w:marRight w:val="0"/>
      <w:marTop w:val="0"/>
      <w:marBottom w:val="0"/>
      <w:divBdr>
        <w:top w:val="none" w:sz="0" w:space="0" w:color="auto"/>
        <w:left w:val="none" w:sz="0" w:space="0" w:color="auto"/>
        <w:bottom w:val="none" w:sz="0" w:space="0" w:color="auto"/>
        <w:right w:val="none" w:sz="0" w:space="0" w:color="auto"/>
      </w:divBdr>
    </w:div>
    <w:div w:id="1795367272">
      <w:bodyDiv w:val="1"/>
      <w:marLeft w:val="0"/>
      <w:marRight w:val="0"/>
      <w:marTop w:val="0"/>
      <w:marBottom w:val="0"/>
      <w:divBdr>
        <w:top w:val="none" w:sz="0" w:space="0" w:color="auto"/>
        <w:left w:val="none" w:sz="0" w:space="0" w:color="auto"/>
        <w:bottom w:val="none" w:sz="0" w:space="0" w:color="auto"/>
        <w:right w:val="none" w:sz="0" w:space="0" w:color="auto"/>
      </w:divBdr>
    </w:div>
    <w:div w:id="1797065029">
      <w:bodyDiv w:val="1"/>
      <w:marLeft w:val="0"/>
      <w:marRight w:val="0"/>
      <w:marTop w:val="0"/>
      <w:marBottom w:val="0"/>
      <w:divBdr>
        <w:top w:val="none" w:sz="0" w:space="0" w:color="auto"/>
        <w:left w:val="none" w:sz="0" w:space="0" w:color="auto"/>
        <w:bottom w:val="none" w:sz="0" w:space="0" w:color="auto"/>
        <w:right w:val="none" w:sz="0" w:space="0" w:color="auto"/>
      </w:divBdr>
    </w:div>
    <w:div w:id="1798835354">
      <w:bodyDiv w:val="1"/>
      <w:marLeft w:val="0"/>
      <w:marRight w:val="0"/>
      <w:marTop w:val="0"/>
      <w:marBottom w:val="0"/>
      <w:divBdr>
        <w:top w:val="none" w:sz="0" w:space="0" w:color="auto"/>
        <w:left w:val="none" w:sz="0" w:space="0" w:color="auto"/>
        <w:bottom w:val="none" w:sz="0" w:space="0" w:color="auto"/>
        <w:right w:val="none" w:sz="0" w:space="0" w:color="auto"/>
      </w:divBdr>
    </w:div>
    <w:div w:id="1800681076">
      <w:bodyDiv w:val="1"/>
      <w:marLeft w:val="0"/>
      <w:marRight w:val="0"/>
      <w:marTop w:val="0"/>
      <w:marBottom w:val="0"/>
      <w:divBdr>
        <w:top w:val="none" w:sz="0" w:space="0" w:color="auto"/>
        <w:left w:val="none" w:sz="0" w:space="0" w:color="auto"/>
        <w:bottom w:val="none" w:sz="0" w:space="0" w:color="auto"/>
        <w:right w:val="none" w:sz="0" w:space="0" w:color="auto"/>
      </w:divBdr>
    </w:div>
    <w:div w:id="1801730351">
      <w:bodyDiv w:val="1"/>
      <w:marLeft w:val="0"/>
      <w:marRight w:val="0"/>
      <w:marTop w:val="0"/>
      <w:marBottom w:val="0"/>
      <w:divBdr>
        <w:top w:val="none" w:sz="0" w:space="0" w:color="auto"/>
        <w:left w:val="none" w:sz="0" w:space="0" w:color="auto"/>
        <w:bottom w:val="none" w:sz="0" w:space="0" w:color="auto"/>
        <w:right w:val="none" w:sz="0" w:space="0" w:color="auto"/>
      </w:divBdr>
    </w:div>
    <w:div w:id="1807894764">
      <w:bodyDiv w:val="1"/>
      <w:marLeft w:val="0"/>
      <w:marRight w:val="0"/>
      <w:marTop w:val="0"/>
      <w:marBottom w:val="0"/>
      <w:divBdr>
        <w:top w:val="none" w:sz="0" w:space="0" w:color="auto"/>
        <w:left w:val="none" w:sz="0" w:space="0" w:color="auto"/>
        <w:bottom w:val="none" w:sz="0" w:space="0" w:color="auto"/>
        <w:right w:val="none" w:sz="0" w:space="0" w:color="auto"/>
      </w:divBdr>
    </w:div>
    <w:div w:id="1809974603">
      <w:bodyDiv w:val="1"/>
      <w:marLeft w:val="0"/>
      <w:marRight w:val="0"/>
      <w:marTop w:val="0"/>
      <w:marBottom w:val="0"/>
      <w:divBdr>
        <w:top w:val="none" w:sz="0" w:space="0" w:color="auto"/>
        <w:left w:val="none" w:sz="0" w:space="0" w:color="auto"/>
        <w:bottom w:val="none" w:sz="0" w:space="0" w:color="auto"/>
        <w:right w:val="none" w:sz="0" w:space="0" w:color="auto"/>
      </w:divBdr>
    </w:div>
    <w:div w:id="1810590292">
      <w:bodyDiv w:val="1"/>
      <w:marLeft w:val="0"/>
      <w:marRight w:val="0"/>
      <w:marTop w:val="0"/>
      <w:marBottom w:val="0"/>
      <w:divBdr>
        <w:top w:val="none" w:sz="0" w:space="0" w:color="auto"/>
        <w:left w:val="none" w:sz="0" w:space="0" w:color="auto"/>
        <w:bottom w:val="none" w:sz="0" w:space="0" w:color="auto"/>
        <w:right w:val="none" w:sz="0" w:space="0" w:color="auto"/>
      </w:divBdr>
    </w:div>
    <w:div w:id="1811363319">
      <w:bodyDiv w:val="1"/>
      <w:marLeft w:val="0"/>
      <w:marRight w:val="0"/>
      <w:marTop w:val="0"/>
      <w:marBottom w:val="0"/>
      <w:divBdr>
        <w:top w:val="none" w:sz="0" w:space="0" w:color="auto"/>
        <w:left w:val="none" w:sz="0" w:space="0" w:color="auto"/>
        <w:bottom w:val="none" w:sz="0" w:space="0" w:color="auto"/>
        <w:right w:val="none" w:sz="0" w:space="0" w:color="auto"/>
      </w:divBdr>
    </w:div>
    <w:div w:id="1829832315">
      <w:bodyDiv w:val="1"/>
      <w:marLeft w:val="0"/>
      <w:marRight w:val="0"/>
      <w:marTop w:val="0"/>
      <w:marBottom w:val="0"/>
      <w:divBdr>
        <w:top w:val="none" w:sz="0" w:space="0" w:color="auto"/>
        <w:left w:val="none" w:sz="0" w:space="0" w:color="auto"/>
        <w:bottom w:val="none" w:sz="0" w:space="0" w:color="auto"/>
        <w:right w:val="none" w:sz="0" w:space="0" w:color="auto"/>
      </w:divBdr>
    </w:div>
    <w:div w:id="1832136732">
      <w:bodyDiv w:val="1"/>
      <w:marLeft w:val="0"/>
      <w:marRight w:val="0"/>
      <w:marTop w:val="0"/>
      <w:marBottom w:val="0"/>
      <w:divBdr>
        <w:top w:val="none" w:sz="0" w:space="0" w:color="auto"/>
        <w:left w:val="none" w:sz="0" w:space="0" w:color="auto"/>
        <w:bottom w:val="none" w:sz="0" w:space="0" w:color="auto"/>
        <w:right w:val="none" w:sz="0" w:space="0" w:color="auto"/>
      </w:divBdr>
    </w:div>
    <w:div w:id="1833989116">
      <w:bodyDiv w:val="1"/>
      <w:marLeft w:val="0"/>
      <w:marRight w:val="0"/>
      <w:marTop w:val="0"/>
      <w:marBottom w:val="0"/>
      <w:divBdr>
        <w:top w:val="none" w:sz="0" w:space="0" w:color="auto"/>
        <w:left w:val="none" w:sz="0" w:space="0" w:color="auto"/>
        <w:bottom w:val="none" w:sz="0" w:space="0" w:color="auto"/>
        <w:right w:val="none" w:sz="0" w:space="0" w:color="auto"/>
      </w:divBdr>
    </w:div>
    <w:div w:id="1834249807">
      <w:bodyDiv w:val="1"/>
      <w:marLeft w:val="0"/>
      <w:marRight w:val="0"/>
      <w:marTop w:val="0"/>
      <w:marBottom w:val="0"/>
      <w:divBdr>
        <w:top w:val="none" w:sz="0" w:space="0" w:color="auto"/>
        <w:left w:val="none" w:sz="0" w:space="0" w:color="auto"/>
        <w:bottom w:val="none" w:sz="0" w:space="0" w:color="auto"/>
        <w:right w:val="none" w:sz="0" w:space="0" w:color="auto"/>
      </w:divBdr>
    </w:div>
    <w:div w:id="1837039721">
      <w:bodyDiv w:val="1"/>
      <w:marLeft w:val="0"/>
      <w:marRight w:val="0"/>
      <w:marTop w:val="0"/>
      <w:marBottom w:val="0"/>
      <w:divBdr>
        <w:top w:val="none" w:sz="0" w:space="0" w:color="auto"/>
        <w:left w:val="none" w:sz="0" w:space="0" w:color="auto"/>
        <w:bottom w:val="none" w:sz="0" w:space="0" w:color="auto"/>
        <w:right w:val="none" w:sz="0" w:space="0" w:color="auto"/>
      </w:divBdr>
    </w:div>
    <w:div w:id="1841919079">
      <w:bodyDiv w:val="1"/>
      <w:marLeft w:val="0"/>
      <w:marRight w:val="0"/>
      <w:marTop w:val="0"/>
      <w:marBottom w:val="0"/>
      <w:divBdr>
        <w:top w:val="none" w:sz="0" w:space="0" w:color="auto"/>
        <w:left w:val="none" w:sz="0" w:space="0" w:color="auto"/>
        <w:bottom w:val="none" w:sz="0" w:space="0" w:color="auto"/>
        <w:right w:val="none" w:sz="0" w:space="0" w:color="auto"/>
      </w:divBdr>
    </w:div>
    <w:div w:id="1842426474">
      <w:bodyDiv w:val="1"/>
      <w:marLeft w:val="0"/>
      <w:marRight w:val="0"/>
      <w:marTop w:val="0"/>
      <w:marBottom w:val="0"/>
      <w:divBdr>
        <w:top w:val="none" w:sz="0" w:space="0" w:color="auto"/>
        <w:left w:val="none" w:sz="0" w:space="0" w:color="auto"/>
        <w:bottom w:val="none" w:sz="0" w:space="0" w:color="auto"/>
        <w:right w:val="none" w:sz="0" w:space="0" w:color="auto"/>
      </w:divBdr>
    </w:div>
    <w:div w:id="1843810996">
      <w:bodyDiv w:val="1"/>
      <w:marLeft w:val="0"/>
      <w:marRight w:val="0"/>
      <w:marTop w:val="0"/>
      <w:marBottom w:val="0"/>
      <w:divBdr>
        <w:top w:val="none" w:sz="0" w:space="0" w:color="auto"/>
        <w:left w:val="none" w:sz="0" w:space="0" w:color="auto"/>
        <w:bottom w:val="none" w:sz="0" w:space="0" w:color="auto"/>
        <w:right w:val="none" w:sz="0" w:space="0" w:color="auto"/>
      </w:divBdr>
    </w:div>
    <w:div w:id="1843858143">
      <w:bodyDiv w:val="1"/>
      <w:marLeft w:val="0"/>
      <w:marRight w:val="0"/>
      <w:marTop w:val="0"/>
      <w:marBottom w:val="0"/>
      <w:divBdr>
        <w:top w:val="none" w:sz="0" w:space="0" w:color="auto"/>
        <w:left w:val="none" w:sz="0" w:space="0" w:color="auto"/>
        <w:bottom w:val="none" w:sz="0" w:space="0" w:color="auto"/>
        <w:right w:val="none" w:sz="0" w:space="0" w:color="auto"/>
      </w:divBdr>
    </w:div>
    <w:div w:id="1846243081">
      <w:bodyDiv w:val="1"/>
      <w:marLeft w:val="0"/>
      <w:marRight w:val="0"/>
      <w:marTop w:val="0"/>
      <w:marBottom w:val="0"/>
      <w:divBdr>
        <w:top w:val="none" w:sz="0" w:space="0" w:color="auto"/>
        <w:left w:val="none" w:sz="0" w:space="0" w:color="auto"/>
        <w:bottom w:val="none" w:sz="0" w:space="0" w:color="auto"/>
        <w:right w:val="none" w:sz="0" w:space="0" w:color="auto"/>
      </w:divBdr>
    </w:div>
    <w:div w:id="1849515132">
      <w:bodyDiv w:val="1"/>
      <w:marLeft w:val="0"/>
      <w:marRight w:val="0"/>
      <w:marTop w:val="0"/>
      <w:marBottom w:val="0"/>
      <w:divBdr>
        <w:top w:val="none" w:sz="0" w:space="0" w:color="auto"/>
        <w:left w:val="none" w:sz="0" w:space="0" w:color="auto"/>
        <w:bottom w:val="none" w:sz="0" w:space="0" w:color="auto"/>
        <w:right w:val="none" w:sz="0" w:space="0" w:color="auto"/>
      </w:divBdr>
    </w:div>
    <w:div w:id="1856263302">
      <w:bodyDiv w:val="1"/>
      <w:marLeft w:val="0"/>
      <w:marRight w:val="0"/>
      <w:marTop w:val="0"/>
      <w:marBottom w:val="0"/>
      <w:divBdr>
        <w:top w:val="none" w:sz="0" w:space="0" w:color="auto"/>
        <w:left w:val="none" w:sz="0" w:space="0" w:color="auto"/>
        <w:bottom w:val="none" w:sz="0" w:space="0" w:color="auto"/>
        <w:right w:val="none" w:sz="0" w:space="0" w:color="auto"/>
      </w:divBdr>
    </w:div>
    <w:div w:id="1861434020">
      <w:bodyDiv w:val="1"/>
      <w:marLeft w:val="0"/>
      <w:marRight w:val="0"/>
      <w:marTop w:val="0"/>
      <w:marBottom w:val="0"/>
      <w:divBdr>
        <w:top w:val="none" w:sz="0" w:space="0" w:color="auto"/>
        <w:left w:val="none" w:sz="0" w:space="0" w:color="auto"/>
        <w:bottom w:val="none" w:sz="0" w:space="0" w:color="auto"/>
        <w:right w:val="none" w:sz="0" w:space="0" w:color="auto"/>
      </w:divBdr>
    </w:div>
    <w:div w:id="1862166166">
      <w:bodyDiv w:val="1"/>
      <w:marLeft w:val="0"/>
      <w:marRight w:val="0"/>
      <w:marTop w:val="0"/>
      <w:marBottom w:val="0"/>
      <w:divBdr>
        <w:top w:val="none" w:sz="0" w:space="0" w:color="auto"/>
        <w:left w:val="none" w:sz="0" w:space="0" w:color="auto"/>
        <w:bottom w:val="none" w:sz="0" w:space="0" w:color="auto"/>
        <w:right w:val="none" w:sz="0" w:space="0" w:color="auto"/>
      </w:divBdr>
    </w:div>
    <w:div w:id="1870028272">
      <w:bodyDiv w:val="1"/>
      <w:marLeft w:val="0"/>
      <w:marRight w:val="0"/>
      <w:marTop w:val="0"/>
      <w:marBottom w:val="0"/>
      <w:divBdr>
        <w:top w:val="none" w:sz="0" w:space="0" w:color="auto"/>
        <w:left w:val="none" w:sz="0" w:space="0" w:color="auto"/>
        <w:bottom w:val="none" w:sz="0" w:space="0" w:color="auto"/>
        <w:right w:val="none" w:sz="0" w:space="0" w:color="auto"/>
      </w:divBdr>
    </w:div>
    <w:div w:id="1871458338">
      <w:bodyDiv w:val="1"/>
      <w:marLeft w:val="0"/>
      <w:marRight w:val="0"/>
      <w:marTop w:val="0"/>
      <w:marBottom w:val="0"/>
      <w:divBdr>
        <w:top w:val="none" w:sz="0" w:space="0" w:color="auto"/>
        <w:left w:val="none" w:sz="0" w:space="0" w:color="auto"/>
        <w:bottom w:val="none" w:sz="0" w:space="0" w:color="auto"/>
        <w:right w:val="none" w:sz="0" w:space="0" w:color="auto"/>
      </w:divBdr>
    </w:div>
    <w:div w:id="1871528885">
      <w:bodyDiv w:val="1"/>
      <w:marLeft w:val="0"/>
      <w:marRight w:val="0"/>
      <w:marTop w:val="0"/>
      <w:marBottom w:val="0"/>
      <w:divBdr>
        <w:top w:val="none" w:sz="0" w:space="0" w:color="auto"/>
        <w:left w:val="none" w:sz="0" w:space="0" w:color="auto"/>
        <w:bottom w:val="none" w:sz="0" w:space="0" w:color="auto"/>
        <w:right w:val="none" w:sz="0" w:space="0" w:color="auto"/>
      </w:divBdr>
    </w:div>
    <w:div w:id="1873759089">
      <w:bodyDiv w:val="1"/>
      <w:marLeft w:val="0"/>
      <w:marRight w:val="0"/>
      <w:marTop w:val="0"/>
      <w:marBottom w:val="0"/>
      <w:divBdr>
        <w:top w:val="none" w:sz="0" w:space="0" w:color="auto"/>
        <w:left w:val="none" w:sz="0" w:space="0" w:color="auto"/>
        <w:bottom w:val="none" w:sz="0" w:space="0" w:color="auto"/>
        <w:right w:val="none" w:sz="0" w:space="0" w:color="auto"/>
      </w:divBdr>
    </w:div>
    <w:div w:id="1877428495">
      <w:bodyDiv w:val="1"/>
      <w:marLeft w:val="0"/>
      <w:marRight w:val="0"/>
      <w:marTop w:val="0"/>
      <w:marBottom w:val="0"/>
      <w:divBdr>
        <w:top w:val="none" w:sz="0" w:space="0" w:color="auto"/>
        <w:left w:val="none" w:sz="0" w:space="0" w:color="auto"/>
        <w:bottom w:val="none" w:sz="0" w:space="0" w:color="auto"/>
        <w:right w:val="none" w:sz="0" w:space="0" w:color="auto"/>
      </w:divBdr>
    </w:div>
    <w:div w:id="1878854638">
      <w:bodyDiv w:val="1"/>
      <w:marLeft w:val="0"/>
      <w:marRight w:val="0"/>
      <w:marTop w:val="0"/>
      <w:marBottom w:val="0"/>
      <w:divBdr>
        <w:top w:val="none" w:sz="0" w:space="0" w:color="auto"/>
        <w:left w:val="none" w:sz="0" w:space="0" w:color="auto"/>
        <w:bottom w:val="none" w:sz="0" w:space="0" w:color="auto"/>
        <w:right w:val="none" w:sz="0" w:space="0" w:color="auto"/>
      </w:divBdr>
    </w:div>
    <w:div w:id="1881165041">
      <w:bodyDiv w:val="1"/>
      <w:marLeft w:val="0"/>
      <w:marRight w:val="0"/>
      <w:marTop w:val="0"/>
      <w:marBottom w:val="0"/>
      <w:divBdr>
        <w:top w:val="none" w:sz="0" w:space="0" w:color="auto"/>
        <w:left w:val="none" w:sz="0" w:space="0" w:color="auto"/>
        <w:bottom w:val="none" w:sz="0" w:space="0" w:color="auto"/>
        <w:right w:val="none" w:sz="0" w:space="0" w:color="auto"/>
      </w:divBdr>
    </w:div>
    <w:div w:id="1883008102">
      <w:bodyDiv w:val="1"/>
      <w:marLeft w:val="0"/>
      <w:marRight w:val="0"/>
      <w:marTop w:val="0"/>
      <w:marBottom w:val="0"/>
      <w:divBdr>
        <w:top w:val="none" w:sz="0" w:space="0" w:color="auto"/>
        <w:left w:val="none" w:sz="0" w:space="0" w:color="auto"/>
        <w:bottom w:val="none" w:sz="0" w:space="0" w:color="auto"/>
        <w:right w:val="none" w:sz="0" w:space="0" w:color="auto"/>
      </w:divBdr>
    </w:div>
    <w:div w:id="1883054559">
      <w:bodyDiv w:val="1"/>
      <w:marLeft w:val="0"/>
      <w:marRight w:val="0"/>
      <w:marTop w:val="0"/>
      <w:marBottom w:val="0"/>
      <w:divBdr>
        <w:top w:val="none" w:sz="0" w:space="0" w:color="auto"/>
        <w:left w:val="none" w:sz="0" w:space="0" w:color="auto"/>
        <w:bottom w:val="none" w:sz="0" w:space="0" w:color="auto"/>
        <w:right w:val="none" w:sz="0" w:space="0" w:color="auto"/>
      </w:divBdr>
    </w:div>
    <w:div w:id="1885369616">
      <w:bodyDiv w:val="1"/>
      <w:marLeft w:val="0"/>
      <w:marRight w:val="0"/>
      <w:marTop w:val="0"/>
      <w:marBottom w:val="0"/>
      <w:divBdr>
        <w:top w:val="none" w:sz="0" w:space="0" w:color="auto"/>
        <w:left w:val="none" w:sz="0" w:space="0" w:color="auto"/>
        <w:bottom w:val="none" w:sz="0" w:space="0" w:color="auto"/>
        <w:right w:val="none" w:sz="0" w:space="0" w:color="auto"/>
      </w:divBdr>
    </w:div>
    <w:div w:id="1886674576">
      <w:bodyDiv w:val="1"/>
      <w:marLeft w:val="0"/>
      <w:marRight w:val="0"/>
      <w:marTop w:val="0"/>
      <w:marBottom w:val="0"/>
      <w:divBdr>
        <w:top w:val="none" w:sz="0" w:space="0" w:color="auto"/>
        <w:left w:val="none" w:sz="0" w:space="0" w:color="auto"/>
        <w:bottom w:val="none" w:sz="0" w:space="0" w:color="auto"/>
        <w:right w:val="none" w:sz="0" w:space="0" w:color="auto"/>
      </w:divBdr>
    </w:div>
    <w:div w:id="1889102623">
      <w:bodyDiv w:val="1"/>
      <w:marLeft w:val="0"/>
      <w:marRight w:val="0"/>
      <w:marTop w:val="0"/>
      <w:marBottom w:val="0"/>
      <w:divBdr>
        <w:top w:val="none" w:sz="0" w:space="0" w:color="auto"/>
        <w:left w:val="none" w:sz="0" w:space="0" w:color="auto"/>
        <w:bottom w:val="none" w:sz="0" w:space="0" w:color="auto"/>
        <w:right w:val="none" w:sz="0" w:space="0" w:color="auto"/>
      </w:divBdr>
    </w:div>
    <w:div w:id="1893694269">
      <w:bodyDiv w:val="1"/>
      <w:marLeft w:val="0"/>
      <w:marRight w:val="0"/>
      <w:marTop w:val="0"/>
      <w:marBottom w:val="0"/>
      <w:divBdr>
        <w:top w:val="none" w:sz="0" w:space="0" w:color="auto"/>
        <w:left w:val="none" w:sz="0" w:space="0" w:color="auto"/>
        <w:bottom w:val="none" w:sz="0" w:space="0" w:color="auto"/>
        <w:right w:val="none" w:sz="0" w:space="0" w:color="auto"/>
      </w:divBdr>
    </w:div>
    <w:div w:id="1898008694">
      <w:bodyDiv w:val="1"/>
      <w:marLeft w:val="0"/>
      <w:marRight w:val="0"/>
      <w:marTop w:val="0"/>
      <w:marBottom w:val="0"/>
      <w:divBdr>
        <w:top w:val="none" w:sz="0" w:space="0" w:color="auto"/>
        <w:left w:val="none" w:sz="0" w:space="0" w:color="auto"/>
        <w:bottom w:val="none" w:sz="0" w:space="0" w:color="auto"/>
        <w:right w:val="none" w:sz="0" w:space="0" w:color="auto"/>
      </w:divBdr>
    </w:div>
    <w:div w:id="1903828986">
      <w:bodyDiv w:val="1"/>
      <w:marLeft w:val="0"/>
      <w:marRight w:val="0"/>
      <w:marTop w:val="0"/>
      <w:marBottom w:val="0"/>
      <w:divBdr>
        <w:top w:val="none" w:sz="0" w:space="0" w:color="auto"/>
        <w:left w:val="none" w:sz="0" w:space="0" w:color="auto"/>
        <w:bottom w:val="none" w:sz="0" w:space="0" w:color="auto"/>
        <w:right w:val="none" w:sz="0" w:space="0" w:color="auto"/>
      </w:divBdr>
    </w:div>
    <w:div w:id="1905139437">
      <w:bodyDiv w:val="1"/>
      <w:marLeft w:val="0"/>
      <w:marRight w:val="0"/>
      <w:marTop w:val="0"/>
      <w:marBottom w:val="0"/>
      <w:divBdr>
        <w:top w:val="none" w:sz="0" w:space="0" w:color="auto"/>
        <w:left w:val="none" w:sz="0" w:space="0" w:color="auto"/>
        <w:bottom w:val="none" w:sz="0" w:space="0" w:color="auto"/>
        <w:right w:val="none" w:sz="0" w:space="0" w:color="auto"/>
      </w:divBdr>
    </w:div>
    <w:div w:id="1905531075">
      <w:bodyDiv w:val="1"/>
      <w:marLeft w:val="0"/>
      <w:marRight w:val="0"/>
      <w:marTop w:val="0"/>
      <w:marBottom w:val="0"/>
      <w:divBdr>
        <w:top w:val="none" w:sz="0" w:space="0" w:color="auto"/>
        <w:left w:val="none" w:sz="0" w:space="0" w:color="auto"/>
        <w:bottom w:val="none" w:sz="0" w:space="0" w:color="auto"/>
        <w:right w:val="none" w:sz="0" w:space="0" w:color="auto"/>
      </w:divBdr>
    </w:div>
    <w:div w:id="1906530040">
      <w:bodyDiv w:val="1"/>
      <w:marLeft w:val="0"/>
      <w:marRight w:val="0"/>
      <w:marTop w:val="0"/>
      <w:marBottom w:val="0"/>
      <w:divBdr>
        <w:top w:val="none" w:sz="0" w:space="0" w:color="auto"/>
        <w:left w:val="none" w:sz="0" w:space="0" w:color="auto"/>
        <w:bottom w:val="none" w:sz="0" w:space="0" w:color="auto"/>
        <w:right w:val="none" w:sz="0" w:space="0" w:color="auto"/>
      </w:divBdr>
    </w:div>
    <w:div w:id="1907952555">
      <w:bodyDiv w:val="1"/>
      <w:marLeft w:val="0"/>
      <w:marRight w:val="0"/>
      <w:marTop w:val="0"/>
      <w:marBottom w:val="0"/>
      <w:divBdr>
        <w:top w:val="none" w:sz="0" w:space="0" w:color="auto"/>
        <w:left w:val="none" w:sz="0" w:space="0" w:color="auto"/>
        <w:bottom w:val="none" w:sz="0" w:space="0" w:color="auto"/>
        <w:right w:val="none" w:sz="0" w:space="0" w:color="auto"/>
      </w:divBdr>
    </w:div>
    <w:div w:id="1910114900">
      <w:bodyDiv w:val="1"/>
      <w:marLeft w:val="0"/>
      <w:marRight w:val="0"/>
      <w:marTop w:val="0"/>
      <w:marBottom w:val="0"/>
      <w:divBdr>
        <w:top w:val="none" w:sz="0" w:space="0" w:color="auto"/>
        <w:left w:val="none" w:sz="0" w:space="0" w:color="auto"/>
        <w:bottom w:val="none" w:sz="0" w:space="0" w:color="auto"/>
        <w:right w:val="none" w:sz="0" w:space="0" w:color="auto"/>
      </w:divBdr>
    </w:div>
    <w:div w:id="1911884816">
      <w:bodyDiv w:val="1"/>
      <w:marLeft w:val="0"/>
      <w:marRight w:val="0"/>
      <w:marTop w:val="0"/>
      <w:marBottom w:val="0"/>
      <w:divBdr>
        <w:top w:val="none" w:sz="0" w:space="0" w:color="auto"/>
        <w:left w:val="none" w:sz="0" w:space="0" w:color="auto"/>
        <w:bottom w:val="none" w:sz="0" w:space="0" w:color="auto"/>
        <w:right w:val="none" w:sz="0" w:space="0" w:color="auto"/>
      </w:divBdr>
    </w:div>
    <w:div w:id="1917204360">
      <w:bodyDiv w:val="1"/>
      <w:marLeft w:val="0"/>
      <w:marRight w:val="0"/>
      <w:marTop w:val="0"/>
      <w:marBottom w:val="0"/>
      <w:divBdr>
        <w:top w:val="none" w:sz="0" w:space="0" w:color="auto"/>
        <w:left w:val="none" w:sz="0" w:space="0" w:color="auto"/>
        <w:bottom w:val="none" w:sz="0" w:space="0" w:color="auto"/>
        <w:right w:val="none" w:sz="0" w:space="0" w:color="auto"/>
      </w:divBdr>
    </w:div>
    <w:div w:id="1918713188">
      <w:bodyDiv w:val="1"/>
      <w:marLeft w:val="0"/>
      <w:marRight w:val="0"/>
      <w:marTop w:val="0"/>
      <w:marBottom w:val="0"/>
      <w:divBdr>
        <w:top w:val="none" w:sz="0" w:space="0" w:color="auto"/>
        <w:left w:val="none" w:sz="0" w:space="0" w:color="auto"/>
        <w:bottom w:val="none" w:sz="0" w:space="0" w:color="auto"/>
        <w:right w:val="none" w:sz="0" w:space="0" w:color="auto"/>
      </w:divBdr>
    </w:div>
    <w:div w:id="1920559837">
      <w:bodyDiv w:val="1"/>
      <w:marLeft w:val="0"/>
      <w:marRight w:val="0"/>
      <w:marTop w:val="0"/>
      <w:marBottom w:val="0"/>
      <w:divBdr>
        <w:top w:val="none" w:sz="0" w:space="0" w:color="auto"/>
        <w:left w:val="none" w:sz="0" w:space="0" w:color="auto"/>
        <w:bottom w:val="none" w:sz="0" w:space="0" w:color="auto"/>
        <w:right w:val="none" w:sz="0" w:space="0" w:color="auto"/>
      </w:divBdr>
    </w:div>
    <w:div w:id="1921674102">
      <w:bodyDiv w:val="1"/>
      <w:marLeft w:val="0"/>
      <w:marRight w:val="0"/>
      <w:marTop w:val="0"/>
      <w:marBottom w:val="0"/>
      <w:divBdr>
        <w:top w:val="none" w:sz="0" w:space="0" w:color="auto"/>
        <w:left w:val="none" w:sz="0" w:space="0" w:color="auto"/>
        <w:bottom w:val="none" w:sz="0" w:space="0" w:color="auto"/>
        <w:right w:val="none" w:sz="0" w:space="0" w:color="auto"/>
      </w:divBdr>
    </w:div>
    <w:div w:id="1921796009">
      <w:bodyDiv w:val="1"/>
      <w:marLeft w:val="0"/>
      <w:marRight w:val="0"/>
      <w:marTop w:val="0"/>
      <w:marBottom w:val="0"/>
      <w:divBdr>
        <w:top w:val="none" w:sz="0" w:space="0" w:color="auto"/>
        <w:left w:val="none" w:sz="0" w:space="0" w:color="auto"/>
        <w:bottom w:val="none" w:sz="0" w:space="0" w:color="auto"/>
        <w:right w:val="none" w:sz="0" w:space="0" w:color="auto"/>
      </w:divBdr>
    </w:div>
    <w:div w:id="1925989675">
      <w:bodyDiv w:val="1"/>
      <w:marLeft w:val="0"/>
      <w:marRight w:val="0"/>
      <w:marTop w:val="0"/>
      <w:marBottom w:val="0"/>
      <w:divBdr>
        <w:top w:val="none" w:sz="0" w:space="0" w:color="auto"/>
        <w:left w:val="none" w:sz="0" w:space="0" w:color="auto"/>
        <w:bottom w:val="none" w:sz="0" w:space="0" w:color="auto"/>
        <w:right w:val="none" w:sz="0" w:space="0" w:color="auto"/>
      </w:divBdr>
    </w:div>
    <w:div w:id="1929343509">
      <w:bodyDiv w:val="1"/>
      <w:marLeft w:val="0"/>
      <w:marRight w:val="0"/>
      <w:marTop w:val="0"/>
      <w:marBottom w:val="0"/>
      <w:divBdr>
        <w:top w:val="none" w:sz="0" w:space="0" w:color="auto"/>
        <w:left w:val="none" w:sz="0" w:space="0" w:color="auto"/>
        <w:bottom w:val="none" w:sz="0" w:space="0" w:color="auto"/>
        <w:right w:val="none" w:sz="0" w:space="0" w:color="auto"/>
      </w:divBdr>
    </w:div>
    <w:div w:id="1930574579">
      <w:bodyDiv w:val="1"/>
      <w:marLeft w:val="0"/>
      <w:marRight w:val="0"/>
      <w:marTop w:val="0"/>
      <w:marBottom w:val="0"/>
      <w:divBdr>
        <w:top w:val="none" w:sz="0" w:space="0" w:color="auto"/>
        <w:left w:val="none" w:sz="0" w:space="0" w:color="auto"/>
        <w:bottom w:val="none" w:sz="0" w:space="0" w:color="auto"/>
        <w:right w:val="none" w:sz="0" w:space="0" w:color="auto"/>
      </w:divBdr>
    </w:div>
    <w:div w:id="1931546581">
      <w:bodyDiv w:val="1"/>
      <w:marLeft w:val="0"/>
      <w:marRight w:val="0"/>
      <w:marTop w:val="0"/>
      <w:marBottom w:val="0"/>
      <w:divBdr>
        <w:top w:val="none" w:sz="0" w:space="0" w:color="auto"/>
        <w:left w:val="none" w:sz="0" w:space="0" w:color="auto"/>
        <w:bottom w:val="none" w:sz="0" w:space="0" w:color="auto"/>
        <w:right w:val="none" w:sz="0" w:space="0" w:color="auto"/>
      </w:divBdr>
    </w:div>
    <w:div w:id="1932859270">
      <w:bodyDiv w:val="1"/>
      <w:marLeft w:val="0"/>
      <w:marRight w:val="0"/>
      <w:marTop w:val="0"/>
      <w:marBottom w:val="0"/>
      <w:divBdr>
        <w:top w:val="none" w:sz="0" w:space="0" w:color="auto"/>
        <w:left w:val="none" w:sz="0" w:space="0" w:color="auto"/>
        <w:bottom w:val="none" w:sz="0" w:space="0" w:color="auto"/>
        <w:right w:val="none" w:sz="0" w:space="0" w:color="auto"/>
      </w:divBdr>
    </w:div>
    <w:div w:id="1935242712">
      <w:bodyDiv w:val="1"/>
      <w:marLeft w:val="0"/>
      <w:marRight w:val="0"/>
      <w:marTop w:val="0"/>
      <w:marBottom w:val="0"/>
      <w:divBdr>
        <w:top w:val="none" w:sz="0" w:space="0" w:color="auto"/>
        <w:left w:val="none" w:sz="0" w:space="0" w:color="auto"/>
        <w:bottom w:val="none" w:sz="0" w:space="0" w:color="auto"/>
        <w:right w:val="none" w:sz="0" w:space="0" w:color="auto"/>
      </w:divBdr>
    </w:div>
    <w:div w:id="1935942713">
      <w:bodyDiv w:val="1"/>
      <w:marLeft w:val="0"/>
      <w:marRight w:val="0"/>
      <w:marTop w:val="0"/>
      <w:marBottom w:val="0"/>
      <w:divBdr>
        <w:top w:val="none" w:sz="0" w:space="0" w:color="auto"/>
        <w:left w:val="none" w:sz="0" w:space="0" w:color="auto"/>
        <w:bottom w:val="none" w:sz="0" w:space="0" w:color="auto"/>
        <w:right w:val="none" w:sz="0" w:space="0" w:color="auto"/>
      </w:divBdr>
    </w:div>
    <w:div w:id="1936741993">
      <w:bodyDiv w:val="1"/>
      <w:marLeft w:val="0"/>
      <w:marRight w:val="0"/>
      <w:marTop w:val="0"/>
      <w:marBottom w:val="0"/>
      <w:divBdr>
        <w:top w:val="none" w:sz="0" w:space="0" w:color="auto"/>
        <w:left w:val="none" w:sz="0" w:space="0" w:color="auto"/>
        <w:bottom w:val="none" w:sz="0" w:space="0" w:color="auto"/>
        <w:right w:val="none" w:sz="0" w:space="0" w:color="auto"/>
      </w:divBdr>
      <w:divsChild>
        <w:div w:id="4090788">
          <w:marLeft w:val="0"/>
          <w:marRight w:val="0"/>
          <w:marTop w:val="0"/>
          <w:marBottom w:val="0"/>
          <w:divBdr>
            <w:top w:val="none" w:sz="0" w:space="0" w:color="auto"/>
            <w:left w:val="none" w:sz="0" w:space="0" w:color="auto"/>
            <w:bottom w:val="none" w:sz="0" w:space="0" w:color="auto"/>
            <w:right w:val="none" w:sz="0" w:space="0" w:color="auto"/>
          </w:divBdr>
        </w:div>
        <w:div w:id="17245434">
          <w:marLeft w:val="0"/>
          <w:marRight w:val="0"/>
          <w:marTop w:val="0"/>
          <w:marBottom w:val="0"/>
          <w:divBdr>
            <w:top w:val="none" w:sz="0" w:space="0" w:color="auto"/>
            <w:left w:val="none" w:sz="0" w:space="0" w:color="auto"/>
            <w:bottom w:val="none" w:sz="0" w:space="0" w:color="auto"/>
            <w:right w:val="none" w:sz="0" w:space="0" w:color="auto"/>
          </w:divBdr>
        </w:div>
        <w:div w:id="33384815">
          <w:marLeft w:val="0"/>
          <w:marRight w:val="0"/>
          <w:marTop w:val="0"/>
          <w:marBottom w:val="0"/>
          <w:divBdr>
            <w:top w:val="none" w:sz="0" w:space="0" w:color="auto"/>
            <w:left w:val="none" w:sz="0" w:space="0" w:color="auto"/>
            <w:bottom w:val="none" w:sz="0" w:space="0" w:color="auto"/>
            <w:right w:val="none" w:sz="0" w:space="0" w:color="auto"/>
          </w:divBdr>
        </w:div>
        <w:div w:id="55670211">
          <w:marLeft w:val="0"/>
          <w:marRight w:val="0"/>
          <w:marTop w:val="0"/>
          <w:marBottom w:val="0"/>
          <w:divBdr>
            <w:top w:val="none" w:sz="0" w:space="0" w:color="auto"/>
            <w:left w:val="none" w:sz="0" w:space="0" w:color="auto"/>
            <w:bottom w:val="none" w:sz="0" w:space="0" w:color="auto"/>
            <w:right w:val="none" w:sz="0" w:space="0" w:color="auto"/>
          </w:divBdr>
        </w:div>
        <w:div w:id="71893362">
          <w:marLeft w:val="0"/>
          <w:marRight w:val="0"/>
          <w:marTop w:val="0"/>
          <w:marBottom w:val="0"/>
          <w:divBdr>
            <w:top w:val="none" w:sz="0" w:space="0" w:color="auto"/>
            <w:left w:val="none" w:sz="0" w:space="0" w:color="auto"/>
            <w:bottom w:val="none" w:sz="0" w:space="0" w:color="auto"/>
            <w:right w:val="none" w:sz="0" w:space="0" w:color="auto"/>
          </w:divBdr>
        </w:div>
        <w:div w:id="173883491">
          <w:marLeft w:val="0"/>
          <w:marRight w:val="0"/>
          <w:marTop w:val="0"/>
          <w:marBottom w:val="0"/>
          <w:divBdr>
            <w:top w:val="none" w:sz="0" w:space="0" w:color="auto"/>
            <w:left w:val="none" w:sz="0" w:space="0" w:color="auto"/>
            <w:bottom w:val="none" w:sz="0" w:space="0" w:color="auto"/>
            <w:right w:val="none" w:sz="0" w:space="0" w:color="auto"/>
          </w:divBdr>
        </w:div>
        <w:div w:id="184908390">
          <w:marLeft w:val="0"/>
          <w:marRight w:val="0"/>
          <w:marTop w:val="0"/>
          <w:marBottom w:val="0"/>
          <w:divBdr>
            <w:top w:val="none" w:sz="0" w:space="0" w:color="auto"/>
            <w:left w:val="none" w:sz="0" w:space="0" w:color="auto"/>
            <w:bottom w:val="none" w:sz="0" w:space="0" w:color="auto"/>
            <w:right w:val="none" w:sz="0" w:space="0" w:color="auto"/>
          </w:divBdr>
        </w:div>
        <w:div w:id="190463378">
          <w:marLeft w:val="0"/>
          <w:marRight w:val="0"/>
          <w:marTop w:val="0"/>
          <w:marBottom w:val="0"/>
          <w:divBdr>
            <w:top w:val="none" w:sz="0" w:space="0" w:color="auto"/>
            <w:left w:val="none" w:sz="0" w:space="0" w:color="auto"/>
            <w:bottom w:val="none" w:sz="0" w:space="0" w:color="auto"/>
            <w:right w:val="none" w:sz="0" w:space="0" w:color="auto"/>
          </w:divBdr>
        </w:div>
        <w:div w:id="291639181">
          <w:marLeft w:val="0"/>
          <w:marRight w:val="0"/>
          <w:marTop w:val="0"/>
          <w:marBottom w:val="0"/>
          <w:divBdr>
            <w:top w:val="none" w:sz="0" w:space="0" w:color="auto"/>
            <w:left w:val="none" w:sz="0" w:space="0" w:color="auto"/>
            <w:bottom w:val="none" w:sz="0" w:space="0" w:color="auto"/>
            <w:right w:val="none" w:sz="0" w:space="0" w:color="auto"/>
          </w:divBdr>
        </w:div>
        <w:div w:id="317344601">
          <w:marLeft w:val="0"/>
          <w:marRight w:val="0"/>
          <w:marTop w:val="0"/>
          <w:marBottom w:val="0"/>
          <w:divBdr>
            <w:top w:val="none" w:sz="0" w:space="0" w:color="auto"/>
            <w:left w:val="none" w:sz="0" w:space="0" w:color="auto"/>
            <w:bottom w:val="none" w:sz="0" w:space="0" w:color="auto"/>
            <w:right w:val="none" w:sz="0" w:space="0" w:color="auto"/>
          </w:divBdr>
        </w:div>
        <w:div w:id="343287977">
          <w:marLeft w:val="0"/>
          <w:marRight w:val="0"/>
          <w:marTop w:val="0"/>
          <w:marBottom w:val="0"/>
          <w:divBdr>
            <w:top w:val="none" w:sz="0" w:space="0" w:color="auto"/>
            <w:left w:val="none" w:sz="0" w:space="0" w:color="auto"/>
            <w:bottom w:val="none" w:sz="0" w:space="0" w:color="auto"/>
            <w:right w:val="none" w:sz="0" w:space="0" w:color="auto"/>
          </w:divBdr>
        </w:div>
        <w:div w:id="346559183">
          <w:marLeft w:val="0"/>
          <w:marRight w:val="0"/>
          <w:marTop w:val="0"/>
          <w:marBottom w:val="0"/>
          <w:divBdr>
            <w:top w:val="none" w:sz="0" w:space="0" w:color="auto"/>
            <w:left w:val="none" w:sz="0" w:space="0" w:color="auto"/>
            <w:bottom w:val="none" w:sz="0" w:space="0" w:color="auto"/>
            <w:right w:val="none" w:sz="0" w:space="0" w:color="auto"/>
          </w:divBdr>
        </w:div>
        <w:div w:id="370497378">
          <w:marLeft w:val="0"/>
          <w:marRight w:val="0"/>
          <w:marTop w:val="0"/>
          <w:marBottom w:val="0"/>
          <w:divBdr>
            <w:top w:val="none" w:sz="0" w:space="0" w:color="auto"/>
            <w:left w:val="none" w:sz="0" w:space="0" w:color="auto"/>
            <w:bottom w:val="none" w:sz="0" w:space="0" w:color="auto"/>
            <w:right w:val="none" w:sz="0" w:space="0" w:color="auto"/>
          </w:divBdr>
        </w:div>
        <w:div w:id="377317255">
          <w:marLeft w:val="0"/>
          <w:marRight w:val="0"/>
          <w:marTop w:val="0"/>
          <w:marBottom w:val="0"/>
          <w:divBdr>
            <w:top w:val="none" w:sz="0" w:space="0" w:color="auto"/>
            <w:left w:val="none" w:sz="0" w:space="0" w:color="auto"/>
            <w:bottom w:val="none" w:sz="0" w:space="0" w:color="auto"/>
            <w:right w:val="none" w:sz="0" w:space="0" w:color="auto"/>
          </w:divBdr>
        </w:div>
        <w:div w:id="402147296">
          <w:marLeft w:val="0"/>
          <w:marRight w:val="0"/>
          <w:marTop w:val="0"/>
          <w:marBottom w:val="0"/>
          <w:divBdr>
            <w:top w:val="none" w:sz="0" w:space="0" w:color="auto"/>
            <w:left w:val="none" w:sz="0" w:space="0" w:color="auto"/>
            <w:bottom w:val="none" w:sz="0" w:space="0" w:color="auto"/>
            <w:right w:val="none" w:sz="0" w:space="0" w:color="auto"/>
          </w:divBdr>
        </w:div>
        <w:div w:id="419185519">
          <w:marLeft w:val="0"/>
          <w:marRight w:val="0"/>
          <w:marTop w:val="0"/>
          <w:marBottom w:val="0"/>
          <w:divBdr>
            <w:top w:val="none" w:sz="0" w:space="0" w:color="auto"/>
            <w:left w:val="none" w:sz="0" w:space="0" w:color="auto"/>
            <w:bottom w:val="none" w:sz="0" w:space="0" w:color="auto"/>
            <w:right w:val="none" w:sz="0" w:space="0" w:color="auto"/>
          </w:divBdr>
        </w:div>
        <w:div w:id="434056991">
          <w:marLeft w:val="0"/>
          <w:marRight w:val="0"/>
          <w:marTop w:val="0"/>
          <w:marBottom w:val="0"/>
          <w:divBdr>
            <w:top w:val="none" w:sz="0" w:space="0" w:color="auto"/>
            <w:left w:val="none" w:sz="0" w:space="0" w:color="auto"/>
            <w:bottom w:val="none" w:sz="0" w:space="0" w:color="auto"/>
            <w:right w:val="none" w:sz="0" w:space="0" w:color="auto"/>
          </w:divBdr>
        </w:div>
        <w:div w:id="437528758">
          <w:marLeft w:val="0"/>
          <w:marRight w:val="0"/>
          <w:marTop w:val="0"/>
          <w:marBottom w:val="0"/>
          <w:divBdr>
            <w:top w:val="none" w:sz="0" w:space="0" w:color="auto"/>
            <w:left w:val="none" w:sz="0" w:space="0" w:color="auto"/>
            <w:bottom w:val="none" w:sz="0" w:space="0" w:color="auto"/>
            <w:right w:val="none" w:sz="0" w:space="0" w:color="auto"/>
          </w:divBdr>
        </w:div>
        <w:div w:id="437870911">
          <w:marLeft w:val="0"/>
          <w:marRight w:val="0"/>
          <w:marTop w:val="0"/>
          <w:marBottom w:val="0"/>
          <w:divBdr>
            <w:top w:val="none" w:sz="0" w:space="0" w:color="auto"/>
            <w:left w:val="none" w:sz="0" w:space="0" w:color="auto"/>
            <w:bottom w:val="none" w:sz="0" w:space="0" w:color="auto"/>
            <w:right w:val="none" w:sz="0" w:space="0" w:color="auto"/>
          </w:divBdr>
        </w:div>
        <w:div w:id="440338407">
          <w:marLeft w:val="0"/>
          <w:marRight w:val="0"/>
          <w:marTop w:val="0"/>
          <w:marBottom w:val="0"/>
          <w:divBdr>
            <w:top w:val="none" w:sz="0" w:space="0" w:color="auto"/>
            <w:left w:val="none" w:sz="0" w:space="0" w:color="auto"/>
            <w:bottom w:val="none" w:sz="0" w:space="0" w:color="auto"/>
            <w:right w:val="none" w:sz="0" w:space="0" w:color="auto"/>
          </w:divBdr>
        </w:div>
        <w:div w:id="443614711">
          <w:marLeft w:val="0"/>
          <w:marRight w:val="0"/>
          <w:marTop w:val="0"/>
          <w:marBottom w:val="0"/>
          <w:divBdr>
            <w:top w:val="none" w:sz="0" w:space="0" w:color="auto"/>
            <w:left w:val="none" w:sz="0" w:space="0" w:color="auto"/>
            <w:bottom w:val="none" w:sz="0" w:space="0" w:color="auto"/>
            <w:right w:val="none" w:sz="0" w:space="0" w:color="auto"/>
          </w:divBdr>
        </w:div>
        <w:div w:id="478302402">
          <w:marLeft w:val="0"/>
          <w:marRight w:val="0"/>
          <w:marTop w:val="0"/>
          <w:marBottom w:val="0"/>
          <w:divBdr>
            <w:top w:val="none" w:sz="0" w:space="0" w:color="auto"/>
            <w:left w:val="none" w:sz="0" w:space="0" w:color="auto"/>
            <w:bottom w:val="none" w:sz="0" w:space="0" w:color="auto"/>
            <w:right w:val="none" w:sz="0" w:space="0" w:color="auto"/>
          </w:divBdr>
        </w:div>
        <w:div w:id="498811434">
          <w:marLeft w:val="0"/>
          <w:marRight w:val="0"/>
          <w:marTop w:val="0"/>
          <w:marBottom w:val="0"/>
          <w:divBdr>
            <w:top w:val="none" w:sz="0" w:space="0" w:color="auto"/>
            <w:left w:val="none" w:sz="0" w:space="0" w:color="auto"/>
            <w:bottom w:val="none" w:sz="0" w:space="0" w:color="auto"/>
            <w:right w:val="none" w:sz="0" w:space="0" w:color="auto"/>
          </w:divBdr>
        </w:div>
        <w:div w:id="505094037">
          <w:marLeft w:val="0"/>
          <w:marRight w:val="0"/>
          <w:marTop w:val="0"/>
          <w:marBottom w:val="0"/>
          <w:divBdr>
            <w:top w:val="none" w:sz="0" w:space="0" w:color="auto"/>
            <w:left w:val="none" w:sz="0" w:space="0" w:color="auto"/>
            <w:bottom w:val="none" w:sz="0" w:space="0" w:color="auto"/>
            <w:right w:val="none" w:sz="0" w:space="0" w:color="auto"/>
          </w:divBdr>
        </w:div>
        <w:div w:id="519662400">
          <w:marLeft w:val="0"/>
          <w:marRight w:val="0"/>
          <w:marTop w:val="0"/>
          <w:marBottom w:val="0"/>
          <w:divBdr>
            <w:top w:val="none" w:sz="0" w:space="0" w:color="auto"/>
            <w:left w:val="none" w:sz="0" w:space="0" w:color="auto"/>
            <w:bottom w:val="none" w:sz="0" w:space="0" w:color="auto"/>
            <w:right w:val="none" w:sz="0" w:space="0" w:color="auto"/>
          </w:divBdr>
        </w:div>
        <w:div w:id="523785013">
          <w:marLeft w:val="0"/>
          <w:marRight w:val="0"/>
          <w:marTop w:val="0"/>
          <w:marBottom w:val="0"/>
          <w:divBdr>
            <w:top w:val="none" w:sz="0" w:space="0" w:color="auto"/>
            <w:left w:val="none" w:sz="0" w:space="0" w:color="auto"/>
            <w:bottom w:val="none" w:sz="0" w:space="0" w:color="auto"/>
            <w:right w:val="none" w:sz="0" w:space="0" w:color="auto"/>
          </w:divBdr>
        </w:div>
        <w:div w:id="533808281">
          <w:marLeft w:val="0"/>
          <w:marRight w:val="0"/>
          <w:marTop w:val="0"/>
          <w:marBottom w:val="0"/>
          <w:divBdr>
            <w:top w:val="none" w:sz="0" w:space="0" w:color="auto"/>
            <w:left w:val="none" w:sz="0" w:space="0" w:color="auto"/>
            <w:bottom w:val="none" w:sz="0" w:space="0" w:color="auto"/>
            <w:right w:val="none" w:sz="0" w:space="0" w:color="auto"/>
          </w:divBdr>
        </w:div>
        <w:div w:id="537478105">
          <w:marLeft w:val="0"/>
          <w:marRight w:val="0"/>
          <w:marTop w:val="0"/>
          <w:marBottom w:val="0"/>
          <w:divBdr>
            <w:top w:val="none" w:sz="0" w:space="0" w:color="auto"/>
            <w:left w:val="none" w:sz="0" w:space="0" w:color="auto"/>
            <w:bottom w:val="none" w:sz="0" w:space="0" w:color="auto"/>
            <w:right w:val="none" w:sz="0" w:space="0" w:color="auto"/>
          </w:divBdr>
        </w:div>
        <w:div w:id="538976580">
          <w:marLeft w:val="0"/>
          <w:marRight w:val="0"/>
          <w:marTop w:val="0"/>
          <w:marBottom w:val="0"/>
          <w:divBdr>
            <w:top w:val="none" w:sz="0" w:space="0" w:color="auto"/>
            <w:left w:val="none" w:sz="0" w:space="0" w:color="auto"/>
            <w:bottom w:val="none" w:sz="0" w:space="0" w:color="auto"/>
            <w:right w:val="none" w:sz="0" w:space="0" w:color="auto"/>
          </w:divBdr>
        </w:div>
        <w:div w:id="540747059">
          <w:marLeft w:val="0"/>
          <w:marRight w:val="0"/>
          <w:marTop w:val="0"/>
          <w:marBottom w:val="0"/>
          <w:divBdr>
            <w:top w:val="none" w:sz="0" w:space="0" w:color="auto"/>
            <w:left w:val="none" w:sz="0" w:space="0" w:color="auto"/>
            <w:bottom w:val="none" w:sz="0" w:space="0" w:color="auto"/>
            <w:right w:val="none" w:sz="0" w:space="0" w:color="auto"/>
          </w:divBdr>
        </w:div>
        <w:div w:id="542835927">
          <w:marLeft w:val="0"/>
          <w:marRight w:val="0"/>
          <w:marTop w:val="0"/>
          <w:marBottom w:val="0"/>
          <w:divBdr>
            <w:top w:val="none" w:sz="0" w:space="0" w:color="auto"/>
            <w:left w:val="none" w:sz="0" w:space="0" w:color="auto"/>
            <w:bottom w:val="none" w:sz="0" w:space="0" w:color="auto"/>
            <w:right w:val="none" w:sz="0" w:space="0" w:color="auto"/>
          </w:divBdr>
        </w:div>
        <w:div w:id="553153918">
          <w:marLeft w:val="0"/>
          <w:marRight w:val="0"/>
          <w:marTop w:val="0"/>
          <w:marBottom w:val="0"/>
          <w:divBdr>
            <w:top w:val="none" w:sz="0" w:space="0" w:color="auto"/>
            <w:left w:val="none" w:sz="0" w:space="0" w:color="auto"/>
            <w:bottom w:val="none" w:sz="0" w:space="0" w:color="auto"/>
            <w:right w:val="none" w:sz="0" w:space="0" w:color="auto"/>
          </w:divBdr>
        </w:div>
        <w:div w:id="591864510">
          <w:marLeft w:val="0"/>
          <w:marRight w:val="0"/>
          <w:marTop w:val="0"/>
          <w:marBottom w:val="0"/>
          <w:divBdr>
            <w:top w:val="none" w:sz="0" w:space="0" w:color="auto"/>
            <w:left w:val="none" w:sz="0" w:space="0" w:color="auto"/>
            <w:bottom w:val="none" w:sz="0" w:space="0" w:color="auto"/>
            <w:right w:val="none" w:sz="0" w:space="0" w:color="auto"/>
          </w:divBdr>
        </w:div>
        <w:div w:id="597252822">
          <w:marLeft w:val="0"/>
          <w:marRight w:val="0"/>
          <w:marTop w:val="0"/>
          <w:marBottom w:val="0"/>
          <w:divBdr>
            <w:top w:val="none" w:sz="0" w:space="0" w:color="auto"/>
            <w:left w:val="none" w:sz="0" w:space="0" w:color="auto"/>
            <w:bottom w:val="none" w:sz="0" w:space="0" w:color="auto"/>
            <w:right w:val="none" w:sz="0" w:space="0" w:color="auto"/>
          </w:divBdr>
        </w:div>
        <w:div w:id="601107010">
          <w:marLeft w:val="0"/>
          <w:marRight w:val="0"/>
          <w:marTop w:val="0"/>
          <w:marBottom w:val="0"/>
          <w:divBdr>
            <w:top w:val="none" w:sz="0" w:space="0" w:color="auto"/>
            <w:left w:val="none" w:sz="0" w:space="0" w:color="auto"/>
            <w:bottom w:val="none" w:sz="0" w:space="0" w:color="auto"/>
            <w:right w:val="none" w:sz="0" w:space="0" w:color="auto"/>
          </w:divBdr>
        </w:div>
        <w:div w:id="612060453">
          <w:marLeft w:val="0"/>
          <w:marRight w:val="0"/>
          <w:marTop w:val="0"/>
          <w:marBottom w:val="0"/>
          <w:divBdr>
            <w:top w:val="none" w:sz="0" w:space="0" w:color="auto"/>
            <w:left w:val="none" w:sz="0" w:space="0" w:color="auto"/>
            <w:bottom w:val="none" w:sz="0" w:space="0" w:color="auto"/>
            <w:right w:val="none" w:sz="0" w:space="0" w:color="auto"/>
          </w:divBdr>
        </w:div>
        <w:div w:id="628054362">
          <w:marLeft w:val="0"/>
          <w:marRight w:val="0"/>
          <w:marTop w:val="0"/>
          <w:marBottom w:val="0"/>
          <w:divBdr>
            <w:top w:val="none" w:sz="0" w:space="0" w:color="auto"/>
            <w:left w:val="none" w:sz="0" w:space="0" w:color="auto"/>
            <w:bottom w:val="none" w:sz="0" w:space="0" w:color="auto"/>
            <w:right w:val="none" w:sz="0" w:space="0" w:color="auto"/>
          </w:divBdr>
        </w:div>
        <w:div w:id="688290329">
          <w:marLeft w:val="0"/>
          <w:marRight w:val="0"/>
          <w:marTop w:val="0"/>
          <w:marBottom w:val="0"/>
          <w:divBdr>
            <w:top w:val="none" w:sz="0" w:space="0" w:color="auto"/>
            <w:left w:val="none" w:sz="0" w:space="0" w:color="auto"/>
            <w:bottom w:val="none" w:sz="0" w:space="0" w:color="auto"/>
            <w:right w:val="none" w:sz="0" w:space="0" w:color="auto"/>
          </w:divBdr>
        </w:div>
        <w:div w:id="692727954">
          <w:marLeft w:val="0"/>
          <w:marRight w:val="0"/>
          <w:marTop w:val="0"/>
          <w:marBottom w:val="0"/>
          <w:divBdr>
            <w:top w:val="none" w:sz="0" w:space="0" w:color="auto"/>
            <w:left w:val="none" w:sz="0" w:space="0" w:color="auto"/>
            <w:bottom w:val="none" w:sz="0" w:space="0" w:color="auto"/>
            <w:right w:val="none" w:sz="0" w:space="0" w:color="auto"/>
          </w:divBdr>
        </w:div>
        <w:div w:id="723287017">
          <w:marLeft w:val="0"/>
          <w:marRight w:val="0"/>
          <w:marTop w:val="0"/>
          <w:marBottom w:val="0"/>
          <w:divBdr>
            <w:top w:val="none" w:sz="0" w:space="0" w:color="auto"/>
            <w:left w:val="none" w:sz="0" w:space="0" w:color="auto"/>
            <w:bottom w:val="none" w:sz="0" w:space="0" w:color="auto"/>
            <w:right w:val="none" w:sz="0" w:space="0" w:color="auto"/>
          </w:divBdr>
        </w:div>
        <w:div w:id="724108301">
          <w:marLeft w:val="0"/>
          <w:marRight w:val="0"/>
          <w:marTop w:val="0"/>
          <w:marBottom w:val="0"/>
          <w:divBdr>
            <w:top w:val="none" w:sz="0" w:space="0" w:color="auto"/>
            <w:left w:val="none" w:sz="0" w:space="0" w:color="auto"/>
            <w:bottom w:val="none" w:sz="0" w:space="0" w:color="auto"/>
            <w:right w:val="none" w:sz="0" w:space="0" w:color="auto"/>
          </w:divBdr>
        </w:div>
        <w:div w:id="754088930">
          <w:marLeft w:val="0"/>
          <w:marRight w:val="0"/>
          <w:marTop w:val="0"/>
          <w:marBottom w:val="0"/>
          <w:divBdr>
            <w:top w:val="none" w:sz="0" w:space="0" w:color="auto"/>
            <w:left w:val="none" w:sz="0" w:space="0" w:color="auto"/>
            <w:bottom w:val="none" w:sz="0" w:space="0" w:color="auto"/>
            <w:right w:val="none" w:sz="0" w:space="0" w:color="auto"/>
          </w:divBdr>
        </w:div>
        <w:div w:id="759763309">
          <w:marLeft w:val="0"/>
          <w:marRight w:val="0"/>
          <w:marTop w:val="0"/>
          <w:marBottom w:val="0"/>
          <w:divBdr>
            <w:top w:val="none" w:sz="0" w:space="0" w:color="auto"/>
            <w:left w:val="none" w:sz="0" w:space="0" w:color="auto"/>
            <w:bottom w:val="none" w:sz="0" w:space="0" w:color="auto"/>
            <w:right w:val="none" w:sz="0" w:space="0" w:color="auto"/>
          </w:divBdr>
        </w:div>
        <w:div w:id="775711844">
          <w:marLeft w:val="0"/>
          <w:marRight w:val="0"/>
          <w:marTop w:val="0"/>
          <w:marBottom w:val="0"/>
          <w:divBdr>
            <w:top w:val="none" w:sz="0" w:space="0" w:color="auto"/>
            <w:left w:val="none" w:sz="0" w:space="0" w:color="auto"/>
            <w:bottom w:val="none" w:sz="0" w:space="0" w:color="auto"/>
            <w:right w:val="none" w:sz="0" w:space="0" w:color="auto"/>
          </w:divBdr>
        </w:div>
        <w:div w:id="791048584">
          <w:marLeft w:val="0"/>
          <w:marRight w:val="0"/>
          <w:marTop w:val="0"/>
          <w:marBottom w:val="0"/>
          <w:divBdr>
            <w:top w:val="none" w:sz="0" w:space="0" w:color="auto"/>
            <w:left w:val="none" w:sz="0" w:space="0" w:color="auto"/>
            <w:bottom w:val="none" w:sz="0" w:space="0" w:color="auto"/>
            <w:right w:val="none" w:sz="0" w:space="0" w:color="auto"/>
          </w:divBdr>
        </w:div>
        <w:div w:id="810439060">
          <w:marLeft w:val="0"/>
          <w:marRight w:val="0"/>
          <w:marTop w:val="0"/>
          <w:marBottom w:val="0"/>
          <w:divBdr>
            <w:top w:val="none" w:sz="0" w:space="0" w:color="auto"/>
            <w:left w:val="none" w:sz="0" w:space="0" w:color="auto"/>
            <w:bottom w:val="none" w:sz="0" w:space="0" w:color="auto"/>
            <w:right w:val="none" w:sz="0" w:space="0" w:color="auto"/>
          </w:divBdr>
        </w:div>
        <w:div w:id="812260706">
          <w:marLeft w:val="0"/>
          <w:marRight w:val="0"/>
          <w:marTop w:val="0"/>
          <w:marBottom w:val="0"/>
          <w:divBdr>
            <w:top w:val="none" w:sz="0" w:space="0" w:color="auto"/>
            <w:left w:val="none" w:sz="0" w:space="0" w:color="auto"/>
            <w:bottom w:val="none" w:sz="0" w:space="0" w:color="auto"/>
            <w:right w:val="none" w:sz="0" w:space="0" w:color="auto"/>
          </w:divBdr>
        </w:div>
        <w:div w:id="828793736">
          <w:marLeft w:val="0"/>
          <w:marRight w:val="0"/>
          <w:marTop w:val="0"/>
          <w:marBottom w:val="0"/>
          <w:divBdr>
            <w:top w:val="none" w:sz="0" w:space="0" w:color="auto"/>
            <w:left w:val="none" w:sz="0" w:space="0" w:color="auto"/>
            <w:bottom w:val="none" w:sz="0" w:space="0" w:color="auto"/>
            <w:right w:val="none" w:sz="0" w:space="0" w:color="auto"/>
          </w:divBdr>
        </w:div>
        <w:div w:id="832379327">
          <w:marLeft w:val="0"/>
          <w:marRight w:val="0"/>
          <w:marTop w:val="0"/>
          <w:marBottom w:val="0"/>
          <w:divBdr>
            <w:top w:val="none" w:sz="0" w:space="0" w:color="auto"/>
            <w:left w:val="none" w:sz="0" w:space="0" w:color="auto"/>
            <w:bottom w:val="none" w:sz="0" w:space="0" w:color="auto"/>
            <w:right w:val="none" w:sz="0" w:space="0" w:color="auto"/>
          </w:divBdr>
        </w:div>
        <w:div w:id="836073474">
          <w:marLeft w:val="0"/>
          <w:marRight w:val="0"/>
          <w:marTop w:val="0"/>
          <w:marBottom w:val="0"/>
          <w:divBdr>
            <w:top w:val="none" w:sz="0" w:space="0" w:color="auto"/>
            <w:left w:val="none" w:sz="0" w:space="0" w:color="auto"/>
            <w:bottom w:val="none" w:sz="0" w:space="0" w:color="auto"/>
            <w:right w:val="none" w:sz="0" w:space="0" w:color="auto"/>
          </w:divBdr>
        </w:div>
        <w:div w:id="857818321">
          <w:marLeft w:val="0"/>
          <w:marRight w:val="0"/>
          <w:marTop w:val="0"/>
          <w:marBottom w:val="0"/>
          <w:divBdr>
            <w:top w:val="none" w:sz="0" w:space="0" w:color="auto"/>
            <w:left w:val="none" w:sz="0" w:space="0" w:color="auto"/>
            <w:bottom w:val="none" w:sz="0" w:space="0" w:color="auto"/>
            <w:right w:val="none" w:sz="0" w:space="0" w:color="auto"/>
          </w:divBdr>
        </w:div>
        <w:div w:id="858348083">
          <w:marLeft w:val="0"/>
          <w:marRight w:val="0"/>
          <w:marTop w:val="0"/>
          <w:marBottom w:val="0"/>
          <w:divBdr>
            <w:top w:val="none" w:sz="0" w:space="0" w:color="auto"/>
            <w:left w:val="none" w:sz="0" w:space="0" w:color="auto"/>
            <w:bottom w:val="none" w:sz="0" w:space="0" w:color="auto"/>
            <w:right w:val="none" w:sz="0" w:space="0" w:color="auto"/>
          </w:divBdr>
        </w:div>
        <w:div w:id="870385822">
          <w:marLeft w:val="0"/>
          <w:marRight w:val="0"/>
          <w:marTop w:val="0"/>
          <w:marBottom w:val="0"/>
          <w:divBdr>
            <w:top w:val="none" w:sz="0" w:space="0" w:color="auto"/>
            <w:left w:val="none" w:sz="0" w:space="0" w:color="auto"/>
            <w:bottom w:val="none" w:sz="0" w:space="0" w:color="auto"/>
            <w:right w:val="none" w:sz="0" w:space="0" w:color="auto"/>
          </w:divBdr>
        </w:div>
        <w:div w:id="895093888">
          <w:marLeft w:val="0"/>
          <w:marRight w:val="0"/>
          <w:marTop w:val="0"/>
          <w:marBottom w:val="0"/>
          <w:divBdr>
            <w:top w:val="none" w:sz="0" w:space="0" w:color="auto"/>
            <w:left w:val="none" w:sz="0" w:space="0" w:color="auto"/>
            <w:bottom w:val="none" w:sz="0" w:space="0" w:color="auto"/>
            <w:right w:val="none" w:sz="0" w:space="0" w:color="auto"/>
          </w:divBdr>
        </w:div>
        <w:div w:id="928536360">
          <w:marLeft w:val="0"/>
          <w:marRight w:val="0"/>
          <w:marTop w:val="0"/>
          <w:marBottom w:val="0"/>
          <w:divBdr>
            <w:top w:val="none" w:sz="0" w:space="0" w:color="auto"/>
            <w:left w:val="none" w:sz="0" w:space="0" w:color="auto"/>
            <w:bottom w:val="none" w:sz="0" w:space="0" w:color="auto"/>
            <w:right w:val="none" w:sz="0" w:space="0" w:color="auto"/>
          </w:divBdr>
        </w:div>
        <w:div w:id="960651955">
          <w:marLeft w:val="0"/>
          <w:marRight w:val="0"/>
          <w:marTop w:val="0"/>
          <w:marBottom w:val="0"/>
          <w:divBdr>
            <w:top w:val="none" w:sz="0" w:space="0" w:color="auto"/>
            <w:left w:val="none" w:sz="0" w:space="0" w:color="auto"/>
            <w:bottom w:val="none" w:sz="0" w:space="0" w:color="auto"/>
            <w:right w:val="none" w:sz="0" w:space="0" w:color="auto"/>
          </w:divBdr>
        </w:div>
        <w:div w:id="979189733">
          <w:marLeft w:val="0"/>
          <w:marRight w:val="0"/>
          <w:marTop w:val="0"/>
          <w:marBottom w:val="0"/>
          <w:divBdr>
            <w:top w:val="none" w:sz="0" w:space="0" w:color="auto"/>
            <w:left w:val="none" w:sz="0" w:space="0" w:color="auto"/>
            <w:bottom w:val="none" w:sz="0" w:space="0" w:color="auto"/>
            <w:right w:val="none" w:sz="0" w:space="0" w:color="auto"/>
          </w:divBdr>
        </w:div>
        <w:div w:id="986856478">
          <w:marLeft w:val="0"/>
          <w:marRight w:val="0"/>
          <w:marTop w:val="0"/>
          <w:marBottom w:val="0"/>
          <w:divBdr>
            <w:top w:val="none" w:sz="0" w:space="0" w:color="auto"/>
            <w:left w:val="none" w:sz="0" w:space="0" w:color="auto"/>
            <w:bottom w:val="none" w:sz="0" w:space="0" w:color="auto"/>
            <w:right w:val="none" w:sz="0" w:space="0" w:color="auto"/>
          </w:divBdr>
        </w:div>
        <w:div w:id="1002509758">
          <w:marLeft w:val="0"/>
          <w:marRight w:val="0"/>
          <w:marTop w:val="0"/>
          <w:marBottom w:val="0"/>
          <w:divBdr>
            <w:top w:val="none" w:sz="0" w:space="0" w:color="auto"/>
            <w:left w:val="none" w:sz="0" w:space="0" w:color="auto"/>
            <w:bottom w:val="none" w:sz="0" w:space="0" w:color="auto"/>
            <w:right w:val="none" w:sz="0" w:space="0" w:color="auto"/>
          </w:divBdr>
        </w:div>
        <w:div w:id="1019237333">
          <w:marLeft w:val="0"/>
          <w:marRight w:val="0"/>
          <w:marTop w:val="0"/>
          <w:marBottom w:val="0"/>
          <w:divBdr>
            <w:top w:val="none" w:sz="0" w:space="0" w:color="auto"/>
            <w:left w:val="none" w:sz="0" w:space="0" w:color="auto"/>
            <w:bottom w:val="none" w:sz="0" w:space="0" w:color="auto"/>
            <w:right w:val="none" w:sz="0" w:space="0" w:color="auto"/>
          </w:divBdr>
        </w:div>
        <w:div w:id="1023555527">
          <w:marLeft w:val="0"/>
          <w:marRight w:val="0"/>
          <w:marTop w:val="0"/>
          <w:marBottom w:val="0"/>
          <w:divBdr>
            <w:top w:val="none" w:sz="0" w:space="0" w:color="auto"/>
            <w:left w:val="none" w:sz="0" w:space="0" w:color="auto"/>
            <w:bottom w:val="none" w:sz="0" w:space="0" w:color="auto"/>
            <w:right w:val="none" w:sz="0" w:space="0" w:color="auto"/>
          </w:divBdr>
        </w:div>
        <w:div w:id="1031613719">
          <w:marLeft w:val="0"/>
          <w:marRight w:val="0"/>
          <w:marTop w:val="0"/>
          <w:marBottom w:val="0"/>
          <w:divBdr>
            <w:top w:val="none" w:sz="0" w:space="0" w:color="auto"/>
            <w:left w:val="none" w:sz="0" w:space="0" w:color="auto"/>
            <w:bottom w:val="none" w:sz="0" w:space="0" w:color="auto"/>
            <w:right w:val="none" w:sz="0" w:space="0" w:color="auto"/>
          </w:divBdr>
        </w:div>
        <w:div w:id="1041321067">
          <w:marLeft w:val="0"/>
          <w:marRight w:val="0"/>
          <w:marTop w:val="0"/>
          <w:marBottom w:val="0"/>
          <w:divBdr>
            <w:top w:val="none" w:sz="0" w:space="0" w:color="auto"/>
            <w:left w:val="none" w:sz="0" w:space="0" w:color="auto"/>
            <w:bottom w:val="none" w:sz="0" w:space="0" w:color="auto"/>
            <w:right w:val="none" w:sz="0" w:space="0" w:color="auto"/>
          </w:divBdr>
        </w:div>
        <w:div w:id="1049299353">
          <w:marLeft w:val="0"/>
          <w:marRight w:val="0"/>
          <w:marTop w:val="0"/>
          <w:marBottom w:val="0"/>
          <w:divBdr>
            <w:top w:val="none" w:sz="0" w:space="0" w:color="auto"/>
            <w:left w:val="none" w:sz="0" w:space="0" w:color="auto"/>
            <w:bottom w:val="none" w:sz="0" w:space="0" w:color="auto"/>
            <w:right w:val="none" w:sz="0" w:space="0" w:color="auto"/>
          </w:divBdr>
        </w:div>
        <w:div w:id="1072701680">
          <w:marLeft w:val="0"/>
          <w:marRight w:val="0"/>
          <w:marTop w:val="0"/>
          <w:marBottom w:val="0"/>
          <w:divBdr>
            <w:top w:val="none" w:sz="0" w:space="0" w:color="auto"/>
            <w:left w:val="none" w:sz="0" w:space="0" w:color="auto"/>
            <w:bottom w:val="none" w:sz="0" w:space="0" w:color="auto"/>
            <w:right w:val="none" w:sz="0" w:space="0" w:color="auto"/>
          </w:divBdr>
        </w:div>
        <w:div w:id="1114712713">
          <w:marLeft w:val="0"/>
          <w:marRight w:val="0"/>
          <w:marTop w:val="0"/>
          <w:marBottom w:val="0"/>
          <w:divBdr>
            <w:top w:val="none" w:sz="0" w:space="0" w:color="auto"/>
            <w:left w:val="none" w:sz="0" w:space="0" w:color="auto"/>
            <w:bottom w:val="none" w:sz="0" w:space="0" w:color="auto"/>
            <w:right w:val="none" w:sz="0" w:space="0" w:color="auto"/>
          </w:divBdr>
        </w:div>
        <w:div w:id="1140347680">
          <w:marLeft w:val="0"/>
          <w:marRight w:val="0"/>
          <w:marTop w:val="0"/>
          <w:marBottom w:val="0"/>
          <w:divBdr>
            <w:top w:val="none" w:sz="0" w:space="0" w:color="auto"/>
            <w:left w:val="none" w:sz="0" w:space="0" w:color="auto"/>
            <w:bottom w:val="none" w:sz="0" w:space="0" w:color="auto"/>
            <w:right w:val="none" w:sz="0" w:space="0" w:color="auto"/>
          </w:divBdr>
        </w:div>
        <w:div w:id="1140418502">
          <w:marLeft w:val="0"/>
          <w:marRight w:val="0"/>
          <w:marTop w:val="0"/>
          <w:marBottom w:val="0"/>
          <w:divBdr>
            <w:top w:val="none" w:sz="0" w:space="0" w:color="auto"/>
            <w:left w:val="none" w:sz="0" w:space="0" w:color="auto"/>
            <w:bottom w:val="none" w:sz="0" w:space="0" w:color="auto"/>
            <w:right w:val="none" w:sz="0" w:space="0" w:color="auto"/>
          </w:divBdr>
        </w:div>
        <w:div w:id="1144784086">
          <w:marLeft w:val="0"/>
          <w:marRight w:val="0"/>
          <w:marTop w:val="0"/>
          <w:marBottom w:val="0"/>
          <w:divBdr>
            <w:top w:val="none" w:sz="0" w:space="0" w:color="auto"/>
            <w:left w:val="none" w:sz="0" w:space="0" w:color="auto"/>
            <w:bottom w:val="none" w:sz="0" w:space="0" w:color="auto"/>
            <w:right w:val="none" w:sz="0" w:space="0" w:color="auto"/>
          </w:divBdr>
        </w:div>
        <w:div w:id="1177767985">
          <w:marLeft w:val="0"/>
          <w:marRight w:val="0"/>
          <w:marTop w:val="0"/>
          <w:marBottom w:val="0"/>
          <w:divBdr>
            <w:top w:val="none" w:sz="0" w:space="0" w:color="auto"/>
            <w:left w:val="none" w:sz="0" w:space="0" w:color="auto"/>
            <w:bottom w:val="none" w:sz="0" w:space="0" w:color="auto"/>
            <w:right w:val="none" w:sz="0" w:space="0" w:color="auto"/>
          </w:divBdr>
        </w:div>
        <w:div w:id="1183319994">
          <w:marLeft w:val="0"/>
          <w:marRight w:val="0"/>
          <w:marTop w:val="0"/>
          <w:marBottom w:val="0"/>
          <w:divBdr>
            <w:top w:val="none" w:sz="0" w:space="0" w:color="auto"/>
            <w:left w:val="none" w:sz="0" w:space="0" w:color="auto"/>
            <w:bottom w:val="none" w:sz="0" w:space="0" w:color="auto"/>
            <w:right w:val="none" w:sz="0" w:space="0" w:color="auto"/>
          </w:divBdr>
        </w:div>
        <w:div w:id="1189441998">
          <w:marLeft w:val="0"/>
          <w:marRight w:val="0"/>
          <w:marTop w:val="0"/>
          <w:marBottom w:val="0"/>
          <w:divBdr>
            <w:top w:val="none" w:sz="0" w:space="0" w:color="auto"/>
            <w:left w:val="none" w:sz="0" w:space="0" w:color="auto"/>
            <w:bottom w:val="none" w:sz="0" w:space="0" w:color="auto"/>
            <w:right w:val="none" w:sz="0" w:space="0" w:color="auto"/>
          </w:divBdr>
        </w:div>
        <w:div w:id="1189559816">
          <w:marLeft w:val="0"/>
          <w:marRight w:val="0"/>
          <w:marTop w:val="0"/>
          <w:marBottom w:val="0"/>
          <w:divBdr>
            <w:top w:val="none" w:sz="0" w:space="0" w:color="auto"/>
            <w:left w:val="none" w:sz="0" w:space="0" w:color="auto"/>
            <w:bottom w:val="none" w:sz="0" w:space="0" w:color="auto"/>
            <w:right w:val="none" w:sz="0" w:space="0" w:color="auto"/>
          </w:divBdr>
        </w:div>
        <w:div w:id="1189904150">
          <w:marLeft w:val="0"/>
          <w:marRight w:val="0"/>
          <w:marTop w:val="0"/>
          <w:marBottom w:val="0"/>
          <w:divBdr>
            <w:top w:val="none" w:sz="0" w:space="0" w:color="auto"/>
            <w:left w:val="none" w:sz="0" w:space="0" w:color="auto"/>
            <w:bottom w:val="none" w:sz="0" w:space="0" w:color="auto"/>
            <w:right w:val="none" w:sz="0" w:space="0" w:color="auto"/>
          </w:divBdr>
        </w:div>
        <w:div w:id="1191257006">
          <w:marLeft w:val="0"/>
          <w:marRight w:val="0"/>
          <w:marTop w:val="0"/>
          <w:marBottom w:val="0"/>
          <w:divBdr>
            <w:top w:val="none" w:sz="0" w:space="0" w:color="auto"/>
            <w:left w:val="none" w:sz="0" w:space="0" w:color="auto"/>
            <w:bottom w:val="none" w:sz="0" w:space="0" w:color="auto"/>
            <w:right w:val="none" w:sz="0" w:space="0" w:color="auto"/>
          </w:divBdr>
        </w:div>
        <w:div w:id="1194462985">
          <w:marLeft w:val="0"/>
          <w:marRight w:val="0"/>
          <w:marTop w:val="0"/>
          <w:marBottom w:val="0"/>
          <w:divBdr>
            <w:top w:val="none" w:sz="0" w:space="0" w:color="auto"/>
            <w:left w:val="none" w:sz="0" w:space="0" w:color="auto"/>
            <w:bottom w:val="none" w:sz="0" w:space="0" w:color="auto"/>
            <w:right w:val="none" w:sz="0" w:space="0" w:color="auto"/>
          </w:divBdr>
        </w:div>
        <w:div w:id="1198815090">
          <w:marLeft w:val="0"/>
          <w:marRight w:val="0"/>
          <w:marTop w:val="0"/>
          <w:marBottom w:val="0"/>
          <w:divBdr>
            <w:top w:val="none" w:sz="0" w:space="0" w:color="auto"/>
            <w:left w:val="none" w:sz="0" w:space="0" w:color="auto"/>
            <w:bottom w:val="none" w:sz="0" w:space="0" w:color="auto"/>
            <w:right w:val="none" w:sz="0" w:space="0" w:color="auto"/>
          </w:divBdr>
        </w:div>
        <w:div w:id="1199315245">
          <w:marLeft w:val="0"/>
          <w:marRight w:val="0"/>
          <w:marTop w:val="0"/>
          <w:marBottom w:val="0"/>
          <w:divBdr>
            <w:top w:val="none" w:sz="0" w:space="0" w:color="auto"/>
            <w:left w:val="none" w:sz="0" w:space="0" w:color="auto"/>
            <w:bottom w:val="none" w:sz="0" w:space="0" w:color="auto"/>
            <w:right w:val="none" w:sz="0" w:space="0" w:color="auto"/>
          </w:divBdr>
        </w:div>
        <w:div w:id="1208487917">
          <w:marLeft w:val="0"/>
          <w:marRight w:val="0"/>
          <w:marTop w:val="0"/>
          <w:marBottom w:val="0"/>
          <w:divBdr>
            <w:top w:val="none" w:sz="0" w:space="0" w:color="auto"/>
            <w:left w:val="none" w:sz="0" w:space="0" w:color="auto"/>
            <w:bottom w:val="none" w:sz="0" w:space="0" w:color="auto"/>
            <w:right w:val="none" w:sz="0" w:space="0" w:color="auto"/>
          </w:divBdr>
        </w:div>
        <w:div w:id="1225019301">
          <w:marLeft w:val="0"/>
          <w:marRight w:val="0"/>
          <w:marTop w:val="0"/>
          <w:marBottom w:val="0"/>
          <w:divBdr>
            <w:top w:val="none" w:sz="0" w:space="0" w:color="auto"/>
            <w:left w:val="none" w:sz="0" w:space="0" w:color="auto"/>
            <w:bottom w:val="none" w:sz="0" w:space="0" w:color="auto"/>
            <w:right w:val="none" w:sz="0" w:space="0" w:color="auto"/>
          </w:divBdr>
        </w:div>
        <w:div w:id="1229416442">
          <w:marLeft w:val="0"/>
          <w:marRight w:val="0"/>
          <w:marTop w:val="0"/>
          <w:marBottom w:val="0"/>
          <w:divBdr>
            <w:top w:val="none" w:sz="0" w:space="0" w:color="auto"/>
            <w:left w:val="none" w:sz="0" w:space="0" w:color="auto"/>
            <w:bottom w:val="none" w:sz="0" w:space="0" w:color="auto"/>
            <w:right w:val="none" w:sz="0" w:space="0" w:color="auto"/>
          </w:divBdr>
        </w:div>
        <w:div w:id="1245804051">
          <w:marLeft w:val="0"/>
          <w:marRight w:val="0"/>
          <w:marTop w:val="0"/>
          <w:marBottom w:val="0"/>
          <w:divBdr>
            <w:top w:val="none" w:sz="0" w:space="0" w:color="auto"/>
            <w:left w:val="none" w:sz="0" w:space="0" w:color="auto"/>
            <w:bottom w:val="none" w:sz="0" w:space="0" w:color="auto"/>
            <w:right w:val="none" w:sz="0" w:space="0" w:color="auto"/>
          </w:divBdr>
        </w:div>
        <w:div w:id="1247424233">
          <w:marLeft w:val="0"/>
          <w:marRight w:val="0"/>
          <w:marTop w:val="0"/>
          <w:marBottom w:val="0"/>
          <w:divBdr>
            <w:top w:val="none" w:sz="0" w:space="0" w:color="auto"/>
            <w:left w:val="none" w:sz="0" w:space="0" w:color="auto"/>
            <w:bottom w:val="none" w:sz="0" w:space="0" w:color="auto"/>
            <w:right w:val="none" w:sz="0" w:space="0" w:color="auto"/>
          </w:divBdr>
        </w:div>
        <w:div w:id="1282882582">
          <w:marLeft w:val="0"/>
          <w:marRight w:val="0"/>
          <w:marTop w:val="0"/>
          <w:marBottom w:val="0"/>
          <w:divBdr>
            <w:top w:val="none" w:sz="0" w:space="0" w:color="auto"/>
            <w:left w:val="none" w:sz="0" w:space="0" w:color="auto"/>
            <w:bottom w:val="none" w:sz="0" w:space="0" w:color="auto"/>
            <w:right w:val="none" w:sz="0" w:space="0" w:color="auto"/>
          </w:divBdr>
        </w:div>
        <w:div w:id="1304967956">
          <w:marLeft w:val="0"/>
          <w:marRight w:val="0"/>
          <w:marTop w:val="0"/>
          <w:marBottom w:val="0"/>
          <w:divBdr>
            <w:top w:val="none" w:sz="0" w:space="0" w:color="auto"/>
            <w:left w:val="none" w:sz="0" w:space="0" w:color="auto"/>
            <w:bottom w:val="none" w:sz="0" w:space="0" w:color="auto"/>
            <w:right w:val="none" w:sz="0" w:space="0" w:color="auto"/>
          </w:divBdr>
        </w:div>
        <w:div w:id="1390496871">
          <w:marLeft w:val="0"/>
          <w:marRight w:val="0"/>
          <w:marTop w:val="0"/>
          <w:marBottom w:val="0"/>
          <w:divBdr>
            <w:top w:val="none" w:sz="0" w:space="0" w:color="auto"/>
            <w:left w:val="none" w:sz="0" w:space="0" w:color="auto"/>
            <w:bottom w:val="none" w:sz="0" w:space="0" w:color="auto"/>
            <w:right w:val="none" w:sz="0" w:space="0" w:color="auto"/>
          </w:divBdr>
        </w:div>
        <w:div w:id="1398091534">
          <w:marLeft w:val="0"/>
          <w:marRight w:val="0"/>
          <w:marTop w:val="0"/>
          <w:marBottom w:val="0"/>
          <w:divBdr>
            <w:top w:val="none" w:sz="0" w:space="0" w:color="auto"/>
            <w:left w:val="none" w:sz="0" w:space="0" w:color="auto"/>
            <w:bottom w:val="none" w:sz="0" w:space="0" w:color="auto"/>
            <w:right w:val="none" w:sz="0" w:space="0" w:color="auto"/>
          </w:divBdr>
        </w:div>
        <w:div w:id="1416780416">
          <w:marLeft w:val="0"/>
          <w:marRight w:val="0"/>
          <w:marTop w:val="0"/>
          <w:marBottom w:val="0"/>
          <w:divBdr>
            <w:top w:val="none" w:sz="0" w:space="0" w:color="auto"/>
            <w:left w:val="none" w:sz="0" w:space="0" w:color="auto"/>
            <w:bottom w:val="none" w:sz="0" w:space="0" w:color="auto"/>
            <w:right w:val="none" w:sz="0" w:space="0" w:color="auto"/>
          </w:divBdr>
        </w:div>
        <w:div w:id="1420254055">
          <w:marLeft w:val="0"/>
          <w:marRight w:val="0"/>
          <w:marTop w:val="0"/>
          <w:marBottom w:val="0"/>
          <w:divBdr>
            <w:top w:val="none" w:sz="0" w:space="0" w:color="auto"/>
            <w:left w:val="none" w:sz="0" w:space="0" w:color="auto"/>
            <w:bottom w:val="none" w:sz="0" w:space="0" w:color="auto"/>
            <w:right w:val="none" w:sz="0" w:space="0" w:color="auto"/>
          </w:divBdr>
        </w:div>
        <w:div w:id="1421295908">
          <w:marLeft w:val="0"/>
          <w:marRight w:val="0"/>
          <w:marTop w:val="0"/>
          <w:marBottom w:val="0"/>
          <w:divBdr>
            <w:top w:val="none" w:sz="0" w:space="0" w:color="auto"/>
            <w:left w:val="none" w:sz="0" w:space="0" w:color="auto"/>
            <w:bottom w:val="none" w:sz="0" w:space="0" w:color="auto"/>
            <w:right w:val="none" w:sz="0" w:space="0" w:color="auto"/>
          </w:divBdr>
        </w:div>
        <w:div w:id="1473984815">
          <w:marLeft w:val="0"/>
          <w:marRight w:val="0"/>
          <w:marTop w:val="0"/>
          <w:marBottom w:val="0"/>
          <w:divBdr>
            <w:top w:val="none" w:sz="0" w:space="0" w:color="auto"/>
            <w:left w:val="none" w:sz="0" w:space="0" w:color="auto"/>
            <w:bottom w:val="none" w:sz="0" w:space="0" w:color="auto"/>
            <w:right w:val="none" w:sz="0" w:space="0" w:color="auto"/>
          </w:divBdr>
        </w:div>
        <w:div w:id="1488285400">
          <w:marLeft w:val="0"/>
          <w:marRight w:val="0"/>
          <w:marTop w:val="0"/>
          <w:marBottom w:val="0"/>
          <w:divBdr>
            <w:top w:val="none" w:sz="0" w:space="0" w:color="auto"/>
            <w:left w:val="none" w:sz="0" w:space="0" w:color="auto"/>
            <w:bottom w:val="none" w:sz="0" w:space="0" w:color="auto"/>
            <w:right w:val="none" w:sz="0" w:space="0" w:color="auto"/>
          </w:divBdr>
        </w:div>
        <w:div w:id="1534341883">
          <w:marLeft w:val="0"/>
          <w:marRight w:val="0"/>
          <w:marTop w:val="0"/>
          <w:marBottom w:val="0"/>
          <w:divBdr>
            <w:top w:val="none" w:sz="0" w:space="0" w:color="auto"/>
            <w:left w:val="none" w:sz="0" w:space="0" w:color="auto"/>
            <w:bottom w:val="none" w:sz="0" w:space="0" w:color="auto"/>
            <w:right w:val="none" w:sz="0" w:space="0" w:color="auto"/>
          </w:divBdr>
        </w:div>
        <w:div w:id="1555963424">
          <w:marLeft w:val="0"/>
          <w:marRight w:val="0"/>
          <w:marTop w:val="0"/>
          <w:marBottom w:val="0"/>
          <w:divBdr>
            <w:top w:val="none" w:sz="0" w:space="0" w:color="auto"/>
            <w:left w:val="none" w:sz="0" w:space="0" w:color="auto"/>
            <w:bottom w:val="none" w:sz="0" w:space="0" w:color="auto"/>
            <w:right w:val="none" w:sz="0" w:space="0" w:color="auto"/>
          </w:divBdr>
        </w:div>
        <w:div w:id="1563560895">
          <w:marLeft w:val="0"/>
          <w:marRight w:val="0"/>
          <w:marTop w:val="0"/>
          <w:marBottom w:val="0"/>
          <w:divBdr>
            <w:top w:val="none" w:sz="0" w:space="0" w:color="auto"/>
            <w:left w:val="none" w:sz="0" w:space="0" w:color="auto"/>
            <w:bottom w:val="none" w:sz="0" w:space="0" w:color="auto"/>
            <w:right w:val="none" w:sz="0" w:space="0" w:color="auto"/>
          </w:divBdr>
        </w:div>
        <w:div w:id="1676179715">
          <w:marLeft w:val="0"/>
          <w:marRight w:val="0"/>
          <w:marTop w:val="0"/>
          <w:marBottom w:val="0"/>
          <w:divBdr>
            <w:top w:val="none" w:sz="0" w:space="0" w:color="auto"/>
            <w:left w:val="none" w:sz="0" w:space="0" w:color="auto"/>
            <w:bottom w:val="none" w:sz="0" w:space="0" w:color="auto"/>
            <w:right w:val="none" w:sz="0" w:space="0" w:color="auto"/>
          </w:divBdr>
        </w:div>
        <w:div w:id="1681349521">
          <w:marLeft w:val="0"/>
          <w:marRight w:val="0"/>
          <w:marTop w:val="0"/>
          <w:marBottom w:val="0"/>
          <w:divBdr>
            <w:top w:val="none" w:sz="0" w:space="0" w:color="auto"/>
            <w:left w:val="none" w:sz="0" w:space="0" w:color="auto"/>
            <w:bottom w:val="none" w:sz="0" w:space="0" w:color="auto"/>
            <w:right w:val="none" w:sz="0" w:space="0" w:color="auto"/>
          </w:divBdr>
        </w:div>
        <w:div w:id="1696614267">
          <w:marLeft w:val="0"/>
          <w:marRight w:val="0"/>
          <w:marTop w:val="0"/>
          <w:marBottom w:val="0"/>
          <w:divBdr>
            <w:top w:val="none" w:sz="0" w:space="0" w:color="auto"/>
            <w:left w:val="none" w:sz="0" w:space="0" w:color="auto"/>
            <w:bottom w:val="none" w:sz="0" w:space="0" w:color="auto"/>
            <w:right w:val="none" w:sz="0" w:space="0" w:color="auto"/>
          </w:divBdr>
        </w:div>
        <w:div w:id="1704862743">
          <w:marLeft w:val="0"/>
          <w:marRight w:val="0"/>
          <w:marTop w:val="0"/>
          <w:marBottom w:val="0"/>
          <w:divBdr>
            <w:top w:val="none" w:sz="0" w:space="0" w:color="auto"/>
            <w:left w:val="none" w:sz="0" w:space="0" w:color="auto"/>
            <w:bottom w:val="none" w:sz="0" w:space="0" w:color="auto"/>
            <w:right w:val="none" w:sz="0" w:space="0" w:color="auto"/>
          </w:divBdr>
        </w:div>
        <w:div w:id="1710643211">
          <w:marLeft w:val="0"/>
          <w:marRight w:val="0"/>
          <w:marTop w:val="0"/>
          <w:marBottom w:val="0"/>
          <w:divBdr>
            <w:top w:val="none" w:sz="0" w:space="0" w:color="auto"/>
            <w:left w:val="none" w:sz="0" w:space="0" w:color="auto"/>
            <w:bottom w:val="none" w:sz="0" w:space="0" w:color="auto"/>
            <w:right w:val="none" w:sz="0" w:space="0" w:color="auto"/>
          </w:divBdr>
        </w:div>
        <w:div w:id="1723209545">
          <w:marLeft w:val="0"/>
          <w:marRight w:val="0"/>
          <w:marTop w:val="0"/>
          <w:marBottom w:val="0"/>
          <w:divBdr>
            <w:top w:val="none" w:sz="0" w:space="0" w:color="auto"/>
            <w:left w:val="none" w:sz="0" w:space="0" w:color="auto"/>
            <w:bottom w:val="none" w:sz="0" w:space="0" w:color="auto"/>
            <w:right w:val="none" w:sz="0" w:space="0" w:color="auto"/>
          </w:divBdr>
        </w:div>
        <w:div w:id="1725985872">
          <w:marLeft w:val="0"/>
          <w:marRight w:val="0"/>
          <w:marTop w:val="0"/>
          <w:marBottom w:val="0"/>
          <w:divBdr>
            <w:top w:val="none" w:sz="0" w:space="0" w:color="auto"/>
            <w:left w:val="none" w:sz="0" w:space="0" w:color="auto"/>
            <w:bottom w:val="none" w:sz="0" w:space="0" w:color="auto"/>
            <w:right w:val="none" w:sz="0" w:space="0" w:color="auto"/>
          </w:divBdr>
        </w:div>
        <w:div w:id="1738093977">
          <w:marLeft w:val="0"/>
          <w:marRight w:val="0"/>
          <w:marTop w:val="0"/>
          <w:marBottom w:val="0"/>
          <w:divBdr>
            <w:top w:val="none" w:sz="0" w:space="0" w:color="auto"/>
            <w:left w:val="none" w:sz="0" w:space="0" w:color="auto"/>
            <w:bottom w:val="none" w:sz="0" w:space="0" w:color="auto"/>
            <w:right w:val="none" w:sz="0" w:space="0" w:color="auto"/>
          </w:divBdr>
        </w:div>
        <w:div w:id="1749615019">
          <w:marLeft w:val="0"/>
          <w:marRight w:val="0"/>
          <w:marTop w:val="0"/>
          <w:marBottom w:val="0"/>
          <w:divBdr>
            <w:top w:val="none" w:sz="0" w:space="0" w:color="auto"/>
            <w:left w:val="none" w:sz="0" w:space="0" w:color="auto"/>
            <w:bottom w:val="none" w:sz="0" w:space="0" w:color="auto"/>
            <w:right w:val="none" w:sz="0" w:space="0" w:color="auto"/>
          </w:divBdr>
        </w:div>
        <w:div w:id="1755467292">
          <w:marLeft w:val="0"/>
          <w:marRight w:val="0"/>
          <w:marTop w:val="0"/>
          <w:marBottom w:val="0"/>
          <w:divBdr>
            <w:top w:val="none" w:sz="0" w:space="0" w:color="auto"/>
            <w:left w:val="none" w:sz="0" w:space="0" w:color="auto"/>
            <w:bottom w:val="none" w:sz="0" w:space="0" w:color="auto"/>
            <w:right w:val="none" w:sz="0" w:space="0" w:color="auto"/>
          </w:divBdr>
        </w:div>
        <w:div w:id="1758860821">
          <w:marLeft w:val="0"/>
          <w:marRight w:val="0"/>
          <w:marTop w:val="0"/>
          <w:marBottom w:val="0"/>
          <w:divBdr>
            <w:top w:val="none" w:sz="0" w:space="0" w:color="auto"/>
            <w:left w:val="none" w:sz="0" w:space="0" w:color="auto"/>
            <w:bottom w:val="none" w:sz="0" w:space="0" w:color="auto"/>
            <w:right w:val="none" w:sz="0" w:space="0" w:color="auto"/>
          </w:divBdr>
        </w:div>
        <w:div w:id="1775982087">
          <w:marLeft w:val="0"/>
          <w:marRight w:val="0"/>
          <w:marTop w:val="0"/>
          <w:marBottom w:val="0"/>
          <w:divBdr>
            <w:top w:val="none" w:sz="0" w:space="0" w:color="auto"/>
            <w:left w:val="none" w:sz="0" w:space="0" w:color="auto"/>
            <w:bottom w:val="none" w:sz="0" w:space="0" w:color="auto"/>
            <w:right w:val="none" w:sz="0" w:space="0" w:color="auto"/>
          </w:divBdr>
        </w:div>
        <w:div w:id="1779254348">
          <w:marLeft w:val="0"/>
          <w:marRight w:val="0"/>
          <w:marTop w:val="0"/>
          <w:marBottom w:val="0"/>
          <w:divBdr>
            <w:top w:val="none" w:sz="0" w:space="0" w:color="auto"/>
            <w:left w:val="none" w:sz="0" w:space="0" w:color="auto"/>
            <w:bottom w:val="none" w:sz="0" w:space="0" w:color="auto"/>
            <w:right w:val="none" w:sz="0" w:space="0" w:color="auto"/>
          </w:divBdr>
        </w:div>
        <w:div w:id="1785467387">
          <w:marLeft w:val="0"/>
          <w:marRight w:val="0"/>
          <w:marTop w:val="0"/>
          <w:marBottom w:val="0"/>
          <w:divBdr>
            <w:top w:val="none" w:sz="0" w:space="0" w:color="auto"/>
            <w:left w:val="none" w:sz="0" w:space="0" w:color="auto"/>
            <w:bottom w:val="none" w:sz="0" w:space="0" w:color="auto"/>
            <w:right w:val="none" w:sz="0" w:space="0" w:color="auto"/>
          </w:divBdr>
        </w:div>
        <w:div w:id="1797335794">
          <w:marLeft w:val="0"/>
          <w:marRight w:val="0"/>
          <w:marTop w:val="0"/>
          <w:marBottom w:val="0"/>
          <w:divBdr>
            <w:top w:val="none" w:sz="0" w:space="0" w:color="auto"/>
            <w:left w:val="none" w:sz="0" w:space="0" w:color="auto"/>
            <w:bottom w:val="none" w:sz="0" w:space="0" w:color="auto"/>
            <w:right w:val="none" w:sz="0" w:space="0" w:color="auto"/>
          </w:divBdr>
        </w:div>
        <w:div w:id="1810315439">
          <w:marLeft w:val="0"/>
          <w:marRight w:val="0"/>
          <w:marTop w:val="0"/>
          <w:marBottom w:val="0"/>
          <w:divBdr>
            <w:top w:val="none" w:sz="0" w:space="0" w:color="auto"/>
            <w:left w:val="none" w:sz="0" w:space="0" w:color="auto"/>
            <w:bottom w:val="none" w:sz="0" w:space="0" w:color="auto"/>
            <w:right w:val="none" w:sz="0" w:space="0" w:color="auto"/>
          </w:divBdr>
        </w:div>
        <w:div w:id="1817454295">
          <w:marLeft w:val="0"/>
          <w:marRight w:val="0"/>
          <w:marTop w:val="0"/>
          <w:marBottom w:val="0"/>
          <w:divBdr>
            <w:top w:val="none" w:sz="0" w:space="0" w:color="auto"/>
            <w:left w:val="none" w:sz="0" w:space="0" w:color="auto"/>
            <w:bottom w:val="none" w:sz="0" w:space="0" w:color="auto"/>
            <w:right w:val="none" w:sz="0" w:space="0" w:color="auto"/>
          </w:divBdr>
        </w:div>
        <w:div w:id="1826239149">
          <w:marLeft w:val="0"/>
          <w:marRight w:val="0"/>
          <w:marTop w:val="0"/>
          <w:marBottom w:val="0"/>
          <w:divBdr>
            <w:top w:val="none" w:sz="0" w:space="0" w:color="auto"/>
            <w:left w:val="none" w:sz="0" w:space="0" w:color="auto"/>
            <w:bottom w:val="none" w:sz="0" w:space="0" w:color="auto"/>
            <w:right w:val="none" w:sz="0" w:space="0" w:color="auto"/>
          </w:divBdr>
        </w:div>
        <w:div w:id="1851218400">
          <w:marLeft w:val="0"/>
          <w:marRight w:val="0"/>
          <w:marTop w:val="0"/>
          <w:marBottom w:val="0"/>
          <w:divBdr>
            <w:top w:val="none" w:sz="0" w:space="0" w:color="auto"/>
            <w:left w:val="none" w:sz="0" w:space="0" w:color="auto"/>
            <w:bottom w:val="none" w:sz="0" w:space="0" w:color="auto"/>
            <w:right w:val="none" w:sz="0" w:space="0" w:color="auto"/>
          </w:divBdr>
        </w:div>
        <w:div w:id="1852181249">
          <w:marLeft w:val="0"/>
          <w:marRight w:val="0"/>
          <w:marTop w:val="0"/>
          <w:marBottom w:val="0"/>
          <w:divBdr>
            <w:top w:val="none" w:sz="0" w:space="0" w:color="auto"/>
            <w:left w:val="none" w:sz="0" w:space="0" w:color="auto"/>
            <w:bottom w:val="none" w:sz="0" w:space="0" w:color="auto"/>
            <w:right w:val="none" w:sz="0" w:space="0" w:color="auto"/>
          </w:divBdr>
        </w:div>
        <w:div w:id="1896576846">
          <w:marLeft w:val="0"/>
          <w:marRight w:val="0"/>
          <w:marTop w:val="0"/>
          <w:marBottom w:val="0"/>
          <w:divBdr>
            <w:top w:val="none" w:sz="0" w:space="0" w:color="auto"/>
            <w:left w:val="none" w:sz="0" w:space="0" w:color="auto"/>
            <w:bottom w:val="none" w:sz="0" w:space="0" w:color="auto"/>
            <w:right w:val="none" w:sz="0" w:space="0" w:color="auto"/>
          </w:divBdr>
        </w:div>
        <w:div w:id="1956979890">
          <w:marLeft w:val="0"/>
          <w:marRight w:val="0"/>
          <w:marTop w:val="0"/>
          <w:marBottom w:val="0"/>
          <w:divBdr>
            <w:top w:val="none" w:sz="0" w:space="0" w:color="auto"/>
            <w:left w:val="none" w:sz="0" w:space="0" w:color="auto"/>
            <w:bottom w:val="none" w:sz="0" w:space="0" w:color="auto"/>
            <w:right w:val="none" w:sz="0" w:space="0" w:color="auto"/>
          </w:divBdr>
        </w:div>
        <w:div w:id="2006086729">
          <w:marLeft w:val="0"/>
          <w:marRight w:val="0"/>
          <w:marTop w:val="0"/>
          <w:marBottom w:val="0"/>
          <w:divBdr>
            <w:top w:val="none" w:sz="0" w:space="0" w:color="auto"/>
            <w:left w:val="none" w:sz="0" w:space="0" w:color="auto"/>
            <w:bottom w:val="none" w:sz="0" w:space="0" w:color="auto"/>
            <w:right w:val="none" w:sz="0" w:space="0" w:color="auto"/>
          </w:divBdr>
        </w:div>
        <w:div w:id="2017733492">
          <w:marLeft w:val="0"/>
          <w:marRight w:val="0"/>
          <w:marTop w:val="0"/>
          <w:marBottom w:val="0"/>
          <w:divBdr>
            <w:top w:val="none" w:sz="0" w:space="0" w:color="auto"/>
            <w:left w:val="none" w:sz="0" w:space="0" w:color="auto"/>
            <w:bottom w:val="none" w:sz="0" w:space="0" w:color="auto"/>
            <w:right w:val="none" w:sz="0" w:space="0" w:color="auto"/>
          </w:divBdr>
        </w:div>
        <w:div w:id="2036928058">
          <w:marLeft w:val="0"/>
          <w:marRight w:val="0"/>
          <w:marTop w:val="0"/>
          <w:marBottom w:val="0"/>
          <w:divBdr>
            <w:top w:val="none" w:sz="0" w:space="0" w:color="auto"/>
            <w:left w:val="none" w:sz="0" w:space="0" w:color="auto"/>
            <w:bottom w:val="none" w:sz="0" w:space="0" w:color="auto"/>
            <w:right w:val="none" w:sz="0" w:space="0" w:color="auto"/>
          </w:divBdr>
        </w:div>
        <w:div w:id="2093313786">
          <w:marLeft w:val="0"/>
          <w:marRight w:val="0"/>
          <w:marTop w:val="0"/>
          <w:marBottom w:val="0"/>
          <w:divBdr>
            <w:top w:val="none" w:sz="0" w:space="0" w:color="auto"/>
            <w:left w:val="none" w:sz="0" w:space="0" w:color="auto"/>
            <w:bottom w:val="none" w:sz="0" w:space="0" w:color="auto"/>
            <w:right w:val="none" w:sz="0" w:space="0" w:color="auto"/>
          </w:divBdr>
        </w:div>
        <w:div w:id="2116830156">
          <w:marLeft w:val="0"/>
          <w:marRight w:val="0"/>
          <w:marTop w:val="0"/>
          <w:marBottom w:val="0"/>
          <w:divBdr>
            <w:top w:val="none" w:sz="0" w:space="0" w:color="auto"/>
            <w:left w:val="none" w:sz="0" w:space="0" w:color="auto"/>
            <w:bottom w:val="none" w:sz="0" w:space="0" w:color="auto"/>
            <w:right w:val="none" w:sz="0" w:space="0" w:color="auto"/>
          </w:divBdr>
        </w:div>
        <w:div w:id="2129658154">
          <w:marLeft w:val="0"/>
          <w:marRight w:val="0"/>
          <w:marTop w:val="0"/>
          <w:marBottom w:val="0"/>
          <w:divBdr>
            <w:top w:val="none" w:sz="0" w:space="0" w:color="auto"/>
            <w:left w:val="none" w:sz="0" w:space="0" w:color="auto"/>
            <w:bottom w:val="none" w:sz="0" w:space="0" w:color="auto"/>
            <w:right w:val="none" w:sz="0" w:space="0" w:color="auto"/>
          </w:divBdr>
        </w:div>
      </w:divsChild>
    </w:div>
    <w:div w:id="1937980500">
      <w:bodyDiv w:val="1"/>
      <w:marLeft w:val="0"/>
      <w:marRight w:val="0"/>
      <w:marTop w:val="0"/>
      <w:marBottom w:val="0"/>
      <w:divBdr>
        <w:top w:val="none" w:sz="0" w:space="0" w:color="auto"/>
        <w:left w:val="none" w:sz="0" w:space="0" w:color="auto"/>
        <w:bottom w:val="none" w:sz="0" w:space="0" w:color="auto"/>
        <w:right w:val="none" w:sz="0" w:space="0" w:color="auto"/>
      </w:divBdr>
    </w:div>
    <w:div w:id="1940062997">
      <w:bodyDiv w:val="1"/>
      <w:marLeft w:val="0"/>
      <w:marRight w:val="0"/>
      <w:marTop w:val="0"/>
      <w:marBottom w:val="0"/>
      <w:divBdr>
        <w:top w:val="none" w:sz="0" w:space="0" w:color="auto"/>
        <w:left w:val="none" w:sz="0" w:space="0" w:color="auto"/>
        <w:bottom w:val="none" w:sz="0" w:space="0" w:color="auto"/>
        <w:right w:val="none" w:sz="0" w:space="0" w:color="auto"/>
      </w:divBdr>
    </w:div>
    <w:div w:id="1942101535">
      <w:bodyDiv w:val="1"/>
      <w:marLeft w:val="0"/>
      <w:marRight w:val="0"/>
      <w:marTop w:val="0"/>
      <w:marBottom w:val="0"/>
      <w:divBdr>
        <w:top w:val="none" w:sz="0" w:space="0" w:color="auto"/>
        <w:left w:val="none" w:sz="0" w:space="0" w:color="auto"/>
        <w:bottom w:val="none" w:sz="0" w:space="0" w:color="auto"/>
        <w:right w:val="none" w:sz="0" w:space="0" w:color="auto"/>
      </w:divBdr>
    </w:div>
    <w:div w:id="1942175363">
      <w:bodyDiv w:val="1"/>
      <w:marLeft w:val="0"/>
      <w:marRight w:val="0"/>
      <w:marTop w:val="0"/>
      <w:marBottom w:val="0"/>
      <w:divBdr>
        <w:top w:val="none" w:sz="0" w:space="0" w:color="auto"/>
        <w:left w:val="none" w:sz="0" w:space="0" w:color="auto"/>
        <w:bottom w:val="none" w:sz="0" w:space="0" w:color="auto"/>
        <w:right w:val="none" w:sz="0" w:space="0" w:color="auto"/>
      </w:divBdr>
    </w:div>
    <w:div w:id="1945919414">
      <w:bodyDiv w:val="1"/>
      <w:marLeft w:val="0"/>
      <w:marRight w:val="0"/>
      <w:marTop w:val="0"/>
      <w:marBottom w:val="0"/>
      <w:divBdr>
        <w:top w:val="none" w:sz="0" w:space="0" w:color="auto"/>
        <w:left w:val="none" w:sz="0" w:space="0" w:color="auto"/>
        <w:bottom w:val="none" w:sz="0" w:space="0" w:color="auto"/>
        <w:right w:val="none" w:sz="0" w:space="0" w:color="auto"/>
      </w:divBdr>
    </w:div>
    <w:div w:id="1949388309">
      <w:bodyDiv w:val="1"/>
      <w:marLeft w:val="0"/>
      <w:marRight w:val="0"/>
      <w:marTop w:val="0"/>
      <w:marBottom w:val="0"/>
      <w:divBdr>
        <w:top w:val="none" w:sz="0" w:space="0" w:color="auto"/>
        <w:left w:val="none" w:sz="0" w:space="0" w:color="auto"/>
        <w:bottom w:val="none" w:sz="0" w:space="0" w:color="auto"/>
        <w:right w:val="none" w:sz="0" w:space="0" w:color="auto"/>
      </w:divBdr>
    </w:div>
    <w:div w:id="1949779478">
      <w:bodyDiv w:val="1"/>
      <w:marLeft w:val="0"/>
      <w:marRight w:val="0"/>
      <w:marTop w:val="0"/>
      <w:marBottom w:val="0"/>
      <w:divBdr>
        <w:top w:val="none" w:sz="0" w:space="0" w:color="auto"/>
        <w:left w:val="none" w:sz="0" w:space="0" w:color="auto"/>
        <w:bottom w:val="none" w:sz="0" w:space="0" w:color="auto"/>
        <w:right w:val="none" w:sz="0" w:space="0" w:color="auto"/>
      </w:divBdr>
    </w:div>
    <w:div w:id="1951550048">
      <w:bodyDiv w:val="1"/>
      <w:marLeft w:val="0"/>
      <w:marRight w:val="0"/>
      <w:marTop w:val="0"/>
      <w:marBottom w:val="0"/>
      <w:divBdr>
        <w:top w:val="none" w:sz="0" w:space="0" w:color="auto"/>
        <w:left w:val="none" w:sz="0" w:space="0" w:color="auto"/>
        <w:bottom w:val="none" w:sz="0" w:space="0" w:color="auto"/>
        <w:right w:val="none" w:sz="0" w:space="0" w:color="auto"/>
      </w:divBdr>
    </w:div>
    <w:div w:id="1952323968">
      <w:bodyDiv w:val="1"/>
      <w:marLeft w:val="0"/>
      <w:marRight w:val="0"/>
      <w:marTop w:val="0"/>
      <w:marBottom w:val="0"/>
      <w:divBdr>
        <w:top w:val="none" w:sz="0" w:space="0" w:color="auto"/>
        <w:left w:val="none" w:sz="0" w:space="0" w:color="auto"/>
        <w:bottom w:val="none" w:sz="0" w:space="0" w:color="auto"/>
        <w:right w:val="none" w:sz="0" w:space="0" w:color="auto"/>
      </w:divBdr>
    </w:div>
    <w:div w:id="1955743322">
      <w:bodyDiv w:val="1"/>
      <w:marLeft w:val="0"/>
      <w:marRight w:val="0"/>
      <w:marTop w:val="0"/>
      <w:marBottom w:val="0"/>
      <w:divBdr>
        <w:top w:val="none" w:sz="0" w:space="0" w:color="auto"/>
        <w:left w:val="none" w:sz="0" w:space="0" w:color="auto"/>
        <w:bottom w:val="none" w:sz="0" w:space="0" w:color="auto"/>
        <w:right w:val="none" w:sz="0" w:space="0" w:color="auto"/>
      </w:divBdr>
    </w:div>
    <w:div w:id="1955940840">
      <w:bodyDiv w:val="1"/>
      <w:marLeft w:val="0"/>
      <w:marRight w:val="0"/>
      <w:marTop w:val="0"/>
      <w:marBottom w:val="0"/>
      <w:divBdr>
        <w:top w:val="none" w:sz="0" w:space="0" w:color="auto"/>
        <w:left w:val="none" w:sz="0" w:space="0" w:color="auto"/>
        <w:bottom w:val="none" w:sz="0" w:space="0" w:color="auto"/>
        <w:right w:val="none" w:sz="0" w:space="0" w:color="auto"/>
      </w:divBdr>
    </w:div>
    <w:div w:id="1958835196">
      <w:bodyDiv w:val="1"/>
      <w:marLeft w:val="0"/>
      <w:marRight w:val="0"/>
      <w:marTop w:val="0"/>
      <w:marBottom w:val="0"/>
      <w:divBdr>
        <w:top w:val="none" w:sz="0" w:space="0" w:color="auto"/>
        <w:left w:val="none" w:sz="0" w:space="0" w:color="auto"/>
        <w:bottom w:val="none" w:sz="0" w:space="0" w:color="auto"/>
        <w:right w:val="none" w:sz="0" w:space="0" w:color="auto"/>
      </w:divBdr>
    </w:div>
    <w:div w:id="1960405510">
      <w:bodyDiv w:val="1"/>
      <w:marLeft w:val="0"/>
      <w:marRight w:val="0"/>
      <w:marTop w:val="0"/>
      <w:marBottom w:val="0"/>
      <w:divBdr>
        <w:top w:val="none" w:sz="0" w:space="0" w:color="auto"/>
        <w:left w:val="none" w:sz="0" w:space="0" w:color="auto"/>
        <w:bottom w:val="none" w:sz="0" w:space="0" w:color="auto"/>
        <w:right w:val="none" w:sz="0" w:space="0" w:color="auto"/>
      </w:divBdr>
    </w:div>
    <w:div w:id="1960721356">
      <w:bodyDiv w:val="1"/>
      <w:marLeft w:val="0"/>
      <w:marRight w:val="0"/>
      <w:marTop w:val="0"/>
      <w:marBottom w:val="0"/>
      <w:divBdr>
        <w:top w:val="none" w:sz="0" w:space="0" w:color="auto"/>
        <w:left w:val="none" w:sz="0" w:space="0" w:color="auto"/>
        <w:bottom w:val="none" w:sz="0" w:space="0" w:color="auto"/>
        <w:right w:val="none" w:sz="0" w:space="0" w:color="auto"/>
      </w:divBdr>
    </w:div>
    <w:div w:id="1962764648">
      <w:bodyDiv w:val="1"/>
      <w:marLeft w:val="0"/>
      <w:marRight w:val="0"/>
      <w:marTop w:val="0"/>
      <w:marBottom w:val="0"/>
      <w:divBdr>
        <w:top w:val="none" w:sz="0" w:space="0" w:color="auto"/>
        <w:left w:val="none" w:sz="0" w:space="0" w:color="auto"/>
        <w:bottom w:val="none" w:sz="0" w:space="0" w:color="auto"/>
        <w:right w:val="none" w:sz="0" w:space="0" w:color="auto"/>
      </w:divBdr>
    </w:div>
    <w:div w:id="1963225551">
      <w:bodyDiv w:val="1"/>
      <w:marLeft w:val="0"/>
      <w:marRight w:val="0"/>
      <w:marTop w:val="0"/>
      <w:marBottom w:val="0"/>
      <w:divBdr>
        <w:top w:val="none" w:sz="0" w:space="0" w:color="auto"/>
        <w:left w:val="none" w:sz="0" w:space="0" w:color="auto"/>
        <w:bottom w:val="none" w:sz="0" w:space="0" w:color="auto"/>
        <w:right w:val="none" w:sz="0" w:space="0" w:color="auto"/>
      </w:divBdr>
    </w:div>
    <w:div w:id="1963730804">
      <w:bodyDiv w:val="1"/>
      <w:marLeft w:val="0"/>
      <w:marRight w:val="0"/>
      <w:marTop w:val="0"/>
      <w:marBottom w:val="0"/>
      <w:divBdr>
        <w:top w:val="none" w:sz="0" w:space="0" w:color="auto"/>
        <w:left w:val="none" w:sz="0" w:space="0" w:color="auto"/>
        <w:bottom w:val="none" w:sz="0" w:space="0" w:color="auto"/>
        <w:right w:val="none" w:sz="0" w:space="0" w:color="auto"/>
      </w:divBdr>
    </w:div>
    <w:div w:id="1964654061">
      <w:bodyDiv w:val="1"/>
      <w:marLeft w:val="0"/>
      <w:marRight w:val="0"/>
      <w:marTop w:val="0"/>
      <w:marBottom w:val="0"/>
      <w:divBdr>
        <w:top w:val="none" w:sz="0" w:space="0" w:color="auto"/>
        <w:left w:val="none" w:sz="0" w:space="0" w:color="auto"/>
        <w:bottom w:val="none" w:sz="0" w:space="0" w:color="auto"/>
        <w:right w:val="none" w:sz="0" w:space="0" w:color="auto"/>
      </w:divBdr>
    </w:div>
    <w:div w:id="1964922197">
      <w:bodyDiv w:val="1"/>
      <w:marLeft w:val="0"/>
      <w:marRight w:val="0"/>
      <w:marTop w:val="0"/>
      <w:marBottom w:val="0"/>
      <w:divBdr>
        <w:top w:val="none" w:sz="0" w:space="0" w:color="auto"/>
        <w:left w:val="none" w:sz="0" w:space="0" w:color="auto"/>
        <w:bottom w:val="none" w:sz="0" w:space="0" w:color="auto"/>
        <w:right w:val="none" w:sz="0" w:space="0" w:color="auto"/>
      </w:divBdr>
    </w:div>
    <w:div w:id="1967226428">
      <w:bodyDiv w:val="1"/>
      <w:marLeft w:val="0"/>
      <w:marRight w:val="0"/>
      <w:marTop w:val="0"/>
      <w:marBottom w:val="0"/>
      <w:divBdr>
        <w:top w:val="none" w:sz="0" w:space="0" w:color="auto"/>
        <w:left w:val="none" w:sz="0" w:space="0" w:color="auto"/>
        <w:bottom w:val="none" w:sz="0" w:space="0" w:color="auto"/>
        <w:right w:val="none" w:sz="0" w:space="0" w:color="auto"/>
      </w:divBdr>
    </w:div>
    <w:div w:id="1967613584">
      <w:bodyDiv w:val="1"/>
      <w:marLeft w:val="0"/>
      <w:marRight w:val="0"/>
      <w:marTop w:val="0"/>
      <w:marBottom w:val="0"/>
      <w:divBdr>
        <w:top w:val="none" w:sz="0" w:space="0" w:color="auto"/>
        <w:left w:val="none" w:sz="0" w:space="0" w:color="auto"/>
        <w:bottom w:val="none" w:sz="0" w:space="0" w:color="auto"/>
        <w:right w:val="none" w:sz="0" w:space="0" w:color="auto"/>
      </w:divBdr>
    </w:div>
    <w:div w:id="1968269944">
      <w:bodyDiv w:val="1"/>
      <w:marLeft w:val="0"/>
      <w:marRight w:val="0"/>
      <w:marTop w:val="0"/>
      <w:marBottom w:val="0"/>
      <w:divBdr>
        <w:top w:val="none" w:sz="0" w:space="0" w:color="auto"/>
        <w:left w:val="none" w:sz="0" w:space="0" w:color="auto"/>
        <w:bottom w:val="none" w:sz="0" w:space="0" w:color="auto"/>
        <w:right w:val="none" w:sz="0" w:space="0" w:color="auto"/>
      </w:divBdr>
    </w:div>
    <w:div w:id="1969165713">
      <w:bodyDiv w:val="1"/>
      <w:marLeft w:val="0"/>
      <w:marRight w:val="0"/>
      <w:marTop w:val="0"/>
      <w:marBottom w:val="0"/>
      <w:divBdr>
        <w:top w:val="none" w:sz="0" w:space="0" w:color="auto"/>
        <w:left w:val="none" w:sz="0" w:space="0" w:color="auto"/>
        <w:bottom w:val="none" w:sz="0" w:space="0" w:color="auto"/>
        <w:right w:val="none" w:sz="0" w:space="0" w:color="auto"/>
      </w:divBdr>
    </w:div>
    <w:div w:id="1971354086">
      <w:bodyDiv w:val="1"/>
      <w:marLeft w:val="0"/>
      <w:marRight w:val="0"/>
      <w:marTop w:val="0"/>
      <w:marBottom w:val="0"/>
      <w:divBdr>
        <w:top w:val="none" w:sz="0" w:space="0" w:color="auto"/>
        <w:left w:val="none" w:sz="0" w:space="0" w:color="auto"/>
        <w:bottom w:val="none" w:sz="0" w:space="0" w:color="auto"/>
        <w:right w:val="none" w:sz="0" w:space="0" w:color="auto"/>
      </w:divBdr>
    </w:div>
    <w:div w:id="1971781866">
      <w:bodyDiv w:val="1"/>
      <w:marLeft w:val="0"/>
      <w:marRight w:val="0"/>
      <w:marTop w:val="0"/>
      <w:marBottom w:val="0"/>
      <w:divBdr>
        <w:top w:val="none" w:sz="0" w:space="0" w:color="auto"/>
        <w:left w:val="none" w:sz="0" w:space="0" w:color="auto"/>
        <w:bottom w:val="none" w:sz="0" w:space="0" w:color="auto"/>
        <w:right w:val="none" w:sz="0" w:space="0" w:color="auto"/>
      </w:divBdr>
    </w:div>
    <w:div w:id="1972977794">
      <w:bodyDiv w:val="1"/>
      <w:marLeft w:val="0"/>
      <w:marRight w:val="0"/>
      <w:marTop w:val="0"/>
      <w:marBottom w:val="0"/>
      <w:divBdr>
        <w:top w:val="none" w:sz="0" w:space="0" w:color="auto"/>
        <w:left w:val="none" w:sz="0" w:space="0" w:color="auto"/>
        <w:bottom w:val="none" w:sz="0" w:space="0" w:color="auto"/>
        <w:right w:val="none" w:sz="0" w:space="0" w:color="auto"/>
      </w:divBdr>
    </w:div>
    <w:div w:id="1974289720">
      <w:bodyDiv w:val="1"/>
      <w:marLeft w:val="0"/>
      <w:marRight w:val="0"/>
      <w:marTop w:val="0"/>
      <w:marBottom w:val="0"/>
      <w:divBdr>
        <w:top w:val="none" w:sz="0" w:space="0" w:color="auto"/>
        <w:left w:val="none" w:sz="0" w:space="0" w:color="auto"/>
        <w:bottom w:val="none" w:sz="0" w:space="0" w:color="auto"/>
        <w:right w:val="none" w:sz="0" w:space="0" w:color="auto"/>
      </w:divBdr>
    </w:div>
    <w:div w:id="1977948912">
      <w:bodyDiv w:val="1"/>
      <w:marLeft w:val="0"/>
      <w:marRight w:val="0"/>
      <w:marTop w:val="0"/>
      <w:marBottom w:val="0"/>
      <w:divBdr>
        <w:top w:val="none" w:sz="0" w:space="0" w:color="auto"/>
        <w:left w:val="none" w:sz="0" w:space="0" w:color="auto"/>
        <w:bottom w:val="none" w:sz="0" w:space="0" w:color="auto"/>
        <w:right w:val="none" w:sz="0" w:space="0" w:color="auto"/>
      </w:divBdr>
    </w:div>
    <w:div w:id="1981760922">
      <w:bodyDiv w:val="1"/>
      <w:marLeft w:val="0"/>
      <w:marRight w:val="0"/>
      <w:marTop w:val="0"/>
      <w:marBottom w:val="0"/>
      <w:divBdr>
        <w:top w:val="none" w:sz="0" w:space="0" w:color="auto"/>
        <w:left w:val="none" w:sz="0" w:space="0" w:color="auto"/>
        <w:bottom w:val="none" w:sz="0" w:space="0" w:color="auto"/>
        <w:right w:val="none" w:sz="0" w:space="0" w:color="auto"/>
      </w:divBdr>
    </w:div>
    <w:div w:id="1984193611">
      <w:bodyDiv w:val="1"/>
      <w:marLeft w:val="0"/>
      <w:marRight w:val="0"/>
      <w:marTop w:val="0"/>
      <w:marBottom w:val="0"/>
      <w:divBdr>
        <w:top w:val="none" w:sz="0" w:space="0" w:color="auto"/>
        <w:left w:val="none" w:sz="0" w:space="0" w:color="auto"/>
        <w:bottom w:val="none" w:sz="0" w:space="0" w:color="auto"/>
        <w:right w:val="none" w:sz="0" w:space="0" w:color="auto"/>
      </w:divBdr>
    </w:div>
    <w:div w:id="1986012193">
      <w:bodyDiv w:val="1"/>
      <w:marLeft w:val="0"/>
      <w:marRight w:val="0"/>
      <w:marTop w:val="0"/>
      <w:marBottom w:val="0"/>
      <w:divBdr>
        <w:top w:val="none" w:sz="0" w:space="0" w:color="auto"/>
        <w:left w:val="none" w:sz="0" w:space="0" w:color="auto"/>
        <w:bottom w:val="none" w:sz="0" w:space="0" w:color="auto"/>
        <w:right w:val="none" w:sz="0" w:space="0" w:color="auto"/>
      </w:divBdr>
    </w:div>
    <w:div w:id="1986543372">
      <w:bodyDiv w:val="1"/>
      <w:marLeft w:val="0"/>
      <w:marRight w:val="0"/>
      <w:marTop w:val="0"/>
      <w:marBottom w:val="0"/>
      <w:divBdr>
        <w:top w:val="none" w:sz="0" w:space="0" w:color="auto"/>
        <w:left w:val="none" w:sz="0" w:space="0" w:color="auto"/>
        <w:bottom w:val="none" w:sz="0" w:space="0" w:color="auto"/>
        <w:right w:val="none" w:sz="0" w:space="0" w:color="auto"/>
      </w:divBdr>
    </w:div>
    <w:div w:id="1986544809">
      <w:bodyDiv w:val="1"/>
      <w:marLeft w:val="0"/>
      <w:marRight w:val="0"/>
      <w:marTop w:val="0"/>
      <w:marBottom w:val="0"/>
      <w:divBdr>
        <w:top w:val="none" w:sz="0" w:space="0" w:color="auto"/>
        <w:left w:val="none" w:sz="0" w:space="0" w:color="auto"/>
        <w:bottom w:val="none" w:sz="0" w:space="0" w:color="auto"/>
        <w:right w:val="none" w:sz="0" w:space="0" w:color="auto"/>
      </w:divBdr>
    </w:div>
    <w:div w:id="1991009428">
      <w:bodyDiv w:val="1"/>
      <w:marLeft w:val="0"/>
      <w:marRight w:val="0"/>
      <w:marTop w:val="0"/>
      <w:marBottom w:val="0"/>
      <w:divBdr>
        <w:top w:val="none" w:sz="0" w:space="0" w:color="auto"/>
        <w:left w:val="none" w:sz="0" w:space="0" w:color="auto"/>
        <w:bottom w:val="none" w:sz="0" w:space="0" w:color="auto"/>
        <w:right w:val="none" w:sz="0" w:space="0" w:color="auto"/>
      </w:divBdr>
    </w:div>
    <w:div w:id="1993438209">
      <w:bodyDiv w:val="1"/>
      <w:marLeft w:val="0"/>
      <w:marRight w:val="0"/>
      <w:marTop w:val="0"/>
      <w:marBottom w:val="0"/>
      <w:divBdr>
        <w:top w:val="none" w:sz="0" w:space="0" w:color="auto"/>
        <w:left w:val="none" w:sz="0" w:space="0" w:color="auto"/>
        <w:bottom w:val="none" w:sz="0" w:space="0" w:color="auto"/>
        <w:right w:val="none" w:sz="0" w:space="0" w:color="auto"/>
      </w:divBdr>
    </w:div>
    <w:div w:id="1996640052">
      <w:bodyDiv w:val="1"/>
      <w:marLeft w:val="0"/>
      <w:marRight w:val="0"/>
      <w:marTop w:val="0"/>
      <w:marBottom w:val="0"/>
      <w:divBdr>
        <w:top w:val="none" w:sz="0" w:space="0" w:color="auto"/>
        <w:left w:val="none" w:sz="0" w:space="0" w:color="auto"/>
        <w:bottom w:val="none" w:sz="0" w:space="0" w:color="auto"/>
        <w:right w:val="none" w:sz="0" w:space="0" w:color="auto"/>
      </w:divBdr>
    </w:div>
    <w:div w:id="1997220649">
      <w:bodyDiv w:val="1"/>
      <w:marLeft w:val="0"/>
      <w:marRight w:val="0"/>
      <w:marTop w:val="0"/>
      <w:marBottom w:val="0"/>
      <w:divBdr>
        <w:top w:val="none" w:sz="0" w:space="0" w:color="auto"/>
        <w:left w:val="none" w:sz="0" w:space="0" w:color="auto"/>
        <w:bottom w:val="none" w:sz="0" w:space="0" w:color="auto"/>
        <w:right w:val="none" w:sz="0" w:space="0" w:color="auto"/>
      </w:divBdr>
    </w:div>
    <w:div w:id="1997681864">
      <w:bodyDiv w:val="1"/>
      <w:marLeft w:val="0"/>
      <w:marRight w:val="0"/>
      <w:marTop w:val="0"/>
      <w:marBottom w:val="0"/>
      <w:divBdr>
        <w:top w:val="none" w:sz="0" w:space="0" w:color="auto"/>
        <w:left w:val="none" w:sz="0" w:space="0" w:color="auto"/>
        <w:bottom w:val="none" w:sz="0" w:space="0" w:color="auto"/>
        <w:right w:val="none" w:sz="0" w:space="0" w:color="auto"/>
      </w:divBdr>
    </w:div>
    <w:div w:id="2002387561">
      <w:bodyDiv w:val="1"/>
      <w:marLeft w:val="0"/>
      <w:marRight w:val="0"/>
      <w:marTop w:val="0"/>
      <w:marBottom w:val="0"/>
      <w:divBdr>
        <w:top w:val="none" w:sz="0" w:space="0" w:color="auto"/>
        <w:left w:val="none" w:sz="0" w:space="0" w:color="auto"/>
        <w:bottom w:val="none" w:sz="0" w:space="0" w:color="auto"/>
        <w:right w:val="none" w:sz="0" w:space="0" w:color="auto"/>
      </w:divBdr>
    </w:div>
    <w:div w:id="2004317093">
      <w:bodyDiv w:val="1"/>
      <w:marLeft w:val="0"/>
      <w:marRight w:val="0"/>
      <w:marTop w:val="0"/>
      <w:marBottom w:val="0"/>
      <w:divBdr>
        <w:top w:val="none" w:sz="0" w:space="0" w:color="auto"/>
        <w:left w:val="none" w:sz="0" w:space="0" w:color="auto"/>
        <w:bottom w:val="none" w:sz="0" w:space="0" w:color="auto"/>
        <w:right w:val="none" w:sz="0" w:space="0" w:color="auto"/>
      </w:divBdr>
    </w:div>
    <w:div w:id="2007123926">
      <w:bodyDiv w:val="1"/>
      <w:marLeft w:val="0"/>
      <w:marRight w:val="0"/>
      <w:marTop w:val="0"/>
      <w:marBottom w:val="0"/>
      <w:divBdr>
        <w:top w:val="none" w:sz="0" w:space="0" w:color="auto"/>
        <w:left w:val="none" w:sz="0" w:space="0" w:color="auto"/>
        <w:bottom w:val="none" w:sz="0" w:space="0" w:color="auto"/>
        <w:right w:val="none" w:sz="0" w:space="0" w:color="auto"/>
      </w:divBdr>
    </w:div>
    <w:div w:id="2008054601">
      <w:bodyDiv w:val="1"/>
      <w:marLeft w:val="0"/>
      <w:marRight w:val="0"/>
      <w:marTop w:val="0"/>
      <w:marBottom w:val="0"/>
      <w:divBdr>
        <w:top w:val="none" w:sz="0" w:space="0" w:color="auto"/>
        <w:left w:val="none" w:sz="0" w:space="0" w:color="auto"/>
        <w:bottom w:val="none" w:sz="0" w:space="0" w:color="auto"/>
        <w:right w:val="none" w:sz="0" w:space="0" w:color="auto"/>
      </w:divBdr>
    </w:div>
    <w:div w:id="2009554043">
      <w:bodyDiv w:val="1"/>
      <w:marLeft w:val="0"/>
      <w:marRight w:val="0"/>
      <w:marTop w:val="0"/>
      <w:marBottom w:val="0"/>
      <w:divBdr>
        <w:top w:val="none" w:sz="0" w:space="0" w:color="auto"/>
        <w:left w:val="none" w:sz="0" w:space="0" w:color="auto"/>
        <w:bottom w:val="none" w:sz="0" w:space="0" w:color="auto"/>
        <w:right w:val="none" w:sz="0" w:space="0" w:color="auto"/>
      </w:divBdr>
    </w:div>
    <w:div w:id="2012560685">
      <w:bodyDiv w:val="1"/>
      <w:marLeft w:val="0"/>
      <w:marRight w:val="0"/>
      <w:marTop w:val="0"/>
      <w:marBottom w:val="0"/>
      <w:divBdr>
        <w:top w:val="none" w:sz="0" w:space="0" w:color="auto"/>
        <w:left w:val="none" w:sz="0" w:space="0" w:color="auto"/>
        <w:bottom w:val="none" w:sz="0" w:space="0" w:color="auto"/>
        <w:right w:val="none" w:sz="0" w:space="0" w:color="auto"/>
      </w:divBdr>
      <w:divsChild>
        <w:div w:id="984312196">
          <w:marLeft w:val="0"/>
          <w:marRight w:val="0"/>
          <w:marTop w:val="0"/>
          <w:marBottom w:val="0"/>
          <w:divBdr>
            <w:top w:val="none" w:sz="0" w:space="0" w:color="auto"/>
            <w:left w:val="none" w:sz="0" w:space="0" w:color="auto"/>
            <w:bottom w:val="none" w:sz="0" w:space="0" w:color="auto"/>
            <w:right w:val="none" w:sz="0" w:space="0" w:color="auto"/>
          </w:divBdr>
        </w:div>
        <w:div w:id="113640003">
          <w:marLeft w:val="0"/>
          <w:marRight w:val="0"/>
          <w:marTop w:val="0"/>
          <w:marBottom w:val="0"/>
          <w:divBdr>
            <w:top w:val="none" w:sz="0" w:space="0" w:color="auto"/>
            <w:left w:val="none" w:sz="0" w:space="0" w:color="auto"/>
            <w:bottom w:val="none" w:sz="0" w:space="0" w:color="auto"/>
            <w:right w:val="none" w:sz="0" w:space="0" w:color="auto"/>
          </w:divBdr>
        </w:div>
        <w:div w:id="1490243430">
          <w:marLeft w:val="0"/>
          <w:marRight w:val="0"/>
          <w:marTop w:val="0"/>
          <w:marBottom w:val="0"/>
          <w:divBdr>
            <w:top w:val="none" w:sz="0" w:space="0" w:color="auto"/>
            <w:left w:val="none" w:sz="0" w:space="0" w:color="auto"/>
            <w:bottom w:val="none" w:sz="0" w:space="0" w:color="auto"/>
            <w:right w:val="none" w:sz="0" w:space="0" w:color="auto"/>
          </w:divBdr>
        </w:div>
        <w:div w:id="741562332">
          <w:marLeft w:val="0"/>
          <w:marRight w:val="0"/>
          <w:marTop w:val="0"/>
          <w:marBottom w:val="0"/>
          <w:divBdr>
            <w:top w:val="none" w:sz="0" w:space="0" w:color="auto"/>
            <w:left w:val="none" w:sz="0" w:space="0" w:color="auto"/>
            <w:bottom w:val="none" w:sz="0" w:space="0" w:color="auto"/>
            <w:right w:val="none" w:sz="0" w:space="0" w:color="auto"/>
          </w:divBdr>
        </w:div>
        <w:div w:id="910118099">
          <w:marLeft w:val="0"/>
          <w:marRight w:val="0"/>
          <w:marTop w:val="0"/>
          <w:marBottom w:val="0"/>
          <w:divBdr>
            <w:top w:val="none" w:sz="0" w:space="0" w:color="auto"/>
            <w:left w:val="none" w:sz="0" w:space="0" w:color="auto"/>
            <w:bottom w:val="none" w:sz="0" w:space="0" w:color="auto"/>
            <w:right w:val="none" w:sz="0" w:space="0" w:color="auto"/>
          </w:divBdr>
        </w:div>
        <w:div w:id="1685672593">
          <w:marLeft w:val="0"/>
          <w:marRight w:val="0"/>
          <w:marTop w:val="0"/>
          <w:marBottom w:val="0"/>
          <w:divBdr>
            <w:top w:val="none" w:sz="0" w:space="0" w:color="auto"/>
            <w:left w:val="none" w:sz="0" w:space="0" w:color="auto"/>
            <w:bottom w:val="none" w:sz="0" w:space="0" w:color="auto"/>
            <w:right w:val="none" w:sz="0" w:space="0" w:color="auto"/>
          </w:divBdr>
        </w:div>
        <w:div w:id="805779753">
          <w:marLeft w:val="0"/>
          <w:marRight w:val="0"/>
          <w:marTop w:val="0"/>
          <w:marBottom w:val="0"/>
          <w:divBdr>
            <w:top w:val="none" w:sz="0" w:space="0" w:color="auto"/>
            <w:left w:val="none" w:sz="0" w:space="0" w:color="auto"/>
            <w:bottom w:val="none" w:sz="0" w:space="0" w:color="auto"/>
            <w:right w:val="none" w:sz="0" w:space="0" w:color="auto"/>
          </w:divBdr>
        </w:div>
        <w:div w:id="1977562573">
          <w:marLeft w:val="0"/>
          <w:marRight w:val="0"/>
          <w:marTop w:val="0"/>
          <w:marBottom w:val="0"/>
          <w:divBdr>
            <w:top w:val="none" w:sz="0" w:space="0" w:color="auto"/>
            <w:left w:val="none" w:sz="0" w:space="0" w:color="auto"/>
            <w:bottom w:val="none" w:sz="0" w:space="0" w:color="auto"/>
            <w:right w:val="none" w:sz="0" w:space="0" w:color="auto"/>
          </w:divBdr>
        </w:div>
        <w:div w:id="150755518">
          <w:marLeft w:val="0"/>
          <w:marRight w:val="0"/>
          <w:marTop w:val="0"/>
          <w:marBottom w:val="0"/>
          <w:divBdr>
            <w:top w:val="none" w:sz="0" w:space="0" w:color="auto"/>
            <w:left w:val="none" w:sz="0" w:space="0" w:color="auto"/>
            <w:bottom w:val="none" w:sz="0" w:space="0" w:color="auto"/>
            <w:right w:val="none" w:sz="0" w:space="0" w:color="auto"/>
          </w:divBdr>
        </w:div>
        <w:div w:id="451435954">
          <w:marLeft w:val="0"/>
          <w:marRight w:val="0"/>
          <w:marTop w:val="0"/>
          <w:marBottom w:val="0"/>
          <w:divBdr>
            <w:top w:val="none" w:sz="0" w:space="0" w:color="auto"/>
            <w:left w:val="none" w:sz="0" w:space="0" w:color="auto"/>
            <w:bottom w:val="none" w:sz="0" w:space="0" w:color="auto"/>
            <w:right w:val="none" w:sz="0" w:space="0" w:color="auto"/>
          </w:divBdr>
        </w:div>
        <w:div w:id="410664062">
          <w:marLeft w:val="0"/>
          <w:marRight w:val="0"/>
          <w:marTop w:val="0"/>
          <w:marBottom w:val="0"/>
          <w:divBdr>
            <w:top w:val="none" w:sz="0" w:space="0" w:color="auto"/>
            <w:left w:val="none" w:sz="0" w:space="0" w:color="auto"/>
            <w:bottom w:val="none" w:sz="0" w:space="0" w:color="auto"/>
            <w:right w:val="none" w:sz="0" w:space="0" w:color="auto"/>
          </w:divBdr>
        </w:div>
        <w:div w:id="1266841576">
          <w:marLeft w:val="0"/>
          <w:marRight w:val="0"/>
          <w:marTop w:val="0"/>
          <w:marBottom w:val="0"/>
          <w:divBdr>
            <w:top w:val="none" w:sz="0" w:space="0" w:color="auto"/>
            <w:left w:val="none" w:sz="0" w:space="0" w:color="auto"/>
            <w:bottom w:val="none" w:sz="0" w:space="0" w:color="auto"/>
            <w:right w:val="none" w:sz="0" w:space="0" w:color="auto"/>
          </w:divBdr>
        </w:div>
        <w:div w:id="793209022">
          <w:marLeft w:val="0"/>
          <w:marRight w:val="0"/>
          <w:marTop w:val="0"/>
          <w:marBottom w:val="0"/>
          <w:divBdr>
            <w:top w:val="none" w:sz="0" w:space="0" w:color="auto"/>
            <w:left w:val="none" w:sz="0" w:space="0" w:color="auto"/>
            <w:bottom w:val="none" w:sz="0" w:space="0" w:color="auto"/>
            <w:right w:val="none" w:sz="0" w:space="0" w:color="auto"/>
          </w:divBdr>
        </w:div>
        <w:div w:id="2056932347">
          <w:marLeft w:val="0"/>
          <w:marRight w:val="0"/>
          <w:marTop w:val="0"/>
          <w:marBottom w:val="0"/>
          <w:divBdr>
            <w:top w:val="none" w:sz="0" w:space="0" w:color="auto"/>
            <w:left w:val="none" w:sz="0" w:space="0" w:color="auto"/>
            <w:bottom w:val="none" w:sz="0" w:space="0" w:color="auto"/>
            <w:right w:val="none" w:sz="0" w:space="0" w:color="auto"/>
          </w:divBdr>
        </w:div>
        <w:div w:id="1814325370">
          <w:marLeft w:val="0"/>
          <w:marRight w:val="0"/>
          <w:marTop w:val="0"/>
          <w:marBottom w:val="0"/>
          <w:divBdr>
            <w:top w:val="none" w:sz="0" w:space="0" w:color="auto"/>
            <w:left w:val="none" w:sz="0" w:space="0" w:color="auto"/>
            <w:bottom w:val="none" w:sz="0" w:space="0" w:color="auto"/>
            <w:right w:val="none" w:sz="0" w:space="0" w:color="auto"/>
          </w:divBdr>
        </w:div>
        <w:div w:id="852718620">
          <w:marLeft w:val="0"/>
          <w:marRight w:val="0"/>
          <w:marTop w:val="0"/>
          <w:marBottom w:val="0"/>
          <w:divBdr>
            <w:top w:val="none" w:sz="0" w:space="0" w:color="auto"/>
            <w:left w:val="none" w:sz="0" w:space="0" w:color="auto"/>
            <w:bottom w:val="none" w:sz="0" w:space="0" w:color="auto"/>
            <w:right w:val="none" w:sz="0" w:space="0" w:color="auto"/>
          </w:divBdr>
        </w:div>
      </w:divsChild>
    </w:div>
    <w:div w:id="2012946098">
      <w:bodyDiv w:val="1"/>
      <w:marLeft w:val="0"/>
      <w:marRight w:val="0"/>
      <w:marTop w:val="0"/>
      <w:marBottom w:val="0"/>
      <w:divBdr>
        <w:top w:val="none" w:sz="0" w:space="0" w:color="auto"/>
        <w:left w:val="none" w:sz="0" w:space="0" w:color="auto"/>
        <w:bottom w:val="none" w:sz="0" w:space="0" w:color="auto"/>
        <w:right w:val="none" w:sz="0" w:space="0" w:color="auto"/>
      </w:divBdr>
    </w:div>
    <w:div w:id="2014918621">
      <w:bodyDiv w:val="1"/>
      <w:marLeft w:val="0"/>
      <w:marRight w:val="0"/>
      <w:marTop w:val="0"/>
      <w:marBottom w:val="0"/>
      <w:divBdr>
        <w:top w:val="none" w:sz="0" w:space="0" w:color="auto"/>
        <w:left w:val="none" w:sz="0" w:space="0" w:color="auto"/>
        <w:bottom w:val="none" w:sz="0" w:space="0" w:color="auto"/>
        <w:right w:val="none" w:sz="0" w:space="0" w:color="auto"/>
      </w:divBdr>
    </w:div>
    <w:div w:id="2020279561">
      <w:bodyDiv w:val="1"/>
      <w:marLeft w:val="0"/>
      <w:marRight w:val="0"/>
      <w:marTop w:val="0"/>
      <w:marBottom w:val="0"/>
      <w:divBdr>
        <w:top w:val="none" w:sz="0" w:space="0" w:color="auto"/>
        <w:left w:val="none" w:sz="0" w:space="0" w:color="auto"/>
        <w:bottom w:val="none" w:sz="0" w:space="0" w:color="auto"/>
        <w:right w:val="none" w:sz="0" w:space="0" w:color="auto"/>
      </w:divBdr>
      <w:divsChild>
        <w:div w:id="1878276527">
          <w:marLeft w:val="0"/>
          <w:marRight w:val="0"/>
          <w:marTop w:val="0"/>
          <w:marBottom w:val="0"/>
          <w:divBdr>
            <w:top w:val="none" w:sz="0" w:space="0" w:color="auto"/>
            <w:left w:val="none" w:sz="0" w:space="0" w:color="auto"/>
            <w:bottom w:val="none" w:sz="0" w:space="0" w:color="auto"/>
            <w:right w:val="none" w:sz="0" w:space="0" w:color="auto"/>
          </w:divBdr>
        </w:div>
      </w:divsChild>
    </w:div>
    <w:div w:id="2024553784">
      <w:bodyDiv w:val="1"/>
      <w:marLeft w:val="0"/>
      <w:marRight w:val="0"/>
      <w:marTop w:val="0"/>
      <w:marBottom w:val="0"/>
      <w:divBdr>
        <w:top w:val="none" w:sz="0" w:space="0" w:color="auto"/>
        <w:left w:val="none" w:sz="0" w:space="0" w:color="auto"/>
        <w:bottom w:val="none" w:sz="0" w:space="0" w:color="auto"/>
        <w:right w:val="none" w:sz="0" w:space="0" w:color="auto"/>
      </w:divBdr>
    </w:div>
    <w:div w:id="2024746573">
      <w:bodyDiv w:val="1"/>
      <w:marLeft w:val="0"/>
      <w:marRight w:val="0"/>
      <w:marTop w:val="0"/>
      <w:marBottom w:val="0"/>
      <w:divBdr>
        <w:top w:val="none" w:sz="0" w:space="0" w:color="auto"/>
        <w:left w:val="none" w:sz="0" w:space="0" w:color="auto"/>
        <w:bottom w:val="none" w:sz="0" w:space="0" w:color="auto"/>
        <w:right w:val="none" w:sz="0" w:space="0" w:color="auto"/>
      </w:divBdr>
    </w:div>
    <w:div w:id="2031759810">
      <w:bodyDiv w:val="1"/>
      <w:marLeft w:val="0"/>
      <w:marRight w:val="0"/>
      <w:marTop w:val="0"/>
      <w:marBottom w:val="0"/>
      <w:divBdr>
        <w:top w:val="none" w:sz="0" w:space="0" w:color="auto"/>
        <w:left w:val="none" w:sz="0" w:space="0" w:color="auto"/>
        <w:bottom w:val="none" w:sz="0" w:space="0" w:color="auto"/>
        <w:right w:val="none" w:sz="0" w:space="0" w:color="auto"/>
      </w:divBdr>
    </w:div>
    <w:div w:id="2031879268">
      <w:bodyDiv w:val="1"/>
      <w:marLeft w:val="0"/>
      <w:marRight w:val="0"/>
      <w:marTop w:val="0"/>
      <w:marBottom w:val="0"/>
      <w:divBdr>
        <w:top w:val="none" w:sz="0" w:space="0" w:color="auto"/>
        <w:left w:val="none" w:sz="0" w:space="0" w:color="auto"/>
        <w:bottom w:val="none" w:sz="0" w:space="0" w:color="auto"/>
        <w:right w:val="none" w:sz="0" w:space="0" w:color="auto"/>
      </w:divBdr>
    </w:div>
    <w:div w:id="2032105386">
      <w:bodyDiv w:val="1"/>
      <w:marLeft w:val="0"/>
      <w:marRight w:val="0"/>
      <w:marTop w:val="0"/>
      <w:marBottom w:val="0"/>
      <w:divBdr>
        <w:top w:val="none" w:sz="0" w:space="0" w:color="auto"/>
        <w:left w:val="none" w:sz="0" w:space="0" w:color="auto"/>
        <w:bottom w:val="none" w:sz="0" w:space="0" w:color="auto"/>
        <w:right w:val="none" w:sz="0" w:space="0" w:color="auto"/>
      </w:divBdr>
    </w:div>
    <w:div w:id="2035576163">
      <w:bodyDiv w:val="1"/>
      <w:marLeft w:val="0"/>
      <w:marRight w:val="0"/>
      <w:marTop w:val="0"/>
      <w:marBottom w:val="0"/>
      <w:divBdr>
        <w:top w:val="none" w:sz="0" w:space="0" w:color="auto"/>
        <w:left w:val="none" w:sz="0" w:space="0" w:color="auto"/>
        <w:bottom w:val="none" w:sz="0" w:space="0" w:color="auto"/>
        <w:right w:val="none" w:sz="0" w:space="0" w:color="auto"/>
      </w:divBdr>
    </w:div>
    <w:div w:id="2036732389">
      <w:bodyDiv w:val="1"/>
      <w:marLeft w:val="0"/>
      <w:marRight w:val="0"/>
      <w:marTop w:val="0"/>
      <w:marBottom w:val="0"/>
      <w:divBdr>
        <w:top w:val="none" w:sz="0" w:space="0" w:color="auto"/>
        <w:left w:val="none" w:sz="0" w:space="0" w:color="auto"/>
        <w:bottom w:val="none" w:sz="0" w:space="0" w:color="auto"/>
        <w:right w:val="none" w:sz="0" w:space="0" w:color="auto"/>
      </w:divBdr>
    </w:div>
    <w:div w:id="2037150926">
      <w:bodyDiv w:val="1"/>
      <w:marLeft w:val="0"/>
      <w:marRight w:val="0"/>
      <w:marTop w:val="0"/>
      <w:marBottom w:val="0"/>
      <w:divBdr>
        <w:top w:val="none" w:sz="0" w:space="0" w:color="auto"/>
        <w:left w:val="none" w:sz="0" w:space="0" w:color="auto"/>
        <w:bottom w:val="none" w:sz="0" w:space="0" w:color="auto"/>
        <w:right w:val="none" w:sz="0" w:space="0" w:color="auto"/>
      </w:divBdr>
    </w:div>
    <w:div w:id="2039621000">
      <w:bodyDiv w:val="1"/>
      <w:marLeft w:val="0"/>
      <w:marRight w:val="0"/>
      <w:marTop w:val="0"/>
      <w:marBottom w:val="0"/>
      <w:divBdr>
        <w:top w:val="none" w:sz="0" w:space="0" w:color="auto"/>
        <w:left w:val="none" w:sz="0" w:space="0" w:color="auto"/>
        <w:bottom w:val="none" w:sz="0" w:space="0" w:color="auto"/>
        <w:right w:val="none" w:sz="0" w:space="0" w:color="auto"/>
      </w:divBdr>
    </w:div>
    <w:div w:id="204454948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38379">
      <w:bodyDiv w:val="1"/>
      <w:marLeft w:val="0"/>
      <w:marRight w:val="0"/>
      <w:marTop w:val="0"/>
      <w:marBottom w:val="0"/>
      <w:divBdr>
        <w:top w:val="none" w:sz="0" w:space="0" w:color="auto"/>
        <w:left w:val="none" w:sz="0" w:space="0" w:color="auto"/>
        <w:bottom w:val="none" w:sz="0" w:space="0" w:color="auto"/>
        <w:right w:val="none" w:sz="0" w:space="0" w:color="auto"/>
      </w:divBdr>
    </w:div>
    <w:div w:id="2047833600">
      <w:bodyDiv w:val="1"/>
      <w:marLeft w:val="0"/>
      <w:marRight w:val="0"/>
      <w:marTop w:val="0"/>
      <w:marBottom w:val="0"/>
      <w:divBdr>
        <w:top w:val="none" w:sz="0" w:space="0" w:color="auto"/>
        <w:left w:val="none" w:sz="0" w:space="0" w:color="auto"/>
        <w:bottom w:val="none" w:sz="0" w:space="0" w:color="auto"/>
        <w:right w:val="none" w:sz="0" w:space="0" w:color="auto"/>
      </w:divBdr>
    </w:div>
    <w:div w:id="2052873079">
      <w:bodyDiv w:val="1"/>
      <w:marLeft w:val="0"/>
      <w:marRight w:val="0"/>
      <w:marTop w:val="0"/>
      <w:marBottom w:val="0"/>
      <w:divBdr>
        <w:top w:val="none" w:sz="0" w:space="0" w:color="auto"/>
        <w:left w:val="none" w:sz="0" w:space="0" w:color="auto"/>
        <w:bottom w:val="none" w:sz="0" w:space="0" w:color="auto"/>
        <w:right w:val="none" w:sz="0" w:space="0" w:color="auto"/>
      </w:divBdr>
    </w:div>
    <w:div w:id="2055425289">
      <w:bodyDiv w:val="1"/>
      <w:marLeft w:val="0"/>
      <w:marRight w:val="0"/>
      <w:marTop w:val="0"/>
      <w:marBottom w:val="0"/>
      <w:divBdr>
        <w:top w:val="none" w:sz="0" w:space="0" w:color="auto"/>
        <w:left w:val="none" w:sz="0" w:space="0" w:color="auto"/>
        <w:bottom w:val="none" w:sz="0" w:space="0" w:color="auto"/>
        <w:right w:val="none" w:sz="0" w:space="0" w:color="auto"/>
      </w:divBdr>
    </w:div>
    <w:div w:id="2057776048">
      <w:bodyDiv w:val="1"/>
      <w:marLeft w:val="0"/>
      <w:marRight w:val="0"/>
      <w:marTop w:val="0"/>
      <w:marBottom w:val="0"/>
      <w:divBdr>
        <w:top w:val="none" w:sz="0" w:space="0" w:color="auto"/>
        <w:left w:val="none" w:sz="0" w:space="0" w:color="auto"/>
        <w:bottom w:val="none" w:sz="0" w:space="0" w:color="auto"/>
        <w:right w:val="none" w:sz="0" w:space="0" w:color="auto"/>
      </w:divBdr>
    </w:div>
    <w:div w:id="2058780194">
      <w:bodyDiv w:val="1"/>
      <w:marLeft w:val="0"/>
      <w:marRight w:val="0"/>
      <w:marTop w:val="0"/>
      <w:marBottom w:val="0"/>
      <w:divBdr>
        <w:top w:val="none" w:sz="0" w:space="0" w:color="auto"/>
        <w:left w:val="none" w:sz="0" w:space="0" w:color="auto"/>
        <w:bottom w:val="none" w:sz="0" w:space="0" w:color="auto"/>
        <w:right w:val="none" w:sz="0" w:space="0" w:color="auto"/>
      </w:divBdr>
    </w:div>
    <w:div w:id="2063170656">
      <w:bodyDiv w:val="1"/>
      <w:marLeft w:val="0"/>
      <w:marRight w:val="0"/>
      <w:marTop w:val="0"/>
      <w:marBottom w:val="0"/>
      <w:divBdr>
        <w:top w:val="none" w:sz="0" w:space="0" w:color="auto"/>
        <w:left w:val="none" w:sz="0" w:space="0" w:color="auto"/>
        <w:bottom w:val="none" w:sz="0" w:space="0" w:color="auto"/>
        <w:right w:val="none" w:sz="0" w:space="0" w:color="auto"/>
      </w:divBdr>
    </w:div>
    <w:div w:id="2064870173">
      <w:bodyDiv w:val="1"/>
      <w:marLeft w:val="0"/>
      <w:marRight w:val="0"/>
      <w:marTop w:val="0"/>
      <w:marBottom w:val="0"/>
      <w:divBdr>
        <w:top w:val="none" w:sz="0" w:space="0" w:color="auto"/>
        <w:left w:val="none" w:sz="0" w:space="0" w:color="auto"/>
        <w:bottom w:val="none" w:sz="0" w:space="0" w:color="auto"/>
        <w:right w:val="none" w:sz="0" w:space="0" w:color="auto"/>
      </w:divBdr>
    </w:div>
    <w:div w:id="2066443352">
      <w:bodyDiv w:val="1"/>
      <w:marLeft w:val="0"/>
      <w:marRight w:val="0"/>
      <w:marTop w:val="0"/>
      <w:marBottom w:val="0"/>
      <w:divBdr>
        <w:top w:val="none" w:sz="0" w:space="0" w:color="auto"/>
        <w:left w:val="none" w:sz="0" w:space="0" w:color="auto"/>
        <w:bottom w:val="none" w:sz="0" w:space="0" w:color="auto"/>
        <w:right w:val="none" w:sz="0" w:space="0" w:color="auto"/>
      </w:divBdr>
    </w:div>
    <w:div w:id="2068064551">
      <w:bodyDiv w:val="1"/>
      <w:marLeft w:val="0"/>
      <w:marRight w:val="0"/>
      <w:marTop w:val="0"/>
      <w:marBottom w:val="0"/>
      <w:divBdr>
        <w:top w:val="none" w:sz="0" w:space="0" w:color="auto"/>
        <w:left w:val="none" w:sz="0" w:space="0" w:color="auto"/>
        <w:bottom w:val="none" w:sz="0" w:space="0" w:color="auto"/>
        <w:right w:val="none" w:sz="0" w:space="0" w:color="auto"/>
      </w:divBdr>
    </w:div>
    <w:div w:id="2073889085">
      <w:bodyDiv w:val="1"/>
      <w:marLeft w:val="0"/>
      <w:marRight w:val="0"/>
      <w:marTop w:val="0"/>
      <w:marBottom w:val="0"/>
      <w:divBdr>
        <w:top w:val="none" w:sz="0" w:space="0" w:color="auto"/>
        <w:left w:val="none" w:sz="0" w:space="0" w:color="auto"/>
        <w:bottom w:val="none" w:sz="0" w:space="0" w:color="auto"/>
        <w:right w:val="none" w:sz="0" w:space="0" w:color="auto"/>
      </w:divBdr>
    </w:div>
    <w:div w:id="2076394623">
      <w:bodyDiv w:val="1"/>
      <w:marLeft w:val="0"/>
      <w:marRight w:val="0"/>
      <w:marTop w:val="0"/>
      <w:marBottom w:val="0"/>
      <w:divBdr>
        <w:top w:val="none" w:sz="0" w:space="0" w:color="auto"/>
        <w:left w:val="none" w:sz="0" w:space="0" w:color="auto"/>
        <w:bottom w:val="none" w:sz="0" w:space="0" w:color="auto"/>
        <w:right w:val="none" w:sz="0" w:space="0" w:color="auto"/>
      </w:divBdr>
    </w:div>
    <w:div w:id="2078746464">
      <w:bodyDiv w:val="1"/>
      <w:marLeft w:val="0"/>
      <w:marRight w:val="0"/>
      <w:marTop w:val="0"/>
      <w:marBottom w:val="0"/>
      <w:divBdr>
        <w:top w:val="none" w:sz="0" w:space="0" w:color="auto"/>
        <w:left w:val="none" w:sz="0" w:space="0" w:color="auto"/>
        <w:bottom w:val="none" w:sz="0" w:space="0" w:color="auto"/>
        <w:right w:val="none" w:sz="0" w:space="0" w:color="auto"/>
      </w:divBdr>
    </w:div>
    <w:div w:id="2080518875">
      <w:bodyDiv w:val="1"/>
      <w:marLeft w:val="0"/>
      <w:marRight w:val="0"/>
      <w:marTop w:val="0"/>
      <w:marBottom w:val="0"/>
      <w:divBdr>
        <w:top w:val="none" w:sz="0" w:space="0" w:color="auto"/>
        <w:left w:val="none" w:sz="0" w:space="0" w:color="auto"/>
        <w:bottom w:val="none" w:sz="0" w:space="0" w:color="auto"/>
        <w:right w:val="none" w:sz="0" w:space="0" w:color="auto"/>
      </w:divBdr>
    </w:div>
    <w:div w:id="2085374127">
      <w:bodyDiv w:val="1"/>
      <w:marLeft w:val="0"/>
      <w:marRight w:val="0"/>
      <w:marTop w:val="0"/>
      <w:marBottom w:val="0"/>
      <w:divBdr>
        <w:top w:val="none" w:sz="0" w:space="0" w:color="auto"/>
        <w:left w:val="none" w:sz="0" w:space="0" w:color="auto"/>
        <w:bottom w:val="none" w:sz="0" w:space="0" w:color="auto"/>
        <w:right w:val="none" w:sz="0" w:space="0" w:color="auto"/>
      </w:divBdr>
    </w:div>
    <w:div w:id="2086418472">
      <w:bodyDiv w:val="1"/>
      <w:marLeft w:val="0"/>
      <w:marRight w:val="0"/>
      <w:marTop w:val="0"/>
      <w:marBottom w:val="0"/>
      <w:divBdr>
        <w:top w:val="none" w:sz="0" w:space="0" w:color="auto"/>
        <w:left w:val="none" w:sz="0" w:space="0" w:color="auto"/>
        <w:bottom w:val="none" w:sz="0" w:space="0" w:color="auto"/>
        <w:right w:val="none" w:sz="0" w:space="0" w:color="auto"/>
      </w:divBdr>
    </w:div>
    <w:div w:id="2087722677">
      <w:bodyDiv w:val="1"/>
      <w:marLeft w:val="0"/>
      <w:marRight w:val="0"/>
      <w:marTop w:val="0"/>
      <w:marBottom w:val="0"/>
      <w:divBdr>
        <w:top w:val="none" w:sz="0" w:space="0" w:color="auto"/>
        <w:left w:val="none" w:sz="0" w:space="0" w:color="auto"/>
        <w:bottom w:val="none" w:sz="0" w:space="0" w:color="auto"/>
        <w:right w:val="none" w:sz="0" w:space="0" w:color="auto"/>
      </w:divBdr>
    </w:div>
    <w:div w:id="2087797276">
      <w:bodyDiv w:val="1"/>
      <w:marLeft w:val="0"/>
      <w:marRight w:val="0"/>
      <w:marTop w:val="0"/>
      <w:marBottom w:val="0"/>
      <w:divBdr>
        <w:top w:val="none" w:sz="0" w:space="0" w:color="auto"/>
        <w:left w:val="none" w:sz="0" w:space="0" w:color="auto"/>
        <w:bottom w:val="none" w:sz="0" w:space="0" w:color="auto"/>
        <w:right w:val="none" w:sz="0" w:space="0" w:color="auto"/>
      </w:divBdr>
    </w:div>
    <w:div w:id="2088576114">
      <w:bodyDiv w:val="1"/>
      <w:marLeft w:val="0"/>
      <w:marRight w:val="0"/>
      <w:marTop w:val="0"/>
      <w:marBottom w:val="0"/>
      <w:divBdr>
        <w:top w:val="none" w:sz="0" w:space="0" w:color="auto"/>
        <w:left w:val="none" w:sz="0" w:space="0" w:color="auto"/>
        <w:bottom w:val="none" w:sz="0" w:space="0" w:color="auto"/>
        <w:right w:val="none" w:sz="0" w:space="0" w:color="auto"/>
      </w:divBdr>
    </w:div>
    <w:div w:id="2089885212">
      <w:bodyDiv w:val="1"/>
      <w:marLeft w:val="0"/>
      <w:marRight w:val="0"/>
      <w:marTop w:val="0"/>
      <w:marBottom w:val="0"/>
      <w:divBdr>
        <w:top w:val="none" w:sz="0" w:space="0" w:color="auto"/>
        <w:left w:val="none" w:sz="0" w:space="0" w:color="auto"/>
        <w:bottom w:val="none" w:sz="0" w:space="0" w:color="auto"/>
        <w:right w:val="none" w:sz="0" w:space="0" w:color="auto"/>
      </w:divBdr>
    </w:div>
    <w:div w:id="2092576419">
      <w:bodyDiv w:val="1"/>
      <w:marLeft w:val="0"/>
      <w:marRight w:val="0"/>
      <w:marTop w:val="0"/>
      <w:marBottom w:val="0"/>
      <w:divBdr>
        <w:top w:val="none" w:sz="0" w:space="0" w:color="auto"/>
        <w:left w:val="none" w:sz="0" w:space="0" w:color="auto"/>
        <w:bottom w:val="none" w:sz="0" w:space="0" w:color="auto"/>
        <w:right w:val="none" w:sz="0" w:space="0" w:color="auto"/>
      </w:divBdr>
    </w:div>
    <w:div w:id="2097051941">
      <w:bodyDiv w:val="1"/>
      <w:marLeft w:val="0"/>
      <w:marRight w:val="0"/>
      <w:marTop w:val="0"/>
      <w:marBottom w:val="0"/>
      <w:divBdr>
        <w:top w:val="none" w:sz="0" w:space="0" w:color="auto"/>
        <w:left w:val="none" w:sz="0" w:space="0" w:color="auto"/>
        <w:bottom w:val="none" w:sz="0" w:space="0" w:color="auto"/>
        <w:right w:val="none" w:sz="0" w:space="0" w:color="auto"/>
      </w:divBdr>
    </w:div>
    <w:div w:id="2098553593">
      <w:bodyDiv w:val="1"/>
      <w:marLeft w:val="0"/>
      <w:marRight w:val="0"/>
      <w:marTop w:val="0"/>
      <w:marBottom w:val="0"/>
      <w:divBdr>
        <w:top w:val="none" w:sz="0" w:space="0" w:color="auto"/>
        <w:left w:val="none" w:sz="0" w:space="0" w:color="auto"/>
        <w:bottom w:val="none" w:sz="0" w:space="0" w:color="auto"/>
        <w:right w:val="none" w:sz="0" w:space="0" w:color="auto"/>
      </w:divBdr>
    </w:div>
    <w:div w:id="2110924466">
      <w:bodyDiv w:val="1"/>
      <w:marLeft w:val="0"/>
      <w:marRight w:val="0"/>
      <w:marTop w:val="0"/>
      <w:marBottom w:val="0"/>
      <w:divBdr>
        <w:top w:val="none" w:sz="0" w:space="0" w:color="auto"/>
        <w:left w:val="none" w:sz="0" w:space="0" w:color="auto"/>
        <w:bottom w:val="none" w:sz="0" w:space="0" w:color="auto"/>
        <w:right w:val="none" w:sz="0" w:space="0" w:color="auto"/>
      </w:divBdr>
    </w:div>
    <w:div w:id="2111583878">
      <w:bodyDiv w:val="1"/>
      <w:marLeft w:val="0"/>
      <w:marRight w:val="0"/>
      <w:marTop w:val="0"/>
      <w:marBottom w:val="0"/>
      <w:divBdr>
        <w:top w:val="none" w:sz="0" w:space="0" w:color="auto"/>
        <w:left w:val="none" w:sz="0" w:space="0" w:color="auto"/>
        <w:bottom w:val="none" w:sz="0" w:space="0" w:color="auto"/>
        <w:right w:val="none" w:sz="0" w:space="0" w:color="auto"/>
      </w:divBdr>
    </w:div>
    <w:div w:id="2114082707">
      <w:bodyDiv w:val="1"/>
      <w:marLeft w:val="0"/>
      <w:marRight w:val="0"/>
      <w:marTop w:val="0"/>
      <w:marBottom w:val="0"/>
      <w:divBdr>
        <w:top w:val="none" w:sz="0" w:space="0" w:color="auto"/>
        <w:left w:val="none" w:sz="0" w:space="0" w:color="auto"/>
        <w:bottom w:val="none" w:sz="0" w:space="0" w:color="auto"/>
        <w:right w:val="none" w:sz="0" w:space="0" w:color="auto"/>
      </w:divBdr>
    </w:div>
    <w:div w:id="2116175007">
      <w:bodyDiv w:val="1"/>
      <w:marLeft w:val="0"/>
      <w:marRight w:val="0"/>
      <w:marTop w:val="0"/>
      <w:marBottom w:val="0"/>
      <w:divBdr>
        <w:top w:val="none" w:sz="0" w:space="0" w:color="auto"/>
        <w:left w:val="none" w:sz="0" w:space="0" w:color="auto"/>
        <w:bottom w:val="none" w:sz="0" w:space="0" w:color="auto"/>
        <w:right w:val="none" w:sz="0" w:space="0" w:color="auto"/>
      </w:divBdr>
    </w:div>
    <w:div w:id="2116900903">
      <w:bodyDiv w:val="1"/>
      <w:marLeft w:val="0"/>
      <w:marRight w:val="0"/>
      <w:marTop w:val="0"/>
      <w:marBottom w:val="0"/>
      <w:divBdr>
        <w:top w:val="none" w:sz="0" w:space="0" w:color="auto"/>
        <w:left w:val="none" w:sz="0" w:space="0" w:color="auto"/>
        <w:bottom w:val="none" w:sz="0" w:space="0" w:color="auto"/>
        <w:right w:val="none" w:sz="0" w:space="0" w:color="auto"/>
      </w:divBdr>
    </w:div>
    <w:div w:id="2119831037">
      <w:bodyDiv w:val="1"/>
      <w:marLeft w:val="0"/>
      <w:marRight w:val="0"/>
      <w:marTop w:val="0"/>
      <w:marBottom w:val="0"/>
      <w:divBdr>
        <w:top w:val="none" w:sz="0" w:space="0" w:color="auto"/>
        <w:left w:val="none" w:sz="0" w:space="0" w:color="auto"/>
        <w:bottom w:val="none" w:sz="0" w:space="0" w:color="auto"/>
        <w:right w:val="none" w:sz="0" w:space="0" w:color="auto"/>
      </w:divBdr>
    </w:div>
    <w:div w:id="2120877809">
      <w:bodyDiv w:val="1"/>
      <w:marLeft w:val="0"/>
      <w:marRight w:val="0"/>
      <w:marTop w:val="0"/>
      <w:marBottom w:val="0"/>
      <w:divBdr>
        <w:top w:val="none" w:sz="0" w:space="0" w:color="auto"/>
        <w:left w:val="none" w:sz="0" w:space="0" w:color="auto"/>
        <w:bottom w:val="none" w:sz="0" w:space="0" w:color="auto"/>
        <w:right w:val="none" w:sz="0" w:space="0" w:color="auto"/>
      </w:divBdr>
    </w:div>
    <w:div w:id="2124104872">
      <w:bodyDiv w:val="1"/>
      <w:marLeft w:val="0"/>
      <w:marRight w:val="0"/>
      <w:marTop w:val="0"/>
      <w:marBottom w:val="0"/>
      <w:divBdr>
        <w:top w:val="none" w:sz="0" w:space="0" w:color="auto"/>
        <w:left w:val="none" w:sz="0" w:space="0" w:color="auto"/>
        <w:bottom w:val="none" w:sz="0" w:space="0" w:color="auto"/>
        <w:right w:val="none" w:sz="0" w:space="0" w:color="auto"/>
      </w:divBdr>
    </w:div>
    <w:div w:id="2128349458">
      <w:bodyDiv w:val="1"/>
      <w:marLeft w:val="0"/>
      <w:marRight w:val="0"/>
      <w:marTop w:val="0"/>
      <w:marBottom w:val="0"/>
      <w:divBdr>
        <w:top w:val="none" w:sz="0" w:space="0" w:color="auto"/>
        <w:left w:val="none" w:sz="0" w:space="0" w:color="auto"/>
        <w:bottom w:val="none" w:sz="0" w:space="0" w:color="auto"/>
        <w:right w:val="none" w:sz="0" w:space="0" w:color="auto"/>
      </w:divBdr>
    </w:div>
    <w:div w:id="2131125676">
      <w:bodyDiv w:val="1"/>
      <w:marLeft w:val="0"/>
      <w:marRight w:val="0"/>
      <w:marTop w:val="0"/>
      <w:marBottom w:val="0"/>
      <w:divBdr>
        <w:top w:val="none" w:sz="0" w:space="0" w:color="auto"/>
        <w:left w:val="none" w:sz="0" w:space="0" w:color="auto"/>
        <w:bottom w:val="none" w:sz="0" w:space="0" w:color="auto"/>
        <w:right w:val="none" w:sz="0" w:space="0" w:color="auto"/>
      </w:divBdr>
    </w:div>
    <w:div w:id="2134247162">
      <w:bodyDiv w:val="1"/>
      <w:marLeft w:val="0"/>
      <w:marRight w:val="0"/>
      <w:marTop w:val="0"/>
      <w:marBottom w:val="0"/>
      <w:divBdr>
        <w:top w:val="none" w:sz="0" w:space="0" w:color="auto"/>
        <w:left w:val="none" w:sz="0" w:space="0" w:color="auto"/>
        <w:bottom w:val="none" w:sz="0" w:space="0" w:color="auto"/>
        <w:right w:val="none" w:sz="0" w:space="0" w:color="auto"/>
      </w:divBdr>
    </w:div>
    <w:div w:id="2134707771">
      <w:bodyDiv w:val="1"/>
      <w:marLeft w:val="0"/>
      <w:marRight w:val="0"/>
      <w:marTop w:val="0"/>
      <w:marBottom w:val="0"/>
      <w:divBdr>
        <w:top w:val="none" w:sz="0" w:space="0" w:color="auto"/>
        <w:left w:val="none" w:sz="0" w:space="0" w:color="auto"/>
        <w:bottom w:val="none" w:sz="0" w:space="0" w:color="auto"/>
        <w:right w:val="none" w:sz="0" w:space="0" w:color="auto"/>
      </w:divBdr>
    </w:div>
    <w:div w:id="2135246247">
      <w:bodyDiv w:val="1"/>
      <w:marLeft w:val="0"/>
      <w:marRight w:val="0"/>
      <w:marTop w:val="0"/>
      <w:marBottom w:val="0"/>
      <w:divBdr>
        <w:top w:val="none" w:sz="0" w:space="0" w:color="auto"/>
        <w:left w:val="none" w:sz="0" w:space="0" w:color="auto"/>
        <w:bottom w:val="none" w:sz="0" w:space="0" w:color="auto"/>
        <w:right w:val="none" w:sz="0" w:space="0" w:color="auto"/>
      </w:divBdr>
    </w:div>
    <w:div w:id="2135561872">
      <w:bodyDiv w:val="1"/>
      <w:marLeft w:val="0"/>
      <w:marRight w:val="0"/>
      <w:marTop w:val="0"/>
      <w:marBottom w:val="0"/>
      <w:divBdr>
        <w:top w:val="none" w:sz="0" w:space="0" w:color="auto"/>
        <w:left w:val="none" w:sz="0" w:space="0" w:color="auto"/>
        <w:bottom w:val="none" w:sz="0" w:space="0" w:color="auto"/>
        <w:right w:val="none" w:sz="0" w:space="0" w:color="auto"/>
      </w:divBdr>
    </w:div>
    <w:div w:id="2138524076">
      <w:bodyDiv w:val="1"/>
      <w:marLeft w:val="0"/>
      <w:marRight w:val="0"/>
      <w:marTop w:val="0"/>
      <w:marBottom w:val="0"/>
      <w:divBdr>
        <w:top w:val="none" w:sz="0" w:space="0" w:color="auto"/>
        <w:left w:val="none" w:sz="0" w:space="0" w:color="auto"/>
        <w:bottom w:val="none" w:sz="0" w:space="0" w:color="auto"/>
        <w:right w:val="none" w:sz="0" w:space="0" w:color="auto"/>
      </w:divBdr>
    </w:div>
    <w:div w:id="2139568823">
      <w:bodyDiv w:val="1"/>
      <w:marLeft w:val="0"/>
      <w:marRight w:val="0"/>
      <w:marTop w:val="0"/>
      <w:marBottom w:val="0"/>
      <w:divBdr>
        <w:top w:val="none" w:sz="0" w:space="0" w:color="auto"/>
        <w:left w:val="none" w:sz="0" w:space="0" w:color="auto"/>
        <w:bottom w:val="none" w:sz="0" w:space="0" w:color="auto"/>
        <w:right w:val="none" w:sz="0" w:space="0" w:color="auto"/>
      </w:divBdr>
    </w:div>
    <w:div w:id="2145387620">
      <w:bodyDiv w:val="1"/>
      <w:marLeft w:val="0"/>
      <w:marRight w:val="0"/>
      <w:marTop w:val="0"/>
      <w:marBottom w:val="0"/>
      <w:divBdr>
        <w:top w:val="none" w:sz="0" w:space="0" w:color="auto"/>
        <w:left w:val="none" w:sz="0" w:space="0" w:color="auto"/>
        <w:bottom w:val="none" w:sz="0" w:space="0" w:color="auto"/>
        <w:right w:val="none" w:sz="0" w:space="0" w:color="auto"/>
      </w:divBdr>
    </w:div>
    <w:div w:id="2146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5.xml"/><Relationship Id="rId34" Type="http://schemas.openxmlformats.org/officeDocument/2006/relationships/image" Target="media/image1.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ulletin@sebi.gov.in" TargetMode="External"/><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sebi.gov.in/reports-and-statistics.html"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yperlink" Target="https://www.sebi.gov.in/reports-and-statistics.html" TargetMode="External"/><Relationship Id="rId10" Type="http://schemas.openxmlformats.org/officeDocument/2006/relationships/styles" Target="styles.xm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DEPA\Bulletin\Bulletin%20Workings-May2022.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DEPA\Bulletin\Bulletin%20Workings-May2022.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2.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SUMIT%20DATA\01.%20Monthly\00.%20Working\Monthly%20Working.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D:\SUMIT%20DATA\01.%20Monthly\00.%20Working\Monthly%20Working.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D:\SUMIT%20DATA\01.%20Monthly\00.%20Working\Monthly%20Working.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D:\SUMIT%20DATA\01.%20Monthly\00.%20Working\Monthly%20Working.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D:\vimal%20backup\SEBI%20WORK%203-%20DEPA1\2022-23\DEPA1%20Bulletin%20-GMR\2022%2006%20GMR\2022%2006%20GMR%20NEW.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vimal%20backup\SEBI%20WORK%203-%20DEPA1\2022-23\DEPA1%20Bulletin%20-GMR\2022%2006%20GMR\2022%2006%20GMR%20NEW.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1150\Documents\Copy%20of%20CMR%20May%20202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1150\Documents\Copy%20of%20CMR%20May%20202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1150\Documents\Copy%20of%20CMR%20May%20202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1512\AppData\Local\Microsoft\Windows\INetCache\Content.Outlook\SDUU1ZWC\Copy%20of%20CMR%20May%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150\Documents\Copy%20of%20CMR%20May%20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1150\Documents\Copy%20of%20CMR%20May%202022.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1150\Documents\Copy%20of%20CMR%20May%20202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DEPA\Bulletin\Bulletin%20Workings-May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44415876586854E-2"/>
          <c:y val="5.4054054054054057E-2"/>
          <c:w val="0.88945476458299855"/>
          <c:h val="0.76706804155623065"/>
        </c:manualLayout>
      </c:layout>
      <c:lineChart>
        <c:grouping val="standard"/>
        <c:varyColors val="0"/>
        <c:ser>
          <c:idx val="0"/>
          <c:order val="0"/>
          <c:tx>
            <c:strRef>
              <c:f>Indices!$F$1</c:f>
              <c:strCache>
                <c:ptCount val="1"/>
                <c:pt idx="0">
                  <c:v> NSE  </c:v>
                </c:pt>
              </c:strCache>
            </c:strRef>
          </c:tx>
          <c:spPr>
            <a:ln w="28575" cap="rnd">
              <a:solidFill>
                <a:srgbClr val="ED7D31"/>
              </a:solidFill>
              <a:round/>
            </a:ln>
            <a:effectLst/>
          </c:spPr>
          <c:marker>
            <c:symbol val="none"/>
          </c:marker>
          <c:cat>
            <c:numRef>
              <c:f>Indices!$E$2:$E$250</c:f>
              <c:numCache>
                <c:formatCode>d\-mmm\-yy</c:formatCode>
                <c:ptCount val="249"/>
                <c:pt idx="0">
                  <c:v>44348</c:v>
                </c:pt>
                <c:pt idx="1">
                  <c:v>44349</c:v>
                </c:pt>
                <c:pt idx="2">
                  <c:v>44350</c:v>
                </c:pt>
                <c:pt idx="3">
                  <c:v>44351</c:v>
                </c:pt>
                <c:pt idx="4">
                  <c:v>44354</c:v>
                </c:pt>
                <c:pt idx="5">
                  <c:v>44355</c:v>
                </c:pt>
                <c:pt idx="6">
                  <c:v>44356</c:v>
                </c:pt>
                <c:pt idx="7">
                  <c:v>44357</c:v>
                </c:pt>
                <c:pt idx="8">
                  <c:v>44358</c:v>
                </c:pt>
                <c:pt idx="9">
                  <c:v>44361</c:v>
                </c:pt>
                <c:pt idx="10">
                  <c:v>44362</c:v>
                </c:pt>
                <c:pt idx="11">
                  <c:v>44363</c:v>
                </c:pt>
                <c:pt idx="12">
                  <c:v>44364</c:v>
                </c:pt>
                <c:pt idx="13">
                  <c:v>44365</c:v>
                </c:pt>
                <c:pt idx="14">
                  <c:v>44368</c:v>
                </c:pt>
                <c:pt idx="15">
                  <c:v>44369</c:v>
                </c:pt>
                <c:pt idx="16">
                  <c:v>44370</c:v>
                </c:pt>
                <c:pt idx="17">
                  <c:v>44371</c:v>
                </c:pt>
                <c:pt idx="18">
                  <c:v>44372</c:v>
                </c:pt>
                <c:pt idx="19">
                  <c:v>44375</c:v>
                </c:pt>
                <c:pt idx="20">
                  <c:v>44376</c:v>
                </c:pt>
                <c:pt idx="21">
                  <c:v>44377</c:v>
                </c:pt>
                <c:pt idx="22">
                  <c:v>44378</c:v>
                </c:pt>
                <c:pt idx="23">
                  <c:v>44379</c:v>
                </c:pt>
                <c:pt idx="24">
                  <c:v>44382</c:v>
                </c:pt>
                <c:pt idx="25">
                  <c:v>44383</c:v>
                </c:pt>
                <c:pt idx="26">
                  <c:v>44384</c:v>
                </c:pt>
                <c:pt idx="27">
                  <c:v>44385</c:v>
                </c:pt>
                <c:pt idx="28">
                  <c:v>44386</c:v>
                </c:pt>
                <c:pt idx="29">
                  <c:v>44389</c:v>
                </c:pt>
                <c:pt idx="30">
                  <c:v>44390</c:v>
                </c:pt>
                <c:pt idx="31">
                  <c:v>44391</c:v>
                </c:pt>
                <c:pt idx="32">
                  <c:v>44392</c:v>
                </c:pt>
                <c:pt idx="33">
                  <c:v>44393</c:v>
                </c:pt>
                <c:pt idx="34">
                  <c:v>44396</c:v>
                </c:pt>
                <c:pt idx="35">
                  <c:v>44397</c:v>
                </c:pt>
                <c:pt idx="36">
                  <c:v>44399</c:v>
                </c:pt>
                <c:pt idx="37">
                  <c:v>44400</c:v>
                </c:pt>
                <c:pt idx="38">
                  <c:v>44403</c:v>
                </c:pt>
                <c:pt idx="39">
                  <c:v>44404</c:v>
                </c:pt>
                <c:pt idx="40">
                  <c:v>44405</c:v>
                </c:pt>
                <c:pt idx="41">
                  <c:v>44406</c:v>
                </c:pt>
                <c:pt idx="42">
                  <c:v>44407</c:v>
                </c:pt>
                <c:pt idx="43">
                  <c:v>44410</c:v>
                </c:pt>
                <c:pt idx="44">
                  <c:v>44411</c:v>
                </c:pt>
                <c:pt idx="45">
                  <c:v>44412</c:v>
                </c:pt>
                <c:pt idx="46">
                  <c:v>44413</c:v>
                </c:pt>
                <c:pt idx="47">
                  <c:v>44414</c:v>
                </c:pt>
                <c:pt idx="48">
                  <c:v>44417</c:v>
                </c:pt>
                <c:pt idx="49">
                  <c:v>44418</c:v>
                </c:pt>
                <c:pt idx="50">
                  <c:v>44419</c:v>
                </c:pt>
                <c:pt idx="51">
                  <c:v>44420</c:v>
                </c:pt>
                <c:pt idx="52">
                  <c:v>44421</c:v>
                </c:pt>
                <c:pt idx="53">
                  <c:v>44424</c:v>
                </c:pt>
                <c:pt idx="54">
                  <c:v>44425</c:v>
                </c:pt>
                <c:pt idx="55">
                  <c:v>44426</c:v>
                </c:pt>
                <c:pt idx="56">
                  <c:v>44428</c:v>
                </c:pt>
                <c:pt idx="57">
                  <c:v>44431</c:v>
                </c:pt>
                <c:pt idx="58">
                  <c:v>44432</c:v>
                </c:pt>
                <c:pt idx="59">
                  <c:v>44433</c:v>
                </c:pt>
                <c:pt idx="60">
                  <c:v>44434</c:v>
                </c:pt>
                <c:pt idx="61">
                  <c:v>44435</c:v>
                </c:pt>
                <c:pt idx="62">
                  <c:v>44438</c:v>
                </c:pt>
                <c:pt idx="63">
                  <c:v>44439</c:v>
                </c:pt>
                <c:pt idx="64">
                  <c:v>44440</c:v>
                </c:pt>
                <c:pt idx="65">
                  <c:v>44441</c:v>
                </c:pt>
                <c:pt idx="66">
                  <c:v>44442</c:v>
                </c:pt>
                <c:pt idx="67">
                  <c:v>44445</c:v>
                </c:pt>
                <c:pt idx="68">
                  <c:v>44446</c:v>
                </c:pt>
                <c:pt idx="69">
                  <c:v>44447</c:v>
                </c:pt>
                <c:pt idx="70">
                  <c:v>44448</c:v>
                </c:pt>
                <c:pt idx="71">
                  <c:v>44452</c:v>
                </c:pt>
                <c:pt idx="72">
                  <c:v>44453</c:v>
                </c:pt>
                <c:pt idx="73">
                  <c:v>44454</c:v>
                </c:pt>
                <c:pt idx="74">
                  <c:v>44455</c:v>
                </c:pt>
                <c:pt idx="75">
                  <c:v>44456</c:v>
                </c:pt>
                <c:pt idx="76">
                  <c:v>44459</c:v>
                </c:pt>
                <c:pt idx="77">
                  <c:v>44460</c:v>
                </c:pt>
                <c:pt idx="78">
                  <c:v>44461</c:v>
                </c:pt>
                <c:pt idx="79">
                  <c:v>44462</c:v>
                </c:pt>
                <c:pt idx="80">
                  <c:v>44463</c:v>
                </c:pt>
                <c:pt idx="81">
                  <c:v>44466</c:v>
                </c:pt>
                <c:pt idx="82">
                  <c:v>44467</c:v>
                </c:pt>
                <c:pt idx="83">
                  <c:v>44468</c:v>
                </c:pt>
                <c:pt idx="84">
                  <c:v>44469</c:v>
                </c:pt>
                <c:pt idx="85">
                  <c:v>44470</c:v>
                </c:pt>
                <c:pt idx="86">
                  <c:v>44473</c:v>
                </c:pt>
                <c:pt idx="87">
                  <c:v>44474</c:v>
                </c:pt>
                <c:pt idx="88">
                  <c:v>44475</c:v>
                </c:pt>
                <c:pt idx="89">
                  <c:v>44476</c:v>
                </c:pt>
                <c:pt idx="90">
                  <c:v>44477</c:v>
                </c:pt>
                <c:pt idx="91">
                  <c:v>44480</c:v>
                </c:pt>
                <c:pt idx="92">
                  <c:v>44481</c:v>
                </c:pt>
                <c:pt idx="93">
                  <c:v>44482</c:v>
                </c:pt>
                <c:pt idx="94">
                  <c:v>44483</c:v>
                </c:pt>
                <c:pt idx="95">
                  <c:v>44487</c:v>
                </c:pt>
                <c:pt idx="96">
                  <c:v>44488</c:v>
                </c:pt>
                <c:pt idx="97">
                  <c:v>44489</c:v>
                </c:pt>
                <c:pt idx="98">
                  <c:v>44490</c:v>
                </c:pt>
                <c:pt idx="99">
                  <c:v>44491</c:v>
                </c:pt>
                <c:pt idx="100">
                  <c:v>44494</c:v>
                </c:pt>
                <c:pt idx="101">
                  <c:v>44495</c:v>
                </c:pt>
                <c:pt idx="102">
                  <c:v>44496</c:v>
                </c:pt>
                <c:pt idx="103">
                  <c:v>44497</c:v>
                </c:pt>
                <c:pt idx="104">
                  <c:v>44498</c:v>
                </c:pt>
                <c:pt idx="105">
                  <c:v>44501</c:v>
                </c:pt>
                <c:pt idx="106">
                  <c:v>44502</c:v>
                </c:pt>
                <c:pt idx="107">
                  <c:v>44503</c:v>
                </c:pt>
                <c:pt idx="108">
                  <c:v>44504</c:v>
                </c:pt>
                <c:pt idx="109">
                  <c:v>44508</c:v>
                </c:pt>
                <c:pt idx="110">
                  <c:v>44509</c:v>
                </c:pt>
                <c:pt idx="111">
                  <c:v>44510</c:v>
                </c:pt>
                <c:pt idx="112">
                  <c:v>44511</c:v>
                </c:pt>
                <c:pt idx="113">
                  <c:v>44512</c:v>
                </c:pt>
                <c:pt idx="114">
                  <c:v>44515</c:v>
                </c:pt>
                <c:pt idx="115">
                  <c:v>44516</c:v>
                </c:pt>
                <c:pt idx="116">
                  <c:v>44517</c:v>
                </c:pt>
                <c:pt idx="117">
                  <c:v>44518</c:v>
                </c:pt>
                <c:pt idx="118">
                  <c:v>44522</c:v>
                </c:pt>
                <c:pt idx="119">
                  <c:v>44523</c:v>
                </c:pt>
                <c:pt idx="120">
                  <c:v>44524</c:v>
                </c:pt>
                <c:pt idx="121">
                  <c:v>44525</c:v>
                </c:pt>
                <c:pt idx="122">
                  <c:v>44526</c:v>
                </c:pt>
                <c:pt idx="123">
                  <c:v>44529</c:v>
                </c:pt>
                <c:pt idx="124">
                  <c:v>44530</c:v>
                </c:pt>
                <c:pt idx="125">
                  <c:v>44531</c:v>
                </c:pt>
                <c:pt idx="126">
                  <c:v>44532</c:v>
                </c:pt>
                <c:pt idx="127">
                  <c:v>44533</c:v>
                </c:pt>
                <c:pt idx="128">
                  <c:v>44536</c:v>
                </c:pt>
                <c:pt idx="129">
                  <c:v>44537</c:v>
                </c:pt>
                <c:pt idx="130">
                  <c:v>44538</c:v>
                </c:pt>
                <c:pt idx="131">
                  <c:v>44539</c:v>
                </c:pt>
                <c:pt idx="132">
                  <c:v>44540</c:v>
                </c:pt>
                <c:pt idx="133">
                  <c:v>44543</c:v>
                </c:pt>
                <c:pt idx="134">
                  <c:v>44544</c:v>
                </c:pt>
                <c:pt idx="135">
                  <c:v>44545</c:v>
                </c:pt>
                <c:pt idx="136">
                  <c:v>44546</c:v>
                </c:pt>
                <c:pt idx="137">
                  <c:v>44547</c:v>
                </c:pt>
                <c:pt idx="138">
                  <c:v>44550</c:v>
                </c:pt>
                <c:pt idx="139">
                  <c:v>44551</c:v>
                </c:pt>
                <c:pt idx="140">
                  <c:v>44552</c:v>
                </c:pt>
                <c:pt idx="141">
                  <c:v>44553</c:v>
                </c:pt>
                <c:pt idx="142">
                  <c:v>44554</c:v>
                </c:pt>
                <c:pt idx="143">
                  <c:v>44557</c:v>
                </c:pt>
                <c:pt idx="144">
                  <c:v>44558</c:v>
                </c:pt>
                <c:pt idx="145">
                  <c:v>44559</c:v>
                </c:pt>
                <c:pt idx="146">
                  <c:v>44560</c:v>
                </c:pt>
                <c:pt idx="147">
                  <c:v>44561</c:v>
                </c:pt>
                <c:pt idx="148">
                  <c:v>44564</c:v>
                </c:pt>
                <c:pt idx="149">
                  <c:v>44565</c:v>
                </c:pt>
                <c:pt idx="150">
                  <c:v>44566</c:v>
                </c:pt>
                <c:pt idx="151">
                  <c:v>44567</c:v>
                </c:pt>
                <c:pt idx="152">
                  <c:v>44568</c:v>
                </c:pt>
                <c:pt idx="153">
                  <c:v>44571</c:v>
                </c:pt>
                <c:pt idx="154">
                  <c:v>44572</c:v>
                </c:pt>
                <c:pt idx="155">
                  <c:v>44573</c:v>
                </c:pt>
                <c:pt idx="156">
                  <c:v>44574</c:v>
                </c:pt>
                <c:pt idx="157">
                  <c:v>44575</c:v>
                </c:pt>
                <c:pt idx="158">
                  <c:v>44578</c:v>
                </c:pt>
                <c:pt idx="159">
                  <c:v>44579</c:v>
                </c:pt>
                <c:pt idx="160">
                  <c:v>44580</c:v>
                </c:pt>
                <c:pt idx="161">
                  <c:v>44581</c:v>
                </c:pt>
                <c:pt idx="162">
                  <c:v>44582</c:v>
                </c:pt>
                <c:pt idx="163">
                  <c:v>44585</c:v>
                </c:pt>
                <c:pt idx="164">
                  <c:v>44586</c:v>
                </c:pt>
                <c:pt idx="165">
                  <c:v>44588</c:v>
                </c:pt>
                <c:pt idx="166">
                  <c:v>44589</c:v>
                </c:pt>
                <c:pt idx="167">
                  <c:v>44592</c:v>
                </c:pt>
                <c:pt idx="168">
                  <c:v>44593</c:v>
                </c:pt>
                <c:pt idx="169">
                  <c:v>44594</c:v>
                </c:pt>
                <c:pt idx="170">
                  <c:v>44595</c:v>
                </c:pt>
                <c:pt idx="171">
                  <c:v>44596</c:v>
                </c:pt>
                <c:pt idx="172">
                  <c:v>44599</c:v>
                </c:pt>
                <c:pt idx="173">
                  <c:v>44600</c:v>
                </c:pt>
                <c:pt idx="174">
                  <c:v>44601</c:v>
                </c:pt>
                <c:pt idx="175">
                  <c:v>44602</c:v>
                </c:pt>
                <c:pt idx="176">
                  <c:v>44603</c:v>
                </c:pt>
                <c:pt idx="177">
                  <c:v>44606</c:v>
                </c:pt>
                <c:pt idx="178">
                  <c:v>44607</c:v>
                </c:pt>
                <c:pt idx="179">
                  <c:v>44608</c:v>
                </c:pt>
                <c:pt idx="180">
                  <c:v>44609</c:v>
                </c:pt>
                <c:pt idx="181">
                  <c:v>44610</c:v>
                </c:pt>
                <c:pt idx="182">
                  <c:v>44613</c:v>
                </c:pt>
                <c:pt idx="183">
                  <c:v>44614</c:v>
                </c:pt>
                <c:pt idx="184">
                  <c:v>44615</c:v>
                </c:pt>
                <c:pt idx="185">
                  <c:v>44616</c:v>
                </c:pt>
                <c:pt idx="186">
                  <c:v>44617</c:v>
                </c:pt>
                <c:pt idx="187">
                  <c:v>44620</c:v>
                </c:pt>
                <c:pt idx="188">
                  <c:v>44622</c:v>
                </c:pt>
                <c:pt idx="189">
                  <c:v>44623</c:v>
                </c:pt>
                <c:pt idx="190">
                  <c:v>44624</c:v>
                </c:pt>
                <c:pt idx="191">
                  <c:v>44627</c:v>
                </c:pt>
                <c:pt idx="192">
                  <c:v>44628</c:v>
                </c:pt>
                <c:pt idx="193">
                  <c:v>44629</c:v>
                </c:pt>
                <c:pt idx="194">
                  <c:v>44630</c:v>
                </c:pt>
                <c:pt idx="195">
                  <c:v>44631</c:v>
                </c:pt>
                <c:pt idx="196">
                  <c:v>44634</c:v>
                </c:pt>
                <c:pt idx="197">
                  <c:v>44635</c:v>
                </c:pt>
                <c:pt idx="198">
                  <c:v>44636</c:v>
                </c:pt>
                <c:pt idx="199">
                  <c:v>44637</c:v>
                </c:pt>
                <c:pt idx="200">
                  <c:v>44641</c:v>
                </c:pt>
                <c:pt idx="201">
                  <c:v>44642</c:v>
                </c:pt>
                <c:pt idx="202">
                  <c:v>44643</c:v>
                </c:pt>
                <c:pt idx="203">
                  <c:v>44644</c:v>
                </c:pt>
                <c:pt idx="204">
                  <c:v>44645</c:v>
                </c:pt>
                <c:pt idx="205">
                  <c:v>44648</c:v>
                </c:pt>
                <c:pt idx="206">
                  <c:v>44649</c:v>
                </c:pt>
                <c:pt idx="207">
                  <c:v>44650</c:v>
                </c:pt>
                <c:pt idx="208">
                  <c:v>44651</c:v>
                </c:pt>
                <c:pt idx="209">
                  <c:v>44652</c:v>
                </c:pt>
                <c:pt idx="210">
                  <c:v>44655</c:v>
                </c:pt>
                <c:pt idx="211">
                  <c:v>44656</c:v>
                </c:pt>
                <c:pt idx="212">
                  <c:v>44657</c:v>
                </c:pt>
                <c:pt idx="213">
                  <c:v>44658</c:v>
                </c:pt>
                <c:pt idx="214">
                  <c:v>44659</c:v>
                </c:pt>
                <c:pt idx="215">
                  <c:v>44662</c:v>
                </c:pt>
                <c:pt idx="216">
                  <c:v>44663</c:v>
                </c:pt>
                <c:pt idx="217">
                  <c:v>44664</c:v>
                </c:pt>
                <c:pt idx="218">
                  <c:v>44669</c:v>
                </c:pt>
                <c:pt idx="219">
                  <c:v>44670</c:v>
                </c:pt>
                <c:pt idx="220">
                  <c:v>44671</c:v>
                </c:pt>
                <c:pt idx="221">
                  <c:v>44672</c:v>
                </c:pt>
                <c:pt idx="222">
                  <c:v>44673</c:v>
                </c:pt>
                <c:pt idx="223">
                  <c:v>44676</c:v>
                </c:pt>
                <c:pt idx="224">
                  <c:v>44677</c:v>
                </c:pt>
                <c:pt idx="225">
                  <c:v>44678</c:v>
                </c:pt>
                <c:pt idx="226">
                  <c:v>44679</c:v>
                </c:pt>
                <c:pt idx="227">
                  <c:v>44680</c:v>
                </c:pt>
                <c:pt idx="228">
                  <c:v>44683</c:v>
                </c:pt>
                <c:pt idx="229">
                  <c:v>44685</c:v>
                </c:pt>
                <c:pt idx="230">
                  <c:v>44686</c:v>
                </c:pt>
                <c:pt idx="231">
                  <c:v>44687</c:v>
                </c:pt>
                <c:pt idx="232">
                  <c:v>44690</c:v>
                </c:pt>
                <c:pt idx="233">
                  <c:v>44691</c:v>
                </c:pt>
                <c:pt idx="234">
                  <c:v>44692</c:v>
                </c:pt>
                <c:pt idx="235">
                  <c:v>44693</c:v>
                </c:pt>
                <c:pt idx="236">
                  <c:v>44694</c:v>
                </c:pt>
                <c:pt idx="237">
                  <c:v>44697</c:v>
                </c:pt>
                <c:pt idx="238">
                  <c:v>44698</c:v>
                </c:pt>
                <c:pt idx="239">
                  <c:v>44699</c:v>
                </c:pt>
                <c:pt idx="240">
                  <c:v>44700</c:v>
                </c:pt>
                <c:pt idx="241">
                  <c:v>44701</c:v>
                </c:pt>
                <c:pt idx="242">
                  <c:v>44704</c:v>
                </c:pt>
                <c:pt idx="243">
                  <c:v>44705</c:v>
                </c:pt>
                <c:pt idx="244">
                  <c:v>44706</c:v>
                </c:pt>
                <c:pt idx="245">
                  <c:v>44707</c:v>
                </c:pt>
                <c:pt idx="246">
                  <c:v>44708</c:v>
                </c:pt>
                <c:pt idx="247">
                  <c:v>44711</c:v>
                </c:pt>
                <c:pt idx="248">
                  <c:v>44712</c:v>
                </c:pt>
              </c:numCache>
            </c:numRef>
          </c:cat>
          <c:val>
            <c:numRef>
              <c:f>Indices!$F$2:$F$250</c:f>
              <c:numCache>
                <c:formatCode>0</c:formatCode>
                <c:ptCount val="249"/>
                <c:pt idx="0">
                  <c:v>100</c:v>
                </c:pt>
                <c:pt idx="1">
                  <c:v>100.0083467630611</c:v>
                </c:pt>
                <c:pt idx="2">
                  <c:v>100.74157779504203</c:v>
                </c:pt>
                <c:pt idx="3">
                  <c:v>100.61252399694381</c:v>
                </c:pt>
                <c:pt idx="4">
                  <c:v>101.13515977630676</c:v>
                </c:pt>
                <c:pt idx="5">
                  <c:v>101.06068096745406</c:v>
                </c:pt>
                <c:pt idx="6">
                  <c:v>100.3884455116887</c:v>
                </c:pt>
                <c:pt idx="7">
                  <c:v>101.04591361742293</c:v>
                </c:pt>
                <c:pt idx="8">
                  <c:v>101.44142177477868</c:v>
                </c:pt>
                <c:pt idx="9">
                  <c:v>101.52167911190445</c:v>
                </c:pt>
                <c:pt idx="10">
                  <c:v>101.89022080398593</c:v>
                </c:pt>
                <c:pt idx="11">
                  <c:v>101.23724710913075</c:v>
                </c:pt>
                <c:pt idx="12">
                  <c:v>100.74799838201211</c:v>
                </c:pt>
                <c:pt idx="13">
                  <c:v>100.69663368625163</c:v>
                </c:pt>
                <c:pt idx="14">
                  <c:v>101.10177272406247</c:v>
                </c:pt>
                <c:pt idx="15">
                  <c:v>101.27063416137507</c:v>
                </c:pt>
                <c:pt idx="16">
                  <c:v>100.71974779934386</c:v>
                </c:pt>
                <c:pt idx="17">
                  <c:v>101.38427855074515</c:v>
                </c:pt>
                <c:pt idx="18">
                  <c:v>101.83307757995239</c:v>
                </c:pt>
                <c:pt idx="19">
                  <c:v>101.53965675542062</c:v>
                </c:pt>
                <c:pt idx="20">
                  <c:v>101.1146138980026</c:v>
                </c:pt>
                <c:pt idx="21">
                  <c:v>100.94125804981095</c:v>
                </c:pt>
                <c:pt idx="22">
                  <c:v>100.67480369055343</c:v>
                </c:pt>
                <c:pt idx="23">
                  <c:v>100.94575246069</c:v>
                </c:pt>
                <c:pt idx="24">
                  <c:v>101.66614231873082</c:v>
                </c:pt>
                <c:pt idx="25">
                  <c:v>101.56277086851284</c:v>
                </c:pt>
                <c:pt idx="26">
                  <c:v>101.9569949084746</c:v>
                </c:pt>
                <c:pt idx="27">
                  <c:v>100.98234980641935</c:v>
                </c:pt>
                <c:pt idx="28">
                  <c:v>100.73772544286003</c:v>
                </c:pt>
                <c:pt idx="29">
                  <c:v>100.75570308637622</c:v>
                </c:pt>
                <c:pt idx="30">
                  <c:v>101.52488940538949</c:v>
                </c:pt>
                <c:pt idx="31">
                  <c:v>101.79198582334402</c:v>
                </c:pt>
                <c:pt idx="32">
                  <c:v>102.24271102864229</c:v>
                </c:pt>
                <c:pt idx="33">
                  <c:v>102.23757455906623</c:v>
                </c:pt>
                <c:pt idx="34">
                  <c:v>101.13965418718584</c:v>
                </c:pt>
                <c:pt idx="35">
                  <c:v>100.36725757468753</c:v>
                </c:pt>
                <c:pt idx="36">
                  <c:v>101.6000102729392</c:v>
                </c:pt>
                <c:pt idx="37">
                  <c:v>101.80546905598115</c:v>
                </c:pt>
                <c:pt idx="38">
                  <c:v>101.60257850772722</c:v>
                </c:pt>
                <c:pt idx="39">
                  <c:v>101.10177272406247</c:v>
                </c:pt>
                <c:pt idx="40">
                  <c:v>100.86356894747321</c:v>
                </c:pt>
                <c:pt idx="41">
                  <c:v>101.30723150710442</c:v>
                </c:pt>
                <c:pt idx="42">
                  <c:v>101.20835446776549</c:v>
                </c:pt>
                <c:pt idx="43">
                  <c:v>101.99230813680991</c:v>
                </c:pt>
                <c:pt idx="44">
                  <c:v>103.56920429665684</c:v>
                </c:pt>
                <c:pt idx="45">
                  <c:v>104.39103942882463</c:v>
                </c:pt>
                <c:pt idx="46">
                  <c:v>104.6208964423528</c:v>
                </c:pt>
                <c:pt idx="47">
                  <c:v>104.25877533724137</c:v>
                </c:pt>
                <c:pt idx="48">
                  <c:v>104.38782913533957</c:v>
                </c:pt>
                <c:pt idx="49">
                  <c:v>104.52779793128691</c:v>
                </c:pt>
                <c:pt idx="50">
                  <c:v>104.54192322262104</c:v>
                </c:pt>
                <c:pt idx="51">
                  <c:v>105.06905341286303</c:v>
                </c:pt>
                <c:pt idx="52">
                  <c:v>106.12652408683203</c:v>
                </c:pt>
                <c:pt idx="53">
                  <c:v>106.34482404381409</c:v>
                </c:pt>
                <c:pt idx="54">
                  <c:v>106.67548427277221</c:v>
                </c:pt>
                <c:pt idx="55">
                  <c:v>106.38206344824044</c:v>
                </c:pt>
                <c:pt idx="56">
                  <c:v>105.62186595098524</c:v>
                </c:pt>
                <c:pt idx="57">
                  <c:v>105.91721295160804</c:v>
                </c:pt>
                <c:pt idx="58">
                  <c:v>106.73969014247282</c:v>
                </c:pt>
                <c:pt idx="59">
                  <c:v>106.80453807087045</c:v>
                </c:pt>
                <c:pt idx="60">
                  <c:v>106.81866336220459</c:v>
                </c:pt>
                <c:pt idx="61">
                  <c:v>107.25718945225972</c:v>
                </c:pt>
                <c:pt idx="62">
                  <c:v>108.70760004879645</c:v>
                </c:pt>
                <c:pt idx="63">
                  <c:v>109.99878008847568</c:v>
                </c:pt>
                <c:pt idx="64">
                  <c:v>109.63986927684928</c:v>
                </c:pt>
                <c:pt idx="65">
                  <c:v>110.65367995942189</c:v>
                </c:pt>
                <c:pt idx="66">
                  <c:v>111.22768043454533</c:v>
                </c:pt>
                <c:pt idx="67">
                  <c:v>111.57567624832264</c:v>
                </c:pt>
                <c:pt idx="68">
                  <c:v>111.47487303289267</c:v>
                </c:pt>
                <c:pt idx="69">
                  <c:v>111.41965598495015</c:v>
                </c:pt>
                <c:pt idx="70">
                  <c:v>111.5211012590771</c:v>
                </c:pt>
                <c:pt idx="71">
                  <c:v>111.43121304149625</c:v>
                </c:pt>
                <c:pt idx="72">
                  <c:v>111.58980153965675</c:v>
                </c:pt>
                <c:pt idx="73">
                  <c:v>112.48547342198025</c:v>
                </c:pt>
                <c:pt idx="74">
                  <c:v>113.19173798868692</c:v>
                </c:pt>
                <c:pt idx="75">
                  <c:v>112.90730598591324</c:v>
                </c:pt>
                <c:pt idx="76">
                  <c:v>111.6983094594508</c:v>
                </c:pt>
                <c:pt idx="77">
                  <c:v>112.75834836820783</c:v>
                </c:pt>
                <c:pt idx="78">
                  <c:v>112.66011338756591</c:v>
                </c:pt>
                <c:pt idx="79">
                  <c:v>114.43412156739372</c:v>
                </c:pt>
                <c:pt idx="80">
                  <c:v>114.62802329388957</c:v>
                </c:pt>
                <c:pt idx="81">
                  <c:v>114.64022240913268</c:v>
                </c:pt>
                <c:pt idx="82">
                  <c:v>113.95642989682119</c:v>
                </c:pt>
                <c:pt idx="83">
                  <c:v>113.71694200283792</c:v>
                </c:pt>
                <c:pt idx="84">
                  <c:v>113.11918535592528</c:v>
                </c:pt>
                <c:pt idx="85">
                  <c:v>112.56637281780303</c:v>
                </c:pt>
                <c:pt idx="86">
                  <c:v>113.58853026343671</c:v>
                </c:pt>
                <c:pt idx="87">
                  <c:v>114.42962715651467</c:v>
                </c:pt>
                <c:pt idx="88">
                  <c:v>113.29767767369296</c:v>
                </c:pt>
                <c:pt idx="89">
                  <c:v>114.22481043216976</c:v>
                </c:pt>
                <c:pt idx="90">
                  <c:v>114.89768794663213</c:v>
                </c:pt>
                <c:pt idx="91">
                  <c:v>115.22385376471121</c:v>
                </c:pt>
                <c:pt idx="92">
                  <c:v>115.51920076533402</c:v>
                </c:pt>
                <c:pt idx="93">
                  <c:v>116.60941643285034</c:v>
                </c:pt>
                <c:pt idx="94">
                  <c:v>117.74457620915707</c:v>
                </c:pt>
                <c:pt idx="95">
                  <c:v>118.63382750451049</c:v>
                </c:pt>
                <c:pt idx="96">
                  <c:v>118.25950728415596</c:v>
                </c:pt>
                <c:pt idx="97">
                  <c:v>117.2822939473127</c:v>
                </c:pt>
                <c:pt idx="98">
                  <c:v>116.71407200046231</c:v>
                </c:pt>
                <c:pt idx="99">
                  <c:v>116.30829090395449</c:v>
                </c:pt>
                <c:pt idx="100">
                  <c:v>116.37570706714011</c:v>
                </c:pt>
                <c:pt idx="101">
                  <c:v>117.2938510038588</c:v>
                </c:pt>
                <c:pt idx="102">
                  <c:v>116.9253093117773</c:v>
                </c:pt>
                <c:pt idx="103">
                  <c:v>114.65434770046679</c:v>
                </c:pt>
                <c:pt idx="104">
                  <c:v>113.46268675882351</c:v>
                </c:pt>
                <c:pt idx="105">
                  <c:v>115.1188771677507</c:v>
                </c:pt>
                <c:pt idx="106">
                  <c:v>114.85755927806922</c:v>
                </c:pt>
                <c:pt idx="107">
                  <c:v>114.47392920660808</c:v>
                </c:pt>
                <c:pt idx="108">
                  <c:v>115.03637262518539</c:v>
                </c:pt>
                <c:pt idx="109">
                  <c:v>116.01069669789213</c:v>
                </c:pt>
                <c:pt idx="110">
                  <c:v>115.85467643451966</c:v>
                </c:pt>
                <c:pt idx="111">
                  <c:v>115.68099955697953</c:v>
                </c:pt>
                <c:pt idx="112">
                  <c:v>114.75900326807879</c:v>
                </c:pt>
                <c:pt idx="113">
                  <c:v>116.23028077226823</c:v>
                </c:pt>
                <c:pt idx="114">
                  <c:v>116.27329870496766</c:v>
                </c:pt>
                <c:pt idx="115">
                  <c:v>115.56542899151846</c:v>
                </c:pt>
                <c:pt idx="116">
                  <c:v>114.91983897167886</c:v>
                </c:pt>
                <c:pt idx="117">
                  <c:v>114.06044340573619</c:v>
                </c:pt>
                <c:pt idx="118">
                  <c:v>111.82447399341252</c:v>
                </c:pt>
                <c:pt idx="119">
                  <c:v>112.38178094241381</c:v>
                </c:pt>
                <c:pt idx="120">
                  <c:v>111.81484311295745</c:v>
                </c:pt>
                <c:pt idx="121">
                  <c:v>112.59301825372883</c:v>
                </c:pt>
                <c:pt idx="122">
                  <c:v>109.31980301639183</c:v>
                </c:pt>
                <c:pt idx="123">
                  <c:v>109.49636915806849</c:v>
                </c:pt>
                <c:pt idx="124">
                  <c:v>109.0421126299367</c:v>
                </c:pt>
                <c:pt idx="125">
                  <c:v>110.22157445633688</c:v>
                </c:pt>
                <c:pt idx="126">
                  <c:v>111.72880724755865</c:v>
                </c:pt>
                <c:pt idx="127">
                  <c:v>110.41290794804468</c:v>
                </c:pt>
                <c:pt idx="128">
                  <c:v>108.58657198441088</c:v>
                </c:pt>
                <c:pt idx="129">
                  <c:v>110.28449620864346</c:v>
                </c:pt>
                <c:pt idx="130">
                  <c:v>112.16604922021979</c:v>
                </c:pt>
                <c:pt idx="131">
                  <c:v>112.46845886650965</c:v>
                </c:pt>
                <c:pt idx="132">
                  <c:v>112.43282460882581</c:v>
                </c:pt>
                <c:pt idx="133">
                  <c:v>111.51435964275862</c:v>
                </c:pt>
                <c:pt idx="134">
                  <c:v>111.23602719760649</c:v>
                </c:pt>
                <c:pt idx="135">
                  <c:v>110.57149644620519</c:v>
                </c:pt>
                <c:pt idx="136">
                  <c:v>110.74485229439684</c:v>
                </c:pt>
                <c:pt idx="137">
                  <c:v>109.05495380387683</c:v>
                </c:pt>
                <c:pt idx="138">
                  <c:v>106.67291603798427</c:v>
                </c:pt>
                <c:pt idx="139">
                  <c:v>107.67870098684428</c:v>
                </c:pt>
                <c:pt idx="140">
                  <c:v>108.86394134151753</c:v>
                </c:pt>
                <c:pt idx="141">
                  <c:v>109.61611310506014</c:v>
                </c:pt>
                <c:pt idx="142">
                  <c:v>109.17405569217146</c:v>
                </c:pt>
                <c:pt idx="143">
                  <c:v>109.70375411720148</c:v>
                </c:pt>
                <c:pt idx="144">
                  <c:v>110.64758040180043</c:v>
                </c:pt>
                <c:pt idx="145">
                  <c:v>110.52141586783873</c:v>
                </c:pt>
                <c:pt idx="146">
                  <c:v>110.45945720357766</c:v>
                </c:pt>
                <c:pt idx="147">
                  <c:v>111.42318730778378</c:v>
                </c:pt>
                <c:pt idx="148">
                  <c:v>113.1673397582008</c:v>
                </c:pt>
                <c:pt idx="149">
                  <c:v>114.32015614867521</c:v>
                </c:pt>
                <c:pt idx="150">
                  <c:v>115.09062658508252</c:v>
                </c:pt>
                <c:pt idx="151">
                  <c:v>113.93909431200213</c:v>
                </c:pt>
                <c:pt idx="152">
                  <c:v>114.36798952160217</c:v>
                </c:pt>
                <c:pt idx="153">
                  <c:v>115.59175339809576</c:v>
                </c:pt>
                <c:pt idx="154">
                  <c:v>115.92851318467547</c:v>
                </c:pt>
                <c:pt idx="155">
                  <c:v>116.93397710418699</c:v>
                </c:pt>
                <c:pt idx="156">
                  <c:v>117.22579278197625</c:v>
                </c:pt>
                <c:pt idx="157">
                  <c:v>117.21263057868762</c:v>
                </c:pt>
                <c:pt idx="158">
                  <c:v>117.5487483065703</c:v>
                </c:pt>
                <c:pt idx="159">
                  <c:v>116.29641281805995</c:v>
                </c:pt>
                <c:pt idx="160">
                  <c:v>115.17505730373885</c:v>
                </c:pt>
                <c:pt idx="161">
                  <c:v>114.0103628273698</c:v>
                </c:pt>
                <c:pt idx="162">
                  <c:v>113.11244373960682</c:v>
                </c:pt>
                <c:pt idx="163">
                  <c:v>110.10728800826983</c:v>
                </c:pt>
                <c:pt idx="164">
                  <c:v>110.93458063936218</c:v>
                </c:pt>
                <c:pt idx="165">
                  <c:v>109.85720614578599</c:v>
                </c:pt>
                <c:pt idx="166">
                  <c:v>109.80455733263149</c:v>
                </c:pt>
                <c:pt idx="167">
                  <c:v>111.33201497280893</c:v>
                </c:pt>
                <c:pt idx="168">
                  <c:v>112.85369408471335</c:v>
                </c:pt>
                <c:pt idx="169">
                  <c:v>114.15803632768123</c:v>
                </c:pt>
                <c:pt idx="170">
                  <c:v>112.74679131166187</c:v>
                </c:pt>
                <c:pt idx="171">
                  <c:v>112.46492754367618</c:v>
                </c:pt>
                <c:pt idx="172">
                  <c:v>110.52141586783877</c:v>
                </c:pt>
                <c:pt idx="173">
                  <c:v>110.86267006529749</c:v>
                </c:pt>
                <c:pt idx="174">
                  <c:v>112.12784672774798</c:v>
                </c:pt>
                <c:pt idx="175">
                  <c:v>113.0398911068451</c:v>
                </c:pt>
                <c:pt idx="176">
                  <c:v>111.55609345806405</c:v>
                </c:pt>
                <c:pt idx="177">
                  <c:v>108.1406622193402</c:v>
                </c:pt>
                <c:pt idx="178">
                  <c:v>111.4129143686317</c:v>
                </c:pt>
                <c:pt idx="179">
                  <c:v>111.21869161278737</c:v>
                </c:pt>
                <c:pt idx="180">
                  <c:v>111.10568928211428</c:v>
                </c:pt>
                <c:pt idx="181">
                  <c:v>110.92398667086157</c:v>
                </c:pt>
                <c:pt idx="182">
                  <c:v>110.47679278839685</c:v>
                </c:pt>
                <c:pt idx="183">
                  <c:v>109.74195660967339</c:v>
                </c:pt>
                <c:pt idx="184">
                  <c:v>109.55608061689013</c:v>
                </c:pt>
                <c:pt idx="185">
                  <c:v>104.32137606019955</c:v>
                </c:pt>
                <c:pt idx="186">
                  <c:v>106.95670598206102</c:v>
                </c:pt>
                <c:pt idx="187">
                  <c:v>107.82669551650427</c:v>
                </c:pt>
                <c:pt idx="188">
                  <c:v>106.61994619548133</c:v>
                </c:pt>
                <c:pt idx="189">
                  <c:v>105.92716486141177</c:v>
                </c:pt>
                <c:pt idx="190">
                  <c:v>104.3046825340774</c:v>
                </c:pt>
                <c:pt idx="191">
                  <c:v>101.85073419412015</c:v>
                </c:pt>
                <c:pt idx="192">
                  <c:v>102.81574841572029</c:v>
                </c:pt>
                <c:pt idx="193">
                  <c:v>104.94674123108348</c:v>
                </c:pt>
                <c:pt idx="194">
                  <c:v>106.54899870946215</c:v>
                </c:pt>
                <c:pt idx="195">
                  <c:v>106.77725057624781</c:v>
                </c:pt>
                <c:pt idx="196">
                  <c:v>108.32364894798695</c:v>
                </c:pt>
                <c:pt idx="197">
                  <c:v>106.98624068212328</c:v>
                </c:pt>
                <c:pt idx="198">
                  <c:v>108.99171102222178</c:v>
                </c:pt>
                <c:pt idx="199">
                  <c:v>110.99300798078973</c:v>
                </c:pt>
                <c:pt idx="200">
                  <c:v>109.90503951871291</c:v>
                </c:pt>
                <c:pt idx="201">
                  <c:v>111.17567368008795</c:v>
                </c:pt>
                <c:pt idx="202">
                  <c:v>110.72719568022922</c:v>
                </c:pt>
                <c:pt idx="203">
                  <c:v>110.58016423861481</c:v>
                </c:pt>
                <c:pt idx="204">
                  <c:v>110.13232829745307</c:v>
                </c:pt>
                <c:pt idx="205">
                  <c:v>110.57534879838727</c:v>
                </c:pt>
                <c:pt idx="206">
                  <c:v>111.23859543239455</c:v>
                </c:pt>
                <c:pt idx="207">
                  <c:v>112.34903594886656</c:v>
                </c:pt>
                <c:pt idx="208">
                  <c:v>112.13394628536952</c:v>
                </c:pt>
                <c:pt idx="209">
                  <c:v>113.45466102511104</c:v>
                </c:pt>
                <c:pt idx="210">
                  <c:v>115.91342480529582</c:v>
                </c:pt>
                <c:pt idx="211">
                  <c:v>115.29704845616999</c:v>
                </c:pt>
                <c:pt idx="212">
                  <c:v>114.33556555740338</c:v>
                </c:pt>
                <c:pt idx="213">
                  <c:v>113.25626488773615</c:v>
                </c:pt>
                <c:pt idx="214">
                  <c:v>114.18596588100095</c:v>
                </c:pt>
                <c:pt idx="215">
                  <c:v>113.48355366647631</c:v>
                </c:pt>
                <c:pt idx="216">
                  <c:v>112.554815761257</c:v>
                </c:pt>
                <c:pt idx="217">
                  <c:v>112.20393068334319</c:v>
                </c:pt>
                <c:pt idx="218">
                  <c:v>110.26491341838482</c:v>
                </c:pt>
                <c:pt idx="219">
                  <c:v>108.88448721982175</c:v>
                </c:pt>
                <c:pt idx="220">
                  <c:v>110.02670964179555</c:v>
                </c:pt>
                <c:pt idx="221">
                  <c:v>111.6707009354796</c:v>
                </c:pt>
                <c:pt idx="222">
                  <c:v>110.25399842053569</c:v>
                </c:pt>
                <c:pt idx="223">
                  <c:v>108.85431046106244</c:v>
                </c:pt>
                <c:pt idx="224">
                  <c:v>110.43923235462194</c:v>
                </c:pt>
                <c:pt idx="225">
                  <c:v>109.39652903068406</c:v>
                </c:pt>
                <c:pt idx="226">
                  <c:v>110.72334332804711</c:v>
                </c:pt>
                <c:pt idx="227">
                  <c:v>109.80840968481344</c:v>
                </c:pt>
                <c:pt idx="228">
                  <c:v>109.5936410506649</c:v>
                </c:pt>
                <c:pt idx="229">
                  <c:v>107.0799812518861</c:v>
                </c:pt>
                <c:pt idx="230">
                  <c:v>107.11240521608492</c:v>
                </c:pt>
                <c:pt idx="231">
                  <c:v>105.36985791241041</c:v>
                </c:pt>
                <c:pt idx="232">
                  <c:v>104.66744569788575</c:v>
                </c:pt>
                <c:pt idx="233">
                  <c:v>104.27065342313598</c:v>
                </c:pt>
                <c:pt idx="234">
                  <c:v>103.80227160367005</c:v>
                </c:pt>
                <c:pt idx="235">
                  <c:v>101.49663882272122</c:v>
                </c:pt>
                <c:pt idx="236">
                  <c:v>101.33066664954515</c:v>
                </c:pt>
                <c:pt idx="237">
                  <c:v>101.71686495579431</c:v>
                </c:pt>
                <c:pt idx="238">
                  <c:v>104.39424972230967</c:v>
                </c:pt>
                <c:pt idx="239">
                  <c:v>104.2722585698785</c:v>
                </c:pt>
                <c:pt idx="240">
                  <c:v>101.5056276444793</c:v>
                </c:pt>
                <c:pt idx="241">
                  <c:v>104.43823074305458</c:v>
                </c:pt>
                <c:pt idx="242">
                  <c:v>104.10789154344495</c:v>
                </c:pt>
                <c:pt idx="243">
                  <c:v>103.532927980276</c:v>
                </c:pt>
                <c:pt idx="244">
                  <c:v>102.89504266480046</c:v>
                </c:pt>
                <c:pt idx="245">
                  <c:v>103.82185439392873</c:v>
                </c:pt>
                <c:pt idx="246">
                  <c:v>104.99232739857082</c:v>
                </c:pt>
                <c:pt idx="247">
                  <c:v>106.97596774297112</c:v>
                </c:pt>
                <c:pt idx="248">
                  <c:v>106.48254563432194</c:v>
                </c:pt>
              </c:numCache>
            </c:numRef>
          </c:val>
          <c:smooth val="0"/>
          <c:extLst xmlns:c16r2="http://schemas.microsoft.com/office/drawing/2015/06/chart">
            <c:ext xmlns:c16="http://schemas.microsoft.com/office/drawing/2014/chart" uri="{C3380CC4-5D6E-409C-BE32-E72D297353CC}">
              <c16:uniqueId val="{00000000-B893-40F1-A270-DE1C56B3D6E6}"/>
            </c:ext>
          </c:extLst>
        </c:ser>
        <c:ser>
          <c:idx val="1"/>
          <c:order val="1"/>
          <c:tx>
            <c:strRef>
              <c:f>Indices!$G$1</c:f>
              <c:strCache>
                <c:ptCount val="1"/>
                <c:pt idx="0">
                  <c:v> BSE </c:v>
                </c:pt>
              </c:strCache>
            </c:strRef>
          </c:tx>
          <c:spPr>
            <a:ln w="28575" cap="rnd">
              <a:solidFill>
                <a:srgbClr val="5B9BD5"/>
              </a:solidFill>
              <a:round/>
            </a:ln>
            <a:effectLst/>
          </c:spPr>
          <c:marker>
            <c:symbol val="none"/>
          </c:marker>
          <c:cat>
            <c:numRef>
              <c:f>Indices!$E$2:$E$250</c:f>
              <c:numCache>
                <c:formatCode>d\-mmm\-yy</c:formatCode>
                <c:ptCount val="249"/>
                <c:pt idx="0">
                  <c:v>44348</c:v>
                </c:pt>
                <c:pt idx="1">
                  <c:v>44349</c:v>
                </c:pt>
                <c:pt idx="2">
                  <c:v>44350</c:v>
                </c:pt>
                <c:pt idx="3">
                  <c:v>44351</c:v>
                </c:pt>
                <c:pt idx="4">
                  <c:v>44354</c:v>
                </c:pt>
                <c:pt idx="5">
                  <c:v>44355</c:v>
                </c:pt>
                <c:pt idx="6">
                  <c:v>44356</c:v>
                </c:pt>
                <c:pt idx="7">
                  <c:v>44357</c:v>
                </c:pt>
                <c:pt idx="8">
                  <c:v>44358</c:v>
                </c:pt>
                <c:pt idx="9">
                  <c:v>44361</c:v>
                </c:pt>
                <c:pt idx="10">
                  <c:v>44362</c:v>
                </c:pt>
                <c:pt idx="11">
                  <c:v>44363</c:v>
                </c:pt>
                <c:pt idx="12">
                  <c:v>44364</c:v>
                </c:pt>
                <c:pt idx="13">
                  <c:v>44365</c:v>
                </c:pt>
                <c:pt idx="14">
                  <c:v>44368</c:v>
                </c:pt>
                <c:pt idx="15">
                  <c:v>44369</c:v>
                </c:pt>
                <c:pt idx="16">
                  <c:v>44370</c:v>
                </c:pt>
                <c:pt idx="17">
                  <c:v>44371</c:v>
                </c:pt>
                <c:pt idx="18">
                  <c:v>44372</c:v>
                </c:pt>
                <c:pt idx="19">
                  <c:v>44375</c:v>
                </c:pt>
                <c:pt idx="20">
                  <c:v>44376</c:v>
                </c:pt>
                <c:pt idx="21">
                  <c:v>44377</c:v>
                </c:pt>
                <c:pt idx="22">
                  <c:v>44378</c:v>
                </c:pt>
                <c:pt idx="23">
                  <c:v>44379</c:v>
                </c:pt>
                <c:pt idx="24">
                  <c:v>44382</c:v>
                </c:pt>
                <c:pt idx="25">
                  <c:v>44383</c:v>
                </c:pt>
                <c:pt idx="26">
                  <c:v>44384</c:v>
                </c:pt>
                <c:pt idx="27">
                  <c:v>44385</c:v>
                </c:pt>
                <c:pt idx="28">
                  <c:v>44386</c:v>
                </c:pt>
                <c:pt idx="29">
                  <c:v>44389</c:v>
                </c:pt>
                <c:pt idx="30">
                  <c:v>44390</c:v>
                </c:pt>
                <c:pt idx="31">
                  <c:v>44391</c:v>
                </c:pt>
                <c:pt idx="32">
                  <c:v>44392</c:v>
                </c:pt>
                <c:pt idx="33">
                  <c:v>44393</c:v>
                </c:pt>
                <c:pt idx="34">
                  <c:v>44396</c:v>
                </c:pt>
                <c:pt idx="35">
                  <c:v>44397</c:v>
                </c:pt>
                <c:pt idx="36">
                  <c:v>44399</c:v>
                </c:pt>
                <c:pt idx="37">
                  <c:v>44400</c:v>
                </c:pt>
                <c:pt idx="38">
                  <c:v>44403</c:v>
                </c:pt>
                <c:pt idx="39">
                  <c:v>44404</c:v>
                </c:pt>
                <c:pt idx="40">
                  <c:v>44405</c:v>
                </c:pt>
                <c:pt idx="41">
                  <c:v>44406</c:v>
                </c:pt>
                <c:pt idx="42">
                  <c:v>44407</c:v>
                </c:pt>
                <c:pt idx="43">
                  <c:v>44410</c:v>
                </c:pt>
                <c:pt idx="44">
                  <c:v>44411</c:v>
                </c:pt>
                <c:pt idx="45">
                  <c:v>44412</c:v>
                </c:pt>
                <c:pt idx="46">
                  <c:v>44413</c:v>
                </c:pt>
                <c:pt idx="47">
                  <c:v>44414</c:v>
                </c:pt>
                <c:pt idx="48">
                  <c:v>44417</c:v>
                </c:pt>
                <c:pt idx="49">
                  <c:v>44418</c:v>
                </c:pt>
                <c:pt idx="50">
                  <c:v>44419</c:v>
                </c:pt>
                <c:pt idx="51">
                  <c:v>44420</c:v>
                </c:pt>
                <c:pt idx="52">
                  <c:v>44421</c:v>
                </c:pt>
                <c:pt idx="53">
                  <c:v>44424</c:v>
                </c:pt>
                <c:pt idx="54">
                  <c:v>44425</c:v>
                </c:pt>
                <c:pt idx="55">
                  <c:v>44426</c:v>
                </c:pt>
                <c:pt idx="56">
                  <c:v>44428</c:v>
                </c:pt>
                <c:pt idx="57">
                  <c:v>44431</c:v>
                </c:pt>
                <c:pt idx="58">
                  <c:v>44432</c:v>
                </c:pt>
                <c:pt idx="59">
                  <c:v>44433</c:v>
                </c:pt>
                <c:pt idx="60">
                  <c:v>44434</c:v>
                </c:pt>
                <c:pt idx="61">
                  <c:v>44435</c:v>
                </c:pt>
                <c:pt idx="62">
                  <c:v>44438</c:v>
                </c:pt>
                <c:pt idx="63">
                  <c:v>44439</c:v>
                </c:pt>
                <c:pt idx="64">
                  <c:v>44440</c:v>
                </c:pt>
                <c:pt idx="65">
                  <c:v>44441</c:v>
                </c:pt>
                <c:pt idx="66">
                  <c:v>44442</c:v>
                </c:pt>
                <c:pt idx="67">
                  <c:v>44445</c:v>
                </c:pt>
                <c:pt idx="68">
                  <c:v>44446</c:v>
                </c:pt>
                <c:pt idx="69">
                  <c:v>44447</c:v>
                </c:pt>
                <c:pt idx="70">
                  <c:v>44448</c:v>
                </c:pt>
                <c:pt idx="71">
                  <c:v>44452</c:v>
                </c:pt>
                <c:pt idx="72">
                  <c:v>44453</c:v>
                </c:pt>
                <c:pt idx="73">
                  <c:v>44454</c:v>
                </c:pt>
                <c:pt idx="74">
                  <c:v>44455</c:v>
                </c:pt>
                <c:pt idx="75">
                  <c:v>44456</c:v>
                </c:pt>
                <c:pt idx="76">
                  <c:v>44459</c:v>
                </c:pt>
                <c:pt idx="77">
                  <c:v>44460</c:v>
                </c:pt>
                <c:pt idx="78">
                  <c:v>44461</c:v>
                </c:pt>
                <c:pt idx="79">
                  <c:v>44462</c:v>
                </c:pt>
                <c:pt idx="80">
                  <c:v>44463</c:v>
                </c:pt>
                <c:pt idx="81">
                  <c:v>44466</c:v>
                </c:pt>
                <c:pt idx="82">
                  <c:v>44467</c:v>
                </c:pt>
                <c:pt idx="83">
                  <c:v>44468</c:v>
                </c:pt>
                <c:pt idx="84">
                  <c:v>44469</c:v>
                </c:pt>
                <c:pt idx="85">
                  <c:v>44470</c:v>
                </c:pt>
                <c:pt idx="86">
                  <c:v>44473</c:v>
                </c:pt>
                <c:pt idx="87">
                  <c:v>44474</c:v>
                </c:pt>
                <c:pt idx="88">
                  <c:v>44475</c:v>
                </c:pt>
                <c:pt idx="89">
                  <c:v>44476</c:v>
                </c:pt>
                <c:pt idx="90">
                  <c:v>44477</c:v>
                </c:pt>
                <c:pt idx="91">
                  <c:v>44480</c:v>
                </c:pt>
                <c:pt idx="92">
                  <c:v>44481</c:v>
                </c:pt>
                <c:pt idx="93">
                  <c:v>44482</c:v>
                </c:pt>
                <c:pt idx="94">
                  <c:v>44483</c:v>
                </c:pt>
                <c:pt idx="95">
                  <c:v>44487</c:v>
                </c:pt>
                <c:pt idx="96">
                  <c:v>44488</c:v>
                </c:pt>
                <c:pt idx="97">
                  <c:v>44489</c:v>
                </c:pt>
                <c:pt idx="98">
                  <c:v>44490</c:v>
                </c:pt>
                <c:pt idx="99">
                  <c:v>44491</c:v>
                </c:pt>
                <c:pt idx="100">
                  <c:v>44494</c:v>
                </c:pt>
                <c:pt idx="101">
                  <c:v>44495</c:v>
                </c:pt>
                <c:pt idx="102">
                  <c:v>44496</c:v>
                </c:pt>
                <c:pt idx="103">
                  <c:v>44497</c:v>
                </c:pt>
                <c:pt idx="104">
                  <c:v>44498</c:v>
                </c:pt>
                <c:pt idx="105">
                  <c:v>44501</c:v>
                </c:pt>
                <c:pt idx="106">
                  <c:v>44502</c:v>
                </c:pt>
                <c:pt idx="107">
                  <c:v>44503</c:v>
                </c:pt>
                <c:pt idx="108">
                  <c:v>44504</c:v>
                </c:pt>
                <c:pt idx="109">
                  <c:v>44508</c:v>
                </c:pt>
                <c:pt idx="110">
                  <c:v>44509</c:v>
                </c:pt>
                <c:pt idx="111">
                  <c:v>44510</c:v>
                </c:pt>
                <c:pt idx="112">
                  <c:v>44511</c:v>
                </c:pt>
                <c:pt idx="113">
                  <c:v>44512</c:v>
                </c:pt>
                <c:pt idx="114">
                  <c:v>44515</c:v>
                </c:pt>
                <c:pt idx="115">
                  <c:v>44516</c:v>
                </c:pt>
                <c:pt idx="116">
                  <c:v>44517</c:v>
                </c:pt>
                <c:pt idx="117">
                  <c:v>44518</c:v>
                </c:pt>
                <c:pt idx="118">
                  <c:v>44522</c:v>
                </c:pt>
                <c:pt idx="119">
                  <c:v>44523</c:v>
                </c:pt>
                <c:pt idx="120">
                  <c:v>44524</c:v>
                </c:pt>
                <c:pt idx="121">
                  <c:v>44525</c:v>
                </c:pt>
                <c:pt idx="122">
                  <c:v>44526</c:v>
                </c:pt>
                <c:pt idx="123">
                  <c:v>44529</c:v>
                </c:pt>
                <c:pt idx="124">
                  <c:v>44530</c:v>
                </c:pt>
                <c:pt idx="125">
                  <c:v>44531</c:v>
                </c:pt>
                <c:pt idx="126">
                  <c:v>44532</c:v>
                </c:pt>
                <c:pt idx="127">
                  <c:v>44533</c:v>
                </c:pt>
                <c:pt idx="128">
                  <c:v>44536</c:v>
                </c:pt>
                <c:pt idx="129">
                  <c:v>44537</c:v>
                </c:pt>
                <c:pt idx="130">
                  <c:v>44538</c:v>
                </c:pt>
                <c:pt idx="131">
                  <c:v>44539</c:v>
                </c:pt>
                <c:pt idx="132">
                  <c:v>44540</c:v>
                </c:pt>
                <c:pt idx="133">
                  <c:v>44543</c:v>
                </c:pt>
                <c:pt idx="134">
                  <c:v>44544</c:v>
                </c:pt>
                <c:pt idx="135">
                  <c:v>44545</c:v>
                </c:pt>
                <c:pt idx="136">
                  <c:v>44546</c:v>
                </c:pt>
                <c:pt idx="137">
                  <c:v>44547</c:v>
                </c:pt>
                <c:pt idx="138">
                  <c:v>44550</c:v>
                </c:pt>
                <c:pt idx="139">
                  <c:v>44551</c:v>
                </c:pt>
                <c:pt idx="140">
                  <c:v>44552</c:v>
                </c:pt>
                <c:pt idx="141">
                  <c:v>44553</c:v>
                </c:pt>
                <c:pt idx="142">
                  <c:v>44554</c:v>
                </c:pt>
                <c:pt idx="143">
                  <c:v>44557</c:v>
                </c:pt>
                <c:pt idx="144">
                  <c:v>44558</c:v>
                </c:pt>
                <c:pt idx="145">
                  <c:v>44559</c:v>
                </c:pt>
                <c:pt idx="146">
                  <c:v>44560</c:v>
                </c:pt>
                <c:pt idx="147">
                  <c:v>44561</c:v>
                </c:pt>
                <c:pt idx="148">
                  <c:v>44564</c:v>
                </c:pt>
                <c:pt idx="149">
                  <c:v>44565</c:v>
                </c:pt>
                <c:pt idx="150">
                  <c:v>44566</c:v>
                </c:pt>
                <c:pt idx="151">
                  <c:v>44567</c:v>
                </c:pt>
                <c:pt idx="152">
                  <c:v>44568</c:v>
                </c:pt>
                <c:pt idx="153">
                  <c:v>44571</c:v>
                </c:pt>
                <c:pt idx="154">
                  <c:v>44572</c:v>
                </c:pt>
                <c:pt idx="155">
                  <c:v>44573</c:v>
                </c:pt>
                <c:pt idx="156">
                  <c:v>44574</c:v>
                </c:pt>
                <c:pt idx="157">
                  <c:v>44575</c:v>
                </c:pt>
                <c:pt idx="158">
                  <c:v>44578</c:v>
                </c:pt>
                <c:pt idx="159">
                  <c:v>44579</c:v>
                </c:pt>
                <c:pt idx="160">
                  <c:v>44580</c:v>
                </c:pt>
                <c:pt idx="161">
                  <c:v>44581</c:v>
                </c:pt>
                <c:pt idx="162">
                  <c:v>44582</c:v>
                </c:pt>
                <c:pt idx="163">
                  <c:v>44585</c:v>
                </c:pt>
                <c:pt idx="164">
                  <c:v>44586</c:v>
                </c:pt>
                <c:pt idx="165">
                  <c:v>44588</c:v>
                </c:pt>
                <c:pt idx="166">
                  <c:v>44589</c:v>
                </c:pt>
                <c:pt idx="167">
                  <c:v>44592</c:v>
                </c:pt>
                <c:pt idx="168">
                  <c:v>44593</c:v>
                </c:pt>
                <c:pt idx="169">
                  <c:v>44594</c:v>
                </c:pt>
                <c:pt idx="170">
                  <c:v>44595</c:v>
                </c:pt>
                <c:pt idx="171">
                  <c:v>44596</c:v>
                </c:pt>
                <c:pt idx="172">
                  <c:v>44599</c:v>
                </c:pt>
                <c:pt idx="173">
                  <c:v>44600</c:v>
                </c:pt>
                <c:pt idx="174">
                  <c:v>44601</c:v>
                </c:pt>
                <c:pt idx="175">
                  <c:v>44602</c:v>
                </c:pt>
                <c:pt idx="176">
                  <c:v>44603</c:v>
                </c:pt>
                <c:pt idx="177">
                  <c:v>44606</c:v>
                </c:pt>
                <c:pt idx="178">
                  <c:v>44607</c:v>
                </c:pt>
                <c:pt idx="179">
                  <c:v>44608</c:v>
                </c:pt>
                <c:pt idx="180">
                  <c:v>44609</c:v>
                </c:pt>
                <c:pt idx="181">
                  <c:v>44610</c:v>
                </c:pt>
                <c:pt idx="182">
                  <c:v>44613</c:v>
                </c:pt>
                <c:pt idx="183">
                  <c:v>44614</c:v>
                </c:pt>
                <c:pt idx="184">
                  <c:v>44615</c:v>
                </c:pt>
                <c:pt idx="185">
                  <c:v>44616</c:v>
                </c:pt>
                <c:pt idx="186">
                  <c:v>44617</c:v>
                </c:pt>
                <c:pt idx="187">
                  <c:v>44620</c:v>
                </c:pt>
                <c:pt idx="188">
                  <c:v>44622</c:v>
                </c:pt>
                <c:pt idx="189">
                  <c:v>44623</c:v>
                </c:pt>
                <c:pt idx="190">
                  <c:v>44624</c:v>
                </c:pt>
                <c:pt idx="191">
                  <c:v>44627</c:v>
                </c:pt>
                <c:pt idx="192">
                  <c:v>44628</c:v>
                </c:pt>
                <c:pt idx="193">
                  <c:v>44629</c:v>
                </c:pt>
                <c:pt idx="194">
                  <c:v>44630</c:v>
                </c:pt>
                <c:pt idx="195">
                  <c:v>44631</c:v>
                </c:pt>
                <c:pt idx="196">
                  <c:v>44634</c:v>
                </c:pt>
                <c:pt idx="197">
                  <c:v>44635</c:v>
                </c:pt>
                <c:pt idx="198">
                  <c:v>44636</c:v>
                </c:pt>
                <c:pt idx="199">
                  <c:v>44637</c:v>
                </c:pt>
                <c:pt idx="200">
                  <c:v>44641</c:v>
                </c:pt>
                <c:pt idx="201">
                  <c:v>44642</c:v>
                </c:pt>
                <c:pt idx="202">
                  <c:v>44643</c:v>
                </c:pt>
                <c:pt idx="203">
                  <c:v>44644</c:v>
                </c:pt>
                <c:pt idx="204">
                  <c:v>44645</c:v>
                </c:pt>
                <c:pt idx="205">
                  <c:v>44648</c:v>
                </c:pt>
                <c:pt idx="206">
                  <c:v>44649</c:v>
                </c:pt>
                <c:pt idx="207">
                  <c:v>44650</c:v>
                </c:pt>
                <c:pt idx="208">
                  <c:v>44651</c:v>
                </c:pt>
                <c:pt idx="209">
                  <c:v>44652</c:v>
                </c:pt>
                <c:pt idx="210">
                  <c:v>44655</c:v>
                </c:pt>
                <c:pt idx="211">
                  <c:v>44656</c:v>
                </c:pt>
                <c:pt idx="212">
                  <c:v>44657</c:v>
                </c:pt>
                <c:pt idx="213">
                  <c:v>44658</c:v>
                </c:pt>
                <c:pt idx="214">
                  <c:v>44659</c:v>
                </c:pt>
                <c:pt idx="215">
                  <c:v>44662</c:v>
                </c:pt>
                <c:pt idx="216">
                  <c:v>44663</c:v>
                </c:pt>
                <c:pt idx="217">
                  <c:v>44664</c:v>
                </c:pt>
                <c:pt idx="218">
                  <c:v>44669</c:v>
                </c:pt>
                <c:pt idx="219">
                  <c:v>44670</c:v>
                </c:pt>
                <c:pt idx="220">
                  <c:v>44671</c:v>
                </c:pt>
                <c:pt idx="221">
                  <c:v>44672</c:v>
                </c:pt>
                <c:pt idx="222">
                  <c:v>44673</c:v>
                </c:pt>
                <c:pt idx="223">
                  <c:v>44676</c:v>
                </c:pt>
                <c:pt idx="224">
                  <c:v>44677</c:v>
                </c:pt>
                <c:pt idx="225">
                  <c:v>44678</c:v>
                </c:pt>
                <c:pt idx="226">
                  <c:v>44679</c:v>
                </c:pt>
                <c:pt idx="227">
                  <c:v>44680</c:v>
                </c:pt>
                <c:pt idx="228">
                  <c:v>44683</c:v>
                </c:pt>
                <c:pt idx="229">
                  <c:v>44685</c:v>
                </c:pt>
                <c:pt idx="230">
                  <c:v>44686</c:v>
                </c:pt>
                <c:pt idx="231">
                  <c:v>44687</c:v>
                </c:pt>
                <c:pt idx="232">
                  <c:v>44690</c:v>
                </c:pt>
                <c:pt idx="233">
                  <c:v>44691</c:v>
                </c:pt>
                <c:pt idx="234">
                  <c:v>44692</c:v>
                </c:pt>
                <c:pt idx="235">
                  <c:v>44693</c:v>
                </c:pt>
                <c:pt idx="236">
                  <c:v>44694</c:v>
                </c:pt>
                <c:pt idx="237">
                  <c:v>44697</c:v>
                </c:pt>
                <c:pt idx="238">
                  <c:v>44698</c:v>
                </c:pt>
                <c:pt idx="239">
                  <c:v>44699</c:v>
                </c:pt>
                <c:pt idx="240">
                  <c:v>44700</c:v>
                </c:pt>
                <c:pt idx="241">
                  <c:v>44701</c:v>
                </c:pt>
                <c:pt idx="242">
                  <c:v>44704</c:v>
                </c:pt>
                <c:pt idx="243">
                  <c:v>44705</c:v>
                </c:pt>
                <c:pt idx="244">
                  <c:v>44706</c:v>
                </c:pt>
                <c:pt idx="245">
                  <c:v>44707</c:v>
                </c:pt>
                <c:pt idx="246">
                  <c:v>44708</c:v>
                </c:pt>
                <c:pt idx="247">
                  <c:v>44711</c:v>
                </c:pt>
                <c:pt idx="248">
                  <c:v>44712</c:v>
                </c:pt>
              </c:numCache>
            </c:numRef>
          </c:cat>
          <c:val>
            <c:numRef>
              <c:f>Indices!$G$2:$G$250</c:f>
              <c:numCache>
                <c:formatCode>0</c:formatCode>
                <c:ptCount val="249"/>
                <c:pt idx="0">
                  <c:v>100</c:v>
                </c:pt>
                <c:pt idx="1">
                  <c:v>99.835563368755885</c:v>
                </c:pt>
                <c:pt idx="2">
                  <c:v>100.57283252687499</c:v>
                </c:pt>
                <c:pt idx="3">
                  <c:v>100.31809053257058</c:v>
                </c:pt>
                <c:pt idx="4">
                  <c:v>100.75787187421174</c:v>
                </c:pt>
                <c:pt idx="5">
                  <c:v>100.65601358623968</c:v>
                </c:pt>
                <c:pt idx="6">
                  <c:v>100.01290076615146</c:v>
                </c:pt>
                <c:pt idx="7">
                  <c:v>100.70395822462352</c:v>
                </c:pt>
                <c:pt idx="8">
                  <c:v>101.03957069331028</c:v>
                </c:pt>
                <c:pt idx="9">
                  <c:v>101.18725558343233</c:v>
                </c:pt>
                <c:pt idx="10">
                  <c:v>101.61394361017349</c:v>
                </c:pt>
                <c:pt idx="11">
                  <c:v>101.09194395291027</c:v>
                </c:pt>
                <c:pt idx="12">
                  <c:v>100.74785933928823</c:v>
                </c:pt>
                <c:pt idx="13">
                  <c:v>100.78867967397645</c:v>
                </c:pt>
                <c:pt idx="14">
                  <c:v>101.23154179559408</c:v>
                </c:pt>
                <c:pt idx="15">
                  <c:v>101.25888371788525</c:v>
                </c:pt>
                <c:pt idx="16">
                  <c:v>100.71474095454114</c:v>
                </c:pt>
                <c:pt idx="17">
                  <c:v>101.47126498751319</c:v>
                </c:pt>
                <c:pt idx="18">
                  <c:v>101.90642515918967</c:v>
                </c:pt>
                <c:pt idx="19">
                  <c:v>101.54173782947495</c:v>
                </c:pt>
                <c:pt idx="20">
                  <c:v>101.18378970595879</c:v>
                </c:pt>
                <c:pt idx="21">
                  <c:v>101.05478204444408</c:v>
                </c:pt>
                <c:pt idx="22">
                  <c:v>100.73880954810733</c:v>
                </c:pt>
                <c:pt idx="23">
                  <c:v>101.05863301941467</c:v>
                </c:pt>
                <c:pt idx="24">
                  <c:v>101.81977822235143</c:v>
                </c:pt>
                <c:pt idx="25">
                  <c:v>101.7835790576279</c:v>
                </c:pt>
                <c:pt idx="26">
                  <c:v>102.15635343478085</c:v>
                </c:pt>
                <c:pt idx="27">
                  <c:v>101.22075906567645</c:v>
                </c:pt>
                <c:pt idx="28">
                  <c:v>100.86897250211321</c:v>
                </c:pt>
                <c:pt idx="29">
                  <c:v>100.84297842106174</c:v>
                </c:pt>
                <c:pt idx="30">
                  <c:v>101.60739695272351</c:v>
                </c:pt>
                <c:pt idx="31">
                  <c:v>101.86618247074705</c:v>
                </c:pt>
                <c:pt idx="32">
                  <c:v>102.356796682</c:v>
                </c:pt>
                <c:pt idx="33">
                  <c:v>102.32059751727647</c:v>
                </c:pt>
                <c:pt idx="34">
                  <c:v>101.19091400965442</c:v>
                </c:pt>
                <c:pt idx="35">
                  <c:v>100.50755850112355</c:v>
                </c:pt>
                <c:pt idx="36">
                  <c:v>101.73736735798087</c:v>
                </c:pt>
                <c:pt idx="37">
                  <c:v>102.00423992344264</c:v>
                </c:pt>
                <c:pt idx="38">
                  <c:v>101.76644221900882</c:v>
                </c:pt>
                <c:pt idx="39">
                  <c:v>101.23982139178089</c:v>
                </c:pt>
                <c:pt idx="40">
                  <c:v>100.97968803251766</c:v>
                </c:pt>
                <c:pt idx="41">
                  <c:v>101.38288511193824</c:v>
                </c:pt>
                <c:pt idx="42">
                  <c:v>101.25522529166325</c:v>
                </c:pt>
                <c:pt idx="43">
                  <c:v>101.95571763881323</c:v>
                </c:pt>
                <c:pt idx="44">
                  <c:v>103.63628311597792</c:v>
                </c:pt>
                <c:pt idx="45">
                  <c:v>104.68836947794262</c:v>
                </c:pt>
                <c:pt idx="46">
                  <c:v>104.92520443863378</c:v>
                </c:pt>
                <c:pt idx="47">
                  <c:v>104.51103208054701</c:v>
                </c:pt>
                <c:pt idx="48">
                  <c:v>104.75210311370584</c:v>
                </c:pt>
                <c:pt idx="49">
                  <c:v>105.04439211397347</c:v>
                </c:pt>
                <c:pt idx="50">
                  <c:v>104.98893807439701</c:v>
                </c:pt>
                <c:pt idx="51">
                  <c:v>105.60143564346906</c:v>
                </c:pt>
                <c:pt idx="52">
                  <c:v>106.74382736849405</c:v>
                </c:pt>
                <c:pt idx="53">
                  <c:v>107.02360070010728</c:v>
                </c:pt>
                <c:pt idx="54">
                  <c:v>107.42737542577346</c:v>
                </c:pt>
                <c:pt idx="55">
                  <c:v>107.11390606316758</c:v>
                </c:pt>
                <c:pt idx="56">
                  <c:v>106.53587472008229</c:v>
                </c:pt>
                <c:pt idx="57">
                  <c:v>106.97199763550141</c:v>
                </c:pt>
                <c:pt idx="58">
                  <c:v>107.74835418957198</c:v>
                </c:pt>
                <c:pt idx="59">
                  <c:v>107.71985697478962</c:v>
                </c:pt>
                <c:pt idx="60">
                  <c:v>107.72929186346757</c:v>
                </c:pt>
                <c:pt idx="61">
                  <c:v>108.06740746588521</c:v>
                </c:pt>
                <c:pt idx="62">
                  <c:v>109.54059794088374</c:v>
                </c:pt>
                <c:pt idx="63">
                  <c:v>110.8164259486396</c:v>
                </c:pt>
                <c:pt idx="64">
                  <c:v>110.4039865292896</c:v>
                </c:pt>
                <c:pt idx="65">
                  <c:v>111.39426474297635</c:v>
                </c:pt>
                <c:pt idx="66">
                  <c:v>111.92858752014546</c:v>
                </c:pt>
                <c:pt idx="67">
                  <c:v>112.24995138144104</c:v>
                </c:pt>
                <c:pt idx="68">
                  <c:v>112.21644789919691</c:v>
                </c:pt>
                <c:pt idx="69">
                  <c:v>112.16022366462633</c:v>
                </c:pt>
                <c:pt idx="70">
                  <c:v>112.26574037882042</c:v>
                </c:pt>
                <c:pt idx="71">
                  <c:v>112.02062582194249</c:v>
                </c:pt>
                <c:pt idx="72">
                  <c:v>112.15406210467337</c:v>
                </c:pt>
                <c:pt idx="73">
                  <c:v>113.07078669642189</c:v>
                </c:pt>
                <c:pt idx="74">
                  <c:v>113.87564046527481</c:v>
                </c:pt>
                <c:pt idx="75">
                  <c:v>113.63437688336748</c:v>
                </c:pt>
                <c:pt idx="76">
                  <c:v>112.62349595358808</c:v>
                </c:pt>
                <c:pt idx="77">
                  <c:v>113.61396671602337</c:v>
                </c:pt>
                <c:pt idx="78">
                  <c:v>113.46377869217042</c:v>
                </c:pt>
                <c:pt idx="79">
                  <c:v>115.30858825183068</c:v>
                </c:pt>
                <c:pt idx="80">
                  <c:v>115.62263526068216</c:v>
                </c:pt>
                <c:pt idx="81">
                  <c:v>115.6792445927498</c:v>
                </c:pt>
                <c:pt idx="82">
                  <c:v>114.88921707753362</c:v>
                </c:pt>
                <c:pt idx="83">
                  <c:v>114.39956561002334</c:v>
                </c:pt>
                <c:pt idx="84">
                  <c:v>113.84714325049246</c:v>
                </c:pt>
                <c:pt idx="85">
                  <c:v>113.15242736579836</c:v>
                </c:pt>
                <c:pt idx="86">
                  <c:v>114.18006003669983</c:v>
                </c:pt>
                <c:pt idx="87">
                  <c:v>115.03805726014687</c:v>
                </c:pt>
                <c:pt idx="88">
                  <c:v>113.96902660831158</c:v>
                </c:pt>
                <c:pt idx="89">
                  <c:v>114.90885704988364</c:v>
                </c:pt>
                <c:pt idx="90">
                  <c:v>115.64304542802627</c:v>
                </c:pt>
                <c:pt idx="91">
                  <c:v>115.79073031814833</c:v>
                </c:pt>
                <c:pt idx="92">
                  <c:v>116.07666520971451</c:v>
                </c:pt>
                <c:pt idx="93">
                  <c:v>116.94852594305566</c:v>
                </c:pt>
                <c:pt idx="94">
                  <c:v>118.04393577343947</c:v>
                </c:pt>
                <c:pt idx="95">
                  <c:v>118.92888982168064</c:v>
                </c:pt>
                <c:pt idx="96">
                  <c:v>118.83357819115859</c:v>
                </c:pt>
                <c:pt idx="97">
                  <c:v>117.95536334911597</c:v>
                </c:pt>
                <c:pt idx="98">
                  <c:v>117.3074368103145</c:v>
                </c:pt>
                <c:pt idx="99">
                  <c:v>117.11122963556303</c:v>
                </c:pt>
                <c:pt idx="100">
                  <c:v>117.39138806467334</c:v>
                </c:pt>
                <c:pt idx="101">
                  <c:v>118.12923486903804</c:v>
                </c:pt>
                <c:pt idx="102">
                  <c:v>117.73065895958217</c:v>
                </c:pt>
                <c:pt idx="103">
                  <c:v>115.49978915912044</c:v>
                </c:pt>
                <c:pt idx="104">
                  <c:v>114.19469374158811</c:v>
                </c:pt>
                <c:pt idx="105">
                  <c:v>115.79585211485927</c:v>
                </c:pt>
                <c:pt idx="106">
                  <c:v>115.5852037839681</c:v>
                </c:pt>
                <c:pt idx="107">
                  <c:v>115.09008393199959</c:v>
                </c:pt>
                <c:pt idx="108">
                  <c:v>115.65945058140106</c:v>
                </c:pt>
                <c:pt idx="109">
                  <c:v>116.57981434449677</c:v>
                </c:pt>
                <c:pt idx="110">
                  <c:v>116.36385166814617</c:v>
                </c:pt>
                <c:pt idx="111">
                  <c:v>116.20859961220691</c:v>
                </c:pt>
                <c:pt idx="112">
                  <c:v>115.37461321770149</c:v>
                </c:pt>
                <c:pt idx="113">
                  <c:v>116.85146211892206</c:v>
                </c:pt>
                <c:pt idx="114">
                  <c:v>116.91311622820116</c:v>
                </c:pt>
                <c:pt idx="115">
                  <c:v>116.14996851827971</c:v>
                </c:pt>
                <c:pt idx="116">
                  <c:v>115.54528842839794</c:v>
                </c:pt>
                <c:pt idx="117">
                  <c:v>114.82839092787324</c:v>
                </c:pt>
                <c:pt idx="118">
                  <c:v>112.57533951158092</c:v>
                </c:pt>
                <c:pt idx="119">
                  <c:v>112.95743324816269</c:v>
                </c:pt>
                <c:pt idx="120">
                  <c:v>112.33484612466769</c:v>
                </c:pt>
                <c:pt idx="121">
                  <c:v>113.20920999173974</c:v>
                </c:pt>
                <c:pt idx="122">
                  <c:v>109.95910264581244</c:v>
                </c:pt>
                <c:pt idx="123">
                  <c:v>110.25453019068111</c:v>
                </c:pt>
                <c:pt idx="124">
                  <c:v>109.87769303493421</c:v>
                </c:pt>
                <c:pt idx="125">
                  <c:v>111.07134123681773</c:v>
                </c:pt>
                <c:pt idx="126">
                  <c:v>112.56648226914859</c:v>
                </c:pt>
                <c:pt idx="127">
                  <c:v>111.09381167577111</c:v>
                </c:pt>
                <c:pt idx="128">
                  <c:v>109.26590789623172</c:v>
                </c:pt>
                <c:pt idx="129">
                  <c:v>110.97287180681978</c:v>
                </c:pt>
                <c:pt idx="130">
                  <c:v>112.92922485650313</c:v>
                </c:pt>
                <c:pt idx="131">
                  <c:v>113.23239286106266</c:v>
                </c:pt>
                <c:pt idx="132">
                  <c:v>113.19299738711355</c:v>
                </c:pt>
                <c:pt idx="133">
                  <c:v>112.2239958101393</c:v>
                </c:pt>
                <c:pt idx="134">
                  <c:v>111.90372947671034</c:v>
                </c:pt>
                <c:pt idx="135">
                  <c:v>111.27012856479946</c:v>
                </c:pt>
                <c:pt idx="136">
                  <c:v>111.48792045426107</c:v>
                </c:pt>
                <c:pt idx="137">
                  <c:v>109.77539188484052</c:v>
                </c:pt>
                <c:pt idx="138">
                  <c:v>107.48458165896159</c:v>
                </c:pt>
                <c:pt idx="139">
                  <c:v>108.44154893915275</c:v>
                </c:pt>
                <c:pt idx="140">
                  <c:v>109.61908081078434</c:v>
                </c:pt>
                <c:pt idx="141">
                  <c:v>110.35985435612669</c:v>
                </c:pt>
                <c:pt idx="142">
                  <c:v>109.99214401106008</c:v>
                </c:pt>
                <c:pt idx="143">
                  <c:v>110.56195352258315</c:v>
                </c:pt>
                <c:pt idx="144">
                  <c:v>111.48087317006492</c:v>
                </c:pt>
                <c:pt idx="145">
                  <c:v>111.305673063778</c:v>
                </c:pt>
                <c:pt idx="146">
                  <c:v>111.28223988108196</c:v>
                </c:pt>
                <c:pt idx="147">
                  <c:v>112.16700138057459</c:v>
                </c:pt>
                <c:pt idx="148">
                  <c:v>113.95654944940692</c:v>
                </c:pt>
                <c:pt idx="149">
                  <c:v>115.25184413563912</c:v>
                </c:pt>
                <c:pt idx="150">
                  <c:v>115.95892164998882</c:v>
                </c:pt>
                <c:pt idx="151">
                  <c:v>114.76259702050075</c:v>
                </c:pt>
                <c:pt idx="152">
                  <c:v>115.03757588827561</c:v>
                </c:pt>
                <c:pt idx="153">
                  <c:v>116.29102973145235</c:v>
                </c:pt>
                <c:pt idx="154">
                  <c:v>116.71706309244854</c:v>
                </c:pt>
                <c:pt idx="155">
                  <c:v>117.74363674523308</c:v>
                </c:pt>
                <c:pt idx="156">
                  <c:v>117.90780380822925</c:v>
                </c:pt>
                <c:pt idx="157">
                  <c:v>117.88417807678468</c:v>
                </c:pt>
                <c:pt idx="158">
                  <c:v>118.04953894202174</c:v>
                </c:pt>
                <c:pt idx="159">
                  <c:v>116.98272260079455</c:v>
                </c:pt>
                <c:pt idx="160">
                  <c:v>115.7195257909422</c:v>
                </c:pt>
                <c:pt idx="161">
                  <c:v>114.49838162776869</c:v>
                </c:pt>
                <c:pt idx="162">
                  <c:v>113.67535125705459</c:v>
                </c:pt>
                <c:pt idx="163">
                  <c:v>110.69918301566007</c:v>
                </c:pt>
                <c:pt idx="164">
                  <c:v>111.40514374726828</c:v>
                </c:pt>
                <c:pt idx="165">
                  <c:v>110.2860311659405</c:v>
                </c:pt>
                <c:pt idx="166">
                  <c:v>110.13832702094359</c:v>
                </c:pt>
                <c:pt idx="167">
                  <c:v>111.70555830472387</c:v>
                </c:pt>
                <c:pt idx="168">
                  <c:v>113.33914188724737</c:v>
                </c:pt>
                <c:pt idx="169">
                  <c:v>114.67881906001557</c:v>
                </c:pt>
                <c:pt idx="170">
                  <c:v>113.19559679521868</c:v>
                </c:pt>
                <c:pt idx="171">
                  <c:v>112.91986698732458</c:v>
                </c:pt>
                <c:pt idx="172">
                  <c:v>110.948880232753</c:v>
                </c:pt>
                <c:pt idx="173">
                  <c:v>111.30969733262225</c:v>
                </c:pt>
                <c:pt idx="174">
                  <c:v>112.57549355057974</c:v>
                </c:pt>
                <c:pt idx="175">
                  <c:v>113.46133332306412</c:v>
                </c:pt>
                <c:pt idx="176">
                  <c:v>111.97271969330841</c:v>
                </c:pt>
                <c:pt idx="177">
                  <c:v>108.60873901750081</c:v>
                </c:pt>
                <c:pt idx="178">
                  <c:v>111.95178964434326</c:v>
                </c:pt>
                <c:pt idx="179">
                  <c:v>111.67188152860606</c:v>
                </c:pt>
                <c:pt idx="180">
                  <c:v>111.47034075352033</c:v>
                </c:pt>
                <c:pt idx="181">
                  <c:v>111.35665997238857</c:v>
                </c:pt>
                <c:pt idx="182">
                  <c:v>111.06903065183532</c:v>
                </c:pt>
                <c:pt idx="183">
                  <c:v>110.33174223884136</c:v>
                </c:pt>
                <c:pt idx="184">
                  <c:v>110.19961528760047</c:v>
                </c:pt>
                <c:pt idx="185">
                  <c:v>104.99665927921305</c:v>
                </c:pt>
                <c:pt idx="186">
                  <c:v>107.55488120704962</c:v>
                </c:pt>
                <c:pt idx="187">
                  <c:v>108.30343372183256</c:v>
                </c:pt>
                <c:pt idx="188">
                  <c:v>106.80467277302935</c:v>
                </c:pt>
                <c:pt idx="189">
                  <c:v>106.09952074616494</c:v>
                </c:pt>
                <c:pt idx="190">
                  <c:v>104.61907118334686</c:v>
                </c:pt>
                <c:pt idx="191">
                  <c:v>101.74805381352427</c:v>
                </c:pt>
                <c:pt idx="192">
                  <c:v>102.86741670822512</c:v>
                </c:pt>
                <c:pt idx="193">
                  <c:v>105.22275001973628</c:v>
                </c:pt>
                <c:pt idx="194">
                  <c:v>106.79598882447065</c:v>
                </c:pt>
                <c:pt idx="195">
                  <c:v>106.96140745433227</c:v>
                </c:pt>
                <c:pt idx="196">
                  <c:v>108.76312460407165</c:v>
                </c:pt>
                <c:pt idx="197">
                  <c:v>107.39762664412565</c:v>
                </c:pt>
                <c:pt idx="198">
                  <c:v>109.39974853133445</c:v>
                </c:pt>
                <c:pt idx="199">
                  <c:v>111.41627306493325</c:v>
                </c:pt>
                <c:pt idx="200">
                  <c:v>110.31597249633678</c:v>
                </c:pt>
                <c:pt idx="201">
                  <c:v>111.65767143096457</c:v>
                </c:pt>
                <c:pt idx="202">
                  <c:v>111.07139900144222</c:v>
                </c:pt>
                <c:pt idx="203">
                  <c:v>110.89976104700311</c:v>
                </c:pt>
                <c:pt idx="204">
                  <c:v>110.45019822893664</c:v>
                </c:pt>
                <c:pt idx="205">
                  <c:v>110.89554422941031</c:v>
                </c:pt>
                <c:pt idx="206">
                  <c:v>111.56977292726089</c:v>
                </c:pt>
                <c:pt idx="207">
                  <c:v>112.99528833212349</c:v>
                </c:pt>
                <c:pt idx="208">
                  <c:v>112.77293303732174</c:v>
                </c:pt>
                <c:pt idx="209">
                  <c:v>114.13652476465731</c:v>
                </c:pt>
                <c:pt idx="210">
                  <c:v>116.70714683189917</c:v>
                </c:pt>
                <c:pt idx="211">
                  <c:v>115.86909765879977</c:v>
                </c:pt>
                <c:pt idx="212">
                  <c:v>114.77909844824966</c:v>
                </c:pt>
                <c:pt idx="213">
                  <c:v>113.67105741996231</c:v>
                </c:pt>
                <c:pt idx="214">
                  <c:v>114.46480112602509</c:v>
                </c:pt>
                <c:pt idx="215">
                  <c:v>113.53554161074732</c:v>
                </c:pt>
                <c:pt idx="216">
                  <c:v>112.78806736895615</c:v>
                </c:pt>
                <c:pt idx="217">
                  <c:v>112.33087962044792</c:v>
                </c:pt>
                <c:pt idx="218">
                  <c:v>110.07384244506103</c:v>
                </c:pt>
                <c:pt idx="219">
                  <c:v>108.71908870528297</c:v>
                </c:pt>
                <c:pt idx="220">
                  <c:v>109.82499244246162</c:v>
                </c:pt>
                <c:pt idx="221">
                  <c:v>111.50821509235601</c:v>
                </c:pt>
                <c:pt idx="222">
                  <c:v>110.13239651948882</c:v>
                </c:pt>
                <c:pt idx="223">
                  <c:v>108.94387011431618</c:v>
                </c:pt>
                <c:pt idx="224">
                  <c:v>110.43943475389381</c:v>
                </c:pt>
                <c:pt idx="225">
                  <c:v>109.40502436704411</c:v>
                </c:pt>
                <c:pt idx="226">
                  <c:v>110.75608117085039</c:v>
                </c:pt>
                <c:pt idx="227">
                  <c:v>109.86999108499292</c:v>
                </c:pt>
                <c:pt idx="228">
                  <c:v>109.70655570724115</c:v>
                </c:pt>
                <c:pt idx="229">
                  <c:v>107.19002058346119</c:v>
                </c:pt>
                <c:pt idx="230">
                  <c:v>107.25394676797296</c:v>
                </c:pt>
                <c:pt idx="231">
                  <c:v>105.58522303884283</c:v>
                </c:pt>
                <c:pt idx="232">
                  <c:v>104.88259340058416</c:v>
                </c:pt>
                <c:pt idx="233">
                  <c:v>104.67883831489033</c:v>
                </c:pt>
                <c:pt idx="234">
                  <c:v>104.14651804470593</c:v>
                </c:pt>
                <c:pt idx="235">
                  <c:v>101.91664949773654</c:v>
                </c:pt>
                <c:pt idx="236">
                  <c:v>101.65345461337169</c:v>
                </c:pt>
                <c:pt idx="237">
                  <c:v>102.00046596797138</c:v>
                </c:pt>
                <c:pt idx="238">
                  <c:v>104.58953420532238</c:v>
                </c:pt>
                <c:pt idx="239">
                  <c:v>104.37784611118914</c:v>
                </c:pt>
                <c:pt idx="240">
                  <c:v>101.65077818576714</c:v>
                </c:pt>
                <c:pt idx="241">
                  <c:v>104.60478406620592</c:v>
                </c:pt>
                <c:pt idx="242">
                  <c:v>104.53203914901152</c:v>
                </c:pt>
                <c:pt idx="243">
                  <c:v>104.07762410248212</c:v>
                </c:pt>
                <c:pt idx="244">
                  <c:v>103.49352747381816</c:v>
                </c:pt>
                <c:pt idx="245">
                  <c:v>104.4625675605421</c:v>
                </c:pt>
                <c:pt idx="246">
                  <c:v>105.67972596462106</c:v>
                </c:pt>
                <c:pt idx="247">
                  <c:v>107.68431247581103</c:v>
                </c:pt>
                <c:pt idx="248">
                  <c:v>106.99242705772032</c:v>
                </c:pt>
              </c:numCache>
            </c:numRef>
          </c:val>
          <c:smooth val="0"/>
          <c:extLst xmlns:c16r2="http://schemas.microsoft.com/office/drawing/2015/06/chart">
            <c:ext xmlns:c16="http://schemas.microsoft.com/office/drawing/2014/chart" uri="{C3380CC4-5D6E-409C-BE32-E72D297353CC}">
              <c16:uniqueId val="{00000001-B893-40F1-A270-DE1C56B3D6E6}"/>
            </c:ext>
          </c:extLst>
        </c:ser>
        <c:dLbls>
          <c:showLegendKey val="0"/>
          <c:showVal val="0"/>
          <c:showCatName val="0"/>
          <c:showSerName val="0"/>
          <c:showPercent val="0"/>
          <c:showBubbleSize val="0"/>
        </c:dLbls>
        <c:smooth val="0"/>
        <c:axId val="560903680"/>
        <c:axId val="560904464"/>
      </c:lineChart>
      <c:dateAx>
        <c:axId val="560903680"/>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560904464"/>
        <c:crosses val="autoZero"/>
        <c:auto val="1"/>
        <c:lblOffset val="100"/>
        <c:baseTimeUnit val="days"/>
      </c:dateAx>
      <c:valAx>
        <c:axId val="560904464"/>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560903680"/>
        <c:crosses val="autoZero"/>
        <c:crossBetween val="between"/>
      </c:valAx>
      <c:spPr>
        <a:noFill/>
        <a:ln>
          <a:noFill/>
        </a:ln>
        <a:effectLst/>
      </c:spPr>
    </c:plotArea>
    <c:legend>
      <c:legendPos val="b"/>
      <c:layout>
        <c:manualLayout>
          <c:xMode val="edge"/>
          <c:yMode val="edge"/>
          <c:x val="0.38152225614655311"/>
          <c:y val="0.90595871462013211"/>
          <c:w val="0.24511875301301622"/>
          <c:h val="8.421327555185823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12838148264396"/>
          <c:y val="5.3527980535279802E-2"/>
          <c:w val="0.87345278547287308"/>
          <c:h val="0.67124432438645898"/>
        </c:manualLayout>
      </c:layout>
      <c:barChart>
        <c:barDir val="col"/>
        <c:grouping val="clustered"/>
        <c:varyColors val="0"/>
        <c:ser>
          <c:idx val="0"/>
          <c:order val="0"/>
          <c:tx>
            <c:strRef>
              <c:f>FPI!$L$3</c:f>
              <c:strCache>
                <c:ptCount val="1"/>
                <c:pt idx="0">
                  <c:v>Equity</c:v>
                </c:pt>
              </c:strCache>
            </c:strRef>
          </c:tx>
          <c:spPr>
            <a:solidFill>
              <a:schemeClr val="accent1"/>
            </a:solidFill>
            <a:ln>
              <a:noFill/>
            </a:ln>
            <a:effectLst/>
          </c:spPr>
          <c:invertIfNegative val="0"/>
          <c:cat>
            <c:numRef>
              <c:f>FPI!$K$14:$K$25</c:f>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f>FPI!$L$13:$L$24</c:f>
              <c:numCache>
                <c:formatCode>[&gt;9999999]##\,##\,##\,##0;[&gt;99999]##\,##\,##0;##,##0</c:formatCode>
                <c:ptCount val="12"/>
                <c:pt idx="0">
                  <c:v>475.75</c:v>
                </c:pt>
                <c:pt idx="1">
                  <c:v>6437.08</c:v>
                </c:pt>
                <c:pt idx="2" formatCode="_ * #,##0.0_ ;_ * \-#,##0.0_ ;_ * &quot;-&quot;??_ ;_ @_ ">
                  <c:v>21502.37</c:v>
                </c:pt>
                <c:pt idx="3" formatCode="_ * #,##0.0_ ;_ * \-#,##0.0_ ;_ * &quot;-&quot;??_ ;_ @_ ">
                  <c:v>11546</c:v>
                </c:pt>
                <c:pt idx="4" formatCode="_ * #,##0.0_ ;_ * \-#,##0.0_ ;_ * &quot;-&quot;??_ ;_ @_ ">
                  <c:v>7701</c:v>
                </c:pt>
                <c:pt idx="5" formatCode="_ * #,##0.0_ ;_ * \-#,##0.0_ ;_ * &quot;-&quot;??_ ;_ @_ ">
                  <c:v>5865.5</c:v>
                </c:pt>
                <c:pt idx="6" formatCode="_ * #,##0.0_ ;_ * \-#,##0.0_ ;_ * &quot;-&quot;??_ ;_ @_ ">
                  <c:v>28950.75</c:v>
                </c:pt>
                <c:pt idx="7" formatCode="_ * #,##0.0_ ;_ * \-#,##0.0_ ;_ * &quot;-&quot;??_ ;_ @_ ">
                  <c:v>24206.6</c:v>
                </c:pt>
                <c:pt idx="8" formatCode="_ * #,##0.0_ ;_ * \-#,##0.0_ ;_ * &quot;-&quot;??_ ;_ @_ ">
                  <c:v>18577.23</c:v>
                </c:pt>
                <c:pt idx="9" formatCode="General">
                  <c:v>28180.59</c:v>
                </c:pt>
                <c:pt idx="10" formatCode="_ * #,##0.0_ ;_ * \-#,##0.0_ ;_ * &quot;-&quot;??_ ;_ @_ ">
                  <c:v>22719.279999999999</c:v>
                </c:pt>
                <c:pt idx="11" formatCode="General">
                  <c:v>22371.17</c:v>
                </c:pt>
              </c:numCache>
            </c:numRef>
          </c:val>
          <c:extLst xmlns:c16r2="http://schemas.microsoft.com/office/drawing/2015/06/chart">
            <c:ext xmlns:c16="http://schemas.microsoft.com/office/drawing/2014/chart" uri="{C3380CC4-5D6E-409C-BE32-E72D297353CC}">
              <c16:uniqueId val="{00000000-77B9-41FE-BE59-FB1B013A3E82}"/>
            </c:ext>
          </c:extLst>
        </c:ser>
        <c:ser>
          <c:idx val="1"/>
          <c:order val="1"/>
          <c:tx>
            <c:strRef>
              <c:f>FPI!$M$3</c:f>
              <c:strCache>
                <c:ptCount val="1"/>
                <c:pt idx="0">
                  <c:v>Debt</c:v>
                </c:pt>
              </c:strCache>
            </c:strRef>
          </c:tx>
          <c:spPr>
            <a:solidFill>
              <a:schemeClr val="accent2"/>
            </a:solidFill>
            <a:ln>
              <a:noFill/>
            </a:ln>
            <a:effectLst/>
          </c:spPr>
          <c:invertIfNegative val="0"/>
          <c:cat>
            <c:numRef>
              <c:f>FPI!$K$14:$K$25</c:f>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f>FPI!$M$14:$M$25</c:f>
              <c:numCache>
                <c:formatCode>_ * #,##0.0_ ;_ * \-#,##0.0_ ;_ * "-"??_ ;_ @_ </c:formatCode>
                <c:ptCount val="12"/>
                <c:pt idx="0" formatCode="[&gt;9999999]##\,##\,##\,##0;[&gt;99999]##\,##\,##0;##,##0">
                  <c:v>6449.01</c:v>
                </c:pt>
                <c:pt idx="1">
                  <c:v>15620.86</c:v>
                </c:pt>
                <c:pt idx="2">
                  <c:v>21094</c:v>
                </c:pt>
                <c:pt idx="3">
                  <c:v>7695</c:v>
                </c:pt>
                <c:pt idx="4">
                  <c:v>1864.87</c:v>
                </c:pt>
                <c:pt idx="5">
                  <c:v>14041.26</c:v>
                </c:pt>
                <c:pt idx="6">
                  <c:v>1962.7</c:v>
                </c:pt>
                <c:pt idx="7">
                  <c:v>3467</c:v>
                </c:pt>
                <c:pt idx="8">
                  <c:v>5596.8</c:v>
                </c:pt>
                <c:pt idx="9">
                  <c:v>-5184.12</c:v>
                </c:pt>
                <c:pt idx="10">
                  <c:v>6825.13</c:v>
                </c:pt>
                <c:pt idx="11" formatCode="General">
                  <c:v>-17269.25</c:v>
                </c:pt>
              </c:numCache>
            </c:numRef>
          </c:val>
          <c:extLst xmlns:c16r2="http://schemas.microsoft.com/office/drawing/2015/06/chart">
            <c:ext xmlns:c16="http://schemas.microsoft.com/office/drawing/2014/chart" uri="{C3380CC4-5D6E-409C-BE32-E72D297353CC}">
              <c16:uniqueId val="{00000001-77B9-41FE-BE59-FB1B013A3E82}"/>
            </c:ext>
          </c:extLst>
        </c:ser>
        <c:dLbls>
          <c:showLegendKey val="0"/>
          <c:showVal val="0"/>
          <c:showCatName val="0"/>
          <c:showSerName val="0"/>
          <c:showPercent val="0"/>
          <c:showBubbleSize val="0"/>
        </c:dLbls>
        <c:gapWidth val="219"/>
        <c:overlap val="-27"/>
        <c:axId val="648866624"/>
        <c:axId val="648864272"/>
      </c:barChart>
      <c:lineChart>
        <c:grouping val="standard"/>
        <c:varyColors val="0"/>
        <c:ser>
          <c:idx val="2"/>
          <c:order val="2"/>
          <c:tx>
            <c:strRef>
              <c:f>FPI!$N$3</c:f>
              <c:strCache>
                <c:ptCount val="1"/>
                <c:pt idx="0">
                  <c:v>Total</c:v>
                </c:pt>
              </c:strCache>
            </c:strRef>
          </c:tx>
          <c:spPr>
            <a:ln w="28575" cap="rnd">
              <a:solidFill>
                <a:schemeClr val="accent3"/>
              </a:solidFill>
              <a:round/>
            </a:ln>
            <a:effectLst/>
          </c:spPr>
          <c:marker>
            <c:symbol val="none"/>
          </c:marker>
          <c:cat>
            <c:numRef>
              <c:f>FPI!$K$14:$K$25</c:f>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f>FPI!$N$14:$N$25</c:f>
              <c:numCache>
                <c:formatCode>_ * #,##0.0_ ;_ * \-#,##0.0_ ;_ * "-"??_ ;_ @_ </c:formatCode>
                <c:ptCount val="12"/>
                <c:pt idx="0" formatCode="[&gt;9999999]##\,##\,##\,##0;[&gt;99999]##\,##\,##0;##,##0">
                  <c:v>12886.09</c:v>
                </c:pt>
                <c:pt idx="1">
                  <c:v>37123.229999999996</c:v>
                </c:pt>
                <c:pt idx="2">
                  <c:v>32640</c:v>
                </c:pt>
                <c:pt idx="3">
                  <c:v>15396</c:v>
                </c:pt>
                <c:pt idx="4">
                  <c:v>7730.37</c:v>
                </c:pt>
                <c:pt idx="5">
                  <c:v>42992.01</c:v>
                </c:pt>
                <c:pt idx="6">
                  <c:v>26169.3</c:v>
                </c:pt>
                <c:pt idx="7">
                  <c:v>22044.23</c:v>
                </c:pt>
                <c:pt idx="8">
                  <c:v>33777.39</c:v>
                </c:pt>
                <c:pt idx="9">
                  <c:v>17535.16</c:v>
                </c:pt>
                <c:pt idx="10">
                  <c:v>29196.3</c:v>
                </c:pt>
                <c:pt idx="11">
                  <c:v>20529.72</c:v>
                </c:pt>
              </c:numCache>
            </c:numRef>
          </c:val>
          <c:smooth val="0"/>
          <c:extLst xmlns:c16r2="http://schemas.microsoft.com/office/drawing/2015/06/chart">
            <c:ext xmlns:c16="http://schemas.microsoft.com/office/drawing/2014/chart" uri="{C3380CC4-5D6E-409C-BE32-E72D297353CC}">
              <c16:uniqueId val="{00000002-77B9-41FE-BE59-FB1B013A3E82}"/>
            </c:ext>
          </c:extLst>
        </c:ser>
        <c:dLbls>
          <c:showLegendKey val="0"/>
          <c:showVal val="0"/>
          <c:showCatName val="0"/>
          <c:showSerName val="0"/>
          <c:showPercent val="0"/>
          <c:showBubbleSize val="0"/>
        </c:dLbls>
        <c:marker val="1"/>
        <c:smooth val="0"/>
        <c:axId val="648866624"/>
        <c:axId val="648864272"/>
      </c:lineChart>
      <c:dateAx>
        <c:axId val="648866624"/>
        <c:scaling>
          <c:orientation val="minMax"/>
        </c:scaling>
        <c:delete val="0"/>
        <c:axPos val="b"/>
        <c:numFmt formatCode="[$-409]mmm\-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48864272"/>
        <c:crosses val="autoZero"/>
        <c:auto val="1"/>
        <c:lblOffset val="100"/>
        <c:baseTimeUnit val="months"/>
      </c:dateAx>
      <c:valAx>
        <c:axId val="648864272"/>
        <c:scaling>
          <c:orientation val="minMax"/>
          <c:min val="-20000"/>
        </c:scaling>
        <c:delete val="0"/>
        <c:axPos val="l"/>
        <c:numFmt formatCode="[&gt;9999999]##\,##\,##\,##0;[&gt;99999]##\,##\,##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48866624"/>
        <c:crosses val="autoZero"/>
        <c:crossBetween val="between"/>
      </c:valAx>
      <c:spPr>
        <a:noFill/>
        <a:ln>
          <a:solidFill>
            <a:sysClr val="window" lastClr="FFFFFF">
              <a:lumMod val="65000"/>
            </a:sysClr>
          </a:solid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28515563071397E-2"/>
          <c:y val="4.1359509115414625E-2"/>
          <c:w val="0.87891243460339274"/>
          <c:h val="0.70482620415691277"/>
        </c:manualLayout>
      </c:layout>
      <c:areaChart>
        <c:grouping val="standard"/>
        <c:varyColors val="0"/>
        <c:ser>
          <c:idx val="4"/>
          <c:order val="4"/>
          <c:tx>
            <c:strRef>
              <c:f>FPI!$G$4</c:f>
              <c:strCache>
                <c:ptCount val="1"/>
                <c:pt idx="0">
                  <c:v>Total</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cat>
            <c:numRef>
              <c:f>FPI!$B$15:$B$26</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FPI!$G$15:$G$26</c:f>
              <c:numCache>
                <c:formatCode>#,##0</c:formatCode>
                <c:ptCount val="12"/>
                <c:pt idx="0">
                  <c:v>12974</c:v>
                </c:pt>
                <c:pt idx="1">
                  <c:v>-7409.99</c:v>
                </c:pt>
                <c:pt idx="2">
                  <c:v>16556</c:v>
                </c:pt>
                <c:pt idx="3">
                  <c:v>27756</c:v>
                </c:pt>
                <c:pt idx="4">
                  <c:v>-12437</c:v>
                </c:pt>
                <c:pt idx="5">
                  <c:v>-2520.7600000000007</c:v>
                </c:pt>
                <c:pt idx="6">
                  <c:v>-29165</c:v>
                </c:pt>
                <c:pt idx="7">
                  <c:v>-28526</c:v>
                </c:pt>
                <c:pt idx="8">
                  <c:v>-38068</c:v>
                </c:pt>
                <c:pt idx="9">
                  <c:v>-50067</c:v>
                </c:pt>
                <c:pt idx="10">
                  <c:v>-22689</c:v>
                </c:pt>
                <c:pt idx="11">
                  <c:v>-36518</c:v>
                </c:pt>
              </c:numCache>
            </c:numRef>
          </c:val>
          <c:extLst xmlns:c16r2="http://schemas.microsoft.com/office/drawing/2015/06/chart">
            <c:ext xmlns:c16="http://schemas.microsoft.com/office/drawing/2014/chart" uri="{C3380CC4-5D6E-409C-BE32-E72D297353CC}">
              <c16:uniqueId val="{00000000-2225-4ACF-B3D8-66E856C802D8}"/>
            </c:ext>
          </c:extLst>
        </c:ser>
        <c:dLbls>
          <c:showLegendKey val="0"/>
          <c:showVal val="0"/>
          <c:showCatName val="0"/>
          <c:showSerName val="0"/>
          <c:showPercent val="0"/>
          <c:showBubbleSize val="0"/>
        </c:dLbls>
        <c:axId val="648858784"/>
        <c:axId val="648867800"/>
      </c:areaChart>
      <c:barChart>
        <c:barDir val="col"/>
        <c:grouping val="clustered"/>
        <c:varyColors val="0"/>
        <c:ser>
          <c:idx val="0"/>
          <c:order val="0"/>
          <c:tx>
            <c:strRef>
              <c:f>FPI!$C$4</c:f>
              <c:strCache>
                <c:ptCount val="1"/>
                <c:pt idx="0">
                  <c:v>Equity </c:v>
                </c:pt>
              </c:strCache>
            </c:strRef>
          </c:tx>
          <c:spPr>
            <a:gradFill flip="none" rotWithShape="1">
              <a:gsLst>
                <a:gs pos="0">
                  <a:srgbClr val="70AD47">
                    <a:tint val="66000"/>
                    <a:satMod val="160000"/>
                  </a:srgbClr>
                </a:gs>
                <a:gs pos="50000">
                  <a:srgbClr val="70AD47">
                    <a:tint val="44500"/>
                    <a:satMod val="160000"/>
                  </a:srgbClr>
                </a:gs>
                <a:gs pos="100000">
                  <a:srgbClr val="70AD47">
                    <a:tint val="23500"/>
                    <a:satMod val="160000"/>
                  </a:srgbClr>
                </a:gs>
              </a:gsLst>
              <a:path path="circle">
                <a:fillToRect r="100000" b="100000"/>
              </a:path>
              <a:tileRect l="-100000" t="-100000"/>
            </a:gradFill>
            <a:ln w="9525" cap="flat" cmpd="sng" algn="ctr">
              <a:solidFill>
                <a:srgbClr val="70AD47"/>
              </a:solidFill>
              <a:round/>
            </a:ln>
            <a:effectLst/>
          </c:spPr>
          <c:invertIfNegative val="0"/>
          <c:cat>
            <c:numRef>
              <c:f>FPI!$B$15:$B$26</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FPI!$C$15:$C$26</c:f>
              <c:numCache>
                <c:formatCode>#,##0</c:formatCode>
                <c:ptCount val="12"/>
                <c:pt idx="0">
                  <c:v>17215</c:v>
                </c:pt>
                <c:pt idx="1">
                  <c:v>-11308.36</c:v>
                </c:pt>
                <c:pt idx="2">
                  <c:v>2083</c:v>
                </c:pt>
                <c:pt idx="3">
                  <c:v>13154</c:v>
                </c:pt>
                <c:pt idx="4">
                  <c:v>-13550</c:v>
                </c:pt>
                <c:pt idx="5">
                  <c:v>-5945.1</c:v>
                </c:pt>
                <c:pt idx="6">
                  <c:v>-19026</c:v>
                </c:pt>
                <c:pt idx="7" formatCode="General">
                  <c:v>-33303</c:v>
                </c:pt>
                <c:pt idx="8">
                  <c:v>-35592</c:v>
                </c:pt>
                <c:pt idx="9">
                  <c:v>-41123</c:v>
                </c:pt>
                <c:pt idx="10">
                  <c:v>-17144</c:v>
                </c:pt>
                <c:pt idx="11">
                  <c:v>-39993</c:v>
                </c:pt>
              </c:numCache>
            </c:numRef>
          </c:val>
          <c:extLst xmlns:c16r2="http://schemas.microsoft.com/office/drawing/2015/06/chart">
            <c:ext xmlns:c16="http://schemas.microsoft.com/office/drawing/2014/chart" uri="{C3380CC4-5D6E-409C-BE32-E72D297353CC}">
              <c16:uniqueId val="{00000001-2225-4ACF-B3D8-66E856C802D8}"/>
            </c:ext>
          </c:extLst>
        </c:ser>
        <c:ser>
          <c:idx val="1"/>
          <c:order val="1"/>
          <c:tx>
            <c:strRef>
              <c:f>FPI!$D$4</c:f>
              <c:strCache>
                <c:ptCount val="1"/>
                <c:pt idx="0">
                  <c:v>Debt </c:v>
                </c:pt>
              </c:strCache>
            </c:strRef>
          </c:tx>
          <c:spPr>
            <a:gradFill flip="none" rotWithShape="1">
              <a:gsLst>
                <a:gs pos="0">
                  <a:srgbClr val="ED7D31">
                    <a:shade val="30000"/>
                    <a:satMod val="115000"/>
                  </a:srgbClr>
                </a:gs>
                <a:gs pos="50000">
                  <a:srgbClr val="ED7D31">
                    <a:shade val="67500"/>
                    <a:satMod val="115000"/>
                  </a:srgbClr>
                </a:gs>
                <a:gs pos="100000">
                  <a:srgbClr val="ED7D31">
                    <a:shade val="100000"/>
                    <a:satMod val="115000"/>
                  </a:srgbClr>
                </a:gs>
              </a:gsLst>
              <a:lin ang="16200000" scaled="1"/>
              <a:tileRect/>
            </a:gradFill>
            <a:ln w="9525" cap="flat" cmpd="sng" algn="ctr">
              <a:solidFill>
                <a:srgbClr val="ED7D31"/>
              </a:solidFill>
              <a:round/>
            </a:ln>
            <a:effectLst/>
          </c:spPr>
          <c:invertIfNegative val="0"/>
          <c:cat>
            <c:numRef>
              <c:f>FPI!$B$15:$B$26</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FPI!$D$14:$D$25</c:f>
              <c:numCache>
                <c:formatCode>#,##0</c:formatCode>
                <c:ptCount val="12"/>
                <c:pt idx="0">
                  <c:v>-1706</c:v>
                </c:pt>
                <c:pt idx="1">
                  <c:v>-4829</c:v>
                </c:pt>
                <c:pt idx="2">
                  <c:v>-781.55</c:v>
                </c:pt>
                <c:pt idx="3">
                  <c:v>12144</c:v>
                </c:pt>
                <c:pt idx="4">
                  <c:v>12804</c:v>
                </c:pt>
                <c:pt idx="5">
                  <c:v>-1558</c:v>
                </c:pt>
                <c:pt idx="6">
                  <c:v>982.57</c:v>
                </c:pt>
                <c:pt idx="7">
                  <c:v>-11799</c:v>
                </c:pt>
                <c:pt idx="8" formatCode="General">
                  <c:v>5194</c:v>
                </c:pt>
                <c:pt idx="9">
                  <c:v>-3073</c:v>
                </c:pt>
                <c:pt idx="10">
                  <c:v>-5632</c:v>
                </c:pt>
                <c:pt idx="11">
                  <c:v>-4439</c:v>
                </c:pt>
              </c:numCache>
            </c:numRef>
          </c:val>
          <c:extLst xmlns:c16r2="http://schemas.microsoft.com/office/drawing/2015/06/chart">
            <c:ext xmlns:c16="http://schemas.microsoft.com/office/drawing/2014/chart" uri="{C3380CC4-5D6E-409C-BE32-E72D297353CC}">
              <c16:uniqueId val="{00000002-2225-4ACF-B3D8-66E856C802D8}"/>
            </c:ext>
          </c:extLst>
        </c:ser>
        <c:dLbls>
          <c:showLegendKey val="0"/>
          <c:showVal val="0"/>
          <c:showCatName val="0"/>
          <c:showSerName val="0"/>
          <c:showPercent val="0"/>
          <c:showBubbleSize val="0"/>
        </c:dLbls>
        <c:gapWidth val="219"/>
        <c:axId val="648858784"/>
        <c:axId val="648867800"/>
      </c:barChart>
      <c:lineChart>
        <c:grouping val="standard"/>
        <c:varyColors val="0"/>
        <c:ser>
          <c:idx val="2"/>
          <c:order val="2"/>
          <c:tx>
            <c:strRef>
              <c:f>FPI!$E$4</c:f>
              <c:strCache>
                <c:ptCount val="1"/>
                <c:pt idx="0">
                  <c:v>Debt-VRR </c:v>
                </c:pt>
              </c:strCache>
            </c:strRef>
          </c:tx>
          <c:spPr>
            <a:ln w="15875" cap="rnd">
              <a:solidFill>
                <a:srgbClr val="C00000"/>
              </a:solidFill>
              <a:round/>
            </a:ln>
            <a:effectLst/>
          </c:spPr>
          <c:marker>
            <c:symbol val="circle"/>
            <c:size val="5"/>
            <c:spPr>
              <a:solidFill>
                <a:srgbClr val="C00000"/>
              </a:solidFill>
              <a:ln w="9525" cap="flat" cmpd="sng" algn="ctr">
                <a:solidFill>
                  <a:srgbClr val="C00000"/>
                </a:solidFill>
                <a:round/>
              </a:ln>
              <a:effectLst/>
            </c:spPr>
          </c:marker>
          <c:cat>
            <c:multiLvlStrRef>
              <c:f>FPI!$B$14:$G$26</c:f>
              <c:multiLvlStrCache>
                <c:ptCount val="13"/>
                <c:lvl>
                  <c:pt idx="0">
                    <c:v>-1,958</c:v>
                  </c:pt>
                  <c:pt idx="1">
                    <c:v>12,974</c:v>
                  </c:pt>
                  <c:pt idx="2">
                    <c:v>-7,410</c:v>
                  </c:pt>
                  <c:pt idx="3">
                    <c:v>16,556</c:v>
                  </c:pt>
                  <c:pt idx="4">
                    <c:v>27,756</c:v>
                  </c:pt>
                  <c:pt idx="5">
                    <c:v>-12,437</c:v>
                  </c:pt>
                  <c:pt idx="6">
                    <c:v>-2,521</c:v>
                  </c:pt>
                  <c:pt idx="7">
                    <c:v>-29,165</c:v>
                  </c:pt>
                  <c:pt idx="8">
                    <c:v>-28,526</c:v>
                  </c:pt>
                  <c:pt idx="9">
                    <c:v>-38,068</c:v>
                  </c:pt>
                  <c:pt idx="10">
                    <c:v>-50,067</c:v>
                  </c:pt>
                  <c:pt idx="11">
                    <c:v>-22,689</c:v>
                  </c:pt>
                  <c:pt idx="12">
                    <c:v>-36,518</c:v>
                  </c:pt>
                </c:lvl>
                <c:lvl>
                  <c:pt idx="0">
                    <c:v>709</c:v>
                  </c:pt>
                  <c:pt idx="1">
                    <c:v>-295</c:v>
                  </c:pt>
                  <c:pt idx="2">
                    <c:v>-138</c:v>
                  </c:pt>
                  <c:pt idx="3">
                    <c:v>97</c:v>
                  </c:pt>
                  <c:pt idx="4">
                    <c:v>1,239</c:v>
                  </c:pt>
                  <c:pt idx="5">
                    <c:v>-159</c:v>
                  </c:pt>
                  <c:pt idx="6">
                    <c:v>-24</c:v>
                  </c:pt>
                  <c:pt idx="7">
                    <c:v>269</c:v>
                  </c:pt>
                  <c:pt idx="8">
                    <c:v>1697</c:v>
                  </c:pt>
                  <c:pt idx="9">
                    <c:v>110</c:v>
                  </c:pt>
                  <c:pt idx="10">
                    <c:v>-68</c:v>
                  </c:pt>
                  <c:pt idx="11">
                    <c:v>69</c:v>
                  </c:pt>
                  <c:pt idx="12">
                    <c:v>-62</c:v>
                  </c:pt>
                </c:lvl>
                <c:lvl>
                  <c:pt idx="0">
                    <c:v>1,994</c:v>
                  </c:pt>
                  <c:pt idx="1">
                    <c:v>883</c:v>
                  </c:pt>
                  <c:pt idx="2">
                    <c:v>4,818</c:v>
                  </c:pt>
                  <c:pt idx="3">
                    <c:v>2,232</c:v>
                  </c:pt>
                  <c:pt idx="4">
                    <c:v>559</c:v>
                  </c:pt>
                  <c:pt idx="5">
                    <c:v>2,830</c:v>
                  </c:pt>
                  <c:pt idx="6">
                    <c:v>2,466</c:v>
                  </c:pt>
                  <c:pt idx="7">
                    <c:v>1,391</c:v>
                  </c:pt>
                  <c:pt idx="8">
                    <c:v>-2114</c:v>
                  </c:pt>
                  <c:pt idx="9">
                    <c:v>487</c:v>
                  </c:pt>
                  <c:pt idx="10">
                    <c:v>-3,244</c:v>
                  </c:pt>
                  <c:pt idx="11">
                    <c:v>-1,175</c:v>
                  </c:pt>
                  <c:pt idx="12">
                    <c:v>9,043</c:v>
                  </c:pt>
                </c:lvl>
                <c:lvl>
                  <c:pt idx="0">
                    <c:v>-1,706</c:v>
                  </c:pt>
                  <c:pt idx="1">
                    <c:v>-4,829</c:v>
                  </c:pt>
                  <c:pt idx="2">
                    <c:v>-782</c:v>
                  </c:pt>
                  <c:pt idx="3">
                    <c:v>12,144</c:v>
                  </c:pt>
                  <c:pt idx="4">
                    <c:v>12,804</c:v>
                  </c:pt>
                  <c:pt idx="5">
                    <c:v>-1,558</c:v>
                  </c:pt>
                  <c:pt idx="6">
                    <c:v>983</c:v>
                  </c:pt>
                  <c:pt idx="7">
                    <c:v>-11,799</c:v>
                  </c:pt>
                  <c:pt idx="8">
                    <c:v>5194</c:v>
                  </c:pt>
                  <c:pt idx="9">
                    <c:v>-3,073</c:v>
                  </c:pt>
                  <c:pt idx="10">
                    <c:v>-5,632</c:v>
                  </c:pt>
                  <c:pt idx="11">
                    <c:v>-4,439</c:v>
                  </c:pt>
                  <c:pt idx="12">
                    <c:v>-5,506</c:v>
                  </c:pt>
                </c:lvl>
                <c:lvl>
                  <c:pt idx="0">
                    <c:v>-2,954</c:v>
                  </c:pt>
                  <c:pt idx="1">
                    <c:v>17,215</c:v>
                  </c:pt>
                  <c:pt idx="2">
                    <c:v>-11,308</c:v>
                  </c:pt>
                  <c:pt idx="3">
                    <c:v>2,083</c:v>
                  </c:pt>
                  <c:pt idx="4">
                    <c:v>13,154</c:v>
                  </c:pt>
                  <c:pt idx="5">
                    <c:v>-13,550</c:v>
                  </c:pt>
                  <c:pt idx="6">
                    <c:v>-5,945</c:v>
                  </c:pt>
                  <c:pt idx="7">
                    <c:v>-19,026</c:v>
                  </c:pt>
                  <c:pt idx="8">
                    <c:v>-33303</c:v>
                  </c:pt>
                  <c:pt idx="9">
                    <c:v>-35,592</c:v>
                  </c:pt>
                  <c:pt idx="10">
                    <c:v>-41,123</c:v>
                  </c:pt>
                  <c:pt idx="11">
                    <c:v>-17,144</c:v>
                  </c:pt>
                  <c:pt idx="12">
                    <c:v>-39,993</c:v>
                  </c:pt>
                </c:lvl>
                <c:lvl>
                  <c:pt idx="0">
                    <c:v>May-21</c:v>
                  </c:pt>
                  <c:pt idx="1">
                    <c:v>Jun-21</c:v>
                  </c:pt>
                  <c:pt idx="2">
                    <c:v>Jul-21</c:v>
                  </c:pt>
                  <c:pt idx="3">
                    <c:v>Aug-21</c:v>
                  </c:pt>
                  <c:pt idx="4">
                    <c:v>Sep-21</c:v>
                  </c:pt>
                  <c:pt idx="5">
                    <c:v>Oct-21</c:v>
                  </c:pt>
                  <c:pt idx="6">
                    <c:v>Nov-21</c:v>
                  </c:pt>
                  <c:pt idx="7">
                    <c:v>Dec-21</c:v>
                  </c:pt>
                  <c:pt idx="8">
                    <c:v>Jan-22</c:v>
                  </c:pt>
                  <c:pt idx="9">
                    <c:v>Feb-22</c:v>
                  </c:pt>
                  <c:pt idx="10">
                    <c:v>Mar-22</c:v>
                  </c:pt>
                  <c:pt idx="11">
                    <c:v>Apr-22</c:v>
                  </c:pt>
                  <c:pt idx="12">
                    <c:v>May-22</c:v>
                  </c:pt>
                </c:lvl>
              </c:multiLvlStrCache>
            </c:multiLvlStrRef>
          </c:cat>
          <c:val>
            <c:numRef>
              <c:f>FPI!$E$14:$E$26</c:f>
              <c:numCache>
                <c:formatCode>#,##0</c:formatCode>
                <c:ptCount val="13"/>
                <c:pt idx="0">
                  <c:v>1994</c:v>
                </c:pt>
                <c:pt idx="1">
                  <c:v>883</c:v>
                </c:pt>
                <c:pt idx="2">
                  <c:v>4817.5</c:v>
                </c:pt>
                <c:pt idx="3">
                  <c:v>2232</c:v>
                </c:pt>
                <c:pt idx="4">
                  <c:v>559</c:v>
                </c:pt>
                <c:pt idx="5">
                  <c:v>2830</c:v>
                </c:pt>
                <c:pt idx="6">
                  <c:v>2465.92</c:v>
                </c:pt>
                <c:pt idx="7">
                  <c:v>1391</c:v>
                </c:pt>
                <c:pt idx="8" formatCode="General">
                  <c:v>-2114</c:v>
                </c:pt>
                <c:pt idx="9">
                  <c:v>487</c:v>
                </c:pt>
                <c:pt idx="10">
                  <c:v>-3244</c:v>
                </c:pt>
                <c:pt idx="11">
                  <c:v>-1175</c:v>
                </c:pt>
                <c:pt idx="12">
                  <c:v>9043</c:v>
                </c:pt>
              </c:numCache>
            </c:numRef>
          </c:val>
          <c:smooth val="0"/>
          <c:extLst xmlns:c16r2="http://schemas.microsoft.com/office/drawing/2015/06/chart">
            <c:ext xmlns:c16="http://schemas.microsoft.com/office/drawing/2014/chart" uri="{C3380CC4-5D6E-409C-BE32-E72D297353CC}">
              <c16:uniqueId val="{00000003-2225-4ACF-B3D8-66E856C802D8}"/>
            </c:ext>
          </c:extLst>
        </c:ser>
        <c:ser>
          <c:idx val="3"/>
          <c:order val="3"/>
          <c:tx>
            <c:strRef>
              <c:f>FPI!$F$4</c:f>
              <c:strCache>
                <c:ptCount val="1"/>
                <c:pt idx="0">
                  <c:v>Hybrid  </c:v>
                </c:pt>
              </c:strCache>
            </c:strRef>
          </c:tx>
          <c:spPr>
            <a:ln w="15875" cap="rnd">
              <a:solidFill>
                <a:sysClr val="windowText" lastClr="000000"/>
              </a:solidFill>
              <a:round/>
            </a:ln>
            <a:effectLst/>
          </c:spPr>
          <c:marker>
            <c:symbol val="circle"/>
            <c:size val="5"/>
            <c:spPr>
              <a:solidFill>
                <a:sysClr val="window" lastClr="FFFFFF"/>
              </a:solidFill>
              <a:ln w="9525" cap="flat" cmpd="sng" algn="ctr">
                <a:solidFill>
                  <a:sysClr val="windowText" lastClr="000000"/>
                </a:solidFill>
                <a:round/>
              </a:ln>
              <a:effectLst/>
            </c:spPr>
          </c:marker>
          <c:cat>
            <c:multiLvlStrRef>
              <c:f>FPI!$B$14:$G$26</c:f>
              <c:multiLvlStrCache>
                <c:ptCount val="13"/>
                <c:lvl>
                  <c:pt idx="0">
                    <c:v>-1,958</c:v>
                  </c:pt>
                  <c:pt idx="1">
                    <c:v>12,974</c:v>
                  </c:pt>
                  <c:pt idx="2">
                    <c:v>-7,410</c:v>
                  </c:pt>
                  <c:pt idx="3">
                    <c:v>16,556</c:v>
                  </c:pt>
                  <c:pt idx="4">
                    <c:v>27,756</c:v>
                  </c:pt>
                  <c:pt idx="5">
                    <c:v>-12,437</c:v>
                  </c:pt>
                  <c:pt idx="6">
                    <c:v>-2,521</c:v>
                  </c:pt>
                  <c:pt idx="7">
                    <c:v>-29,165</c:v>
                  </c:pt>
                  <c:pt idx="8">
                    <c:v>-28,526</c:v>
                  </c:pt>
                  <c:pt idx="9">
                    <c:v>-38,068</c:v>
                  </c:pt>
                  <c:pt idx="10">
                    <c:v>-50,067</c:v>
                  </c:pt>
                  <c:pt idx="11">
                    <c:v>-22,689</c:v>
                  </c:pt>
                  <c:pt idx="12">
                    <c:v>-36,518</c:v>
                  </c:pt>
                </c:lvl>
                <c:lvl>
                  <c:pt idx="0">
                    <c:v>709</c:v>
                  </c:pt>
                  <c:pt idx="1">
                    <c:v>-295</c:v>
                  </c:pt>
                  <c:pt idx="2">
                    <c:v>-138</c:v>
                  </c:pt>
                  <c:pt idx="3">
                    <c:v>97</c:v>
                  </c:pt>
                  <c:pt idx="4">
                    <c:v>1,239</c:v>
                  </c:pt>
                  <c:pt idx="5">
                    <c:v>-159</c:v>
                  </c:pt>
                  <c:pt idx="6">
                    <c:v>-24</c:v>
                  </c:pt>
                  <c:pt idx="7">
                    <c:v>269</c:v>
                  </c:pt>
                  <c:pt idx="8">
                    <c:v>1697</c:v>
                  </c:pt>
                  <c:pt idx="9">
                    <c:v>110</c:v>
                  </c:pt>
                  <c:pt idx="10">
                    <c:v>-68</c:v>
                  </c:pt>
                  <c:pt idx="11">
                    <c:v>69</c:v>
                  </c:pt>
                  <c:pt idx="12">
                    <c:v>-62</c:v>
                  </c:pt>
                </c:lvl>
                <c:lvl>
                  <c:pt idx="0">
                    <c:v>1,994</c:v>
                  </c:pt>
                  <c:pt idx="1">
                    <c:v>883</c:v>
                  </c:pt>
                  <c:pt idx="2">
                    <c:v>4,818</c:v>
                  </c:pt>
                  <c:pt idx="3">
                    <c:v>2,232</c:v>
                  </c:pt>
                  <c:pt idx="4">
                    <c:v>559</c:v>
                  </c:pt>
                  <c:pt idx="5">
                    <c:v>2,830</c:v>
                  </c:pt>
                  <c:pt idx="6">
                    <c:v>2,466</c:v>
                  </c:pt>
                  <c:pt idx="7">
                    <c:v>1,391</c:v>
                  </c:pt>
                  <c:pt idx="8">
                    <c:v>-2114</c:v>
                  </c:pt>
                  <c:pt idx="9">
                    <c:v>487</c:v>
                  </c:pt>
                  <c:pt idx="10">
                    <c:v>-3,244</c:v>
                  </c:pt>
                  <c:pt idx="11">
                    <c:v>-1,175</c:v>
                  </c:pt>
                  <c:pt idx="12">
                    <c:v>9,043</c:v>
                  </c:pt>
                </c:lvl>
                <c:lvl>
                  <c:pt idx="0">
                    <c:v>-1,706</c:v>
                  </c:pt>
                  <c:pt idx="1">
                    <c:v>-4,829</c:v>
                  </c:pt>
                  <c:pt idx="2">
                    <c:v>-782</c:v>
                  </c:pt>
                  <c:pt idx="3">
                    <c:v>12,144</c:v>
                  </c:pt>
                  <c:pt idx="4">
                    <c:v>12,804</c:v>
                  </c:pt>
                  <c:pt idx="5">
                    <c:v>-1,558</c:v>
                  </c:pt>
                  <c:pt idx="6">
                    <c:v>983</c:v>
                  </c:pt>
                  <c:pt idx="7">
                    <c:v>-11,799</c:v>
                  </c:pt>
                  <c:pt idx="8">
                    <c:v>5194</c:v>
                  </c:pt>
                  <c:pt idx="9">
                    <c:v>-3,073</c:v>
                  </c:pt>
                  <c:pt idx="10">
                    <c:v>-5,632</c:v>
                  </c:pt>
                  <c:pt idx="11">
                    <c:v>-4,439</c:v>
                  </c:pt>
                  <c:pt idx="12">
                    <c:v>-5,506</c:v>
                  </c:pt>
                </c:lvl>
                <c:lvl>
                  <c:pt idx="0">
                    <c:v>-2,954</c:v>
                  </c:pt>
                  <c:pt idx="1">
                    <c:v>17,215</c:v>
                  </c:pt>
                  <c:pt idx="2">
                    <c:v>-11,308</c:v>
                  </c:pt>
                  <c:pt idx="3">
                    <c:v>2,083</c:v>
                  </c:pt>
                  <c:pt idx="4">
                    <c:v>13,154</c:v>
                  </c:pt>
                  <c:pt idx="5">
                    <c:v>-13,550</c:v>
                  </c:pt>
                  <c:pt idx="6">
                    <c:v>-5,945</c:v>
                  </c:pt>
                  <c:pt idx="7">
                    <c:v>-19,026</c:v>
                  </c:pt>
                  <c:pt idx="8">
                    <c:v>-33303</c:v>
                  </c:pt>
                  <c:pt idx="9">
                    <c:v>-35,592</c:v>
                  </c:pt>
                  <c:pt idx="10">
                    <c:v>-41,123</c:v>
                  </c:pt>
                  <c:pt idx="11">
                    <c:v>-17,144</c:v>
                  </c:pt>
                  <c:pt idx="12">
                    <c:v>-39,993</c:v>
                  </c:pt>
                </c:lvl>
                <c:lvl>
                  <c:pt idx="0">
                    <c:v>May-21</c:v>
                  </c:pt>
                  <c:pt idx="1">
                    <c:v>Jun-21</c:v>
                  </c:pt>
                  <c:pt idx="2">
                    <c:v>Jul-21</c:v>
                  </c:pt>
                  <c:pt idx="3">
                    <c:v>Aug-21</c:v>
                  </c:pt>
                  <c:pt idx="4">
                    <c:v>Sep-21</c:v>
                  </c:pt>
                  <c:pt idx="5">
                    <c:v>Oct-21</c:v>
                  </c:pt>
                  <c:pt idx="6">
                    <c:v>Nov-21</c:v>
                  </c:pt>
                  <c:pt idx="7">
                    <c:v>Dec-21</c:v>
                  </c:pt>
                  <c:pt idx="8">
                    <c:v>Jan-22</c:v>
                  </c:pt>
                  <c:pt idx="9">
                    <c:v>Feb-22</c:v>
                  </c:pt>
                  <c:pt idx="10">
                    <c:v>Mar-22</c:v>
                  </c:pt>
                  <c:pt idx="11">
                    <c:v>Apr-22</c:v>
                  </c:pt>
                  <c:pt idx="12">
                    <c:v>May-22</c:v>
                  </c:pt>
                </c:lvl>
              </c:multiLvlStrCache>
            </c:multiLvlStrRef>
          </c:cat>
          <c:val>
            <c:numRef>
              <c:f>FPI!$F$14:$F$26</c:f>
              <c:numCache>
                <c:formatCode>#,##0</c:formatCode>
                <c:ptCount val="13"/>
                <c:pt idx="0">
                  <c:v>709</c:v>
                </c:pt>
                <c:pt idx="1">
                  <c:v>-295</c:v>
                </c:pt>
                <c:pt idx="2">
                  <c:v>-137.58000000000001</c:v>
                </c:pt>
                <c:pt idx="3">
                  <c:v>97</c:v>
                </c:pt>
                <c:pt idx="4">
                  <c:v>1239</c:v>
                </c:pt>
                <c:pt idx="5">
                  <c:v>-159</c:v>
                </c:pt>
                <c:pt idx="6">
                  <c:v>-24.15</c:v>
                </c:pt>
                <c:pt idx="7">
                  <c:v>269</c:v>
                </c:pt>
                <c:pt idx="8" formatCode="General">
                  <c:v>1697</c:v>
                </c:pt>
                <c:pt idx="9">
                  <c:v>110</c:v>
                </c:pt>
                <c:pt idx="10">
                  <c:v>-68</c:v>
                </c:pt>
                <c:pt idx="11">
                  <c:v>69</c:v>
                </c:pt>
                <c:pt idx="12">
                  <c:v>-62</c:v>
                </c:pt>
              </c:numCache>
            </c:numRef>
          </c:val>
          <c:smooth val="0"/>
          <c:extLst xmlns:c16r2="http://schemas.microsoft.com/office/drawing/2015/06/chart">
            <c:ext xmlns:c16="http://schemas.microsoft.com/office/drawing/2014/chart" uri="{C3380CC4-5D6E-409C-BE32-E72D297353CC}">
              <c16:uniqueId val="{00000004-2225-4ACF-B3D8-66E856C802D8}"/>
            </c:ext>
          </c:extLst>
        </c:ser>
        <c:dLbls>
          <c:showLegendKey val="0"/>
          <c:showVal val="0"/>
          <c:showCatName val="0"/>
          <c:showSerName val="0"/>
          <c:showPercent val="0"/>
          <c:showBubbleSize val="0"/>
        </c:dLbls>
        <c:marker val="1"/>
        <c:smooth val="0"/>
        <c:axId val="648858784"/>
        <c:axId val="648867800"/>
      </c:lineChart>
      <c:dateAx>
        <c:axId val="648858784"/>
        <c:scaling>
          <c:orientation val="minMax"/>
        </c:scaling>
        <c:delete val="0"/>
        <c:axPos val="b"/>
        <c:numFmt formatCode="[$-409]mmm\-yy" sourceLinked="1"/>
        <c:majorTickMark val="out"/>
        <c:minorTickMark val="none"/>
        <c:tickLblPos val="low"/>
        <c:spPr>
          <a:noFill/>
          <a:ln w="9525" cap="flat" cmpd="sng" algn="ctr">
            <a:solidFill>
              <a:sysClr val="window" lastClr="FFFFFF">
                <a:lumMod val="75000"/>
              </a:sys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48867800"/>
        <c:crosses val="autoZero"/>
        <c:auto val="1"/>
        <c:lblOffset val="100"/>
        <c:baseTimeUnit val="months"/>
      </c:dateAx>
      <c:valAx>
        <c:axId val="64886780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648858784"/>
        <c:crosses val="autoZero"/>
        <c:crossBetween val="between"/>
      </c:valAx>
      <c:spPr>
        <a:noFill/>
        <a:ln>
          <a:solidFill>
            <a:sysClr val="window" lastClr="FFFFFF">
              <a:lumMod val="65000"/>
            </a:sysClr>
          </a:solid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93026072992614E-2"/>
          <c:y val="5.2726284214473187E-2"/>
          <c:w val="0.80676280471762485"/>
          <c:h val="0.70693625669243709"/>
        </c:manualLayout>
      </c:layout>
      <c:barChart>
        <c:barDir val="col"/>
        <c:grouping val="clustered"/>
        <c:varyColors val="0"/>
        <c:ser>
          <c:idx val="1"/>
          <c:order val="1"/>
          <c:tx>
            <c:strRef>
              <c:f>SAST!$M$7:$M$8</c:f>
              <c:strCache>
                <c:ptCount val="2"/>
                <c:pt idx="0">
                  <c:v>Closed Value (RHS)</c:v>
                </c:pt>
              </c:strCache>
            </c:strRef>
          </c:tx>
          <c:spPr>
            <a:solidFill>
              <a:srgbClr val="C00000"/>
            </a:solidFill>
            <a:ln>
              <a:solidFill>
                <a:srgbClr val="C00000"/>
              </a:solidFill>
            </a:ln>
            <a:effectLst/>
          </c:spPr>
          <c:invertIfNegative val="0"/>
          <c:cat>
            <c:numRef>
              <c:f>SAST!$K$19:$K$30</c:f>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f>SAST!$M$19:$M$30</c:f>
              <c:numCache>
                <c:formatCode>#,##0;\-#,##0;0.0</c:formatCode>
                <c:ptCount val="12"/>
                <c:pt idx="0">
                  <c:v>81.680000000000007</c:v>
                </c:pt>
                <c:pt idx="1">
                  <c:v>8267.1</c:v>
                </c:pt>
                <c:pt idx="2" formatCode="General">
                  <c:v>2082</c:v>
                </c:pt>
                <c:pt idx="3" formatCode="General">
                  <c:v>6</c:v>
                </c:pt>
                <c:pt idx="4" formatCode="General">
                  <c:v>3316.25</c:v>
                </c:pt>
                <c:pt idx="5" formatCode="General">
                  <c:v>108</c:v>
                </c:pt>
                <c:pt idx="6" formatCode="General">
                  <c:v>6.2</c:v>
                </c:pt>
                <c:pt idx="7" formatCode="General">
                  <c:v>1987.83</c:v>
                </c:pt>
                <c:pt idx="8" formatCode="General">
                  <c:v>193.64</c:v>
                </c:pt>
                <c:pt idx="9" formatCode="General">
                  <c:v>299.51</c:v>
                </c:pt>
                <c:pt idx="10" formatCode="General">
                  <c:v>32.6</c:v>
                </c:pt>
                <c:pt idx="11">
                  <c:v>163.57</c:v>
                </c:pt>
              </c:numCache>
            </c:numRef>
          </c:val>
          <c:extLst xmlns:c16r2="http://schemas.microsoft.com/office/drawing/2015/06/chart">
            <c:ext xmlns:c16="http://schemas.microsoft.com/office/drawing/2014/chart" uri="{C3380CC4-5D6E-409C-BE32-E72D297353CC}">
              <c16:uniqueId val="{00000000-9F9D-4211-972F-6DF134CF85F3}"/>
            </c:ext>
          </c:extLst>
        </c:ser>
        <c:dLbls>
          <c:showLegendKey val="0"/>
          <c:showVal val="0"/>
          <c:showCatName val="0"/>
          <c:showSerName val="0"/>
          <c:showPercent val="0"/>
          <c:showBubbleSize val="0"/>
        </c:dLbls>
        <c:gapWidth val="219"/>
        <c:axId val="648866232"/>
        <c:axId val="648865840"/>
      </c:barChart>
      <c:lineChart>
        <c:grouping val="standard"/>
        <c:varyColors val="0"/>
        <c:ser>
          <c:idx val="0"/>
          <c:order val="0"/>
          <c:tx>
            <c:strRef>
              <c:f>SAST!$L$7:$L$8</c:f>
              <c:strCache>
                <c:ptCount val="2"/>
                <c:pt idx="0">
                  <c:v> Open Offers (LHS)</c:v>
                </c:pt>
              </c:strCache>
            </c:strRef>
          </c:tx>
          <c:spPr>
            <a:ln w="28575" cap="rnd">
              <a:solidFill>
                <a:srgbClr val="70AD47"/>
              </a:solidFill>
              <a:round/>
            </a:ln>
            <a:effectLst/>
          </c:spPr>
          <c:marker>
            <c:symbol val="none"/>
          </c:marker>
          <c:cat>
            <c:numRef>
              <c:f>SAST!$K$19:$K$30</c:f>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f>SAST!$L$19:$L$30</c:f>
              <c:numCache>
                <c:formatCode>General</c:formatCode>
                <c:ptCount val="12"/>
                <c:pt idx="0">
                  <c:v>6</c:v>
                </c:pt>
                <c:pt idx="1">
                  <c:v>5</c:v>
                </c:pt>
                <c:pt idx="2">
                  <c:v>8</c:v>
                </c:pt>
                <c:pt idx="3">
                  <c:v>3</c:v>
                </c:pt>
                <c:pt idx="4">
                  <c:v>7</c:v>
                </c:pt>
                <c:pt idx="5">
                  <c:v>7</c:v>
                </c:pt>
                <c:pt idx="6">
                  <c:v>5</c:v>
                </c:pt>
                <c:pt idx="7">
                  <c:v>7</c:v>
                </c:pt>
                <c:pt idx="8">
                  <c:v>11</c:v>
                </c:pt>
                <c:pt idx="9">
                  <c:v>2</c:v>
                </c:pt>
                <c:pt idx="10">
                  <c:v>2</c:v>
                </c:pt>
                <c:pt idx="11">
                  <c:v>5</c:v>
                </c:pt>
              </c:numCache>
            </c:numRef>
          </c:val>
          <c:smooth val="0"/>
          <c:extLst xmlns:c16r2="http://schemas.microsoft.com/office/drawing/2015/06/chart">
            <c:ext xmlns:c16="http://schemas.microsoft.com/office/drawing/2014/chart" uri="{C3380CC4-5D6E-409C-BE32-E72D297353CC}">
              <c16:uniqueId val="{00000001-9F9D-4211-972F-6DF134CF85F3}"/>
            </c:ext>
          </c:extLst>
        </c:ser>
        <c:dLbls>
          <c:showLegendKey val="0"/>
          <c:showVal val="0"/>
          <c:showCatName val="0"/>
          <c:showSerName val="0"/>
          <c:showPercent val="0"/>
          <c:showBubbleSize val="0"/>
        </c:dLbls>
        <c:marker val="1"/>
        <c:smooth val="0"/>
        <c:axId val="648859568"/>
        <c:axId val="648859176"/>
      </c:lineChart>
      <c:dateAx>
        <c:axId val="648859568"/>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648859176"/>
        <c:crosses val="autoZero"/>
        <c:auto val="1"/>
        <c:lblOffset val="100"/>
        <c:baseTimeUnit val="months"/>
      </c:dateAx>
      <c:valAx>
        <c:axId val="64885917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r>
                  <a:rPr lang="en-US"/>
                  <a:t>Number</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648859568"/>
        <c:crosses val="autoZero"/>
        <c:crossBetween val="between"/>
        <c:majorUnit val="2"/>
      </c:valAx>
      <c:valAx>
        <c:axId val="648865840"/>
        <c:scaling>
          <c:orientation val="minMax"/>
          <c:max val="9000"/>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r>
                  <a:rPr lang="en-GB"/>
                  <a:t>₹</a:t>
                </a:r>
                <a:r>
                  <a:rPr lang="en-IN"/>
                  <a:t> Crore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crossAx val="648866232"/>
        <c:crosses val="max"/>
        <c:crossBetween val="between"/>
      </c:valAx>
      <c:dateAx>
        <c:axId val="648866232"/>
        <c:scaling>
          <c:orientation val="minMax"/>
        </c:scaling>
        <c:delete val="1"/>
        <c:axPos val="b"/>
        <c:numFmt formatCode="[$-409]mmm\-yy" sourceLinked="1"/>
        <c:majorTickMark val="out"/>
        <c:minorTickMark val="none"/>
        <c:tickLblPos val="nextTo"/>
        <c:crossAx val="648865840"/>
        <c:crosses val="autoZero"/>
        <c:auto val="1"/>
        <c:lblOffset val="100"/>
        <c:baseTimeUnit val="months"/>
        <c:majorUnit val="1"/>
        <c:minorUnit val="1"/>
      </c:dateAx>
      <c:spPr>
        <a:noFill/>
        <a:ln>
          <a:solidFill>
            <a:sysClr val="window" lastClr="FFFFFF">
              <a:lumMod val="65000"/>
            </a:sysClr>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12700" cap="flat" cmpd="sng" algn="ctr">
      <a:solidFill>
        <a:sysClr val="window" lastClr="FFFFFF">
          <a:lumMod val="65000"/>
        </a:sysClr>
      </a:solidFill>
      <a:round/>
    </a:ln>
    <a:effectLst/>
  </c:spPr>
  <c:txPr>
    <a:bodyPr/>
    <a:lstStyle/>
    <a:p>
      <a:pPr>
        <a:defRPr b="1">
          <a:solidFill>
            <a:sysClr val="windowText" lastClr="000000"/>
          </a:solidFill>
          <a:latin typeface="Garamond" panose="02020404030301010803" pitchFamily="18"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accent1"/>
                </a:solidFill>
                <a:latin typeface="+mn-lt"/>
                <a:ea typeface="+mn-ea"/>
                <a:cs typeface="+mn-cs"/>
              </a:defRPr>
            </a:pPr>
            <a:r>
              <a:rPr lang="en-IN" sz="1200" b="1">
                <a:solidFill>
                  <a:schemeClr val="accent1"/>
                </a:solidFill>
              </a:rPr>
              <a:t>Movement of Domestic Indices - MCX iComdex</a:t>
            </a:r>
          </a:p>
        </c:rich>
      </c:tx>
      <c:layout>
        <c:manualLayout>
          <c:xMode val="edge"/>
          <c:yMode val="edge"/>
          <c:x val="0.27042308855989167"/>
          <c:y val="2.89932151598161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accent1"/>
              </a:solidFill>
              <a:latin typeface="+mn-lt"/>
              <a:ea typeface="+mn-ea"/>
              <a:cs typeface="+mn-cs"/>
            </a:defRPr>
          </a:pPr>
          <a:endParaRPr lang="en-US"/>
        </a:p>
      </c:txPr>
    </c:title>
    <c:autoTitleDeleted val="0"/>
    <c:plotArea>
      <c:layout>
        <c:manualLayout>
          <c:layoutTarget val="inner"/>
          <c:xMode val="edge"/>
          <c:yMode val="edge"/>
          <c:x val="3.0445248133130945E-2"/>
          <c:y val="9.5263813252921672E-2"/>
          <c:w val="0.83437634578092346"/>
          <c:h val="0.62603877559691201"/>
        </c:manualLayout>
      </c:layout>
      <c:lineChart>
        <c:grouping val="standard"/>
        <c:varyColors val="0"/>
        <c:ser>
          <c:idx val="0"/>
          <c:order val="0"/>
          <c:tx>
            <c:strRef>
              <c:f>Index_Chart!$F$1</c:f>
              <c:strCache>
                <c:ptCount val="1"/>
                <c:pt idx="0">
                  <c:v>Composite</c:v>
                </c:pt>
              </c:strCache>
            </c:strRef>
          </c:tx>
          <c:spPr>
            <a:ln w="28575" cap="rnd">
              <a:solidFill>
                <a:schemeClr val="accent1"/>
              </a:solidFill>
              <a:round/>
            </a:ln>
            <a:effectLst/>
          </c:spPr>
          <c:marker>
            <c:symbol val="none"/>
          </c:marker>
          <c:dPt>
            <c:idx val="260"/>
            <c:marker>
              <c:symbol val="none"/>
            </c:marker>
            <c:bubble3D val="0"/>
            <c:extLst xmlns:c16r2="http://schemas.microsoft.com/office/drawing/2015/06/chart">
              <c:ext xmlns:c16="http://schemas.microsoft.com/office/drawing/2014/chart" uri="{C3380CC4-5D6E-409C-BE32-E72D297353CC}">
                <c16:uniqueId val="{00000000-4842-4662-922D-691C146D279F}"/>
              </c:ext>
            </c:extLst>
          </c:dPt>
          <c:cat>
            <c:numRef>
              <c:f>Index_Chart!$A$2:$A$261</c:f>
              <c:numCache>
                <c:formatCode>d\-mmm\-yy</c:formatCode>
                <c:ptCount val="260"/>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44588</c:v>
                </c:pt>
                <c:pt idx="173">
                  <c:v>44589</c:v>
                </c:pt>
                <c:pt idx="174">
                  <c:v>44592</c:v>
                </c:pt>
                <c:pt idx="175">
                  <c:v>44593</c:v>
                </c:pt>
                <c:pt idx="176">
                  <c:v>44594</c:v>
                </c:pt>
                <c:pt idx="177">
                  <c:v>44595</c:v>
                </c:pt>
                <c:pt idx="178">
                  <c:v>44596</c:v>
                </c:pt>
                <c:pt idx="179">
                  <c:v>44599</c:v>
                </c:pt>
                <c:pt idx="180">
                  <c:v>44600</c:v>
                </c:pt>
                <c:pt idx="181">
                  <c:v>44601</c:v>
                </c:pt>
                <c:pt idx="182">
                  <c:v>44602</c:v>
                </c:pt>
                <c:pt idx="183">
                  <c:v>44603</c:v>
                </c:pt>
                <c:pt idx="184">
                  <c:v>44606</c:v>
                </c:pt>
                <c:pt idx="185">
                  <c:v>44607</c:v>
                </c:pt>
                <c:pt idx="186">
                  <c:v>44608</c:v>
                </c:pt>
                <c:pt idx="187">
                  <c:v>44609</c:v>
                </c:pt>
                <c:pt idx="188">
                  <c:v>44610</c:v>
                </c:pt>
                <c:pt idx="189">
                  <c:v>44613</c:v>
                </c:pt>
                <c:pt idx="190">
                  <c:v>44614</c:v>
                </c:pt>
                <c:pt idx="191">
                  <c:v>44615</c:v>
                </c:pt>
                <c:pt idx="192">
                  <c:v>44616</c:v>
                </c:pt>
                <c:pt idx="193">
                  <c:v>44617</c:v>
                </c:pt>
                <c:pt idx="194">
                  <c:v>44620</c:v>
                </c:pt>
                <c:pt idx="195">
                  <c:v>44621</c:v>
                </c:pt>
                <c:pt idx="196">
                  <c:v>44622</c:v>
                </c:pt>
                <c:pt idx="197">
                  <c:v>44623</c:v>
                </c:pt>
                <c:pt idx="198">
                  <c:v>44624</c:v>
                </c:pt>
                <c:pt idx="199">
                  <c:v>44627</c:v>
                </c:pt>
                <c:pt idx="200">
                  <c:v>44628</c:v>
                </c:pt>
                <c:pt idx="201">
                  <c:v>44629</c:v>
                </c:pt>
                <c:pt idx="202">
                  <c:v>44630</c:v>
                </c:pt>
                <c:pt idx="203">
                  <c:v>44631</c:v>
                </c:pt>
                <c:pt idx="204">
                  <c:v>44634</c:v>
                </c:pt>
                <c:pt idx="205">
                  <c:v>44635</c:v>
                </c:pt>
                <c:pt idx="206">
                  <c:v>44636</c:v>
                </c:pt>
                <c:pt idx="207">
                  <c:v>44637</c:v>
                </c:pt>
                <c:pt idx="208">
                  <c:v>44638</c:v>
                </c:pt>
                <c:pt idx="209">
                  <c:v>44641</c:v>
                </c:pt>
                <c:pt idx="210">
                  <c:v>44642</c:v>
                </c:pt>
                <c:pt idx="211">
                  <c:v>44643</c:v>
                </c:pt>
                <c:pt idx="212">
                  <c:v>44644</c:v>
                </c:pt>
                <c:pt idx="213">
                  <c:v>44645</c:v>
                </c:pt>
                <c:pt idx="214">
                  <c:v>44648</c:v>
                </c:pt>
                <c:pt idx="215">
                  <c:v>44649</c:v>
                </c:pt>
                <c:pt idx="216">
                  <c:v>44650</c:v>
                </c:pt>
                <c:pt idx="217">
                  <c:v>44651</c:v>
                </c:pt>
                <c:pt idx="218">
                  <c:v>44652</c:v>
                </c:pt>
                <c:pt idx="219">
                  <c:v>44655</c:v>
                </c:pt>
                <c:pt idx="220">
                  <c:v>44656</c:v>
                </c:pt>
                <c:pt idx="221">
                  <c:v>44657</c:v>
                </c:pt>
                <c:pt idx="222">
                  <c:v>44658</c:v>
                </c:pt>
                <c:pt idx="223">
                  <c:v>44659</c:v>
                </c:pt>
                <c:pt idx="224">
                  <c:v>44662</c:v>
                </c:pt>
                <c:pt idx="225">
                  <c:v>44663</c:v>
                </c:pt>
                <c:pt idx="226">
                  <c:v>44664</c:v>
                </c:pt>
                <c:pt idx="227">
                  <c:v>44665</c:v>
                </c:pt>
                <c:pt idx="228">
                  <c:v>44669</c:v>
                </c:pt>
                <c:pt idx="229">
                  <c:v>44670</c:v>
                </c:pt>
                <c:pt idx="230">
                  <c:v>44671</c:v>
                </c:pt>
                <c:pt idx="231">
                  <c:v>44672</c:v>
                </c:pt>
                <c:pt idx="232">
                  <c:v>44673</c:v>
                </c:pt>
                <c:pt idx="233">
                  <c:v>44676</c:v>
                </c:pt>
                <c:pt idx="234">
                  <c:v>44677</c:v>
                </c:pt>
                <c:pt idx="235">
                  <c:v>44678</c:v>
                </c:pt>
                <c:pt idx="236">
                  <c:v>44679</c:v>
                </c:pt>
                <c:pt idx="237">
                  <c:v>44680</c:v>
                </c:pt>
                <c:pt idx="238">
                  <c:v>44683</c:v>
                </c:pt>
                <c:pt idx="239">
                  <c:v>44684</c:v>
                </c:pt>
                <c:pt idx="240">
                  <c:v>44685</c:v>
                </c:pt>
                <c:pt idx="241">
                  <c:v>44686</c:v>
                </c:pt>
                <c:pt idx="242">
                  <c:v>44687</c:v>
                </c:pt>
                <c:pt idx="243">
                  <c:v>44690</c:v>
                </c:pt>
                <c:pt idx="244">
                  <c:v>44691</c:v>
                </c:pt>
                <c:pt idx="245">
                  <c:v>44692</c:v>
                </c:pt>
                <c:pt idx="246">
                  <c:v>44693</c:v>
                </c:pt>
                <c:pt idx="247">
                  <c:v>44694</c:v>
                </c:pt>
                <c:pt idx="248">
                  <c:v>44697</c:v>
                </c:pt>
                <c:pt idx="249">
                  <c:v>44698</c:v>
                </c:pt>
                <c:pt idx="250">
                  <c:v>44699</c:v>
                </c:pt>
                <c:pt idx="251">
                  <c:v>44700</c:v>
                </c:pt>
                <c:pt idx="252">
                  <c:v>44701</c:v>
                </c:pt>
                <c:pt idx="253">
                  <c:v>44704</c:v>
                </c:pt>
                <c:pt idx="254">
                  <c:v>44705</c:v>
                </c:pt>
                <c:pt idx="255">
                  <c:v>44706</c:v>
                </c:pt>
                <c:pt idx="256">
                  <c:v>44707</c:v>
                </c:pt>
                <c:pt idx="257">
                  <c:v>44708</c:v>
                </c:pt>
                <c:pt idx="258">
                  <c:v>44711</c:v>
                </c:pt>
                <c:pt idx="259">
                  <c:v>44712</c:v>
                </c:pt>
              </c:numCache>
            </c:numRef>
          </c:cat>
          <c:val>
            <c:numRef>
              <c:f>Index_Chart!$F$2:$F$281</c:f>
              <c:numCache>
                <c:formatCode>_(* #,##0.00_);_(* \(#,##0.00\);_(* "-"??_);_(@_)</c:formatCode>
                <c:ptCount val="280"/>
                <c:pt idx="0">
                  <c:v>100</c:v>
                </c:pt>
                <c:pt idx="1">
                  <c:v>100.49751591178082</c:v>
                </c:pt>
                <c:pt idx="2">
                  <c:v>100.92860908516425</c:v>
                </c:pt>
                <c:pt idx="3">
                  <c:v>99.109970218872093</c:v>
                </c:pt>
                <c:pt idx="4">
                  <c:v>99.924936195766406</c:v>
                </c:pt>
                <c:pt idx="5">
                  <c:v>100.04678395240607</c:v>
                </c:pt>
                <c:pt idx="6">
                  <c:v>100.12385527698544</c:v>
                </c:pt>
                <c:pt idx="7">
                  <c:v>100.11896740136092</c:v>
                </c:pt>
                <c:pt idx="8">
                  <c:v>100.19856994724586</c:v>
                </c:pt>
                <c:pt idx="9">
                  <c:v>100.30435754111926</c:v>
                </c:pt>
                <c:pt idx="10">
                  <c:v>99.932093442216569</c:v>
                </c:pt>
                <c:pt idx="11">
                  <c:v>99.044856732874095</c:v>
                </c:pt>
                <c:pt idx="12">
                  <c:v>99.242728412173591</c:v>
                </c:pt>
                <c:pt idx="13">
                  <c:v>96.594285375127001</c:v>
                </c:pt>
                <c:pt idx="14">
                  <c:v>96.488323214267012</c:v>
                </c:pt>
                <c:pt idx="15">
                  <c:v>97.409687769487789</c:v>
                </c:pt>
                <c:pt idx="16">
                  <c:v>97.722075391990174</c:v>
                </c:pt>
                <c:pt idx="17">
                  <c:v>98.286974160594639</c:v>
                </c:pt>
                <c:pt idx="18">
                  <c:v>98.331837876148214</c:v>
                </c:pt>
                <c:pt idx="19">
                  <c:v>98.606519029547215</c:v>
                </c:pt>
                <c:pt idx="20">
                  <c:v>98.544111331841378</c:v>
                </c:pt>
                <c:pt idx="21">
                  <c:v>98.239055522775757</c:v>
                </c:pt>
                <c:pt idx="22">
                  <c:v>98.741022892714625</c:v>
                </c:pt>
                <c:pt idx="23">
                  <c:v>99.227628367833589</c:v>
                </c:pt>
                <c:pt idx="24">
                  <c:v>99.952343212660992</c:v>
                </c:pt>
                <c:pt idx="25">
                  <c:v>100.39207745188061</c:v>
                </c:pt>
                <c:pt idx="26">
                  <c:v>99.48581294099985</c:v>
                </c:pt>
                <c:pt idx="27">
                  <c:v>99.633933029121252</c:v>
                </c:pt>
                <c:pt idx="28">
                  <c:v>99.403941024289239</c:v>
                </c:pt>
                <c:pt idx="29">
                  <c:v>100.4724655492052</c:v>
                </c:pt>
                <c:pt idx="30">
                  <c:v>100.27084067969403</c:v>
                </c:pt>
                <c:pt idx="31">
                  <c:v>100.65331694731219</c:v>
                </c:pt>
                <c:pt idx="32">
                  <c:v>100.48285228490728</c:v>
                </c:pt>
                <c:pt idx="33">
                  <c:v>100.6973951114261</c:v>
                </c:pt>
                <c:pt idx="34">
                  <c:v>100.49367543807585</c:v>
                </c:pt>
                <c:pt idx="35">
                  <c:v>98.672330783491546</c:v>
                </c:pt>
                <c:pt idx="36">
                  <c:v>98.88442967219811</c:v>
                </c:pt>
                <c:pt idx="37">
                  <c:v>99.423754377267187</c:v>
                </c:pt>
                <c:pt idx="38">
                  <c:v>100.09452802323835</c:v>
                </c:pt>
                <c:pt idx="39">
                  <c:v>100.70306853849027</c:v>
                </c:pt>
                <c:pt idx="40">
                  <c:v>101.17754160804124</c:v>
                </c:pt>
                <c:pt idx="41">
                  <c:v>100.65881580738976</c:v>
                </c:pt>
                <c:pt idx="42">
                  <c:v>100.98246300052718</c:v>
                </c:pt>
                <c:pt idx="43">
                  <c:v>102.45650663529116</c:v>
                </c:pt>
                <c:pt idx="44">
                  <c:v>101.92721953195098</c:v>
                </c:pt>
                <c:pt idx="45">
                  <c:v>101.10806394737853</c:v>
                </c:pt>
                <c:pt idx="46">
                  <c:v>100.59169480104599</c:v>
                </c:pt>
                <c:pt idx="47">
                  <c:v>100.12691019925074</c:v>
                </c:pt>
                <c:pt idx="48">
                  <c:v>100.10247082112819</c:v>
                </c:pt>
                <c:pt idx="49">
                  <c:v>98.857982773729759</c:v>
                </c:pt>
                <c:pt idx="50">
                  <c:v>96.852120814320088</c:v>
                </c:pt>
                <c:pt idx="51">
                  <c:v>97.807438648432552</c:v>
                </c:pt>
                <c:pt idx="52">
                  <c:v>98.626157815538562</c:v>
                </c:pt>
                <c:pt idx="53">
                  <c:v>98.246998320665597</c:v>
                </c:pt>
                <c:pt idx="54">
                  <c:v>98.994581440736255</c:v>
                </c:pt>
                <c:pt idx="55">
                  <c:v>98.962024697737263</c:v>
                </c:pt>
                <c:pt idx="56">
                  <c:v>98.344581266169271</c:v>
                </c:pt>
                <c:pt idx="57">
                  <c:v>97.426358916707102</c:v>
                </c:pt>
                <c:pt idx="58">
                  <c:v>96.410291771261384</c:v>
                </c:pt>
                <c:pt idx="59">
                  <c:v>96.291149802913864</c:v>
                </c:pt>
                <c:pt idx="60">
                  <c:v>97.992392370724417</c:v>
                </c:pt>
                <c:pt idx="61">
                  <c:v>98.752369746842945</c:v>
                </c:pt>
                <c:pt idx="62">
                  <c:v>98.57562067292082</c:v>
                </c:pt>
                <c:pt idx="63">
                  <c:v>98.350080126246837</c:v>
                </c:pt>
                <c:pt idx="64">
                  <c:v>98.939330989480595</c:v>
                </c:pt>
                <c:pt idx="65">
                  <c:v>98.807009213645543</c:v>
                </c:pt>
                <c:pt idx="66">
                  <c:v>98.535033848538703</c:v>
                </c:pt>
                <c:pt idx="67">
                  <c:v>98.398871598998682</c:v>
                </c:pt>
                <c:pt idx="68">
                  <c:v>98.911923972585996</c:v>
                </c:pt>
                <c:pt idx="69">
                  <c:v>99.829098920128629</c:v>
                </c:pt>
                <c:pt idx="70">
                  <c:v>99.651564294766828</c:v>
                </c:pt>
                <c:pt idx="71">
                  <c:v>99.127339634037767</c:v>
                </c:pt>
                <c:pt idx="72">
                  <c:v>99.687263243524441</c:v>
                </c:pt>
                <c:pt idx="73">
                  <c:v>99.819235885386291</c:v>
                </c:pt>
                <c:pt idx="74">
                  <c:v>100.33796168603777</c:v>
                </c:pt>
                <c:pt idx="75">
                  <c:v>100.11695988101515</c:v>
                </c:pt>
                <c:pt idx="76">
                  <c:v>100.21890700118357</c:v>
                </c:pt>
                <c:pt idx="77">
                  <c:v>100.85354528093065</c:v>
                </c:pt>
                <c:pt idx="78">
                  <c:v>99.496286960195221</c:v>
                </c:pt>
                <c:pt idx="79">
                  <c:v>98.814952011535382</c:v>
                </c:pt>
                <c:pt idx="80">
                  <c:v>98.055847470349804</c:v>
                </c:pt>
                <c:pt idx="81">
                  <c:v>98.280777032570711</c:v>
                </c:pt>
                <c:pt idx="82">
                  <c:v>99.313078907769267</c:v>
                </c:pt>
                <c:pt idx="83">
                  <c:v>99.590029431993941</c:v>
                </c:pt>
                <c:pt idx="84">
                  <c:v>99.742251844300213</c:v>
                </c:pt>
                <c:pt idx="85">
                  <c:v>100.55320278050294</c:v>
                </c:pt>
                <c:pt idx="86">
                  <c:v>100.44217817703188</c:v>
                </c:pt>
                <c:pt idx="87">
                  <c:v>99.452296079574623</c:v>
                </c:pt>
                <c:pt idx="88">
                  <c:v>100.01606016276625</c:v>
                </c:pt>
                <c:pt idx="89">
                  <c:v>100.3870150092695</c:v>
                </c:pt>
                <c:pt idx="90">
                  <c:v>101.83199324076628</c:v>
                </c:pt>
                <c:pt idx="91">
                  <c:v>102.626360313243</c:v>
                </c:pt>
                <c:pt idx="92">
                  <c:v>102.11819581528022</c:v>
                </c:pt>
                <c:pt idx="93">
                  <c:v>102.46287833030168</c:v>
                </c:pt>
                <c:pt idx="94">
                  <c:v>103.66398648153256</c:v>
                </c:pt>
                <c:pt idx="95">
                  <c:v>104.15198849254426</c:v>
                </c:pt>
                <c:pt idx="96">
                  <c:v>104.17433306682773</c:v>
                </c:pt>
                <c:pt idx="97">
                  <c:v>105.24329400921016</c:v>
                </c:pt>
                <c:pt idx="98">
                  <c:v>106.16718978573647</c:v>
                </c:pt>
                <c:pt idx="99">
                  <c:v>106.88658033747289</c:v>
                </c:pt>
                <c:pt idx="100">
                  <c:v>106.5559504648719</c:v>
                </c:pt>
                <c:pt idx="101">
                  <c:v>106.70302315107377</c:v>
                </c:pt>
                <c:pt idx="102">
                  <c:v>107.98268644627002</c:v>
                </c:pt>
                <c:pt idx="103">
                  <c:v>106.03696281374052</c:v>
                </c:pt>
                <c:pt idx="104">
                  <c:v>106.82775126299215</c:v>
                </c:pt>
                <c:pt idx="105">
                  <c:v>108.11902326279663</c:v>
                </c:pt>
                <c:pt idx="106">
                  <c:v>107.50646770685314</c:v>
                </c:pt>
                <c:pt idx="107">
                  <c:v>106.73863481633808</c:v>
                </c:pt>
                <c:pt idx="108">
                  <c:v>106.52304458789972</c:v>
                </c:pt>
                <c:pt idx="109">
                  <c:v>106.28589533661751</c:v>
                </c:pt>
                <c:pt idx="110">
                  <c:v>106.49956532820339</c:v>
                </c:pt>
                <c:pt idx="111">
                  <c:v>105.7795637920139</c:v>
                </c:pt>
                <c:pt idx="112">
                  <c:v>104.28692877317813</c:v>
                </c:pt>
                <c:pt idx="113">
                  <c:v>105.52391044015322</c:v>
                </c:pt>
                <c:pt idx="114">
                  <c:v>104.98214179727185</c:v>
                </c:pt>
                <c:pt idx="115">
                  <c:v>105.43453214301923</c:v>
                </c:pt>
                <c:pt idx="116">
                  <c:v>105.38242389752219</c:v>
                </c:pt>
                <c:pt idx="117">
                  <c:v>105.75102208970648</c:v>
                </c:pt>
                <c:pt idx="118">
                  <c:v>106.48856760804823</c:v>
                </c:pt>
                <c:pt idx="119">
                  <c:v>106.56930483934599</c:v>
                </c:pt>
                <c:pt idx="120">
                  <c:v>106.01287256959114</c:v>
                </c:pt>
                <c:pt idx="121">
                  <c:v>106.240158786131</c:v>
                </c:pt>
                <c:pt idx="122">
                  <c:v>105.34384459348584</c:v>
                </c:pt>
                <c:pt idx="123">
                  <c:v>105.45495648045025</c:v>
                </c:pt>
                <c:pt idx="124">
                  <c:v>105.3144300562455</c:v>
                </c:pt>
                <c:pt idx="125">
                  <c:v>104.86073045809867</c:v>
                </c:pt>
                <c:pt idx="126">
                  <c:v>104.67176169511528</c:v>
                </c:pt>
                <c:pt idx="127">
                  <c:v>105.12930176696705</c:v>
                </c:pt>
                <c:pt idx="128">
                  <c:v>104.97856317404677</c:v>
                </c:pt>
                <c:pt idx="129">
                  <c:v>102.30795012970326</c:v>
                </c:pt>
                <c:pt idx="130">
                  <c:v>102.64905402149967</c:v>
                </c:pt>
                <c:pt idx="131">
                  <c:v>100.5694375102558</c:v>
                </c:pt>
                <c:pt idx="132">
                  <c:v>100.38649130830974</c:v>
                </c:pt>
                <c:pt idx="133">
                  <c:v>99.747663420884507</c:v>
                </c:pt>
                <c:pt idx="134">
                  <c:v>100.67958927879394</c:v>
                </c:pt>
                <c:pt idx="135">
                  <c:v>100.89325927037982</c:v>
                </c:pt>
                <c:pt idx="136">
                  <c:v>102.28630382336614</c:v>
                </c:pt>
                <c:pt idx="137">
                  <c:v>102.51271720497306</c:v>
                </c:pt>
                <c:pt idx="138">
                  <c:v>101.83181867377971</c:v>
                </c:pt>
                <c:pt idx="139">
                  <c:v>102.03012677054566</c:v>
                </c:pt>
                <c:pt idx="140">
                  <c:v>102.35298841224343</c:v>
                </c:pt>
                <c:pt idx="141">
                  <c:v>101.44331984512418</c:v>
                </c:pt>
                <c:pt idx="142">
                  <c:v>101.23270477580361</c:v>
                </c:pt>
                <c:pt idx="143">
                  <c:v>103.07072057760725</c:v>
                </c:pt>
                <c:pt idx="144">
                  <c:v>102.41801461474813</c:v>
                </c:pt>
                <c:pt idx="145">
                  <c:v>101.00201450302524</c:v>
                </c:pt>
                <c:pt idx="146">
                  <c:v>102.22424525963348</c:v>
                </c:pt>
                <c:pt idx="147">
                  <c:v>102.90374725493415</c:v>
                </c:pt>
                <c:pt idx="148">
                  <c:v>102.89693914245713</c:v>
                </c:pt>
                <c:pt idx="149">
                  <c:v>102.98038216204704</c:v>
                </c:pt>
                <c:pt idx="150">
                  <c:v>103.6903460965076</c:v>
                </c:pt>
                <c:pt idx="151">
                  <c:v>103.71461090764357</c:v>
                </c:pt>
                <c:pt idx="152">
                  <c:v>103.49221256672823</c:v>
                </c:pt>
                <c:pt idx="153">
                  <c:v>103.46969342545816</c:v>
                </c:pt>
                <c:pt idx="154">
                  <c:v>103.54981967230286</c:v>
                </c:pt>
                <c:pt idx="155">
                  <c:v>103.28831832639138</c:v>
                </c:pt>
                <c:pt idx="156">
                  <c:v>104.27348711521071</c:v>
                </c:pt>
                <c:pt idx="157">
                  <c:v>104.30342535341086</c:v>
                </c:pt>
                <c:pt idx="158">
                  <c:v>103.63884883546363</c:v>
                </c:pt>
                <c:pt idx="159">
                  <c:v>103.74376359440407</c:v>
                </c:pt>
                <c:pt idx="160">
                  <c:v>103.59826201108152</c:v>
                </c:pt>
                <c:pt idx="161">
                  <c:v>104.78680133927791</c:v>
                </c:pt>
                <c:pt idx="162">
                  <c:v>106.0815646788142</c:v>
                </c:pt>
                <c:pt idx="163">
                  <c:v>105.81168411754642</c:v>
                </c:pt>
                <c:pt idx="164">
                  <c:v>105.95229782524449</c:v>
                </c:pt>
                <c:pt idx="165">
                  <c:v>106.42022463279834</c:v>
                </c:pt>
                <c:pt idx="166">
                  <c:v>106.87977222499589</c:v>
                </c:pt>
                <c:pt idx="167">
                  <c:v>108.3532921588001</c:v>
                </c:pt>
                <c:pt idx="168">
                  <c:v>109.21722417543285</c:v>
                </c:pt>
                <c:pt idx="169">
                  <c:v>108.9466453462187</c:v>
                </c:pt>
                <c:pt idx="170">
                  <c:v>107.97273612803441</c:v>
                </c:pt>
                <c:pt idx="171">
                  <c:v>108.72808747900831</c:v>
                </c:pt>
                <c:pt idx="172">
                  <c:v>109.0185669446937</c:v>
                </c:pt>
                <c:pt idx="173">
                  <c:v>108.98871598998683</c:v>
                </c:pt>
                <c:pt idx="174">
                  <c:v>108.97370322914013</c:v>
                </c:pt>
                <c:pt idx="175">
                  <c:v>109.62396525418698</c:v>
                </c:pt>
                <c:pt idx="176">
                  <c:v>111.02093756437156</c:v>
                </c:pt>
                <c:pt idx="177">
                  <c:v>110.10847592546689</c:v>
                </c:pt>
                <c:pt idx="178">
                  <c:v>110.59429584914619</c:v>
                </c:pt>
                <c:pt idx="179">
                  <c:v>110.37704723433524</c:v>
                </c:pt>
                <c:pt idx="180">
                  <c:v>110.3023325640748</c:v>
                </c:pt>
                <c:pt idx="181">
                  <c:v>110.86566022979997</c:v>
                </c:pt>
                <c:pt idx="182">
                  <c:v>111.94012003225997</c:v>
                </c:pt>
                <c:pt idx="183">
                  <c:v>111.46067180359118</c:v>
                </c:pt>
                <c:pt idx="184">
                  <c:v>113.02871976063375</c:v>
                </c:pt>
                <c:pt idx="185">
                  <c:v>111.97800106834997</c:v>
                </c:pt>
                <c:pt idx="186">
                  <c:v>112.93279520150267</c:v>
                </c:pt>
                <c:pt idx="187">
                  <c:v>113.13476920498704</c:v>
                </c:pt>
                <c:pt idx="188">
                  <c:v>112.95802013106488</c:v>
                </c:pt>
                <c:pt idx="189">
                  <c:v>113.38946243842149</c:v>
                </c:pt>
                <c:pt idx="190">
                  <c:v>113.96204215443592</c:v>
                </c:pt>
                <c:pt idx="191">
                  <c:v>113.78756245133945</c:v>
                </c:pt>
                <c:pt idx="192">
                  <c:v>116.65875296327459</c:v>
                </c:pt>
                <c:pt idx="193">
                  <c:v>113.77874681851668</c:v>
                </c:pt>
                <c:pt idx="194">
                  <c:v>115.60829612147067</c:v>
                </c:pt>
                <c:pt idx="195">
                  <c:v>119.89234453937007</c:v>
                </c:pt>
                <c:pt idx="196">
                  <c:v>121.44040457644812</c:v>
                </c:pt>
                <c:pt idx="197">
                  <c:v>123.72042398829701</c:v>
                </c:pt>
                <c:pt idx="198">
                  <c:v>127.23437014485567</c:v>
                </c:pt>
                <c:pt idx="199">
                  <c:v>141.41435918204891</c:v>
                </c:pt>
                <c:pt idx="200">
                  <c:v>138.06485512685782</c:v>
                </c:pt>
                <c:pt idx="201">
                  <c:v>131.86388662921624</c:v>
                </c:pt>
                <c:pt idx="202">
                  <c:v>129.90376122029306</c:v>
                </c:pt>
                <c:pt idx="203">
                  <c:v>129.60368057034526</c:v>
                </c:pt>
                <c:pt idx="204">
                  <c:v>127.42709209805079</c:v>
                </c:pt>
                <c:pt idx="205">
                  <c:v>125.49271531964961</c:v>
                </c:pt>
                <c:pt idx="206">
                  <c:v>124.47708459167035</c:v>
                </c:pt>
                <c:pt idx="207">
                  <c:v>126.33727040077089</c:v>
                </c:pt>
                <c:pt idx="208">
                  <c:v>126.60514344169287</c:v>
                </c:pt>
                <c:pt idx="209">
                  <c:v>125.50240378740534</c:v>
                </c:pt>
                <c:pt idx="210">
                  <c:v>124.63908275522566</c:v>
                </c:pt>
                <c:pt idx="211">
                  <c:v>127.47195581360435</c:v>
                </c:pt>
                <c:pt idx="212">
                  <c:v>129.72037860088051</c:v>
                </c:pt>
                <c:pt idx="213">
                  <c:v>131.03172580414284</c:v>
                </c:pt>
                <c:pt idx="214">
                  <c:v>128.15852777186188</c:v>
                </c:pt>
                <c:pt idx="215">
                  <c:v>125.83041515520752</c:v>
                </c:pt>
                <c:pt idx="216">
                  <c:v>127.72472881018632</c:v>
                </c:pt>
                <c:pt idx="217">
                  <c:v>126.69923504746477</c:v>
                </c:pt>
                <c:pt idx="218">
                  <c:v>126.18042196331997</c:v>
                </c:pt>
                <c:pt idx="219">
                  <c:v>126.6728754324897</c:v>
                </c:pt>
                <c:pt idx="220">
                  <c:v>127.62583661228324</c:v>
                </c:pt>
                <c:pt idx="221">
                  <c:v>126.83487359604501</c:v>
                </c:pt>
                <c:pt idx="222">
                  <c:v>126.31466397600752</c:v>
                </c:pt>
                <c:pt idx="223">
                  <c:v>127.09096336537218</c:v>
                </c:pt>
                <c:pt idx="224">
                  <c:v>126.14830163778745</c:v>
                </c:pt>
                <c:pt idx="225">
                  <c:v>128.66651770283809</c:v>
                </c:pt>
                <c:pt idx="226">
                  <c:v>130.07893919133591</c:v>
                </c:pt>
                <c:pt idx="227">
                  <c:v>131.00274768436893</c:v>
                </c:pt>
                <c:pt idx="228">
                  <c:v>134.12531465699331</c:v>
                </c:pt>
                <c:pt idx="229">
                  <c:v>131.04595301354988</c:v>
                </c:pt>
                <c:pt idx="230">
                  <c:v>130.32883183263914</c:v>
                </c:pt>
                <c:pt idx="231">
                  <c:v>130.21527600786249</c:v>
                </c:pt>
                <c:pt idx="232">
                  <c:v>129.27662932096936</c:v>
                </c:pt>
                <c:pt idx="233">
                  <c:v>126.01083013584801</c:v>
                </c:pt>
                <c:pt idx="234">
                  <c:v>127.59825502840205</c:v>
                </c:pt>
                <c:pt idx="235">
                  <c:v>128.05370029641475</c:v>
                </c:pt>
                <c:pt idx="236">
                  <c:v>127.81288513841416</c:v>
                </c:pt>
                <c:pt idx="237">
                  <c:v>127.73014038677061</c:v>
                </c:pt>
                <c:pt idx="238">
                  <c:v>126.04041924007498</c:v>
                </c:pt>
                <c:pt idx="239">
                  <c:v>126.26761817312155</c:v>
                </c:pt>
                <c:pt idx="240">
                  <c:v>127.01109896900738</c:v>
                </c:pt>
                <c:pt idx="241">
                  <c:v>127.23437014485567</c:v>
                </c:pt>
                <c:pt idx="242">
                  <c:v>126.96702080489347</c:v>
                </c:pt>
                <c:pt idx="243">
                  <c:v>123.35357146597865</c:v>
                </c:pt>
                <c:pt idx="244">
                  <c:v>121.75602168820241</c:v>
                </c:pt>
                <c:pt idx="245">
                  <c:v>123.6936279558555</c:v>
                </c:pt>
                <c:pt idx="246">
                  <c:v>122.54890494129312</c:v>
                </c:pt>
                <c:pt idx="247">
                  <c:v>123.48310017002827</c:v>
                </c:pt>
                <c:pt idx="248">
                  <c:v>125.48232858394752</c:v>
                </c:pt>
                <c:pt idx="249">
                  <c:v>126.07917311109793</c:v>
                </c:pt>
                <c:pt idx="250">
                  <c:v>124.93602119941485</c:v>
                </c:pt>
                <c:pt idx="251">
                  <c:v>126.40482782458113</c:v>
                </c:pt>
                <c:pt idx="252">
                  <c:v>126.68029452941978</c:v>
                </c:pt>
                <c:pt idx="253">
                  <c:v>127.42394989229217</c:v>
                </c:pt>
                <c:pt idx="254">
                  <c:v>126.86009852560723</c:v>
                </c:pt>
                <c:pt idx="255">
                  <c:v>126.09636795927702</c:v>
                </c:pt>
                <c:pt idx="256">
                  <c:v>126.40273302074205</c:v>
                </c:pt>
                <c:pt idx="257">
                  <c:v>126.28708239212634</c:v>
                </c:pt>
                <c:pt idx="258">
                  <c:v>127.02113657073627</c:v>
                </c:pt>
                <c:pt idx="259">
                  <c:v>127.08834486057334</c:v>
                </c:pt>
              </c:numCache>
            </c:numRef>
          </c:val>
          <c:smooth val="0"/>
          <c:extLst xmlns:c16r2="http://schemas.microsoft.com/office/drawing/2015/06/chart">
            <c:ext xmlns:c16="http://schemas.microsoft.com/office/drawing/2014/chart" uri="{C3380CC4-5D6E-409C-BE32-E72D297353CC}">
              <c16:uniqueId val="{00000001-4842-4662-922D-691C146D279F}"/>
            </c:ext>
          </c:extLst>
        </c:ser>
        <c:ser>
          <c:idx val="1"/>
          <c:order val="1"/>
          <c:tx>
            <c:strRef>
              <c:f>Index_Chart!$I$1</c:f>
              <c:strCache>
                <c:ptCount val="1"/>
                <c:pt idx="0">
                  <c:v>Energy</c:v>
                </c:pt>
              </c:strCache>
            </c:strRef>
          </c:tx>
          <c:spPr>
            <a:ln w="28575" cap="rnd">
              <a:solidFill>
                <a:schemeClr val="accent2"/>
              </a:solidFill>
              <a:round/>
            </a:ln>
            <a:effectLst/>
          </c:spPr>
          <c:marker>
            <c:symbol val="none"/>
          </c:marker>
          <c:dPt>
            <c:idx val="260"/>
            <c:marker>
              <c:symbol val="none"/>
            </c:marker>
            <c:bubble3D val="0"/>
            <c:extLst xmlns:c16r2="http://schemas.microsoft.com/office/drawing/2015/06/chart">
              <c:ext xmlns:c16="http://schemas.microsoft.com/office/drawing/2014/chart" uri="{C3380CC4-5D6E-409C-BE32-E72D297353CC}">
                <c16:uniqueId val="{00000002-4842-4662-922D-691C146D279F}"/>
              </c:ext>
            </c:extLst>
          </c:dPt>
          <c:cat>
            <c:numRef>
              <c:f>Index_Chart!$A$2:$A$261</c:f>
              <c:numCache>
                <c:formatCode>d\-mmm\-yy</c:formatCode>
                <c:ptCount val="260"/>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44588</c:v>
                </c:pt>
                <c:pt idx="173">
                  <c:v>44589</c:v>
                </c:pt>
                <c:pt idx="174">
                  <c:v>44592</c:v>
                </c:pt>
                <c:pt idx="175">
                  <c:v>44593</c:v>
                </c:pt>
                <c:pt idx="176">
                  <c:v>44594</c:v>
                </c:pt>
                <c:pt idx="177">
                  <c:v>44595</c:v>
                </c:pt>
                <c:pt idx="178">
                  <c:v>44596</c:v>
                </c:pt>
                <c:pt idx="179">
                  <c:v>44599</c:v>
                </c:pt>
                <c:pt idx="180">
                  <c:v>44600</c:v>
                </c:pt>
                <c:pt idx="181">
                  <c:v>44601</c:v>
                </c:pt>
                <c:pt idx="182">
                  <c:v>44602</c:v>
                </c:pt>
                <c:pt idx="183">
                  <c:v>44603</c:v>
                </c:pt>
                <c:pt idx="184">
                  <c:v>44606</c:v>
                </c:pt>
                <c:pt idx="185">
                  <c:v>44607</c:v>
                </c:pt>
                <c:pt idx="186">
                  <c:v>44608</c:v>
                </c:pt>
                <c:pt idx="187">
                  <c:v>44609</c:v>
                </c:pt>
                <c:pt idx="188">
                  <c:v>44610</c:v>
                </c:pt>
                <c:pt idx="189">
                  <c:v>44613</c:v>
                </c:pt>
                <c:pt idx="190">
                  <c:v>44614</c:v>
                </c:pt>
                <c:pt idx="191">
                  <c:v>44615</c:v>
                </c:pt>
                <c:pt idx="192">
                  <c:v>44616</c:v>
                </c:pt>
                <c:pt idx="193">
                  <c:v>44617</c:v>
                </c:pt>
                <c:pt idx="194">
                  <c:v>44620</c:v>
                </c:pt>
                <c:pt idx="195">
                  <c:v>44621</c:v>
                </c:pt>
                <c:pt idx="196">
                  <c:v>44622</c:v>
                </c:pt>
                <c:pt idx="197">
                  <c:v>44623</c:v>
                </c:pt>
                <c:pt idx="198">
                  <c:v>44624</c:v>
                </c:pt>
                <c:pt idx="199">
                  <c:v>44627</c:v>
                </c:pt>
                <c:pt idx="200">
                  <c:v>44628</c:v>
                </c:pt>
                <c:pt idx="201">
                  <c:v>44629</c:v>
                </c:pt>
                <c:pt idx="202">
                  <c:v>44630</c:v>
                </c:pt>
                <c:pt idx="203">
                  <c:v>44631</c:v>
                </c:pt>
                <c:pt idx="204">
                  <c:v>44634</c:v>
                </c:pt>
                <c:pt idx="205">
                  <c:v>44635</c:v>
                </c:pt>
                <c:pt idx="206">
                  <c:v>44636</c:v>
                </c:pt>
                <c:pt idx="207">
                  <c:v>44637</c:v>
                </c:pt>
                <c:pt idx="208">
                  <c:v>44638</c:v>
                </c:pt>
                <c:pt idx="209">
                  <c:v>44641</c:v>
                </c:pt>
                <c:pt idx="210">
                  <c:v>44642</c:v>
                </c:pt>
                <c:pt idx="211">
                  <c:v>44643</c:v>
                </c:pt>
                <c:pt idx="212">
                  <c:v>44644</c:v>
                </c:pt>
                <c:pt idx="213">
                  <c:v>44645</c:v>
                </c:pt>
                <c:pt idx="214">
                  <c:v>44648</c:v>
                </c:pt>
                <c:pt idx="215">
                  <c:v>44649</c:v>
                </c:pt>
                <c:pt idx="216">
                  <c:v>44650</c:v>
                </c:pt>
                <c:pt idx="217">
                  <c:v>44651</c:v>
                </c:pt>
                <c:pt idx="218">
                  <c:v>44652</c:v>
                </c:pt>
                <c:pt idx="219">
                  <c:v>44655</c:v>
                </c:pt>
                <c:pt idx="220">
                  <c:v>44656</c:v>
                </c:pt>
                <c:pt idx="221">
                  <c:v>44657</c:v>
                </c:pt>
                <c:pt idx="222">
                  <c:v>44658</c:v>
                </c:pt>
                <c:pt idx="223">
                  <c:v>44659</c:v>
                </c:pt>
                <c:pt idx="224">
                  <c:v>44662</c:v>
                </c:pt>
                <c:pt idx="225">
                  <c:v>44663</c:v>
                </c:pt>
                <c:pt idx="226">
                  <c:v>44664</c:v>
                </c:pt>
                <c:pt idx="227">
                  <c:v>44665</c:v>
                </c:pt>
                <c:pt idx="228">
                  <c:v>44669</c:v>
                </c:pt>
                <c:pt idx="229">
                  <c:v>44670</c:v>
                </c:pt>
                <c:pt idx="230">
                  <c:v>44671</c:v>
                </c:pt>
                <c:pt idx="231">
                  <c:v>44672</c:v>
                </c:pt>
                <c:pt idx="232">
                  <c:v>44673</c:v>
                </c:pt>
                <c:pt idx="233">
                  <c:v>44676</c:v>
                </c:pt>
                <c:pt idx="234">
                  <c:v>44677</c:v>
                </c:pt>
                <c:pt idx="235">
                  <c:v>44678</c:v>
                </c:pt>
                <c:pt idx="236">
                  <c:v>44679</c:v>
                </c:pt>
                <c:pt idx="237">
                  <c:v>44680</c:v>
                </c:pt>
                <c:pt idx="238">
                  <c:v>44683</c:v>
                </c:pt>
                <c:pt idx="239">
                  <c:v>44684</c:v>
                </c:pt>
                <c:pt idx="240">
                  <c:v>44685</c:v>
                </c:pt>
                <c:pt idx="241">
                  <c:v>44686</c:v>
                </c:pt>
                <c:pt idx="242">
                  <c:v>44687</c:v>
                </c:pt>
                <c:pt idx="243">
                  <c:v>44690</c:v>
                </c:pt>
                <c:pt idx="244">
                  <c:v>44691</c:v>
                </c:pt>
                <c:pt idx="245">
                  <c:v>44692</c:v>
                </c:pt>
                <c:pt idx="246">
                  <c:v>44693</c:v>
                </c:pt>
                <c:pt idx="247">
                  <c:v>44694</c:v>
                </c:pt>
                <c:pt idx="248">
                  <c:v>44697</c:v>
                </c:pt>
                <c:pt idx="249">
                  <c:v>44698</c:v>
                </c:pt>
                <c:pt idx="250">
                  <c:v>44699</c:v>
                </c:pt>
                <c:pt idx="251">
                  <c:v>44700</c:v>
                </c:pt>
                <c:pt idx="252">
                  <c:v>44701</c:v>
                </c:pt>
                <c:pt idx="253">
                  <c:v>44704</c:v>
                </c:pt>
                <c:pt idx="254">
                  <c:v>44705</c:v>
                </c:pt>
                <c:pt idx="255">
                  <c:v>44706</c:v>
                </c:pt>
                <c:pt idx="256">
                  <c:v>44707</c:v>
                </c:pt>
                <c:pt idx="257">
                  <c:v>44708</c:v>
                </c:pt>
                <c:pt idx="258">
                  <c:v>44711</c:v>
                </c:pt>
                <c:pt idx="259">
                  <c:v>44712</c:v>
                </c:pt>
              </c:numCache>
            </c:numRef>
          </c:cat>
          <c:val>
            <c:numRef>
              <c:f>Index_Chart!$I$2:$I$281</c:f>
              <c:numCache>
                <c:formatCode>_(* #,##0.00_);_(* \(#,##0.00\);_(* "-"??_);_(@_)</c:formatCode>
                <c:ptCount val="280"/>
                <c:pt idx="0">
                  <c:v>100</c:v>
                </c:pt>
                <c:pt idx="1">
                  <c:v>101.67176900110748</c:v>
                </c:pt>
                <c:pt idx="2">
                  <c:v>102.83484859331378</c:v>
                </c:pt>
                <c:pt idx="3">
                  <c:v>102.51944431577485</c:v>
                </c:pt>
                <c:pt idx="4">
                  <c:v>103.84612145380738</c:v>
                </c:pt>
                <c:pt idx="5">
                  <c:v>103.18330926042118</c:v>
                </c:pt>
                <c:pt idx="6">
                  <c:v>104.3371246415382</c:v>
                </c:pt>
                <c:pt idx="7">
                  <c:v>104.29669899314868</c:v>
                </c:pt>
                <c:pt idx="8">
                  <c:v>104.87613328673156</c:v>
                </c:pt>
                <c:pt idx="9">
                  <c:v>107.05806554850447</c:v>
                </c:pt>
                <c:pt idx="10">
                  <c:v>106.99258442012353</c:v>
                </c:pt>
                <c:pt idx="11">
                  <c:v>108.17482408526445</c:v>
                </c:pt>
                <c:pt idx="12">
                  <c:v>108.24220016591359</c:v>
                </c:pt>
                <c:pt idx="13">
                  <c:v>107.80383454118996</c:v>
                </c:pt>
                <c:pt idx="14">
                  <c:v>108.57676451638713</c:v>
                </c:pt>
                <c:pt idx="15">
                  <c:v>110.87365721576768</c:v>
                </c:pt>
                <c:pt idx="16">
                  <c:v>111.05346713100015</c:v>
                </c:pt>
                <c:pt idx="17">
                  <c:v>111.75502057075963</c:v>
                </c:pt>
                <c:pt idx="18">
                  <c:v>112.14474908726466</c:v>
                </c:pt>
                <c:pt idx="19">
                  <c:v>113.64660403498503</c:v>
                </c:pt>
                <c:pt idx="20">
                  <c:v>112.51552808108711</c:v>
                </c:pt>
                <c:pt idx="21">
                  <c:v>113.05222067350815</c:v>
                </c:pt>
                <c:pt idx="22">
                  <c:v>114.15824114741464</c:v>
                </c:pt>
                <c:pt idx="23">
                  <c:v>116.1896299789871</c:v>
                </c:pt>
                <c:pt idx="24">
                  <c:v>116.34691101725249</c:v>
                </c:pt>
                <c:pt idx="25">
                  <c:v>118.16901289830844</c:v>
                </c:pt>
                <c:pt idx="26">
                  <c:v>114.30415247207051</c:v>
                </c:pt>
                <c:pt idx="27">
                  <c:v>112.07695190611145</c:v>
                </c:pt>
                <c:pt idx="28">
                  <c:v>113.15496919649813</c:v>
                </c:pt>
                <c:pt idx="29">
                  <c:v>115.43754447874073</c:v>
                </c:pt>
                <c:pt idx="30">
                  <c:v>114.73578048872923</c:v>
                </c:pt>
                <c:pt idx="31">
                  <c:v>116.51577231937947</c:v>
                </c:pt>
                <c:pt idx="32">
                  <c:v>113.65923705010674</c:v>
                </c:pt>
                <c:pt idx="33">
                  <c:v>112.58269361148425</c:v>
                </c:pt>
                <c:pt idx="34">
                  <c:v>112.72418338084751</c:v>
                </c:pt>
                <c:pt idx="35">
                  <c:v>106.42136158636981</c:v>
                </c:pt>
                <c:pt idx="36">
                  <c:v>107.17913194342094</c:v>
                </c:pt>
                <c:pt idx="37">
                  <c:v>111.8202911488885</c:v>
                </c:pt>
                <c:pt idx="38">
                  <c:v>113.57922795433586</c:v>
                </c:pt>
                <c:pt idx="39">
                  <c:v>114.40626934430441</c:v>
                </c:pt>
                <c:pt idx="40">
                  <c:v>114.33047125357409</c:v>
                </c:pt>
                <c:pt idx="41">
                  <c:v>113.38783777524182</c:v>
                </c:pt>
                <c:pt idx="42">
                  <c:v>114.80231436837029</c:v>
                </c:pt>
                <c:pt idx="43">
                  <c:v>115.85148627422906</c:v>
                </c:pt>
                <c:pt idx="44">
                  <c:v>116.32522434129353</c:v>
                </c:pt>
                <c:pt idx="45">
                  <c:v>112.80187642384607</c:v>
                </c:pt>
                <c:pt idx="46">
                  <c:v>112.02915699890093</c:v>
                </c:pt>
                <c:pt idx="47">
                  <c:v>109.89796734786692</c:v>
                </c:pt>
                <c:pt idx="48">
                  <c:v>110.5224593953839</c:v>
                </c:pt>
                <c:pt idx="49">
                  <c:v>110.15231205231753</c:v>
                </c:pt>
                <c:pt idx="50">
                  <c:v>107.06585590782953</c:v>
                </c:pt>
                <c:pt idx="51">
                  <c:v>110.04956352932756</c:v>
                </c:pt>
                <c:pt idx="52">
                  <c:v>110.51487958631085</c:v>
                </c:pt>
                <c:pt idx="53">
                  <c:v>109.79585047563303</c:v>
                </c:pt>
                <c:pt idx="54">
                  <c:v>108.53570721724152</c:v>
                </c:pt>
                <c:pt idx="55">
                  <c:v>107.56296505286917</c:v>
                </c:pt>
                <c:pt idx="56">
                  <c:v>106.10658895958697</c:v>
                </c:pt>
                <c:pt idx="57">
                  <c:v>104.71885224846613</c:v>
                </c:pt>
                <c:pt idx="58">
                  <c:v>101.90000547430655</c:v>
                </c:pt>
                <c:pt idx="59">
                  <c:v>100.71713415840959</c:v>
                </c:pt>
                <c:pt idx="60">
                  <c:v>105.24354347652154</c:v>
                </c:pt>
                <c:pt idx="61">
                  <c:v>107.50043162801666</c:v>
                </c:pt>
                <c:pt idx="62">
                  <c:v>108.18914150240238</c:v>
                </c:pt>
                <c:pt idx="63">
                  <c:v>109.29663582807308</c:v>
                </c:pt>
                <c:pt idx="64">
                  <c:v>110.19126384894282</c:v>
                </c:pt>
                <c:pt idx="65">
                  <c:v>109.97945029540202</c:v>
                </c:pt>
                <c:pt idx="66">
                  <c:v>109.34906284082821</c:v>
                </c:pt>
                <c:pt idx="67">
                  <c:v>110.23063674607218</c:v>
                </c:pt>
                <c:pt idx="68">
                  <c:v>112.7300787879043</c:v>
                </c:pt>
                <c:pt idx="69">
                  <c:v>111.48404239639875</c:v>
                </c:pt>
                <c:pt idx="70">
                  <c:v>111.0781015104875</c:v>
                </c:pt>
                <c:pt idx="71">
                  <c:v>110.27106239446167</c:v>
                </c:pt>
                <c:pt idx="72">
                  <c:v>113.39962858935542</c:v>
                </c:pt>
                <c:pt idx="73">
                  <c:v>112.09484867753386</c:v>
                </c:pt>
                <c:pt idx="74">
                  <c:v>114.03338484796166</c:v>
                </c:pt>
                <c:pt idx="75">
                  <c:v>116.34501606498424</c:v>
                </c:pt>
                <c:pt idx="76">
                  <c:v>116.673895558653</c:v>
                </c:pt>
                <c:pt idx="77">
                  <c:v>119.94774142744649</c:v>
                </c:pt>
                <c:pt idx="78">
                  <c:v>119.56222391598203</c:v>
                </c:pt>
                <c:pt idx="79">
                  <c:v>118.03594513902634</c:v>
                </c:pt>
                <c:pt idx="80">
                  <c:v>116.00581960896605</c:v>
                </c:pt>
                <c:pt idx="81">
                  <c:v>114.7907341045087</c:v>
                </c:pt>
                <c:pt idx="82">
                  <c:v>117.14194876891267</c:v>
                </c:pt>
                <c:pt idx="83">
                  <c:v>119.65276052435433</c:v>
                </c:pt>
                <c:pt idx="84">
                  <c:v>120.95417163214344</c:v>
                </c:pt>
                <c:pt idx="85">
                  <c:v>125.23886926092651</c:v>
                </c:pt>
                <c:pt idx="86">
                  <c:v>126.19224080211224</c:v>
                </c:pt>
                <c:pt idx="87">
                  <c:v>124.57058276098758</c:v>
                </c:pt>
                <c:pt idx="88">
                  <c:v>125.80124898409504</c:v>
                </c:pt>
                <c:pt idx="89">
                  <c:v>125.9825327510917</c:v>
                </c:pt>
                <c:pt idx="90">
                  <c:v>130.60769013740509</c:v>
                </c:pt>
                <c:pt idx="91">
                  <c:v>134.33295574654801</c:v>
                </c:pt>
                <c:pt idx="92">
                  <c:v>130.27080973415926</c:v>
                </c:pt>
                <c:pt idx="93">
                  <c:v>130.61211169269768</c:v>
                </c:pt>
                <c:pt idx="94">
                  <c:v>131.92531361460038</c:v>
                </c:pt>
                <c:pt idx="95">
                  <c:v>133.64761467619476</c:v>
                </c:pt>
                <c:pt idx="96">
                  <c:v>133.94659603407544</c:v>
                </c:pt>
                <c:pt idx="97">
                  <c:v>133.80594846572032</c:v>
                </c:pt>
                <c:pt idx="98">
                  <c:v>135.50445734883542</c:v>
                </c:pt>
                <c:pt idx="99">
                  <c:v>135.53267108260727</c:v>
                </c:pt>
                <c:pt idx="100">
                  <c:v>134.06618857722771</c:v>
                </c:pt>
                <c:pt idx="101">
                  <c:v>135.44992483356003</c:v>
                </c:pt>
                <c:pt idx="102">
                  <c:v>135.85691847073142</c:v>
                </c:pt>
                <c:pt idx="103">
                  <c:v>134.0807165446177</c:v>
                </c:pt>
                <c:pt idx="104">
                  <c:v>136.87808719307037</c:v>
                </c:pt>
                <c:pt idx="105">
                  <c:v>140.1441427025388</c:v>
                </c:pt>
                <c:pt idx="106">
                  <c:v>141.0341386178639</c:v>
                </c:pt>
                <c:pt idx="107">
                  <c:v>139.33331368197648</c:v>
                </c:pt>
                <c:pt idx="108">
                  <c:v>136.84355695173767</c:v>
                </c:pt>
                <c:pt idx="109">
                  <c:v>136.62037368458729</c:v>
                </c:pt>
                <c:pt idx="110">
                  <c:v>135.94008582028272</c:v>
                </c:pt>
                <c:pt idx="111">
                  <c:v>136.49256968160591</c:v>
                </c:pt>
                <c:pt idx="112">
                  <c:v>133.79857920689929</c:v>
                </c:pt>
                <c:pt idx="113">
                  <c:v>136.68922361700066</c:v>
                </c:pt>
                <c:pt idx="114">
                  <c:v>133.25599120742146</c:v>
                </c:pt>
                <c:pt idx="115">
                  <c:v>133.061442774547</c:v>
                </c:pt>
                <c:pt idx="116">
                  <c:v>133.22146096608878</c:v>
                </c:pt>
                <c:pt idx="117">
                  <c:v>130.46114716199315</c:v>
                </c:pt>
                <c:pt idx="118">
                  <c:v>130.81971424119794</c:v>
                </c:pt>
                <c:pt idx="119">
                  <c:v>129.56525583961124</c:v>
                </c:pt>
                <c:pt idx="120">
                  <c:v>129.19974060208949</c:v>
                </c:pt>
                <c:pt idx="121">
                  <c:v>132.1097556353775</c:v>
                </c:pt>
                <c:pt idx="122">
                  <c:v>126.90158460119679</c:v>
                </c:pt>
                <c:pt idx="123">
                  <c:v>127.43090793479679</c:v>
                </c:pt>
                <c:pt idx="124">
                  <c:v>125.36477831163964</c:v>
                </c:pt>
                <c:pt idx="125">
                  <c:v>124.99989472487398</c:v>
                </c:pt>
                <c:pt idx="126">
                  <c:v>129.15889385319593</c:v>
                </c:pt>
                <c:pt idx="127">
                  <c:v>129.11194114699356</c:v>
                </c:pt>
                <c:pt idx="128">
                  <c:v>128.40744000370569</c:v>
                </c:pt>
                <c:pt idx="129">
                  <c:v>118.00920525701871</c:v>
                </c:pt>
                <c:pt idx="130">
                  <c:v>118.61453723160108</c:v>
                </c:pt>
                <c:pt idx="131">
                  <c:v>109.26526384052082</c:v>
                </c:pt>
                <c:pt idx="132">
                  <c:v>109.66846757315567</c:v>
                </c:pt>
                <c:pt idx="133">
                  <c:v>108.2950482791728</c:v>
                </c:pt>
                <c:pt idx="134">
                  <c:v>109.95650031793087</c:v>
                </c:pt>
                <c:pt idx="135">
                  <c:v>110.60352124241493</c:v>
                </c:pt>
                <c:pt idx="136">
                  <c:v>115.60114202456701</c:v>
                </c:pt>
                <c:pt idx="137">
                  <c:v>116.2468996475389</c:v>
                </c:pt>
                <c:pt idx="138">
                  <c:v>115.25162860619945</c:v>
                </c:pt>
                <c:pt idx="139">
                  <c:v>115.67041305748444</c:v>
                </c:pt>
                <c:pt idx="140">
                  <c:v>116.05445671718468</c:v>
                </c:pt>
                <c:pt idx="141">
                  <c:v>113.67271226623659</c:v>
                </c:pt>
                <c:pt idx="142">
                  <c:v>115.14509017867296</c:v>
                </c:pt>
                <c:pt idx="143">
                  <c:v>117.30786236751125</c:v>
                </c:pt>
                <c:pt idx="144">
                  <c:v>114.53786325182232</c:v>
                </c:pt>
                <c:pt idx="145">
                  <c:v>110.15146985130941</c:v>
                </c:pt>
                <c:pt idx="146">
                  <c:v>115.32321569188917</c:v>
                </c:pt>
                <c:pt idx="147">
                  <c:v>116.46818796242098</c:v>
                </c:pt>
                <c:pt idx="148">
                  <c:v>116.57072593515893</c:v>
                </c:pt>
                <c:pt idx="149">
                  <c:v>116.43239441957611</c:v>
                </c:pt>
                <c:pt idx="150">
                  <c:v>120.04333124186751</c:v>
                </c:pt>
                <c:pt idx="151">
                  <c:v>120.27830532313146</c:v>
                </c:pt>
                <c:pt idx="152">
                  <c:v>120.97901656188283</c:v>
                </c:pt>
                <c:pt idx="153">
                  <c:v>120.11639217932144</c:v>
                </c:pt>
                <c:pt idx="154">
                  <c:v>118.22417706433994</c:v>
                </c:pt>
                <c:pt idx="155">
                  <c:v>119.26492696011756</c:v>
                </c:pt>
                <c:pt idx="156">
                  <c:v>120.92553679786755</c:v>
                </c:pt>
                <c:pt idx="157">
                  <c:v>122.43118165012443</c:v>
                </c:pt>
                <c:pt idx="158">
                  <c:v>123.7904940772214</c:v>
                </c:pt>
                <c:pt idx="159">
                  <c:v>123.15063186130632</c:v>
                </c:pt>
                <c:pt idx="160">
                  <c:v>122.86280966678316</c:v>
                </c:pt>
                <c:pt idx="161">
                  <c:v>126.22466554092465</c:v>
                </c:pt>
                <c:pt idx="162">
                  <c:v>131.27681883835214</c:v>
                </c:pt>
                <c:pt idx="163">
                  <c:v>129.26101072542983</c:v>
                </c:pt>
                <c:pt idx="164">
                  <c:v>131.26102756944999</c:v>
                </c:pt>
                <c:pt idx="165">
                  <c:v>132.54622630783288</c:v>
                </c:pt>
                <c:pt idx="166">
                  <c:v>133.16271744577278</c:v>
                </c:pt>
                <c:pt idx="167">
                  <c:v>132.61655009201044</c:v>
                </c:pt>
                <c:pt idx="168">
                  <c:v>130.47757008165138</c:v>
                </c:pt>
                <c:pt idx="169">
                  <c:v>130.34092296808478</c:v>
                </c:pt>
                <c:pt idx="170">
                  <c:v>129.90150459210099</c:v>
                </c:pt>
                <c:pt idx="171">
                  <c:v>132.57696664462907</c:v>
                </c:pt>
                <c:pt idx="172">
                  <c:v>139.15476706825618</c:v>
                </c:pt>
                <c:pt idx="173">
                  <c:v>144.84783533285889</c:v>
                </c:pt>
                <c:pt idx="174">
                  <c:v>145.47822278743268</c:v>
                </c:pt>
                <c:pt idx="175">
                  <c:v>144.03174255599583</c:v>
                </c:pt>
                <c:pt idx="176">
                  <c:v>152.14550706817195</c:v>
                </c:pt>
                <c:pt idx="177">
                  <c:v>147.332538857049</c:v>
                </c:pt>
                <c:pt idx="178">
                  <c:v>148.28317324495836</c:v>
                </c:pt>
                <c:pt idx="179">
                  <c:v>141.26511224433935</c:v>
                </c:pt>
                <c:pt idx="180">
                  <c:v>141.1638375731136</c:v>
                </c:pt>
                <c:pt idx="181">
                  <c:v>138.05169429787807</c:v>
                </c:pt>
                <c:pt idx="182">
                  <c:v>139.46911859453493</c:v>
                </c:pt>
                <c:pt idx="183">
                  <c:v>140.20562337613117</c:v>
                </c:pt>
                <c:pt idx="184">
                  <c:v>145.05227962757871</c:v>
                </c:pt>
                <c:pt idx="185">
                  <c:v>142.55768024154324</c:v>
                </c:pt>
                <c:pt idx="186">
                  <c:v>147.63910002400274</c:v>
                </c:pt>
                <c:pt idx="187">
                  <c:v>143.73739330365979</c:v>
                </c:pt>
                <c:pt idx="188">
                  <c:v>144.22860704164262</c:v>
                </c:pt>
                <c:pt idx="189">
                  <c:v>148.58805000989585</c:v>
                </c:pt>
                <c:pt idx="190">
                  <c:v>147.82712139906431</c:v>
                </c:pt>
                <c:pt idx="191">
                  <c:v>147.58793631275978</c:v>
                </c:pt>
                <c:pt idx="192">
                  <c:v>156.16975403519558</c:v>
                </c:pt>
                <c:pt idx="193">
                  <c:v>146.53876440690098</c:v>
                </c:pt>
                <c:pt idx="194">
                  <c:v>152.9116994353042</c:v>
                </c:pt>
                <c:pt idx="195">
                  <c:v>163.17686642270911</c:v>
                </c:pt>
                <c:pt idx="196">
                  <c:v>169.55548630791714</c:v>
                </c:pt>
                <c:pt idx="197">
                  <c:v>171.28894653286901</c:v>
                </c:pt>
                <c:pt idx="198">
                  <c:v>177.40985290959395</c:v>
                </c:pt>
                <c:pt idx="199">
                  <c:v>187.35540461441934</c:v>
                </c:pt>
                <c:pt idx="200">
                  <c:v>185.57772883654141</c:v>
                </c:pt>
                <c:pt idx="201">
                  <c:v>171.79384603723372</c:v>
                </c:pt>
                <c:pt idx="202">
                  <c:v>167.53125618491364</c:v>
                </c:pt>
                <c:pt idx="203">
                  <c:v>171.9075431733292</c:v>
                </c:pt>
                <c:pt idx="204">
                  <c:v>164.76273092098893</c:v>
                </c:pt>
                <c:pt idx="205">
                  <c:v>157.79836023463722</c:v>
                </c:pt>
                <c:pt idx="206">
                  <c:v>158.00764718515367</c:v>
                </c:pt>
                <c:pt idx="207">
                  <c:v>167.26217296282104</c:v>
                </c:pt>
                <c:pt idx="208">
                  <c:v>168.84930076261301</c:v>
                </c:pt>
                <c:pt idx="209">
                  <c:v>175.87325717028887</c:v>
                </c:pt>
                <c:pt idx="210">
                  <c:v>179.97646048182318</c:v>
                </c:pt>
                <c:pt idx="211">
                  <c:v>185.34464970754573</c:v>
                </c:pt>
                <c:pt idx="212">
                  <c:v>186.99220542966992</c:v>
                </c:pt>
                <c:pt idx="213">
                  <c:v>187.40298897137777</c:v>
                </c:pt>
                <c:pt idx="214">
                  <c:v>179.80191432289146</c:v>
                </c:pt>
                <c:pt idx="215">
                  <c:v>174.64153819592124</c:v>
                </c:pt>
                <c:pt idx="216">
                  <c:v>179.63642182479694</c:v>
                </c:pt>
                <c:pt idx="217">
                  <c:v>176.33078286794711</c:v>
                </c:pt>
                <c:pt idx="218">
                  <c:v>173.45045542019511</c:v>
                </c:pt>
                <c:pt idx="219">
                  <c:v>175.45363051799575</c:v>
                </c:pt>
                <c:pt idx="220">
                  <c:v>180.39735043562845</c:v>
                </c:pt>
                <c:pt idx="221">
                  <c:v>174.91735902607874</c:v>
                </c:pt>
                <c:pt idx="222">
                  <c:v>174.93062369195655</c:v>
                </c:pt>
                <c:pt idx="223">
                  <c:v>176.82220715618197</c:v>
                </c:pt>
                <c:pt idx="224">
                  <c:v>177.36963781145647</c:v>
                </c:pt>
                <c:pt idx="225">
                  <c:v>184.38538275930313</c:v>
                </c:pt>
                <c:pt idx="226">
                  <c:v>191.894657497905</c:v>
                </c:pt>
                <c:pt idx="227">
                  <c:v>198.38571121769633</c:v>
                </c:pt>
                <c:pt idx="228">
                  <c:v>208.18366719584964</c:v>
                </c:pt>
                <c:pt idx="229">
                  <c:v>193.61085260219056</c:v>
                </c:pt>
                <c:pt idx="230">
                  <c:v>191.8437043369141</c:v>
                </c:pt>
                <c:pt idx="231">
                  <c:v>191.15794216605676</c:v>
                </c:pt>
                <c:pt idx="232">
                  <c:v>188.48226956327665</c:v>
                </c:pt>
                <c:pt idx="233">
                  <c:v>183.04944141018137</c:v>
                </c:pt>
                <c:pt idx="234">
                  <c:v>192.54188897264112</c:v>
                </c:pt>
                <c:pt idx="235">
                  <c:v>194.38062432360732</c:v>
                </c:pt>
                <c:pt idx="236">
                  <c:v>193.87193491470612</c:v>
                </c:pt>
                <c:pt idx="237">
                  <c:v>197.78395859739842</c:v>
                </c:pt>
                <c:pt idx="238">
                  <c:v>199.3270813945164</c:v>
                </c:pt>
                <c:pt idx="239">
                  <c:v>201.71535290327739</c:v>
                </c:pt>
                <c:pt idx="240">
                  <c:v>211.38424157693717</c:v>
                </c:pt>
                <c:pt idx="241">
                  <c:v>215.49713020006487</c:v>
                </c:pt>
                <c:pt idx="242">
                  <c:v>212.14116973298016</c:v>
                </c:pt>
                <c:pt idx="243">
                  <c:v>196.95186400138121</c:v>
                </c:pt>
                <c:pt idx="244">
                  <c:v>193.47209998610367</c:v>
                </c:pt>
                <c:pt idx="245">
                  <c:v>203.07908688566698</c:v>
                </c:pt>
                <c:pt idx="246">
                  <c:v>204.48556256921839</c:v>
                </c:pt>
                <c:pt idx="247">
                  <c:v>208.49464991809597</c:v>
                </c:pt>
                <c:pt idx="248">
                  <c:v>215.828957397262</c:v>
                </c:pt>
                <c:pt idx="249">
                  <c:v>219.03058452960971</c:v>
                </c:pt>
                <c:pt idx="250">
                  <c:v>215.35564043070158</c:v>
                </c:pt>
                <c:pt idx="251">
                  <c:v>217.73464772837329</c:v>
                </c:pt>
                <c:pt idx="252">
                  <c:v>217.38302880748549</c:v>
                </c:pt>
                <c:pt idx="253">
                  <c:v>221.01038854943508</c:v>
                </c:pt>
                <c:pt idx="254">
                  <c:v>222.13472689526813</c:v>
                </c:pt>
                <c:pt idx="255">
                  <c:v>224.79945088494273</c:v>
                </c:pt>
                <c:pt idx="256">
                  <c:v>230.45377790317212</c:v>
                </c:pt>
                <c:pt idx="257">
                  <c:v>225.63744088801673</c:v>
                </c:pt>
                <c:pt idx="258">
                  <c:v>229.51472377912435</c:v>
                </c:pt>
                <c:pt idx="259">
                  <c:v>224.56637175594699</c:v>
                </c:pt>
              </c:numCache>
            </c:numRef>
          </c:val>
          <c:smooth val="0"/>
          <c:extLst xmlns:c16r2="http://schemas.microsoft.com/office/drawing/2015/06/chart">
            <c:ext xmlns:c16="http://schemas.microsoft.com/office/drawing/2014/chart" uri="{C3380CC4-5D6E-409C-BE32-E72D297353CC}">
              <c16:uniqueId val="{00000003-4842-4662-922D-691C146D279F}"/>
            </c:ext>
          </c:extLst>
        </c:ser>
        <c:ser>
          <c:idx val="2"/>
          <c:order val="2"/>
          <c:tx>
            <c:strRef>
              <c:f>Index_Chart!$G$1</c:f>
              <c:strCache>
                <c:ptCount val="1"/>
                <c:pt idx="0">
                  <c:v>Base Metal</c:v>
                </c:pt>
              </c:strCache>
            </c:strRef>
          </c:tx>
          <c:spPr>
            <a:ln w="28575" cap="rnd">
              <a:solidFill>
                <a:schemeClr val="accent3"/>
              </a:solidFill>
              <a:round/>
            </a:ln>
            <a:effectLst/>
          </c:spPr>
          <c:marker>
            <c:symbol val="none"/>
          </c:marker>
          <c:cat>
            <c:numRef>
              <c:f>Index_Chart!$A$2:$A$261</c:f>
              <c:numCache>
                <c:formatCode>d\-mmm\-yy</c:formatCode>
                <c:ptCount val="260"/>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44588</c:v>
                </c:pt>
                <c:pt idx="173">
                  <c:v>44589</c:v>
                </c:pt>
                <c:pt idx="174">
                  <c:v>44592</c:v>
                </c:pt>
                <c:pt idx="175">
                  <c:v>44593</c:v>
                </c:pt>
                <c:pt idx="176">
                  <c:v>44594</c:v>
                </c:pt>
                <c:pt idx="177">
                  <c:v>44595</c:v>
                </c:pt>
                <c:pt idx="178">
                  <c:v>44596</c:v>
                </c:pt>
                <c:pt idx="179">
                  <c:v>44599</c:v>
                </c:pt>
                <c:pt idx="180">
                  <c:v>44600</c:v>
                </c:pt>
                <c:pt idx="181">
                  <c:v>44601</c:v>
                </c:pt>
                <c:pt idx="182">
                  <c:v>44602</c:v>
                </c:pt>
                <c:pt idx="183">
                  <c:v>44603</c:v>
                </c:pt>
                <c:pt idx="184">
                  <c:v>44606</c:v>
                </c:pt>
                <c:pt idx="185">
                  <c:v>44607</c:v>
                </c:pt>
                <c:pt idx="186">
                  <c:v>44608</c:v>
                </c:pt>
                <c:pt idx="187">
                  <c:v>44609</c:v>
                </c:pt>
                <c:pt idx="188">
                  <c:v>44610</c:v>
                </c:pt>
                <c:pt idx="189">
                  <c:v>44613</c:v>
                </c:pt>
                <c:pt idx="190">
                  <c:v>44614</c:v>
                </c:pt>
                <c:pt idx="191">
                  <c:v>44615</c:v>
                </c:pt>
                <c:pt idx="192">
                  <c:v>44616</c:v>
                </c:pt>
                <c:pt idx="193">
                  <c:v>44617</c:v>
                </c:pt>
                <c:pt idx="194">
                  <c:v>44620</c:v>
                </c:pt>
                <c:pt idx="195">
                  <c:v>44621</c:v>
                </c:pt>
                <c:pt idx="196">
                  <c:v>44622</c:v>
                </c:pt>
                <c:pt idx="197">
                  <c:v>44623</c:v>
                </c:pt>
                <c:pt idx="198">
                  <c:v>44624</c:v>
                </c:pt>
                <c:pt idx="199">
                  <c:v>44627</c:v>
                </c:pt>
                <c:pt idx="200">
                  <c:v>44628</c:v>
                </c:pt>
                <c:pt idx="201">
                  <c:v>44629</c:v>
                </c:pt>
                <c:pt idx="202">
                  <c:v>44630</c:v>
                </c:pt>
                <c:pt idx="203">
                  <c:v>44631</c:v>
                </c:pt>
                <c:pt idx="204">
                  <c:v>44634</c:v>
                </c:pt>
                <c:pt idx="205">
                  <c:v>44635</c:v>
                </c:pt>
                <c:pt idx="206">
                  <c:v>44636</c:v>
                </c:pt>
                <c:pt idx="207">
                  <c:v>44637</c:v>
                </c:pt>
                <c:pt idx="208">
                  <c:v>44638</c:v>
                </c:pt>
                <c:pt idx="209">
                  <c:v>44641</c:v>
                </c:pt>
                <c:pt idx="210">
                  <c:v>44642</c:v>
                </c:pt>
                <c:pt idx="211">
                  <c:v>44643</c:v>
                </c:pt>
                <c:pt idx="212">
                  <c:v>44644</c:v>
                </c:pt>
                <c:pt idx="213">
                  <c:v>44645</c:v>
                </c:pt>
                <c:pt idx="214">
                  <c:v>44648</c:v>
                </c:pt>
                <c:pt idx="215">
                  <c:v>44649</c:v>
                </c:pt>
                <c:pt idx="216">
                  <c:v>44650</c:v>
                </c:pt>
                <c:pt idx="217">
                  <c:v>44651</c:v>
                </c:pt>
                <c:pt idx="218">
                  <c:v>44652</c:v>
                </c:pt>
                <c:pt idx="219">
                  <c:v>44655</c:v>
                </c:pt>
                <c:pt idx="220">
                  <c:v>44656</c:v>
                </c:pt>
                <c:pt idx="221">
                  <c:v>44657</c:v>
                </c:pt>
                <c:pt idx="222">
                  <c:v>44658</c:v>
                </c:pt>
                <c:pt idx="223">
                  <c:v>44659</c:v>
                </c:pt>
                <c:pt idx="224">
                  <c:v>44662</c:v>
                </c:pt>
                <c:pt idx="225">
                  <c:v>44663</c:v>
                </c:pt>
                <c:pt idx="226">
                  <c:v>44664</c:v>
                </c:pt>
                <c:pt idx="227">
                  <c:v>44665</c:v>
                </c:pt>
                <c:pt idx="228">
                  <c:v>44669</c:v>
                </c:pt>
                <c:pt idx="229">
                  <c:v>44670</c:v>
                </c:pt>
                <c:pt idx="230">
                  <c:v>44671</c:v>
                </c:pt>
                <c:pt idx="231">
                  <c:v>44672</c:v>
                </c:pt>
                <c:pt idx="232">
                  <c:v>44673</c:v>
                </c:pt>
                <c:pt idx="233">
                  <c:v>44676</c:v>
                </c:pt>
                <c:pt idx="234">
                  <c:v>44677</c:v>
                </c:pt>
                <c:pt idx="235">
                  <c:v>44678</c:v>
                </c:pt>
                <c:pt idx="236">
                  <c:v>44679</c:v>
                </c:pt>
                <c:pt idx="237">
                  <c:v>44680</c:v>
                </c:pt>
                <c:pt idx="238">
                  <c:v>44683</c:v>
                </c:pt>
                <c:pt idx="239">
                  <c:v>44684</c:v>
                </c:pt>
                <c:pt idx="240">
                  <c:v>44685</c:v>
                </c:pt>
                <c:pt idx="241">
                  <c:v>44686</c:v>
                </c:pt>
                <c:pt idx="242">
                  <c:v>44687</c:v>
                </c:pt>
                <c:pt idx="243">
                  <c:v>44690</c:v>
                </c:pt>
                <c:pt idx="244">
                  <c:v>44691</c:v>
                </c:pt>
                <c:pt idx="245">
                  <c:v>44692</c:v>
                </c:pt>
                <c:pt idx="246">
                  <c:v>44693</c:v>
                </c:pt>
                <c:pt idx="247">
                  <c:v>44694</c:v>
                </c:pt>
                <c:pt idx="248">
                  <c:v>44697</c:v>
                </c:pt>
                <c:pt idx="249">
                  <c:v>44698</c:v>
                </c:pt>
                <c:pt idx="250">
                  <c:v>44699</c:v>
                </c:pt>
                <c:pt idx="251">
                  <c:v>44700</c:v>
                </c:pt>
                <c:pt idx="252">
                  <c:v>44701</c:v>
                </c:pt>
                <c:pt idx="253">
                  <c:v>44704</c:v>
                </c:pt>
                <c:pt idx="254">
                  <c:v>44705</c:v>
                </c:pt>
                <c:pt idx="255">
                  <c:v>44706</c:v>
                </c:pt>
                <c:pt idx="256">
                  <c:v>44707</c:v>
                </c:pt>
                <c:pt idx="257">
                  <c:v>44708</c:v>
                </c:pt>
                <c:pt idx="258">
                  <c:v>44711</c:v>
                </c:pt>
                <c:pt idx="259">
                  <c:v>44712</c:v>
                </c:pt>
              </c:numCache>
            </c:numRef>
          </c:cat>
          <c:val>
            <c:numRef>
              <c:f>Index_Chart!$G$2:$G$261</c:f>
              <c:numCache>
                <c:formatCode>_(* #,##0.00_);_(* \(#,##0.00\);_(* "-"??_);_(@_)</c:formatCode>
                <c:ptCount val="260"/>
                <c:pt idx="0">
                  <c:v>100</c:v>
                </c:pt>
                <c:pt idx="1">
                  <c:v>99.953359398866098</c:v>
                </c:pt>
                <c:pt idx="2">
                  <c:v>99.882973302344254</c:v>
                </c:pt>
                <c:pt idx="3">
                  <c:v>97.509666640718876</c:v>
                </c:pt>
                <c:pt idx="4">
                  <c:v>98.176960851331614</c:v>
                </c:pt>
                <c:pt idx="5">
                  <c:v>97.887501300114934</c:v>
                </c:pt>
                <c:pt idx="6">
                  <c:v>98.390539480647419</c:v>
                </c:pt>
                <c:pt idx="7">
                  <c:v>98.605753474659366</c:v>
                </c:pt>
                <c:pt idx="8">
                  <c:v>98.55662711918734</c:v>
                </c:pt>
                <c:pt idx="9">
                  <c:v>99.792832000293046</c:v>
                </c:pt>
                <c:pt idx="10">
                  <c:v>100.03682841295705</c:v>
                </c:pt>
                <c:pt idx="11">
                  <c:v>96.894769514970449</c:v>
                </c:pt>
                <c:pt idx="12">
                  <c:v>97.135168125302954</c:v>
                </c:pt>
                <c:pt idx="13">
                  <c:v>94.783513692254445</c:v>
                </c:pt>
                <c:pt idx="14">
                  <c:v>94.302454813238086</c:v>
                </c:pt>
                <c:pt idx="15">
                  <c:v>95.346013733138562</c:v>
                </c:pt>
                <c:pt idx="16">
                  <c:v>96.431241745496692</c:v>
                </c:pt>
                <c:pt idx="17">
                  <c:v>97.755363832666859</c:v>
                </c:pt>
                <c:pt idx="18">
                  <c:v>98.48022288058371</c:v>
                </c:pt>
                <c:pt idx="19">
                  <c:v>98.442282419633258</c:v>
                </c:pt>
                <c:pt idx="20">
                  <c:v>97.884295985310501</c:v>
                </c:pt>
                <c:pt idx="21">
                  <c:v>98.433843937801186</c:v>
                </c:pt>
                <c:pt idx="22">
                  <c:v>98.814360595298908</c:v>
                </c:pt>
                <c:pt idx="23">
                  <c:v>98.11952684320319</c:v>
                </c:pt>
                <c:pt idx="24">
                  <c:v>98.947740939916045</c:v>
                </c:pt>
                <c:pt idx="25">
                  <c:v>99.444630149191042</c:v>
                </c:pt>
                <c:pt idx="26">
                  <c:v>98.362476622461671</c:v>
                </c:pt>
                <c:pt idx="27">
                  <c:v>99.555769533940691</c:v>
                </c:pt>
                <c:pt idx="28">
                  <c:v>98.934919680698314</c:v>
                </c:pt>
                <c:pt idx="29">
                  <c:v>100.40269220277737</c:v>
                </c:pt>
                <c:pt idx="30">
                  <c:v>100.01668071990062</c:v>
                </c:pt>
                <c:pt idx="31">
                  <c:v>100.00372863150719</c:v>
                </c:pt>
                <c:pt idx="32">
                  <c:v>99.446527172238561</c:v>
                </c:pt>
                <c:pt idx="33">
                  <c:v>100.35232297013627</c:v>
                </c:pt>
                <c:pt idx="34">
                  <c:v>101.16804288057062</c:v>
                </c:pt>
                <c:pt idx="35">
                  <c:v>99.050507257421444</c:v>
                </c:pt>
                <c:pt idx="36">
                  <c:v>99.645125860937739</c:v>
                </c:pt>
                <c:pt idx="37">
                  <c:v>99.514362099834443</c:v>
                </c:pt>
                <c:pt idx="38">
                  <c:v>100.6417171067651</c:v>
                </c:pt>
                <c:pt idx="39">
                  <c:v>102.80196845577746</c:v>
                </c:pt>
                <c:pt idx="40">
                  <c:v>104.5463138552676</c:v>
                </c:pt>
                <c:pt idx="41">
                  <c:v>103.59485867505369</c:v>
                </c:pt>
                <c:pt idx="42">
                  <c:v>103.74249939982114</c:v>
                </c:pt>
                <c:pt idx="43">
                  <c:v>105.06838768086315</c:v>
                </c:pt>
                <c:pt idx="44">
                  <c:v>104.35510701499497</c:v>
                </c:pt>
                <c:pt idx="45">
                  <c:v>103.81406295892421</c:v>
                </c:pt>
                <c:pt idx="46">
                  <c:v>103.05564622744259</c:v>
                </c:pt>
                <c:pt idx="47">
                  <c:v>102.32738562095778</c:v>
                </c:pt>
                <c:pt idx="48">
                  <c:v>103.06480426974096</c:v>
                </c:pt>
                <c:pt idx="49">
                  <c:v>102.73393728441805</c:v>
                </c:pt>
                <c:pt idx="50">
                  <c:v>101.38456516633948</c:v>
                </c:pt>
                <c:pt idx="51">
                  <c:v>102.71228505584116</c:v>
                </c:pt>
                <c:pt idx="52">
                  <c:v>103.78115942123789</c:v>
                </c:pt>
                <c:pt idx="53">
                  <c:v>103.6339111839975</c:v>
                </c:pt>
                <c:pt idx="54">
                  <c:v>103.92186619969372</c:v>
                </c:pt>
                <c:pt idx="55">
                  <c:v>103.50223161866434</c:v>
                </c:pt>
                <c:pt idx="56">
                  <c:v>101.99449078341165</c:v>
                </c:pt>
                <c:pt idx="57">
                  <c:v>100.55203370682881</c:v>
                </c:pt>
                <c:pt idx="58">
                  <c:v>98.913332866709268</c:v>
                </c:pt>
                <c:pt idx="59">
                  <c:v>99.886963592202832</c:v>
                </c:pt>
                <c:pt idx="60">
                  <c:v>101.34348480517245</c:v>
                </c:pt>
                <c:pt idx="61">
                  <c:v>102.18347352769752</c:v>
                </c:pt>
                <c:pt idx="62">
                  <c:v>102.37062466352371</c:v>
                </c:pt>
                <c:pt idx="63">
                  <c:v>101.55124153617001</c:v>
                </c:pt>
                <c:pt idx="64">
                  <c:v>101.82160002773577</c:v>
                </c:pt>
                <c:pt idx="65">
                  <c:v>102.91441613228398</c:v>
                </c:pt>
                <c:pt idx="66">
                  <c:v>102.75748653604244</c:v>
                </c:pt>
                <c:pt idx="67">
                  <c:v>101.62843074982779</c:v>
                </c:pt>
                <c:pt idx="68">
                  <c:v>102.11387240622982</c:v>
                </c:pt>
                <c:pt idx="69">
                  <c:v>103.43805990798785</c:v>
                </c:pt>
                <c:pt idx="70">
                  <c:v>103.47436500424215</c:v>
                </c:pt>
                <c:pt idx="71">
                  <c:v>103.60610998416311</c:v>
                </c:pt>
                <c:pt idx="72">
                  <c:v>104.39795357003383</c:v>
                </c:pt>
                <c:pt idx="73">
                  <c:v>105.71017020221612</c:v>
                </c:pt>
                <c:pt idx="74">
                  <c:v>107.85380624591568</c:v>
                </c:pt>
                <c:pt idx="75">
                  <c:v>105.87095925914053</c:v>
                </c:pt>
                <c:pt idx="76">
                  <c:v>105.04012857891387</c:v>
                </c:pt>
                <c:pt idx="77">
                  <c:v>106.8995382384244</c:v>
                </c:pt>
                <c:pt idx="78">
                  <c:v>105.10881389615172</c:v>
                </c:pt>
                <c:pt idx="79">
                  <c:v>105.21373889505603</c:v>
                </c:pt>
                <c:pt idx="80">
                  <c:v>103.51119341719919</c:v>
                </c:pt>
                <c:pt idx="81">
                  <c:v>103.38056048527157</c:v>
                </c:pt>
                <c:pt idx="82">
                  <c:v>105.10312282700916</c:v>
                </c:pt>
                <c:pt idx="83">
                  <c:v>106.21739491637072</c:v>
                </c:pt>
                <c:pt idx="84">
                  <c:v>106.75922394749561</c:v>
                </c:pt>
                <c:pt idx="85">
                  <c:v>106.37399743967302</c:v>
                </c:pt>
                <c:pt idx="86">
                  <c:v>105.85035366396917</c:v>
                </c:pt>
                <c:pt idx="87">
                  <c:v>104.797767530946</c:v>
                </c:pt>
                <c:pt idx="88">
                  <c:v>102.87235455229929</c:v>
                </c:pt>
                <c:pt idx="89">
                  <c:v>103.47600036893827</c:v>
                </c:pt>
                <c:pt idx="90">
                  <c:v>104.89857141081602</c:v>
                </c:pt>
                <c:pt idx="91">
                  <c:v>104.9470436204096</c:v>
                </c:pt>
                <c:pt idx="92">
                  <c:v>104.6179428289585</c:v>
                </c:pt>
                <c:pt idx="93">
                  <c:v>106.46950273792757</c:v>
                </c:pt>
                <c:pt idx="94">
                  <c:v>108.97134906466952</c:v>
                </c:pt>
                <c:pt idx="95">
                  <c:v>109.51540219178119</c:v>
                </c:pt>
                <c:pt idx="96">
                  <c:v>109.01367230300561</c:v>
                </c:pt>
                <c:pt idx="97">
                  <c:v>111.61625709502974</c:v>
                </c:pt>
                <c:pt idx="98">
                  <c:v>114.34110175173724</c:v>
                </c:pt>
                <c:pt idx="99">
                  <c:v>119.32157222653595</c:v>
                </c:pt>
                <c:pt idx="100">
                  <c:v>118.11264522856182</c:v>
                </c:pt>
                <c:pt idx="101">
                  <c:v>116.48715813518709</c:v>
                </c:pt>
                <c:pt idx="102">
                  <c:v>118.65028772606463</c:v>
                </c:pt>
                <c:pt idx="103">
                  <c:v>113.4039723662615</c:v>
                </c:pt>
                <c:pt idx="104">
                  <c:v>112.92932411685402</c:v>
                </c:pt>
                <c:pt idx="105">
                  <c:v>114.38885440086453</c:v>
                </c:pt>
                <c:pt idx="106">
                  <c:v>113.3606024945199</c:v>
                </c:pt>
                <c:pt idx="107">
                  <c:v>110.62136662848636</c:v>
                </c:pt>
                <c:pt idx="108">
                  <c:v>111.43139546977811</c:v>
                </c:pt>
                <c:pt idx="109">
                  <c:v>111.48490460263581</c:v>
                </c:pt>
                <c:pt idx="110">
                  <c:v>111.38540901452269</c:v>
                </c:pt>
                <c:pt idx="111">
                  <c:v>110.54012171038214</c:v>
                </c:pt>
                <c:pt idx="112">
                  <c:v>108.65192963221956</c:v>
                </c:pt>
                <c:pt idx="113">
                  <c:v>108.71505470949054</c:v>
                </c:pt>
                <c:pt idx="114">
                  <c:v>108.03049104768658</c:v>
                </c:pt>
                <c:pt idx="115">
                  <c:v>109.46123891304502</c:v>
                </c:pt>
                <c:pt idx="116">
                  <c:v>109.03368916688633</c:v>
                </c:pt>
                <c:pt idx="117">
                  <c:v>108.98652524904968</c:v>
                </c:pt>
                <c:pt idx="118">
                  <c:v>109.98514434710025</c:v>
                </c:pt>
                <c:pt idx="119">
                  <c:v>110.65008363255056</c:v>
                </c:pt>
                <c:pt idx="120">
                  <c:v>109.11565364545686</c:v>
                </c:pt>
                <c:pt idx="121">
                  <c:v>108.44548119297892</c:v>
                </c:pt>
                <c:pt idx="122">
                  <c:v>106.9322455323472</c:v>
                </c:pt>
                <c:pt idx="123">
                  <c:v>107.61779041296884</c:v>
                </c:pt>
                <c:pt idx="124">
                  <c:v>108.7992432840478</c:v>
                </c:pt>
                <c:pt idx="125">
                  <c:v>110.26518419766718</c:v>
                </c:pt>
                <c:pt idx="126">
                  <c:v>110.24915762364502</c:v>
                </c:pt>
                <c:pt idx="127">
                  <c:v>111.66996247165095</c:v>
                </c:pt>
                <c:pt idx="128">
                  <c:v>111.49694088679939</c:v>
                </c:pt>
                <c:pt idx="129">
                  <c:v>108.72421275178891</c:v>
                </c:pt>
                <c:pt idx="130">
                  <c:v>109.8575859008014</c:v>
                </c:pt>
                <c:pt idx="131">
                  <c:v>108.75848999582001</c:v>
                </c:pt>
                <c:pt idx="132">
                  <c:v>108.31013841072644</c:v>
                </c:pt>
                <c:pt idx="133">
                  <c:v>108.40655951321079</c:v>
                </c:pt>
                <c:pt idx="134">
                  <c:v>108.72375484967401</c:v>
                </c:pt>
                <c:pt idx="135">
                  <c:v>109.03990355273167</c:v>
                </c:pt>
                <c:pt idx="136">
                  <c:v>110.05513795609502</c:v>
                </c:pt>
                <c:pt idx="137">
                  <c:v>111.08901551699437</c:v>
                </c:pt>
                <c:pt idx="138">
                  <c:v>110.4017044425009</c:v>
                </c:pt>
                <c:pt idx="139">
                  <c:v>110.0632493649879</c:v>
                </c:pt>
                <c:pt idx="140">
                  <c:v>110.26891282917437</c:v>
                </c:pt>
                <c:pt idx="141">
                  <c:v>109.71243093037207</c:v>
                </c:pt>
                <c:pt idx="142">
                  <c:v>109.39242276663148</c:v>
                </c:pt>
                <c:pt idx="143">
                  <c:v>111.75977670076294</c:v>
                </c:pt>
                <c:pt idx="144">
                  <c:v>111.18674491123568</c:v>
                </c:pt>
                <c:pt idx="145">
                  <c:v>110.05978239183207</c:v>
                </c:pt>
                <c:pt idx="146">
                  <c:v>111.83101318692677</c:v>
                </c:pt>
                <c:pt idx="147">
                  <c:v>112.92481051029264</c:v>
                </c:pt>
                <c:pt idx="148">
                  <c:v>112.79057977603352</c:v>
                </c:pt>
                <c:pt idx="149">
                  <c:v>113.07598362280378</c:v>
                </c:pt>
                <c:pt idx="150">
                  <c:v>113.65581852946698</c:v>
                </c:pt>
                <c:pt idx="151">
                  <c:v>113.13838913960848</c:v>
                </c:pt>
                <c:pt idx="152">
                  <c:v>112.96772247991936</c:v>
                </c:pt>
                <c:pt idx="153">
                  <c:v>112.92310973100868</c:v>
                </c:pt>
                <c:pt idx="154">
                  <c:v>113.43190439527156</c:v>
                </c:pt>
                <c:pt idx="155">
                  <c:v>113.12517539286367</c:v>
                </c:pt>
                <c:pt idx="156">
                  <c:v>114.34306418937261</c:v>
                </c:pt>
                <c:pt idx="157">
                  <c:v>113.5372872962908</c:v>
                </c:pt>
                <c:pt idx="158">
                  <c:v>112.90270037960086</c:v>
                </c:pt>
                <c:pt idx="159">
                  <c:v>113.22748380825414</c:v>
                </c:pt>
                <c:pt idx="160">
                  <c:v>112.88000151761844</c:v>
                </c:pt>
                <c:pt idx="161">
                  <c:v>114.35758622787434</c:v>
                </c:pt>
                <c:pt idx="162">
                  <c:v>115.37203565618353</c:v>
                </c:pt>
                <c:pt idx="163">
                  <c:v>115.50391146528021</c:v>
                </c:pt>
                <c:pt idx="164">
                  <c:v>115.16807297128102</c:v>
                </c:pt>
                <c:pt idx="165">
                  <c:v>115.58548345632367</c:v>
                </c:pt>
                <c:pt idx="166">
                  <c:v>116.13274189823977</c:v>
                </c:pt>
                <c:pt idx="167">
                  <c:v>118.64583953409114</c:v>
                </c:pt>
                <c:pt idx="168">
                  <c:v>121.32463232095536</c:v>
                </c:pt>
                <c:pt idx="169">
                  <c:v>120.83722822691799</c:v>
                </c:pt>
                <c:pt idx="170">
                  <c:v>118.24380147719222</c:v>
                </c:pt>
                <c:pt idx="171">
                  <c:v>118.66755717725587</c:v>
                </c:pt>
                <c:pt idx="172">
                  <c:v>119.67402602584791</c:v>
                </c:pt>
                <c:pt idx="173">
                  <c:v>117.99463731208841</c:v>
                </c:pt>
                <c:pt idx="174">
                  <c:v>117.43141771073799</c:v>
                </c:pt>
                <c:pt idx="175">
                  <c:v>119.19257465930446</c:v>
                </c:pt>
                <c:pt idx="176">
                  <c:v>119.665522129428</c:v>
                </c:pt>
                <c:pt idx="177">
                  <c:v>119.40549914274183</c:v>
                </c:pt>
                <c:pt idx="178">
                  <c:v>120.08437173540322</c:v>
                </c:pt>
                <c:pt idx="179">
                  <c:v>121.17738408371497</c:v>
                </c:pt>
                <c:pt idx="180">
                  <c:v>120.4240696900853</c:v>
                </c:pt>
                <c:pt idx="181">
                  <c:v>122.87515429665909</c:v>
                </c:pt>
                <c:pt idx="182">
                  <c:v>124.2257692919067</c:v>
                </c:pt>
                <c:pt idx="183">
                  <c:v>122.22944690003537</c:v>
                </c:pt>
                <c:pt idx="184">
                  <c:v>122.52080347429958</c:v>
                </c:pt>
                <c:pt idx="185">
                  <c:v>122.18431083442194</c:v>
                </c:pt>
                <c:pt idx="186">
                  <c:v>122.29630060881355</c:v>
                </c:pt>
                <c:pt idx="187">
                  <c:v>122.94043805532897</c:v>
                </c:pt>
                <c:pt idx="188">
                  <c:v>122.56286505428429</c:v>
                </c:pt>
                <c:pt idx="189">
                  <c:v>122.38277869394543</c:v>
                </c:pt>
                <c:pt idx="190">
                  <c:v>123.47199699616212</c:v>
                </c:pt>
                <c:pt idx="191">
                  <c:v>122.87829419687566</c:v>
                </c:pt>
                <c:pt idx="192">
                  <c:v>124.46649497517843</c:v>
                </c:pt>
                <c:pt idx="193">
                  <c:v>124.02043290065943</c:v>
                </c:pt>
                <c:pt idx="194">
                  <c:v>124.67124263513509</c:v>
                </c:pt>
                <c:pt idx="195">
                  <c:v>128.69489393351654</c:v>
                </c:pt>
                <c:pt idx="196">
                  <c:v>131.24567037196695</c:v>
                </c:pt>
                <c:pt idx="197">
                  <c:v>136.01478631343659</c:v>
                </c:pt>
                <c:pt idx="198">
                  <c:v>141.03215061578024</c:v>
                </c:pt>
                <c:pt idx="199">
                  <c:v>172.24903856909515</c:v>
                </c:pt>
                <c:pt idx="200">
                  <c:v>161.36607900381432</c:v>
                </c:pt>
                <c:pt idx="201">
                  <c:v>154.13587002383051</c:v>
                </c:pt>
                <c:pt idx="202">
                  <c:v>149.90825604054658</c:v>
                </c:pt>
                <c:pt idx="203">
                  <c:v>147.65662051231396</c:v>
                </c:pt>
                <c:pt idx="204">
                  <c:v>146.31496731560119</c:v>
                </c:pt>
                <c:pt idx="205">
                  <c:v>146.4233592876613</c:v>
                </c:pt>
                <c:pt idx="206">
                  <c:v>144.17558322011158</c:v>
                </c:pt>
                <c:pt idx="207">
                  <c:v>143.24983597292095</c:v>
                </c:pt>
                <c:pt idx="208">
                  <c:v>140.58824722266016</c:v>
                </c:pt>
                <c:pt idx="209">
                  <c:v>136.51900195655034</c:v>
                </c:pt>
                <c:pt idx="210">
                  <c:v>134.00027866614423</c:v>
                </c:pt>
                <c:pt idx="211">
                  <c:v>138.62934197503648</c:v>
                </c:pt>
                <c:pt idx="212">
                  <c:v>142.51608054105714</c:v>
                </c:pt>
                <c:pt idx="213">
                  <c:v>146.42178933755301</c:v>
                </c:pt>
                <c:pt idx="214">
                  <c:v>143.32126870284833</c:v>
                </c:pt>
                <c:pt idx="215">
                  <c:v>140.77350133543879</c:v>
                </c:pt>
                <c:pt idx="216">
                  <c:v>142.79010224954226</c:v>
                </c:pt>
                <c:pt idx="217">
                  <c:v>141.25050451000877</c:v>
                </c:pt>
                <c:pt idx="218">
                  <c:v>142.65181581083669</c:v>
                </c:pt>
                <c:pt idx="219">
                  <c:v>143.04790114024166</c:v>
                </c:pt>
                <c:pt idx="220">
                  <c:v>144.1314283733158</c:v>
                </c:pt>
                <c:pt idx="221">
                  <c:v>144.10493546523836</c:v>
                </c:pt>
                <c:pt idx="222">
                  <c:v>142.15773942883908</c:v>
                </c:pt>
                <c:pt idx="223">
                  <c:v>143.16832939646537</c:v>
                </c:pt>
                <c:pt idx="224">
                  <c:v>141.40226635381049</c:v>
                </c:pt>
                <c:pt idx="225">
                  <c:v>143.54282791188132</c:v>
                </c:pt>
                <c:pt idx="226">
                  <c:v>144.13489534647164</c:v>
                </c:pt>
                <c:pt idx="227">
                  <c:v>144.84235411402153</c:v>
                </c:pt>
                <c:pt idx="228">
                  <c:v>146.81237984157895</c:v>
                </c:pt>
                <c:pt idx="229">
                  <c:v>145.65918607244927</c:v>
                </c:pt>
                <c:pt idx="230">
                  <c:v>144.73742911511721</c:v>
                </c:pt>
                <c:pt idx="231">
                  <c:v>145.44403749302515</c:v>
                </c:pt>
                <c:pt idx="232">
                  <c:v>144.53379350315396</c:v>
                </c:pt>
                <c:pt idx="233">
                  <c:v>140.35314719394313</c:v>
                </c:pt>
                <c:pt idx="234">
                  <c:v>140.34797944150336</c:v>
                </c:pt>
                <c:pt idx="235">
                  <c:v>141.7975667081613</c:v>
                </c:pt>
                <c:pt idx="236">
                  <c:v>140.84074753174406</c:v>
                </c:pt>
                <c:pt idx="237">
                  <c:v>138.32902360223741</c:v>
                </c:pt>
                <c:pt idx="238">
                  <c:v>135.73396148781555</c:v>
                </c:pt>
                <c:pt idx="239">
                  <c:v>135.51822417710082</c:v>
                </c:pt>
                <c:pt idx="240">
                  <c:v>134.37117937922864</c:v>
                </c:pt>
                <c:pt idx="241">
                  <c:v>132.82307774327521</c:v>
                </c:pt>
                <c:pt idx="242">
                  <c:v>131.9263091585002</c:v>
                </c:pt>
                <c:pt idx="243">
                  <c:v>129.0462356848351</c:v>
                </c:pt>
                <c:pt idx="244">
                  <c:v>127.38980749140943</c:v>
                </c:pt>
                <c:pt idx="245">
                  <c:v>128.14586929772861</c:v>
                </c:pt>
                <c:pt idx="246">
                  <c:v>125.48643922886666</c:v>
                </c:pt>
                <c:pt idx="247">
                  <c:v>126.51514903732621</c:v>
                </c:pt>
                <c:pt idx="248">
                  <c:v>126.37542347768806</c:v>
                </c:pt>
                <c:pt idx="249">
                  <c:v>126.9220277737257</c:v>
                </c:pt>
                <c:pt idx="250">
                  <c:v>125.67725358161222</c:v>
                </c:pt>
                <c:pt idx="251">
                  <c:v>127.56564190353832</c:v>
                </c:pt>
                <c:pt idx="252">
                  <c:v>129.56026351612567</c:v>
                </c:pt>
                <c:pt idx="253">
                  <c:v>130.33784672184606</c:v>
                </c:pt>
                <c:pt idx="254">
                  <c:v>127.85405482134948</c:v>
                </c:pt>
                <c:pt idx="255">
                  <c:v>125.75306908892523</c:v>
                </c:pt>
                <c:pt idx="256">
                  <c:v>124.07335330222651</c:v>
                </c:pt>
                <c:pt idx="257">
                  <c:v>125.21797776034842</c:v>
                </c:pt>
                <c:pt idx="258">
                  <c:v>125.72860403307101</c:v>
                </c:pt>
                <c:pt idx="259">
                  <c:v>128.18636092760502</c:v>
                </c:pt>
              </c:numCache>
            </c:numRef>
          </c:val>
          <c:smooth val="0"/>
          <c:extLst xmlns:c16r2="http://schemas.microsoft.com/office/drawing/2015/06/chart">
            <c:ext xmlns:c16="http://schemas.microsoft.com/office/drawing/2014/chart" uri="{C3380CC4-5D6E-409C-BE32-E72D297353CC}">
              <c16:uniqueId val="{00000004-4842-4662-922D-691C146D279F}"/>
            </c:ext>
          </c:extLst>
        </c:ser>
        <c:ser>
          <c:idx val="3"/>
          <c:order val="3"/>
          <c:tx>
            <c:strRef>
              <c:f>Index_Chart!$H$1</c:f>
              <c:strCache>
                <c:ptCount val="1"/>
                <c:pt idx="0">
                  <c:v>Bullion</c:v>
                </c:pt>
              </c:strCache>
            </c:strRef>
          </c:tx>
          <c:spPr>
            <a:ln w="28575" cap="rnd">
              <a:solidFill>
                <a:schemeClr val="accent4"/>
              </a:solidFill>
              <a:round/>
            </a:ln>
            <a:effectLst/>
          </c:spPr>
          <c:marker>
            <c:symbol val="none"/>
          </c:marker>
          <c:val>
            <c:numRef>
              <c:f>Index_Chart!$H$2:$H$261</c:f>
              <c:numCache>
                <c:formatCode>_(* #,##0.00_);_(* \(#,##0.00\);_(* "-"??_);_(@_)</c:formatCode>
                <c:ptCount val="260"/>
                <c:pt idx="0">
                  <c:v>100</c:v>
                </c:pt>
                <c:pt idx="1">
                  <c:v>100.25066248852221</c:v>
                </c:pt>
                <c:pt idx="2">
                  <c:v>100.67744319025937</c:v>
                </c:pt>
                <c:pt idx="3">
                  <c:v>98.594261203402453</c:v>
                </c:pt>
                <c:pt idx="4">
                  <c:v>99.344547043720638</c:v>
                </c:pt>
                <c:pt idx="5">
                  <c:v>99.671128197173857</c:v>
                </c:pt>
                <c:pt idx="6">
                  <c:v>99.411303111159981</c:v>
                </c:pt>
                <c:pt idx="7">
                  <c:v>99.670866408674101</c:v>
                </c:pt>
                <c:pt idx="8">
                  <c:v>99.82368544541022</c:v>
                </c:pt>
                <c:pt idx="9">
                  <c:v>99.491737627711885</c:v>
                </c:pt>
                <c:pt idx="10">
                  <c:v>98.804804604336127</c:v>
                </c:pt>
                <c:pt idx="11">
                  <c:v>98.407475108822211</c:v>
                </c:pt>
                <c:pt idx="12">
                  <c:v>98.614288023634273</c:v>
                </c:pt>
                <c:pt idx="13">
                  <c:v>94.825357619452461</c:v>
                </c:pt>
                <c:pt idx="14">
                  <c:v>94.494326061503287</c:v>
                </c:pt>
                <c:pt idx="15">
                  <c:v>95.058022148616018</c:v>
                </c:pt>
                <c:pt idx="16">
                  <c:v>94.867636462164029</c:v>
                </c:pt>
                <c:pt idx="17">
                  <c:v>95.123796509181261</c:v>
                </c:pt>
                <c:pt idx="18">
                  <c:v>94.752973099268246</c:v>
                </c:pt>
                <c:pt idx="19">
                  <c:v>94.900490918884174</c:v>
                </c:pt>
                <c:pt idx="20">
                  <c:v>95.132435529673401</c:v>
                </c:pt>
                <c:pt idx="21">
                  <c:v>94.099483556737098</c:v>
                </c:pt>
                <c:pt idx="22">
                  <c:v>94.82614298495173</c:v>
                </c:pt>
                <c:pt idx="23">
                  <c:v>95.131977399798814</c:v>
                </c:pt>
                <c:pt idx="24">
                  <c:v>95.910667292341174</c:v>
                </c:pt>
                <c:pt idx="25">
                  <c:v>95.871529911626752</c:v>
                </c:pt>
                <c:pt idx="26">
                  <c:v>96.215258211814387</c:v>
                </c:pt>
                <c:pt idx="27">
                  <c:v>96.481693457447264</c:v>
                </c:pt>
                <c:pt idx="28">
                  <c:v>96.049611538589915</c:v>
                </c:pt>
                <c:pt idx="29">
                  <c:v>96.47331622545488</c:v>
                </c:pt>
                <c:pt idx="30">
                  <c:v>96.290129722746343</c:v>
                </c:pt>
                <c:pt idx="31">
                  <c:v>96.338495148077385</c:v>
                </c:pt>
                <c:pt idx="32">
                  <c:v>97.059657017797036</c:v>
                </c:pt>
                <c:pt idx="33">
                  <c:v>97.311890237317826</c:v>
                </c:pt>
                <c:pt idx="34">
                  <c:v>96.271019162263698</c:v>
                </c:pt>
                <c:pt idx="35">
                  <c:v>95.902944531598195</c:v>
                </c:pt>
                <c:pt idx="36">
                  <c:v>95.334798039989494</c:v>
                </c:pt>
                <c:pt idx="37">
                  <c:v>95.11051074281832</c:v>
                </c:pt>
                <c:pt idx="38">
                  <c:v>95.292584644402851</c:v>
                </c:pt>
                <c:pt idx="39">
                  <c:v>95.009525829035084</c:v>
                </c:pt>
                <c:pt idx="40">
                  <c:v>94.943162444345404</c:v>
                </c:pt>
                <c:pt idx="41">
                  <c:v>94.68032679058426</c:v>
                </c:pt>
                <c:pt idx="42">
                  <c:v>94.769531221878196</c:v>
                </c:pt>
                <c:pt idx="43">
                  <c:v>96.466771512960818</c:v>
                </c:pt>
                <c:pt idx="44">
                  <c:v>95.760466140602674</c:v>
                </c:pt>
                <c:pt idx="45">
                  <c:v>95.898952256976827</c:v>
                </c:pt>
                <c:pt idx="46">
                  <c:v>95.590892639881773</c:v>
                </c:pt>
                <c:pt idx="47">
                  <c:v>95.506400401583562</c:v>
                </c:pt>
                <c:pt idx="48">
                  <c:v>94.852452729177827</c:v>
                </c:pt>
                <c:pt idx="49">
                  <c:v>92.677841108779006</c:v>
                </c:pt>
                <c:pt idx="50">
                  <c:v>90.657422914740067</c:v>
                </c:pt>
                <c:pt idx="51">
                  <c:v>90.765868800766512</c:v>
                </c:pt>
                <c:pt idx="52">
                  <c:v>91.42982988328815</c:v>
                </c:pt>
                <c:pt idx="53">
                  <c:v>91.031453233775167</c:v>
                </c:pt>
                <c:pt idx="54">
                  <c:v>92.406431881650647</c:v>
                </c:pt>
                <c:pt idx="55">
                  <c:v>92.901801170325498</c:v>
                </c:pt>
                <c:pt idx="56">
                  <c:v>92.888646298212436</c:v>
                </c:pt>
                <c:pt idx="57">
                  <c:v>92.380972950048786</c:v>
                </c:pt>
                <c:pt idx="58">
                  <c:v>92.294713639377179</c:v>
                </c:pt>
                <c:pt idx="59">
                  <c:v>92.114995834290497</c:v>
                </c:pt>
                <c:pt idx="60">
                  <c:v>93.205148594424827</c:v>
                </c:pt>
                <c:pt idx="61">
                  <c:v>93.46294481956555</c:v>
                </c:pt>
                <c:pt idx="62">
                  <c:v>92.762267899952292</c:v>
                </c:pt>
                <c:pt idx="63">
                  <c:v>92.603558621971516</c:v>
                </c:pt>
                <c:pt idx="64">
                  <c:v>93.3420639798004</c:v>
                </c:pt>
                <c:pt idx="65">
                  <c:v>92.618742354957718</c:v>
                </c:pt>
                <c:pt idx="66">
                  <c:v>92.468606650344157</c:v>
                </c:pt>
                <c:pt idx="67">
                  <c:v>92.580913916742091</c:v>
                </c:pt>
                <c:pt idx="68">
                  <c:v>92.25191121966607</c:v>
                </c:pt>
                <c:pt idx="69">
                  <c:v>93.773622321658209</c:v>
                </c:pt>
                <c:pt idx="70">
                  <c:v>93.664521964382359</c:v>
                </c:pt>
                <c:pt idx="71">
                  <c:v>92.703889064505347</c:v>
                </c:pt>
                <c:pt idx="72">
                  <c:v>92.673128915783295</c:v>
                </c:pt>
                <c:pt idx="73">
                  <c:v>92.600220818599553</c:v>
                </c:pt>
                <c:pt idx="74">
                  <c:v>92.107927544796922</c:v>
                </c:pt>
                <c:pt idx="75">
                  <c:v>92.138556799269082</c:v>
                </c:pt>
                <c:pt idx="76">
                  <c:v>92.755461398958474</c:v>
                </c:pt>
                <c:pt idx="77">
                  <c:v>92.118988108911864</c:v>
                </c:pt>
                <c:pt idx="78">
                  <c:v>90.071082122397911</c:v>
                </c:pt>
                <c:pt idx="79">
                  <c:v>89.514650666153557</c:v>
                </c:pt>
                <c:pt idx="80">
                  <c:v>89.782002171535595</c:v>
                </c:pt>
                <c:pt idx="81">
                  <c:v>90.62476479939474</c:v>
                </c:pt>
                <c:pt idx="82">
                  <c:v>90.965482531835121</c:v>
                </c:pt>
                <c:pt idx="83">
                  <c:v>89.928996414152024</c:v>
                </c:pt>
                <c:pt idx="84">
                  <c:v>89.512949040905099</c:v>
                </c:pt>
                <c:pt idx="85">
                  <c:v>89.890709846061824</c:v>
                </c:pt>
                <c:pt idx="86">
                  <c:v>89.533499438136431</c:v>
                </c:pt>
                <c:pt idx="87">
                  <c:v>88.44720805837359</c:v>
                </c:pt>
                <c:pt idx="88">
                  <c:v>90.007532964080653</c:v>
                </c:pt>
                <c:pt idx="89">
                  <c:v>90.353748255016029</c:v>
                </c:pt>
                <c:pt idx="90">
                  <c:v>91.057304848126677</c:v>
                </c:pt>
                <c:pt idx="91">
                  <c:v>90.884393544033813</c:v>
                </c:pt>
                <c:pt idx="92">
                  <c:v>91.10560482633278</c:v>
                </c:pt>
                <c:pt idx="93">
                  <c:v>91.091664588720462</c:v>
                </c:pt>
                <c:pt idx="94">
                  <c:v>91.605948096503099</c:v>
                </c:pt>
                <c:pt idx="95">
                  <c:v>91.603461105755343</c:v>
                </c:pt>
                <c:pt idx="96">
                  <c:v>91.751371608120934</c:v>
                </c:pt>
                <c:pt idx="97">
                  <c:v>93.290622539597152</c:v>
                </c:pt>
                <c:pt idx="98">
                  <c:v>93.505289109402071</c:v>
                </c:pt>
                <c:pt idx="99">
                  <c:v>92.436864794748004</c:v>
                </c:pt>
                <c:pt idx="100">
                  <c:v>92.546423281898441</c:v>
                </c:pt>
                <c:pt idx="101">
                  <c:v>92.997223078488773</c:v>
                </c:pt>
                <c:pt idx="102">
                  <c:v>93.766292243664878</c:v>
                </c:pt>
                <c:pt idx="103">
                  <c:v>93.396385093501038</c:v>
                </c:pt>
                <c:pt idx="104">
                  <c:v>94.211659928885155</c:v>
                </c:pt>
                <c:pt idx="105">
                  <c:v>94.978242103313519</c:v>
                </c:pt>
                <c:pt idx="106">
                  <c:v>93.971730768853192</c:v>
                </c:pt>
                <c:pt idx="107">
                  <c:v>94.254135112971554</c:v>
                </c:pt>
                <c:pt idx="108">
                  <c:v>94.160480277181662</c:v>
                </c:pt>
                <c:pt idx="109">
                  <c:v>93.537947224747384</c:v>
                </c:pt>
                <c:pt idx="110">
                  <c:v>94.022386843557143</c:v>
                </c:pt>
                <c:pt idx="111">
                  <c:v>93.002720636983781</c:v>
                </c:pt>
                <c:pt idx="112">
                  <c:v>91.814658977938421</c:v>
                </c:pt>
                <c:pt idx="113">
                  <c:v>93.257506294377251</c:v>
                </c:pt>
                <c:pt idx="114">
                  <c:v>93.940119807506917</c:v>
                </c:pt>
                <c:pt idx="115">
                  <c:v>94.222262363125523</c:v>
                </c:pt>
                <c:pt idx="116">
                  <c:v>94.484312651387384</c:v>
                </c:pt>
                <c:pt idx="117">
                  <c:v>95.810467744057235</c:v>
                </c:pt>
                <c:pt idx="118">
                  <c:v>96.756375040822633</c:v>
                </c:pt>
                <c:pt idx="119">
                  <c:v>96.967049336006198</c:v>
                </c:pt>
                <c:pt idx="120">
                  <c:v>96.715208799235057</c:v>
                </c:pt>
                <c:pt idx="121">
                  <c:v>96.213818375065699</c:v>
                </c:pt>
                <c:pt idx="122">
                  <c:v>96.731047003470664</c:v>
                </c:pt>
                <c:pt idx="123">
                  <c:v>96.139797676757965</c:v>
                </c:pt>
                <c:pt idx="124">
                  <c:v>95.646391801831328</c:v>
                </c:pt>
                <c:pt idx="125">
                  <c:v>93.964269796609983</c:v>
                </c:pt>
                <c:pt idx="126">
                  <c:v>92.452572104733719</c:v>
                </c:pt>
                <c:pt idx="127">
                  <c:v>92.50794037243341</c:v>
                </c:pt>
                <c:pt idx="128">
                  <c:v>92.61985495608171</c:v>
                </c:pt>
                <c:pt idx="129">
                  <c:v>92.56213059188417</c:v>
                </c:pt>
                <c:pt idx="130">
                  <c:v>92.398905462282499</c:v>
                </c:pt>
                <c:pt idx="131">
                  <c:v>92.07841089144874</c:v>
                </c:pt>
                <c:pt idx="132">
                  <c:v>91.792276061208767</c:v>
                </c:pt>
                <c:pt idx="133">
                  <c:v>91.052199972381302</c:v>
                </c:pt>
                <c:pt idx="134">
                  <c:v>91.917541858344933</c:v>
                </c:pt>
                <c:pt idx="135">
                  <c:v>91.837500024542678</c:v>
                </c:pt>
                <c:pt idx="136">
                  <c:v>92.261728288407156</c:v>
                </c:pt>
                <c:pt idx="137">
                  <c:v>92.174945400736007</c:v>
                </c:pt>
                <c:pt idx="138">
                  <c:v>91.689327733677331</c:v>
                </c:pt>
                <c:pt idx="139">
                  <c:v>92.146017771512305</c:v>
                </c:pt>
                <c:pt idx="140">
                  <c:v>92.510950940180663</c:v>
                </c:pt>
                <c:pt idx="141">
                  <c:v>91.88586544987372</c:v>
                </c:pt>
                <c:pt idx="142">
                  <c:v>91.669889937569977</c:v>
                </c:pt>
                <c:pt idx="143">
                  <c:v>93.219088832037158</c:v>
                </c:pt>
                <c:pt idx="144">
                  <c:v>93.139832363734172</c:v>
                </c:pt>
                <c:pt idx="145">
                  <c:v>92.357346537945261</c:v>
                </c:pt>
                <c:pt idx="146">
                  <c:v>92.262775442406195</c:v>
                </c:pt>
                <c:pt idx="147">
                  <c:v>92.59910821747556</c:v>
                </c:pt>
                <c:pt idx="148">
                  <c:v>92.580193998367747</c:v>
                </c:pt>
                <c:pt idx="149">
                  <c:v>92.52835987541485</c:v>
                </c:pt>
                <c:pt idx="150">
                  <c:v>92.454273729982177</c:v>
                </c:pt>
                <c:pt idx="151">
                  <c:v>92.503097285187806</c:v>
                </c:pt>
                <c:pt idx="152">
                  <c:v>91.951967046063643</c:v>
                </c:pt>
                <c:pt idx="153">
                  <c:v>92.14254907389045</c:v>
                </c:pt>
                <c:pt idx="154">
                  <c:v>92.640798036062662</c:v>
                </c:pt>
                <c:pt idx="155">
                  <c:v>91.739656572756587</c:v>
                </c:pt>
                <c:pt idx="156">
                  <c:v>92.259044956284583</c:v>
                </c:pt>
                <c:pt idx="157">
                  <c:v>92.365920111312462</c:v>
                </c:pt>
                <c:pt idx="158">
                  <c:v>90.851997217188242</c:v>
                </c:pt>
                <c:pt idx="159">
                  <c:v>90.923858160372944</c:v>
                </c:pt>
                <c:pt idx="160">
                  <c:v>90.951476847097851</c:v>
                </c:pt>
                <c:pt idx="161">
                  <c:v>91.453194506891904</c:v>
                </c:pt>
                <c:pt idx="162">
                  <c:v>91.914989420472253</c:v>
                </c:pt>
                <c:pt idx="163">
                  <c:v>91.837696365917495</c:v>
                </c:pt>
                <c:pt idx="164">
                  <c:v>91.774016313350373</c:v>
                </c:pt>
                <c:pt idx="165">
                  <c:v>92.086002757941856</c:v>
                </c:pt>
                <c:pt idx="166">
                  <c:v>92.534904587908898</c:v>
                </c:pt>
                <c:pt idx="167">
                  <c:v>93.714130885087272</c:v>
                </c:pt>
                <c:pt idx="168">
                  <c:v>94.097323801614067</c:v>
                </c:pt>
                <c:pt idx="169">
                  <c:v>93.688475612110594</c:v>
                </c:pt>
                <c:pt idx="170">
                  <c:v>93.805691412879071</c:v>
                </c:pt>
                <c:pt idx="171">
                  <c:v>94.256949339344004</c:v>
                </c:pt>
                <c:pt idx="172">
                  <c:v>92.031158067241677</c:v>
                </c:pt>
                <c:pt idx="173">
                  <c:v>91.10017271496271</c:v>
                </c:pt>
                <c:pt idx="174">
                  <c:v>91.139637331301856</c:v>
                </c:pt>
                <c:pt idx="175">
                  <c:v>91.685466353305827</c:v>
                </c:pt>
                <c:pt idx="176">
                  <c:v>91.982530853410864</c:v>
                </c:pt>
                <c:pt idx="177">
                  <c:v>91.425248584542302</c:v>
                </c:pt>
                <c:pt idx="178">
                  <c:v>91.48474002111324</c:v>
                </c:pt>
                <c:pt idx="179">
                  <c:v>92.406366434525708</c:v>
                </c:pt>
                <c:pt idx="180">
                  <c:v>92.822806490522282</c:v>
                </c:pt>
                <c:pt idx="181">
                  <c:v>93.275569700860814</c:v>
                </c:pt>
                <c:pt idx="182">
                  <c:v>93.925525098645181</c:v>
                </c:pt>
                <c:pt idx="183">
                  <c:v>94.024350257305372</c:v>
                </c:pt>
                <c:pt idx="184">
                  <c:v>95.652020254576215</c:v>
                </c:pt>
                <c:pt idx="185">
                  <c:v>94.395304561468265</c:v>
                </c:pt>
                <c:pt idx="186">
                  <c:v>94.846104358058597</c:v>
                </c:pt>
                <c:pt idx="187">
                  <c:v>96.144182634128967</c:v>
                </c:pt>
                <c:pt idx="188">
                  <c:v>95.778791335586021</c:v>
                </c:pt>
                <c:pt idx="189">
                  <c:v>95.599662554623805</c:v>
                </c:pt>
                <c:pt idx="190">
                  <c:v>96.263100060145916</c:v>
                </c:pt>
                <c:pt idx="191">
                  <c:v>96.435225998739483</c:v>
                </c:pt>
                <c:pt idx="192">
                  <c:v>98.653163615848925</c:v>
                </c:pt>
                <c:pt idx="193">
                  <c:v>96.006154647629401</c:v>
                </c:pt>
                <c:pt idx="194">
                  <c:v>97.162605345328473</c:v>
                </c:pt>
                <c:pt idx="195">
                  <c:v>99.566020114519375</c:v>
                </c:pt>
                <c:pt idx="196">
                  <c:v>98.636605493238989</c:v>
                </c:pt>
                <c:pt idx="197">
                  <c:v>99.387284016306793</c:v>
                </c:pt>
                <c:pt idx="198">
                  <c:v>100.99512353472069</c:v>
                </c:pt>
                <c:pt idx="199">
                  <c:v>102.64576547284565</c:v>
                </c:pt>
                <c:pt idx="200">
                  <c:v>104.20890460492515</c:v>
                </c:pt>
                <c:pt idx="201">
                  <c:v>101.42426033295571</c:v>
                </c:pt>
                <c:pt idx="202">
                  <c:v>102.47710823187393</c:v>
                </c:pt>
                <c:pt idx="203">
                  <c:v>101.94096538436115</c:v>
                </c:pt>
                <c:pt idx="204">
                  <c:v>100.51336724803348</c:v>
                </c:pt>
                <c:pt idx="205">
                  <c:v>99.282961299151623</c:v>
                </c:pt>
                <c:pt idx="206">
                  <c:v>98.282732888685572</c:v>
                </c:pt>
                <c:pt idx="207">
                  <c:v>99.44742992412715</c:v>
                </c:pt>
                <c:pt idx="208">
                  <c:v>98.933866334718857</c:v>
                </c:pt>
                <c:pt idx="209">
                  <c:v>99.417455140904394</c:v>
                </c:pt>
                <c:pt idx="210">
                  <c:v>98.763376574248767</c:v>
                </c:pt>
                <c:pt idx="211">
                  <c:v>99.53480183592275</c:v>
                </c:pt>
                <c:pt idx="212">
                  <c:v>100.40485591488209</c:v>
                </c:pt>
                <c:pt idx="213">
                  <c:v>99.924801253443334</c:v>
                </c:pt>
                <c:pt idx="214">
                  <c:v>99.142708110404072</c:v>
                </c:pt>
                <c:pt idx="215">
                  <c:v>97.696981120467868</c:v>
                </c:pt>
                <c:pt idx="216">
                  <c:v>98.550215288317489</c:v>
                </c:pt>
                <c:pt idx="217">
                  <c:v>99.112798774306242</c:v>
                </c:pt>
                <c:pt idx="218">
                  <c:v>98.036389910409426</c:v>
                </c:pt>
                <c:pt idx="219">
                  <c:v>97.752938412292011</c:v>
                </c:pt>
                <c:pt idx="220">
                  <c:v>97.492589749278608</c:v>
                </c:pt>
                <c:pt idx="221">
                  <c:v>97.842535526335595</c:v>
                </c:pt>
                <c:pt idx="222">
                  <c:v>98.444190945913846</c:v>
                </c:pt>
                <c:pt idx="223">
                  <c:v>98.77554973948773</c:v>
                </c:pt>
                <c:pt idx="224">
                  <c:v>99.049118721739106</c:v>
                </c:pt>
                <c:pt idx="225">
                  <c:v>100.62639443280577</c:v>
                </c:pt>
                <c:pt idx="226">
                  <c:v>101.18622913954702</c:v>
                </c:pt>
                <c:pt idx="227">
                  <c:v>100.88281626832274</c:v>
                </c:pt>
                <c:pt idx="228">
                  <c:v>101.65980453561664</c:v>
                </c:pt>
                <c:pt idx="229">
                  <c:v>100.44314248297228</c:v>
                </c:pt>
                <c:pt idx="230">
                  <c:v>100.12592026838556</c:v>
                </c:pt>
                <c:pt idx="231">
                  <c:v>99.295003570140665</c:v>
                </c:pt>
                <c:pt idx="232">
                  <c:v>98.845185480424433</c:v>
                </c:pt>
                <c:pt idx="233">
                  <c:v>97.066659860165672</c:v>
                </c:pt>
                <c:pt idx="234">
                  <c:v>97.263132129237135</c:v>
                </c:pt>
                <c:pt idx="235">
                  <c:v>96.597534868591978</c:v>
                </c:pt>
                <c:pt idx="236">
                  <c:v>96.38692602053338</c:v>
                </c:pt>
                <c:pt idx="237">
                  <c:v>96.957297714390052</c:v>
                </c:pt>
                <c:pt idx="238">
                  <c:v>94.880202310152612</c:v>
                </c:pt>
                <c:pt idx="239">
                  <c:v>95.133417236547501</c:v>
                </c:pt>
                <c:pt idx="240">
                  <c:v>94.475280948145596</c:v>
                </c:pt>
                <c:pt idx="241">
                  <c:v>94.959458778455598</c:v>
                </c:pt>
                <c:pt idx="242">
                  <c:v>95.649467816703549</c:v>
                </c:pt>
                <c:pt idx="243">
                  <c:v>94.690994671949554</c:v>
                </c:pt>
                <c:pt idx="244">
                  <c:v>93.819042626366951</c:v>
                </c:pt>
                <c:pt idx="245">
                  <c:v>94.194709123525556</c:v>
                </c:pt>
                <c:pt idx="246">
                  <c:v>92.482415993706596</c:v>
                </c:pt>
                <c:pt idx="247">
                  <c:v>92.316769320482123</c:v>
                </c:pt>
                <c:pt idx="248">
                  <c:v>93.489450905166464</c:v>
                </c:pt>
                <c:pt idx="249">
                  <c:v>93.483757005296638</c:v>
                </c:pt>
                <c:pt idx="250">
                  <c:v>93.387091601759479</c:v>
                </c:pt>
                <c:pt idx="251">
                  <c:v>94.156553449685234</c:v>
                </c:pt>
                <c:pt idx="252">
                  <c:v>94.477309809018735</c:v>
                </c:pt>
                <c:pt idx="253">
                  <c:v>94.539615471962122</c:v>
                </c:pt>
                <c:pt idx="254">
                  <c:v>95.158941615274301</c:v>
                </c:pt>
                <c:pt idx="255">
                  <c:v>94.516708978232941</c:v>
                </c:pt>
                <c:pt idx="256">
                  <c:v>94.703887755562846</c:v>
                </c:pt>
                <c:pt idx="257">
                  <c:v>94.925033590736874</c:v>
                </c:pt>
                <c:pt idx="258">
                  <c:v>94.88700881114643</c:v>
                </c:pt>
                <c:pt idx="259">
                  <c:v>94.237380648986786</c:v>
                </c:pt>
              </c:numCache>
            </c:numRef>
          </c:val>
          <c:smooth val="0"/>
          <c:extLst xmlns:c16r2="http://schemas.microsoft.com/office/drawing/2015/06/chart">
            <c:ext xmlns:c16="http://schemas.microsoft.com/office/drawing/2014/chart" uri="{C3380CC4-5D6E-409C-BE32-E72D297353CC}">
              <c16:uniqueId val="{00000005-4842-4662-922D-691C146D279F}"/>
            </c:ext>
          </c:extLst>
        </c:ser>
        <c:dLbls>
          <c:showLegendKey val="0"/>
          <c:showVal val="0"/>
          <c:showCatName val="0"/>
          <c:showSerName val="0"/>
          <c:showPercent val="0"/>
          <c:showBubbleSize val="0"/>
        </c:dLbls>
        <c:smooth val="0"/>
        <c:axId val="648855648"/>
        <c:axId val="648861920"/>
      </c:lineChart>
      <c:dateAx>
        <c:axId val="648855648"/>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648861920"/>
        <c:crosses val="autoZero"/>
        <c:auto val="1"/>
        <c:lblOffset val="100"/>
        <c:baseTimeUnit val="days"/>
        <c:majorUnit val="1"/>
        <c:majorTimeUnit val="months"/>
      </c:dateAx>
      <c:valAx>
        <c:axId val="648861920"/>
        <c:scaling>
          <c:orientation val="minMax"/>
          <c:min val="80"/>
        </c:scaling>
        <c:delete val="0"/>
        <c:axPos val="l"/>
        <c:majorGridlines>
          <c:spPr>
            <a:ln w="9525" cap="flat" cmpd="sng" algn="ctr">
              <a:solidFill>
                <a:schemeClr val="tx2">
                  <a:lumMod val="20000"/>
                  <a:lumOff val="80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648855648"/>
        <c:crosses val="autoZero"/>
        <c:crossBetween val="between"/>
        <c:majorUnit val="10"/>
      </c:valAx>
      <c:spPr>
        <a:noFill/>
        <a:ln>
          <a:noFill/>
        </a:ln>
        <a:effectLst/>
      </c:spPr>
    </c:plotArea>
    <c:legend>
      <c:legendPos val="b"/>
      <c:layout>
        <c:manualLayout>
          <c:xMode val="edge"/>
          <c:yMode val="edge"/>
          <c:x val="4.9999945516735624E-2"/>
          <c:y val="0.91340808018773056"/>
          <c:w val="0.89999990425405607"/>
          <c:h val="6.7573630248098565E-2"/>
        </c:manualLayout>
      </c:layout>
      <c:overlay val="0"/>
      <c:spPr>
        <a:noFill/>
        <a:ln>
          <a:noFill/>
        </a:ln>
        <a:effectLst/>
      </c:spPr>
      <c:txPr>
        <a:bodyPr rot="0" spcFirstLastPara="1" vertOverflow="ellipsis" vert="horz" wrap="square" anchor="ctr" anchorCtr="1"/>
        <a:lstStyle/>
        <a:p>
          <a:pPr rtl="0">
            <a:defRPr sz="1000" b="1" i="0" u="none" strike="noStrike" kern="1200" baseline="0">
              <a:solidFill>
                <a:schemeClr val="accent1"/>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24456400427952"/>
          <c:y val="2.3414388003439247E-2"/>
          <c:w val="0.76474134281601913"/>
          <c:h val="0.71480391704760649"/>
        </c:manualLayout>
      </c:layout>
      <c:barChart>
        <c:barDir val="col"/>
        <c:grouping val="clustered"/>
        <c:varyColors val="0"/>
        <c:ser>
          <c:idx val="0"/>
          <c:order val="0"/>
          <c:tx>
            <c:strRef>
              <c:f>Exchange_Wise!$B$2</c:f>
              <c:strCache>
                <c:ptCount val="1"/>
                <c:pt idx="0">
                  <c:v>MCX (LHS)</c:v>
                </c:pt>
              </c:strCache>
            </c:strRef>
          </c:tx>
          <c:spPr>
            <a:solidFill>
              <a:srgbClr val="0070C0"/>
            </a:solidFill>
            <a:ln>
              <a:solidFill>
                <a:sysClr val="windowText" lastClr="000000"/>
              </a:solidFill>
            </a:ln>
            <a:effectLst/>
          </c:spPr>
          <c:invertIfNegative val="0"/>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Exchange_Wise!$B$14:$B$28</c:f>
              <c:numCache>
                <c:formatCode>#,##0</c:formatCode>
                <c:ptCount val="12"/>
                <c:pt idx="0">
                  <c:v>14355.171816799999</c:v>
                </c:pt>
                <c:pt idx="1">
                  <c:v>11349.876245600002</c:v>
                </c:pt>
                <c:pt idx="2">
                  <c:v>8532.1421754000003</c:v>
                </c:pt>
                <c:pt idx="3">
                  <c:v>7052.3174545999973</c:v>
                </c:pt>
                <c:pt idx="4">
                  <c:v>11519.986260800002</c:v>
                </c:pt>
                <c:pt idx="5">
                  <c:v>9454.1541869999965</c:v>
                </c:pt>
                <c:pt idx="6">
                  <c:v>7650.6343900000038</c:v>
                </c:pt>
                <c:pt idx="7">
                  <c:v>7340.2442382000027</c:v>
                </c:pt>
                <c:pt idx="8">
                  <c:v>5232.6948033999988</c:v>
                </c:pt>
                <c:pt idx="9">
                  <c:v>5740.0376642000001</c:v>
                </c:pt>
                <c:pt idx="10">
                  <c:v>5068.0996829999985</c:v>
                </c:pt>
                <c:pt idx="11">
                  <c:v>3807.4544064000011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E5C8-4D48-8E00-31539F4EF630}"/>
            </c:ext>
          </c:extLst>
        </c:ser>
        <c:ser>
          <c:idx val="1"/>
          <c:order val="1"/>
          <c:tx>
            <c:strRef>
              <c:f>Exchange_Wise!$C$2</c:f>
              <c:strCache>
                <c:ptCount val="1"/>
                <c:pt idx="0">
                  <c:v>NCDEX (LHS)</c:v>
                </c:pt>
              </c:strCache>
            </c:strRef>
          </c:tx>
          <c:spPr>
            <a:solidFill>
              <a:srgbClr val="00B050"/>
            </a:solidFill>
            <a:ln>
              <a:solidFill>
                <a:schemeClr val="accent3">
                  <a:lumMod val="75000"/>
                </a:schemeClr>
              </a:solidFill>
            </a:ln>
            <a:effectLst/>
          </c:spPr>
          <c:invertIfNegative val="0"/>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Exchange_Wise!$C$14:$C$28</c:f>
              <c:numCache>
                <c:formatCode>#,##0</c:formatCode>
                <c:ptCount val="12"/>
                <c:pt idx="0">
                  <c:v>42768.39502000004</c:v>
                </c:pt>
                <c:pt idx="1">
                  <c:v>45161.663549999997</c:v>
                </c:pt>
                <c:pt idx="2">
                  <c:v>51318.252049999966</c:v>
                </c:pt>
                <c:pt idx="3">
                  <c:v>39392.912937499997</c:v>
                </c:pt>
                <c:pt idx="4">
                  <c:v>39724.659449999999</c:v>
                </c:pt>
                <c:pt idx="5">
                  <c:v>37223.774999999994</c:v>
                </c:pt>
                <c:pt idx="6">
                  <c:v>30236.840000000004</c:v>
                </c:pt>
                <c:pt idx="7">
                  <c:v>26473.58</c:v>
                </c:pt>
                <c:pt idx="8">
                  <c:v>24979.625380000001</c:v>
                </c:pt>
                <c:pt idx="9">
                  <c:v>21629.539999999997</c:v>
                </c:pt>
                <c:pt idx="10">
                  <c:v>23539.158035</c:v>
                </c:pt>
                <c:pt idx="11">
                  <c:v>19197.471269999998</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E5C8-4D48-8E00-31539F4EF630}"/>
            </c:ext>
          </c:extLst>
        </c:ser>
        <c:dLbls>
          <c:showLegendKey val="0"/>
          <c:showVal val="0"/>
          <c:showCatName val="0"/>
          <c:showSerName val="0"/>
          <c:showPercent val="0"/>
          <c:showBubbleSize val="0"/>
        </c:dLbls>
        <c:gapWidth val="219"/>
        <c:axId val="648870152"/>
        <c:axId val="648870544"/>
      </c:barChart>
      <c:lineChart>
        <c:grouping val="standard"/>
        <c:varyColors val="0"/>
        <c:ser>
          <c:idx val="2"/>
          <c:order val="2"/>
          <c:tx>
            <c:strRef>
              <c:f>Exchange_Wise!$D$2</c:f>
              <c:strCache>
                <c:ptCount val="1"/>
                <c:pt idx="0">
                  <c:v>ICEX (RHS)</c:v>
                </c:pt>
              </c:strCache>
            </c:strRef>
          </c:tx>
          <c:spPr>
            <a:ln w="28575" cap="rnd">
              <a:solidFill>
                <a:schemeClr val="accent6"/>
              </a:solidFill>
              <a:round/>
            </a:ln>
            <a:effectLst/>
          </c:spPr>
          <c:marker>
            <c:symbol val="x"/>
            <c:size val="10"/>
            <c:spPr>
              <a:noFill/>
              <a:ln w="9525">
                <a:solidFill>
                  <a:srgbClr val="C00000"/>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Exchange_Wise!$D$14:$D$28</c:f>
              <c:numCache>
                <c:formatCode>#,##0</c:formatCode>
                <c:ptCount val="12"/>
                <c:pt idx="0">
                  <c:v>3.86</c:v>
                </c:pt>
                <c:pt idx="1">
                  <c:v>3.59</c:v>
                </c:pt>
                <c:pt idx="2">
                  <c:v>2.6280000000000001</c:v>
                </c:pt>
                <c:pt idx="3">
                  <c:v>2.08724</c:v>
                </c:pt>
                <c:pt idx="4">
                  <c:v>1.8464299999999998</c:v>
                </c:pt>
                <c:pt idx="5">
                  <c:v>1.2250000000000001</c:v>
                </c:pt>
                <c:pt idx="6">
                  <c:v>0.97</c:v>
                </c:pt>
                <c:pt idx="7">
                  <c:v>0</c:v>
                </c:pt>
                <c:pt idx="8">
                  <c:v>0</c:v>
                </c:pt>
                <c:pt idx="9">
                  <c:v>0</c:v>
                </c:pt>
                <c:pt idx="10">
                  <c:v>0</c:v>
                </c:pt>
                <c:pt idx="11">
                  <c:v>0</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2-E5C8-4D48-8E00-31539F4EF630}"/>
            </c:ext>
          </c:extLst>
        </c:ser>
        <c:ser>
          <c:idx val="3"/>
          <c:order val="3"/>
          <c:tx>
            <c:strRef>
              <c:f>Exchange_Wise!$E$2</c:f>
              <c:strCache>
                <c:ptCount val="1"/>
                <c:pt idx="0">
                  <c:v>BSE (RHS)</c:v>
                </c:pt>
              </c:strCache>
            </c:strRef>
          </c:tx>
          <c:spPr>
            <a:ln w="28575" cap="rnd">
              <a:solidFill>
                <a:schemeClr val="tx1"/>
              </a:solidFill>
              <a:round/>
            </a:ln>
            <a:effectLst/>
          </c:spPr>
          <c:marker>
            <c:symbol val="triangle"/>
            <c:size val="9"/>
            <c:spPr>
              <a:solidFill>
                <a:schemeClr val="accent4"/>
              </a:solidFill>
              <a:ln w="9525">
                <a:solidFill>
                  <a:schemeClr val="tx1"/>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Exchange_Wise!$E$14:$E$28</c:f>
              <c:numCache>
                <c:formatCode>#,##0</c:formatCode>
                <c:ptCount val="12"/>
                <c:pt idx="0">
                  <c:v>227.91</c:v>
                </c:pt>
                <c:pt idx="1">
                  <c:v>238.75</c:v>
                </c:pt>
                <c:pt idx="2">
                  <c:v>245.83</c:v>
                </c:pt>
                <c:pt idx="3">
                  <c:v>246.65</c:v>
                </c:pt>
                <c:pt idx="4">
                  <c:v>305.59800000000001</c:v>
                </c:pt>
                <c:pt idx="5">
                  <c:v>381.72</c:v>
                </c:pt>
                <c:pt idx="6">
                  <c:v>418.43</c:v>
                </c:pt>
                <c:pt idx="7">
                  <c:v>353.58</c:v>
                </c:pt>
                <c:pt idx="8">
                  <c:v>240.05</c:v>
                </c:pt>
                <c:pt idx="9">
                  <c:v>349.06446999999997</c:v>
                </c:pt>
                <c:pt idx="10">
                  <c:v>415.88617499999998</c:v>
                </c:pt>
                <c:pt idx="11">
                  <c:v>402.31348500000001</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3-E5C8-4D48-8E00-31539F4EF630}"/>
            </c:ext>
          </c:extLst>
        </c:ser>
        <c:ser>
          <c:idx val="4"/>
          <c:order val="4"/>
          <c:tx>
            <c:strRef>
              <c:f>Exchange_Wise!$F$2</c:f>
              <c:strCache>
                <c:ptCount val="1"/>
                <c:pt idx="0">
                  <c:v>NSE (RHS)</c:v>
                </c:pt>
              </c:strCache>
            </c:strRef>
          </c:tx>
          <c:spPr>
            <a:ln w="28575" cap="rnd">
              <a:solidFill>
                <a:srgbClr val="C00000"/>
              </a:solidFill>
              <a:round/>
            </a:ln>
            <a:effectLst/>
          </c:spPr>
          <c:marker>
            <c:symbol val="diamond"/>
            <c:size val="9"/>
            <c:spPr>
              <a:solidFill>
                <a:srgbClr val="C00000"/>
              </a:solidFill>
              <a:ln w="9525">
                <a:solidFill>
                  <a:srgbClr val="C00000"/>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Exchange_Wise!$F$14:$F$28</c:f>
              <c:numCache>
                <c:formatCode>#,##0</c:formatCode>
                <c:ptCount val="12"/>
                <c:pt idx="0">
                  <c:v>415</c:v>
                </c:pt>
                <c:pt idx="1">
                  <c:v>671.72671000000003</c:v>
                </c:pt>
                <c:pt idx="2">
                  <c:v>252.94460000000001</c:v>
                </c:pt>
                <c:pt idx="3">
                  <c:v>0</c:v>
                </c:pt>
                <c:pt idx="4">
                  <c:v>0</c:v>
                </c:pt>
                <c:pt idx="5">
                  <c:v>0</c:v>
                </c:pt>
                <c:pt idx="6">
                  <c:v>0</c:v>
                </c:pt>
                <c:pt idx="7">
                  <c:v>0</c:v>
                </c:pt>
                <c:pt idx="8">
                  <c:v>0</c:v>
                </c:pt>
                <c:pt idx="9">
                  <c:v>0</c:v>
                </c:pt>
                <c:pt idx="10">
                  <c:v>0</c:v>
                </c:pt>
                <c:pt idx="11">
                  <c:v>0</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4-E5C8-4D48-8E00-31539F4EF630}"/>
            </c:ext>
          </c:extLst>
        </c:ser>
        <c:dLbls>
          <c:showLegendKey val="0"/>
          <c:showVal val="0"/>
          <c:showCatName val="0"/>
          <c:showSerName val="0"/>
          <c:showPercent val="0"/>
          <c:showBubbleSize val="0"/>
        </c:dLbls>
        <c:marker val="1"/>
        <c:smooth val="0"/>
        <c:axId val="648871328"/>
        <c:axId val="648870936"/>
      </c:lineChart>
      <c:dateAx>
        <c:axId val="648870152"/>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8870544"/>
        <c:crosses val="autoZero"/>
        <c:auto val="1"/>
        <c:lblOffset val="100"/>
        <c:baseTimeUnit val="months"/>
        <c:majorUnit val="1"/>
        <c:majorTimeUnit val="months"/>
      </c:dateAx>
      <c:valAx>
        <c:axId val="648870544"/>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a:t> Thousands</a:t>
                </a:r>
              </a:p>
              <a:p>
                <a:pPr>
                  <a:defRPr/>
                </a:pPr>
                <a:r>
                  <a:rPr lang="en-IN"/>
                  <a:t>crore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8870152"/>
        <c:crosses val="autoZero"/>
        <c:crossBetween val="between"/>
        <c:dispUnits>
          <c:builtInUnit val="thousands"/>
        </c:dispUnits>
      </c:valAx>
      <c:valAx>
        <c:axId val="648870936"/>
        <c:scaling>
          <c:orientation val="minMax"/>
          <c:max val="3000"/>
          <c:min val="0"/>
        </c:scaling>
        <c:delete val="0"/>
        <c:axPos val="r"/>
        <c:title>
          <c:tx>
            <c:rich>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a:t>₹Thousands</a:t>
                </a:r>
              </a:p>
              <a:p>
                <a:pPr>
                  <a:defRPr/>
                </a:pPr>
                <a:r>
                  <a:rPr lang="en-IN"/>
                  <a:t> crore</a:t>
                </a:r>
              </a:p>
            </c:rich>
          </c:tx>
          <c:layout>
            <c:manualLayout>
              <c:xMode val="edge"/>
              <c:yMode val="edge"/>
              <c:x val="0.96063667480161474"/>
              <c:y val="0.33961738433921917"/>
            </c:manualLayout>
          </c:layout>
          <c:overlay val="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8871328"/>
        <c:crosses val="max"/>
        <c:crossBetween val="between"/>
        <c:majorUnit val="500"/>
        <c:dispUnits>
          <c:builtInUnit val="thousands"/>
        </c:dispUnits>
      </c:valAx>
      <c:dateAx>
        <c:axId val="648871328"/>
        <c:scaling>
          <c:orientation val="minMax"/>
        </c:scaling>
        <c:delete val="1"/>
        <c:axPos val="b"/>
        <c:numFmt formatCode="[$-409]mmm\-yy;@" sourceLinked="1"/>
        <c:majorTickMark val="out"/>
        <c:minorTickMark val="none"/>
        <c:tickLblPos val="nextTo"/>
        <c:crossAx val="648870936"/>
        <c:crosses val="autoZero"/>
        <c:auto val="0"/>
        <c:lblOffset val="100"/>
        <c:baseTimeUnit val="months"/>
      </c:dateAx>
      <c:spPr>
        <a:noFill/>
        <a:ln>
          <a:noFill/>
        </a:ln>
        <a:effectLst/>
      </c:spPr>
    </c:plotArea>
    <c:legend>
      <c:legendPos val="b"/>
      <c:layout>
        <c:manualLayout>
          <c:xMode val="edge"/>
          <c:yMode val="edge"/>
          <c:x val="0.10164675814571447"/>
          <c:y val="0.87648641104576042"/>
          <c:w val="0.82665128174197633"/>
          <c:h val="0.123513588954239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42437292714997"/>
          <c:y val="2.8574616789475059E-2"/>
          <c:w val="0.72372374991428912"/>
          <c:h val="0.72457814568050793"/>
        </c:manualLayout>
      </c:layout>
      <c:barChart>
        <c:barDir val="col"/>
        <c:grouping val="stacked"/>
        <c:varyColors val="0"/>
        <c:ser>
          <c:idx val="0"/>
          <c:order val="0"/>
          <c:tx>
            <c:strRef>
              <c:f>Exchange_Wise!$G$2</c:f>
              <c:strCache>
                <c:ptCount val="1"/>
                <c:pt idx="0">
                  <c:v>MCX (LHS)</c:v>
                </c:pt>
              </c:strCache>
            </c:strRef>
          </c:tx>
          <c:spPr>
            <a:solidFill>
              <a:srgbClr val="92D050"/>
            </a:solidFill>
            <a:ln>
              <a:solidFill>
                <a:sysClr val="windowText" lastClr="000000"/>
              </a:solidFill>
            </a:ln>
            <a:effectLst/>
          </c:spPr>
          <c:invertIfNegative val="0"/>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Exchange_Wise!$G$14:$G$28</c:f>
              <c:numCache>
                <c:formatCode>#,##0</c:formatCode>
                <c:ptCount val="12"/>
                <c:pt idx="0">
                  <c:v>573244.30666690005</c:v>
                </c:pt>
                <c:pt idx="1">
                  <c:v>578366.63177189988</c:v>
                </c:pt>
                <c:pt idx="2">
                  <c:v>535066.9253165999</c:v>
                </c:pt>
                <c:pt idx="3">
                  <c:v>562207.22881080012</c:v>
                </c:pt>
                <c:pt idx="4">
                  <c:v>598897.15908910008</c:v>
                </c:pt>
                <c:pt idx="5">
                  <c:v>522314.69155069976</c:v>
                </c:pt>
                <c:pt idx="6">
                  <c:v>446299.64222270012</c:v>
                </c:pt>
                <c:pt idx="7">
                  <c:v>448251.96155909984</c:v>
                </c:pt>
                <c:pt idx="8">
                  <c:v>508856.59283569996</c:v>
                </c:pt>
                <c:pt idx="9">
                  <c:v>685839.96331450006</c:v>
                </c:pt>
                <c:pt idx="10">
                  <c:v>489689.06929630006</c:v>
                </c:pt>
                <c:pt idx="11">
                  <c:v>546931.5974325001</c:v>
                </c:pt>
              </c:numCache>
              <c:extLst xmlns:c16r2="http://schemas.microsoft.com/office/drawing/2015/06/chart"/>
            </c:numRef>
          </c:val>
          <c:extLst xmlns:c15="http://schemas.microsoft.com/office/drawing/2012/chart" xmlns:c16r2="http://schemas.microsoft.com/office/drawing/2015/06/chart">
            <c:ext xmlns:c16="http://schemas.microsoft.com/office/drawing/2014/chart" uri="{C3380CC4-5D6E-409C-BE32-E72D297353CC}">
              <c16:uniqueId val="{00000000-2B0F-4E6C-8BB3-27C5FF0F4BC1}"/>
            </c:ext>
          </c:extLst>
        </c:ser>
        <c:dLbls>
          <c:showLegendKey val="0"/>
          <c:showVal val="0"/>
          <c:showCatName val="0"/>
          <c:showSerName val="0"/>
          <c:showPercent val="0"/>
          <c:showBubbleSize val="0"/>
        </c:dLbls>
        <c:gapWidth val="219"/>
        <c:overlap val="100"/>
        <c:axId val="648868584"/>
        <c:axId val="648868976"/>
        <c:extLst xmlns:c16r2="http://schemas.microsoft.com/office/drawing/2015/06/chart"/>
      </c:barChart>
      <c:lineChart>
        <c:grouping val="stacked"/>
        <c:varyColors val="0"/>
        <c:ser>
          <c:idx val="1"/>
          <c:order val="1"/>
          <c:tx>
            <c:strRef>
              <c:f>Exchange_Wise!$H$2</c:f>
              <c:strCache>
                <c:ptCount val="1"/>
                <c:pt idx="0">
                  <c:v>NCDEX (RHS)</c:v>
                </c:pt>
              </c:strCache>
            </c:strRef>
          </c:tx>
          <c:spPr>
            <a:ln w="19050" cap="rnd">
              <a:solidFill>
                <a:sysClr val="windowText" lastClr="000000">
                  <a:lumMod val="75000"/>
                  <a:lumOff val="25000"/>
                </a:sysClr>
              </a:solidFill>
              <a:round/>
            </a:ln>
            <a:effectLst/>
          </c:spPr>
          <c:marker>
            <c:symbol val="circle"/>
            <c:size val="5"/>
            <c:spPr>
              <a:solidFill>
                <a:sysClr val="windowText" lastClr="000000"/>
              </a:solidFill>
              <a:ln w="9525">
                <a:solidFill>
                  <a:schemeClr val="accent2"/>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Exchange_Wise!$H$14:$H$28</c:f>
              <c:numCache>
                <c:formatCode>#,##0</c:formatCode>
                <c:ptCount val="12"/>
                <c:pt idx="0">
                  <c:v>17.549300000000002</c:v>
                </c:pt>
                <c:pt idx="1">
                  <c:v>17.309999999999999</c:v>
                </c:pt>
                <c:pt idx="2">
                  <c:v>13.696019999999997</c:v>
                </c:pt>
                <c:pt idx="3">
                  <c:v>10.95</c:v>
                </c:pt>
                <c:pt idx="4">
                  <c:v>9.6300000000000008</c:v>
                </c:pt>
                <c:pt idx="5">
                  <c:v>9.0530000000000008</c:v>
                </c:pt>
                <c:pt idx="6">
                  <c:v>6.51</c:v>
                </c:pt>
                <c:pt idx="7">
                  <c:v>3.03</c:v>
                </c:pt>
                <c:pt idx="8">
                  <c:v>2.13151</c:v>
                </c:pt>
                <c:pt idx="9">
                  <c:v>32.409999999999997</c:v>
                </c:pt>
                <c:pt idx="10">
                  <c:v>18.52478</c:v>
                </c:pt>
                <c:pt idx="11">
                  <c:v>6.3149199999999999</c:v>
                </c:pt>
              </c:numCache>
              <c:extLst xmlns:c16r2="http://schemas.microsoft.com/office/drawing/2015/06/chart"/>
            </c:numRef>
          </c:val>
          <c:smooth val="0"/>
          <c:extLst xmlns:c15="http://schemas.microsoft.com/office/drawing/2012/chart" xmlns:c16r2="http://schemas.microsoft.com/office/drawing/2015/06/chart">
            <c:ext xmlns:c16="http://schemas.microsoft.com/office/drawing/2014/chart" uri="{C3380CC4-5D6E-409C-BE32-E72D297353CC}">
              <c16:uniqueId val="{00000001-2B0F-4E6C-8BB3-27C5FF0F4BC1}"/>
            </c:ext>
          </c:extLst>
        </c:ser>
        <c:ser>
          <c:idx val="2"/>
          <c:order val="2"/>
          <c:tx>
            <c:strRef>
              <c:f>Exchange_Wise!$I$2</c:f>
              <c:strCache>
                <c:ptCount val="1"/>
                <c:pt idx="0">
                  <c:v>ICEX (RHS)</c:v>
                </c:pt>
              </c:strCache>
            </c:strRef>
          </c:tx>
          <c:spPr>
            <a:ln w="19050" cap="rnd">
              <a:solidFill>
                <a:srgbClr val="FF0000"/>
              </a:solidFill>
              <a:prstDash val="dash"/>
              <a:round/>
            </a:ln>
            <a:effectLst/>
          </c:spPr>
          <c:marker>
            <c:symbol val="circle"/>
            <c:size val="4"/>
            <c:spPr>
              <a:solidFill>
                <a:srgbClr val="C00000"/>
              </a:solidFill>
              <a:ln w="19050">
                <a:solidFill>
                  <a:srgbClr val="FF0000"/>
                </a:solidFill>
                <a:prstDash val="dash"/>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Exchange_Wise!$I$14:$I$28</c:f>
              <c:numCache>
                <c:formatCode>#,##0</c:formatCode>
                <c:ptCount val="12"/>
                <c:pt idx="0">
                  <c:v>22.58</c:v>
                </c:pt>
                <c:pt idx="1">
                  <c:v>18.54</c:v>
                </c:pt>
                <c:pt idx="2">
                  <c:v>17.7044</c:v>
                </c:pt>
                <c:pt idx="3">
                  <c:v>11.303419999999999</c:v>
                </c:pt>
                <c:pt idx="4">
                  <c:v>6.1666200000000009</c:v>
                </c:pt>
                <c:pt idx="5">
                  <c:v>2.74</c:v>
                </c:pt>
                <c:pt idx="6">
                  <c:v>1.92</c:v>
                </c:pt>
                <c:pt idx="7">
                  <c:v>0</c:v>
                </c:pt>
                <c:pt idx="8">
                  <c:v>0</c:v>
                </c:pt>
                <c:pt idx="9">
                  <c:v>0</c:v>
                </c:pt>
                <c:pt idx="10">
                  <c:v>0</c:v>
                </c:pt>
                <c:pt idx="11">
                  <c:v>0</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2-2B0F-4E6C-8BB3-27C5FF0F4BC1}"/>
            </c:ext>
          </c:extLst>
        </c:ser>
        <c:ser>
          <c:idx val="4"/>
          <c:order val="3"/>
          <c:tx>
            <c:strRef>
              <c:f>Exchange_Wise!$K$2</c:f>
              <c:strCache>
                <c:ptCount val="1"/>
                <c:pt idx="0">
                  <c:v>NSE (RHS)</c:v>
                </c:pt>
              </c:strCache>
            </c:strRef>
          </c:tx>
          <c:spPr>
            <a:ln w="25400" cap="rnd">
              <a:solidFill>
                <a:srgbClr val="00B0F0"/>
              </a:solidFill>
              <a:prstDash val="sysDash"/>
              <a:round/>
            </a:ln>
            <a:effectLst/>
          </c:spPr>
          <c:marker>
            <c:symbol val="square"/>
            <c:size val="6"/>
            <c:spPr>
              <a:solidFill>
                <a:sysClr val="windowText" lastClr="000000"/>
              </a:solidFill>
              <a:ln w="9525">
                <a:solidFill>
                  <a:schemeClr val="accent5"/>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Exchange_Wise!$K$14:$K$28</c:f>
              <c:numCache>
                <c:formatCode>#,##0</c:formatCode>
                <c:ptCount val="12"/>
                <c:pt idx="0">
                  <c:v>7.7</c:v>
                </c:pt>
                <c:pt idx="1">
                  <c:v>4.1648215999999998</c:v>
                </c:pt>
                <c:pt idx="2">
                  <c:v>1.2277750999999995</c:v>
                </c:pt>
                <c:pt idx="3">
                  <c:v>1.0724889999999996</c:v>
                </c:pt>
                <c:pt idx="4">
                  <c:v>0.99556400000000023</c:v>
                </c:pt>
                <c:pt idx="5">
                  <c:v>1.0610160000000002</c:v>
                </c:pt>
                <c:pt idx="6">
                  <c:v>1.0545200000000001</c:v>
                </c:pt>
                <c:pt idx="7">
                  <c:v>0.95858199999999982</c:v>
                </c:pt>
                <c:pt idx="8">
                  <c:v>0.9863369999999998</c:v>
                </c:pt>
                <c:pt idx="9">
                  <c:v>1.1943790000000001</c:v>
                </c:pt>
                <c:pt idx="10">
                  <c:v>1.0397680000000002</c:v>
                </c:pt>
                <c:pt idx="11">
                  <c:v>1.1673119999999997</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3-2B0F-4E6C-8BB3-27C5FF0F4BC1}"/>
            </c:ext>
          </c:extLst>
        </c:ser>
        <c:ser>
          <c:idx val="3"/>
          <c:order val="4"/>
          <c:tx>
            <c:strRef>
              <c:f>Exchange_Wise!$J$2</c:f>
              <c:strCache>
                <c:ptCount val="1"/>
                <c:pt idx="0">
                  <c:v>BSE (RHS)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Exchange_Wise!$J$14:$J$28</c:f>
              <c:numCache>
                <c:formatCode>#,##0</c:formatCode>
                <c:ptCount val="12"/>
                <c:pt idx="0">
                  <c:v>11</c:v>
                </c:pt>
                <c:pt idx="1">
                  <c:v>27.182001</c:v>
                </c:pt>
                <c:pt idx="2">
                  <c:v>64.38</c:v>
                </c:pt>
                <c:pt idx="3">
                  <c:v>69.201874000000004</c:v>
                </c:pt>
                <c:pt idx="4">
                  <c:v>90.755050999999995</c:v>
                </c:pt>
                <c:pt idx="5">
                  <c:v>117.18187400000001</c:v>
                </c:pt>
                <c:pt idx="6">
                  <c:v>91.389163999999994</c:v>
                </c:pt>
                <c:pt idx="7">
                  <c:v>58.021428999999998</c:v>
                </c:pt>
                <c:pt idx="8">
                  <c:v>51.183413000000002</c:v>
                </c:pt>
                <c:pt idx="9">
                  <c:v>70.454560000000001</c:v>
                </c:pt>
                <c:pt idx="10">
                  <c:v>57.857354999999998</c:v>
                </c:pt>
                <c:pt idx="11">
                  <c:v>66.204819999999998</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4-2B0F-4E6C-8BB3-27C5FF0F4BC1}"/>
            </c:ext>
          </c:extLst>
        </c:ser>
        <c:dLbls>
          <c:showLegendKey val="0"/>
          <c:showVal val="0"/>
          <c:showCatName val="0"/>
          <c:showSerName val="0"/>
          <c:showPercent val="0"/>
          <c:showBubbleSize val="0"/>
        </c:dLbls>
        <c:marker val="1"/>
        <c:smooth val="0"/>
        <c:axId val="649398848"/>
        <c:axId val="648869368"/>
      </c:lineChart>
      <c:dateAx>
        <c:axId val="648868584"/>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8868976"/>
        <c:crosses val="autoZero"/>
        <c:auto val="0"/>
        <c:lblOffset val="100"/>
        <c:baseTimeUnit val="months"/>
      </c:dateAx>
      <c:valAx>
        <c:axId val="648868976"/>
        <c:scaling>
          <c:orientation val="minMax"/>
          <c:max val="100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a:t> Thousands</a:t>
                </a:r>
              </a:p>
              <a:p>
                <a:pPr algn="ctr" rtl="0">
                  <a:defRPr/>
                </a:pPr>
                <a:r>
                  <a:rPr lang="en-IN"/>
                  <a:t>crore</a:t>
                </a:r>
              </a:p>
            </c:rich>
          </c:tx>
          <c:overlay val="0"/>
          <c:spPr>
            <a:noFill/>
            <a:ln>
              <a:noFill/>
            </a:ln>
            <a:effectLst/>
          </c:spPr>
          <c:txPr>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8868584"/>
        <c:crosses val="autoZero"/>
        <c:crossBetween val="between"/>
        <c:majorUnit val="100000"/>
        <c:dispUnits>
          <c:builtInUnit val="thousands"/>
        </c:dispUnits>
      </c:valAx>
      <c:valAx>
        <c:axId val="648869368"/>
        <c:scaling>
          <c:orientation val="minMax"/>
          <c:max val="200"/>
        </c:scaling>
        <c:delete val="0"/>
        <c:axPos val="r"/>
        <c:title>
          <c:tx>
            <c:rich>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sz="900" b="0" i="0" baseline="0">
                    <a:effectLst/>
                  </a:rPr>
                  <a:t>₹</a:t>
                </a:r>
                <a:r>
                  <a:rPr lang="en-IN" sz="900" b="0" i="0" baseline="0">
                    <a:effectLst/>
                  </a:rPr>
                  <a:t> Thousands</a:t>
                </a:r>
              </a:p>
              <a:p>
                <a:pPr>
                  <a:defRPr/>
                </a:pPr>
                <a:r>
                  <a:rPr lang="en-IN" sz="900" b="0" i="0" baseline="0">
                    <a:effectLst/>
                  </a:rPr>
                  <a:t> crore</a:t>
                </a:r>
                <a:endParaRPr lang="en-IN" sz="900">
                  <a:effectLst/>
                </a:endParaRPr>
              </a:p>
            </c:rich>
          </c:tx>
          <c:overlay val="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9398848"/>
        <c:crosses val="max"/>
        <c:crossBetween val="between"/>
      </c:valAx>
      <c:dateAx>
        <c:axId val="649398848"/>
        <c:scaling>
          <c:orientation val="minMax"/>
        </c:scaling>
        <c:delete val="1"/>
        <c:axPos val="b"/>
        <c:numFmt formatCode="[$-409]mmm\-yy;@" sourceLinked="1"/>
        <c:majorTickMark val="out"/>
        <c:minorTickMark val="none"/>
        <c:tickLblPos val="nextTo"/>
        <c:crossAx val="648869368"/>
        <c:crosses val="autoZero"/>
        <c:auto val="1"/>
        <c:lblOffset val="100"/>
        <c:baseTimeUnit val="days"/>
        <c:majorUnit val="1"/>
        <c:minorUnit val="1"/>
      </c:dateAx>
      <c:spPr>
        <a:noFill/>
        <a:ln>
          <a:noFill/>
        </a:ln>
        <a:effectLst/>
      </c:spPr>
    </c:plotArea>
    <c:legend>
      <c:legendPos val="b"/>
      <c:layout>
        <c:manualLayout>
          <c:xMode val="edge"/>
          <c:yMode val="edge"/>
          <c:x val="0.10228638086905803"/>
          <c:y val="0.88298072419128193"/>
          <c:w val="0.89771364188023373"/>
          <c:h val="6.035007568213449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41236006424859"/>
          <c:y val="2.5425336553711E-2"/>
          <c:w val="0.79291891655604152"/>
          <c:h val="0.74402255555637775"/>
        </c:manualLayout>
      </c:layout>
      <c:lineChart>
        <c:grouping val="standard"/>
        <c:varyColors val="0"/>
        <c:ser>
          <c:idx val="3"/>
          <c:order val="0"/>
          <c:tx>
            <c:strRef>
              <c:f>Exchange_Wise!$L$2</c:f>
              <c:strCache>
                <c:ptCount val="1"/>
                <c:pt idx="0">
                  <c:v>MCX (LHS)</c:v>
                </c:pt>
              </c:strCache>
            </c:strRef>
          </c:tx>
          <c:spPr>
            <a:ln w="22225" cap="rnd">
              <a:solidFill>
                <a:srgbClr val="0070C0"/>
              </a:solidFill>
              <a:round/>
            </a:ln>
            <a:effectLst/>
          </c:spPr>
          <c:marker>
            <c:symbol val="circle"/>
            <c:size val="5"/>
            <c:spPr>
              <a:solidFill>
                <a:srgbClr val="0070C0"/>
              </a:solidFill>
              <a:ln w="9525">
                <a:solidFill>
                  <a:srgbClr val="0070C0"/>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Exchange_Wise!$L$14:$L$28</c:f>
              <c:numCache>
                <c:formatCode>#,##0</c:formatCode>
                <c:ptCount val="12"/>
                <c:pt idx="0">
                  <c:v>50098.683639000003</c:v>
                </c:pt>
                <c:pt idx="1">
                  <c:v>99269.799360999983</c:v>
                </c:pt>
                <c:pt idx="2">
                  <c:v>130106.263812</c:v>
                </c:pt>
                <c:pt idx="3">
                  <c:v>168111.93358800001</c:v>
                </c:pt>
                <c:pt idx="4">
                  <c:v>175348.76363799989</c:v>
                </c:pt>
                <c:pt idx="5">
                  <c:v>200327.052031</c:v>
                </c:pt>
                <c:pt idx="6">
                  <c:v>183957.54242700001</c:v>
                </c:pt>
                <c:pt idx="7">
                  <c:v>208851.39143600001</c:v>
                </c:pt>
                <c:pt idx="8">
                  <c:v>307905.91688100016</c:v>
                </c:pt>
                <c:pt idx="9">
                  <c:v>432368.11231300002</c:v>
                </c:pt>
                <c:pt idx="10">
                  <c:v>341419.94574</c:v>
                </c:pt>
                <c:pt idx="11">
                  <c:v>431907.81403800001</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0-8A88-4BC9-9596-5CBECD932112}"/>
            </c:ext>
          </c:extLst>
        </c:ser>
        <c:ser>
          <c:idx val="1"/>
          <c:order val="1"/>
          <c:tx>
            <c:strRef>
              <c:f>Exchange_Wise!$M$2</c:f>
              <c:strCache>
                <c:ptCount val="1"/>
                <c:pt idx="0">
                  <c:v>BSE (LHS)</c:v>
                </c:pt>
              </c:strCache>
            </c:strRef>
          </c:tx>
          <c:spPr>
            <a:ln w="22225" cap="rnd">
              <a:solidFill>
                <a:sysClr val="windowText" lastClr="000000">
                  <a:lumMod val="75000"/>
                  <a:lumOff val="25000"/>
                </a:sysClr>
              </a:solidFill>
              <a:round/>
            </a:ln>
            <a:effectLst/>
          </c:spPr>
          <c:marker>
            <c:symbol val="circle"/>
            <c:size val="5"/>
            <c:spPr>
              <a:solidFill>
                <a:schemeClr val="accent2"/>
              </a:solidFill>
              <a:ln w="9525">
                <a:solidFill>
                  <a:schemeClr val="accent2"/>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Exchange_Wise!$M$14:$M$28</c:f>
              <c:numCache>
                <c:formatCode>#,##0</c:formatCode>
                <c:ptCount val="12"/>
                <c:pt idx="0">
                  <c:v>71633.320000000007</c:v>
                </c:pt>
                <c:pt idx="1">
                  <c:v>69040.27</c:v>
                </c:pt>
                <c:pt idx="2">
                  <c:v>68611.69</c:v>
                </c:pt>
                <c:pt idx="3">
                  <c:v>74108.070000000007</c:v>
                </c:pt>
                <c:pt idx="4">
                  <c:v>93851.94</c:v>
                </c:pt>
                <c:pt idx="5">
                  <c:v>104633.86</c:v>
                </c:pt>
                <c:pt idx="6">
                  <c:v>124168.35</c:v>
                </c:pt>
                <c:pt idx="7">
                  <c:v>20644.12</c:v>
                </c:pt>
                <c:pt idx="8">
                  <c:v>1973.62</c:v>
                </c:pt>
                <c:pt idx="9">
                  <c:v>2309.2399999999998</c:v>
                </c:pt>
                <c:pt idx="10">
                  <c:v>406.37</c:v>
                </c:pt>
                <c:pt idx="11">
                  <c:v>240.76</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1-8A88-4BC9-9596-5CBECD932112}"/>
            </c:ext>
          </c:extLst>
        </c:ser>
        <c:dLbls>
          <c:showLegendKey val="0"/>
          <c:showVal val="0"/>
          <c:showCatName val="0"/>
          <c:showSerName val="0"/>
          <c:showPercent val="0"/>
          <c:showBubbleSize val="0"/>
        </c:dLbls>
        <c:marker val="1"/>
        <c:smooth val="0"/>
        <c:axId val="649409432"/>
        <c:axId val="649406296"/>
      </c:lineChart>
      <c:lineChart>
        <c:grouping val="standard"/>
        <c:varyColors val="0"/>
        <c:ser>
          <c:idx val="5"/>
          <c:order val="2"/>
          <c:tx>
            <c:strRef>
              <c:f>Exchange_Wise!$N$2</c:f>
              <c:strCache>
                <c:ptCount val="1"/>
                <c:pt idx="0">
                  <c:v>NSE (RHS)</c:v>
                </c:pt>
              </c:strCache>
            </c:strRef>
          </c:tx>
          <c:spPr>
            <a:ln w="28575" cap="rnd">
              <a:solidFill>
                <a:schemeClr val="accent6"/>
              </a:solidFill>
              <a:round/>
            </a:ln>
            <a:effectLst/>
          </c:spPr>
          <c:marker>
            <c:symbol val="circle"/>
            <c:size val="5"/>
            <c:spPr>
              <a:solidFill>
                <a:srgbClr val="C00000"/>
              </a:solidFill>
              <a:ln w="9525">
                <a:solidFill>
                  <a:schemeClr val="accent6"/>
                </a:solidFill>
              </a:ln>
              <a:effectLst/>
            </c:spPr>
          </c:marker>
          <c:cat>
            <c:numRef>
              <c:f>Exchange_Wise!$A$14:$A$28</c:f>
              <c:numCache>
                <c:formatCode>[$-409]mmm\-yy;@</c:formatCode>
                <c:ptCount val="12"/>
                <c:pt idx="0">
                  <c:v>44349</c:v>
                </c:pt>
                <c:pt idx="1">
                  <c:v>44408</c:v>
                </c:pt>
                <c:pt idx="2">
                  <c:v>44439</c:v>
                </c:pt>
                <c:pt idx="3">
                  <c:v>44469</c:v>
                </c:pt>
                <c:pt idx="4">
                  <c:v>44500</c:v>
                </c:pt>
                <c:pt idx="5">
                  <c:v>44530</c:v>
                </c:pt>
                <c:pt idx="6">
                  <c:v>44561</c:v>
                </c:pt>
                <c:pt idx="7">
                  <c:v>44592</c:v>
                </c:pt>
                <c:pt idx="8">
                  <c:v>44620</c:v>
                </c:pt>
                <c:pt idx="9">
                  <c:v>44621</c:v>
                </c:pt>
                <c:pt idx="10">
                  <c:v>44681</c:v>
                </c:pt>
                <c:pt idx="11">
                  <c:v>44712</c:v>
                </c:pt>
              </c:numCache>
              <c:extLst xmlns:c16r2="http://schemas.microsoft.com/office/drawing/2015/06/chart"/>
            </c:numRef>
          </c:cat>
          <c:val>
            <c:numRef>
              <c:f>Exchange_Wise!$N$14:$N$28</c:f>
              <c:numCache>
                <c:formatCode>#,##0</c:formatCode>
                <c:ptCount val="12"/>
                <c:pt idx="0">
                  <c:v>699.27089999999998</c:v>
                </c:pt>
                <c:pt idx="1">
                  <c:v>894.56880599999931</c:v>
                </c:pt>
                <c:pt idx="2">
                  <c:v>1461.2396724999994</c:v>
                </c:pt>
                <c:pt idx="3">
                  <c:v>1689.5345539999994</c:v>
                </c:pt>
                <c:pt idx="4">
                  <c:v>1544.4293314999982</c:v>
                </c:pt>
                <c:pt idx="5">
                  <c:v>1690.9406470000004</c:v>
                </c:pt>
                <c:pt idx="6">
                  <c:v>1631.379094500001</c:v>
                </c:pt>
                <c:pt idx="7">
                  <c:v>1468.309361000001</c:v>
                </c:pt>
                <c:pt idx="8">
                  <c:v>1702.3189605000002</c:v>
                </c:pt>
                <c:pt idx="9">
                  <c:v>2893.0589605000032</c:v>
                </c:pt>
                <c:pt idx="10">
                  <c:v>1655.437634000001</c:v>
                </c:pt>
                <c:pt idx="11">
                  <c:v>1458.3869955000011</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2-8A88-4BC9-9596-5CBECD932112}"/>
            </c:ext>
          </c:extLst>
        </c:ser>
        <c:dLbls>
          <c:showLegendKey val="0"/>
          <c:showVal val="0"/>
          <c:showCatName val="0"/>
          <c:showSerName val="0"/>
          <c:showPercent val="0"/>
          <c:showBubbleSize val="0"/>
        </c:dLbls>
        <c:marker val="1"/>
        <c:smooth val="0"/>
        <c:axId val="649407864"/>
        <c:axId val="649409824"/>
      </c:lineChart>
      <c:dateAx>
        <c:axId val="649409432"/>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9406296"/>
        <c:crosses val="autoZero"/>
        <c:auto val="1"/>
        <c:lblOffset val="100"/>
        <c:baseTimeUnit val="months"/>
      </c:dateAx>
      <c:valAx>
        <c:axId val="649406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baseline="0"/>
                  <a:t> </a:t>
                </a:r>
                <a:r>
                  <a:rPr lang="en-IN"/>
                  <a:t> Thousands</a:t>
                </a:r>
                <a:r>
                  <a:rPr lang="en-IN" baseline="0"/>
                  <a:t> </a:t>
                </a:r>
                <a:r>
                  <a:rPr lang="en-IN"/>
                  <a:t>crore</a:t>
                </a:r>
              </a:p>
            </c:rich>
          </c:tx>
          <c:overlay val="0"/>
          <c:spPr>
            <a:noFill/>
            <a:ln>
              <a:noFill/>
            </a:ln>
            <a:effectLst/>
          </c:spPr>
          <c:txPr>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9409432"/>
        <c:crosses val="autoZero"/>
        <c:crossBetween val="between"/>
        <c:majorUnit val="100000"/>
        <c:minorUnit val="5000"/>
        <c:dispUnits>
          <c:builtInUnit val="thousands"/>
        </c:dispUnits>
      </c:valAx>
      <c:valAx>
        <c:axId val="649409824"/>
        <c:scaling>
          <c:orientation val="minMax"/>
          <c:max val="5000"/>
        </c:scaling>
        <c:delete val="0"/>
        <c:axPos val="r"/>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50" b="0" i="0" u="none" strike="noStrike" kern="1200" baseline="0">
                    <a:solidFill>
                      <a:sysClr val="windowText" lastClr="000000"/>
                    </a:solidFill>
                    <a:latin typeface="Palatino Linotype" panose="02040502050505030304" pitchFamily="18" charset="0"/>
                    <a:ea typeface="+mn-ea"/>
                    <a:cs typeface="+mn-cs"/>
                  </a:defRPr>
                </a:pPr>
                <a:r>
                  <a:rPr lang="en-US" sz="1050" b="0" i="0" baseline="0">
                    <a:effectLst/>
                  </a:rPr>
                  <a:t>₹</a:t>
                </a:r>
                <a:r>
                  <a:rPr lang="en-IN" sz="1050" b="0" i="0" baseline="0">
                    <a:effectLst/>
                  </a:rPr>
                  <a:t> Thousands</a:t>
                </a:r>
              </a:p>
              <a:p>
                <a:pPr marL="0" marR="0" indent="0" algn="ctr" defTabSz="914400" rtl="0" eaLnBrk="1" fontAlgn="auto" latinLnBrk="0" hangingPunct="1">
                  <a:lnSpc>
                    <a:spcPct val="100000"/>
                  </a:lnSpc>
                  <a:spcBef>
                    <a:spcPts val="0"/>
                  </a:spcBef>
                  <a:spcAft>
                    <a:spcPts val="0"/>
                  </a:spcAft>
                  <a:buClrTx/>
                  <a:buSzTx/>
                  <a:buFontTx/>
                  <a:buNone/>
                  <a:tabLst/>
                  <a:defRPr sz="1050"/>
                </a:pPr>
                <a:r>
                  <a:rPr lang="en-IN" sz="1050" b="0" i="0" baseline="0">
                    <a:effectLst/>
                  </a:rPr>
                  <a:t> crore</a:t>
                </a:r>
                <a:endParaRPr lang="en-IN" sz="105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5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649407864"/>
        <c:crosses val="max"/>
        <c:crossBetween val="between"/>
        <c:majorUnit val="1000"/>
        <c:dispUnits>
          <c:builtInUnit val="thousands"/>
        </c:dispUnits>
      </c:valAx>
      <c:dateAx>
        <c:axId val="649407864"/>
        <c:scaling>
          <c:orientation val="minMax"/>
        </c:scaling>
        <c:delete val="1"/>
        <c:axPos val="b"/>
        <c:numFmt formatCode="[$-409]mmm\-yy;@" sourceLinked="1"/>
        <c:majorTickMark val="out"/>
        <c:minorTickMark val="none"/>
        <c:tickLblPos val="nextTo"/>
        <c:crossAx val="649409824"/>
        <c:crosses val="autoZero"/>
        <c:auto val="1"/>
        <c:lblOffset val="100"/>
        <c:baseTimeUnit val="days"/>
      </c:dateAx>
      <c:spPr>
        <a:noFill/>
        <a:ln>
          <a:noFill/>
        </a:ln>
        <a:effectLst/>
      </c:spPr>
    </c:plotArea>
    <c:legend>
      <c:legendPos val="b"/>
      <c:layout>
        <c:manualLayout>
          <c:xMode val="edge"/>
          <c:yMode val="edge"/>
          <c:x val="0.20116063823162392"/>
          <c:y val="0.92796071281948211"/>
          <c:w val="0.72804049734602716"/>
          <c:h val="6.755782383398278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3049833417287E-2"/>
          <c:y val="5.7217165149544863E-2"/>
          <c:w val="0.89147432328534693"/>
          <c:h val="0.60144005406346313"/>
        </c:manualLayout>
      </c:layout>
      <c:lineChart>
        <c:grouping val="standard"/>
        <c:varyColors val="0"/>
        <c:ser>
          <c:idx val="0"/>
          <c:order val="0"/>
          <c:tx>
            <c:strRef>
              <c:f>'MSCI Chart'!$H$7</c:f>
              <c:strCache>
                <c:ptCount val="1"/>
                <c:pt idx="0">
                  <c:v>MSCI World</c:v>
                </c:pt>
              </c:strCache>
            </c:strRef>
          </c:tx>
          <c:spPr>
            <a:ln w="28575" cap="rnd">
              <a:solidFill>
                <a:schemeClr val="accent6"/>
              </a:solidFill>
              <a:round/>
            </a:ln>
            <a:effectLst/>
          </c:spPr>
          <c:marker>
            <c:symbol val="none"/>
          </c:marker>
          <c:cat>
            <c:numRef>
              <c:f>'MSCI Chart'!$G$8:$G$291</c:f>
              <c:numCache>
                <c:formatCode>m/d/yyyy</c:formatCode>
                <c:ptCount val="284"/>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f>'MSCI Chart'!$H$8:$H$291</c:f>
              <c:numCache>
                <c:formatCode>0</c:formatCode>
                <c:ptCount val="284"/>
                <c:pt idx="0" formatCode="0.0">
                  <c:v>100</c:v>
                </c:pt>
                <c:pt idx="1">
                  <c:v>100.21252135211165</c:v>
                </c:pt>
                <c:pt idx="2">
                  <c:v>100.34519597231038</c:v>
                </c:pt>
                <c:pt idx="3">
                  <c:v>99.904829147820962</c:v>
                </c:pt>
                <c:pt idx="4">
                  <c:v>100.72776129053288</c:v>
                </c:pt>
                <c:pt idx="5">
                  <c:v>100.84924527027414</c:v>
                </c:pt>
                <c:pt idx="6">
                  <c:v>100.87821323446138</c:v>
                </c:pt>
                <c:pt idx="7">
                  <c:v>100.70366612774603</c:v>
                </c:pt>
                <c:pt idx="8">
                  <c:v>101.0673451398511</c:v>
                </c:pt>
                <c:pt idx="9">
                  <c:v>101.24242993499685</c:v>
                </c:pt>
                <c:pt idx="10">
                  <c:v>101.48469217841445</c:v>
                </c:pt>
                <c:pt idx="11">
                  <c:v>101.39688093662639</c:v>
                </c:pt>
                <c:pt idx="12">
                  <c:v>101.10148835518088</c:v>
                </c:pt>
                <c:pt idx="13">
                  <c:v>100.69933101477605</c:v>
                </c:pt>
                <c:pt idx="14">
                  <c:v>99.277010694286858</c:v>
                </c:pt>
                <c:pt idx="15">
                  <c:v>100.21527700531743</c:v>
                </c:pt>
                <c:pt idx="16">
                  <c:v>100.85475657668566</c:v>
                </c:pt>
                <c:pt idx="17">
                  <c:v>100.74947046090992</c:v>
                </c:pt>
                <c:pt idx="18">
                  <c:v>101.26555053750363</c:v>
                </c:pt>
                <c:pt idx="19">
                  <c:v>101.65460172241769</c:v>
                </c:pt>
                <c:pt idx="20">
                  <c:v>101.66374138396299</c:v>
                </c:pt>
                <c:pt idx="21">
                  <c:v>101.63759194892231</c:v>
                </c:pt>
                <c:pt idx="22">
                  <c:v>101.39534862541636</c:v>
                </c:pt>
                <c:pt idx="23">
                  <c:v>101.76408762170665</c:v>
                </c:pt>
                <c:pt idx="24">
                  <c:v>102.36537951897724</c:v>
                </c:pt>
                <c:pt idx="25">
                  <c:v>102.49121712833382</c:v>
                </c:pt>
                <c:pt idx="26">
                  <c:v>102.24903926839427</c:v>
                </c:pt>
                <c:pt idx="27">
                  <c:v>102.48526263223357</c:v>
                </c:pt>
                <c:pt idx="28">
                  <c:v>101.56380278126063</c:v>
                </c:pt>
                <c:pt idx="29">
                  <c:v>102.60155966610893</c:v>
                </c:pt>
                <c:pt idx="30">
                  <c:v>103.11046358488304</c:v>
                </c:pt>
                <c:pt idx="31">
                  <c:v>102.8083533594269</c:v>
                </c:pt>
                <c:pt idx="32">
                  <c:v>102.78529895980813</c:v>
                </c:pt>
                <c:pt idx="33">
                  <c:v>102.27894741440757</c:v>
                </c:pt>
                <c:pt idx="34">
                  <c:v>101.64490605742984</c:v>
                </c:pt>
                <c:pt idx="35">
                  <c:v>99.994809491948288</c:v>
                </c:pt>
                <c:pt idx="36">
                  <c:v>101.0133966752708</c:v>
                </c:pt>
                <c:pt idx="37">
                  <c:v>102.05054204034612</c:v>
                </c:pt>
                <c:pt idx="38">
                  <c:v>102.38253104058504</c:v>
                </c:pt>
                <c:pt idx="39">
                  <c:v>103.24888152405096</c:v>
                </c:pt>
                <c:pt idx="40">
                  <c:v>103.51863308847226</c:v>
                </c:pt>
                <c:pt idx="41">
                  <c:v>103.13089251910725</c:v>
                </c:pt>
                <c:pt idx="42">
                  <c:v>103.15189597341937</c:v>
                </c:pt>
                <c:pt idx="43">
                  <c:v>103.83496191317607</c:v>
                </c:pt>
                <c:pt idx="44">
                  <c:v>103.1437298303828</c:v>
                </c:pt>
                <c:pt idx="45">
                  <c:v>103.4079028773388</c:v>
                </c:pt>
                <c:pt idx="46">
                  <c:v>103.92549520264299</c:v>
                </c:pt>
                <c:pt idx="47">
                  <c:v>103.70097667742826</c:v>
                </c:pt>
                <c:pt idx="48">
                  <c:v>104.25197289647042</c:v>
                </c:pt>
                <c:pt idx="49">
                  <c:v>104.11203948246143</c:v>
                </c:pt>
                <c:pt idx="50">
                  <c:v>104.07836674450826</c:v>
                </c:pt>
                <c:pt idx="51">
                  <c:v>104.16012899145443</c:v>
                </c:pt>
                <c:pt idx="52">
                  <c:v>104.51207967467158</c:v>
                </c:pt>
                <c:pt idx="53">
                  <c:v>104.70594995935407</c:v>
                </c:pt>
                <c:pt idx="54">
                  <c:v>105.02120340719713</c:v>
                </c:pt>
                <c:pt idx="55">
                  <c:v>104.91598450247517</c:v>
                </c:pt>
                <c:pt idx="56">
                  <c:v>104.18109884023961</c:v>
                </c:pt>
                <c:pt idx="57">
                  <c:v>103.43828227365582</c:v>
                </c:pt>
                <c:pt idx="58">
                  <c:v>102.94125653081404</c:v>
                </c:pt>
                <c:pt idx="59">
                  <c:v>103.50569496061595</c:v>
                </c:pt>
                <c:pt idx="60">
                  <c:v>104.59955486119065</c:v>
                </c:pt>
                <c:pt idx="61">
                  <c:v>104.91635416327105</c:v>
                </c:pt>
                <c:pt idx="62">
                  <c:v>105.04513054234947</c:v>
                </c:pt>
                <c:pt idx="63">
                  <c:v>104.52229575484897</c:v>
                </c:pt>
                <c:pt idx="64">
                  <c:v>105.30859787324056</c:v>
                </c:pt>
                <c:pt idx="65">
                  <c:v>105.74412550185646</c:v>
                </c:pt>
                <c:pt idx="66">
                  <c:v>105.56675553088157</c:v>
                </c:pt>
                <c:pt idx="67">
                  <c:v>105.91336293532173</c:v>
                </c:pt>
                <c:pt idx="68">
                  <c:v>106.24252907130111</c:v>
                </c:pt>
                <c:pt idx="69">
                  <c:v>106.32745023777582</c:v>
                </c:pt>
                <c:pt idx="70">
                  <c:v>106.51755670344558</c:v>
                </c:pt>
                <c:pt idx="71">
                  <c:v>106.15774232693396</c:v>
                </c:pt>
                <c:pt idx="72">
                  <c:v>105.75518172020634</c:v>
                </c:pt>
                <c:pt idx="73">
                  <c:v>105.38824297199206</c:v>
                </c:pt>
                <c:pt idx="74">
                  <c:v>104.91870655015397</c:v>
                </c:pt>
                <c:pt idx="75">
                  <c:v>105.05430485119294</c:v>
                </c:pt>
                <c:pt idx="76">
                  <c:v>104.71744304955359</c:v>
                </c:pt>
                <c:pt idx="77">
                  <c:v>105.10847696055474</c:v>
                </c:pt>
                <c:pt idx="78">
                  <c:v>104.93571094676504</c:v>
                </c:pt>
                <c:pt idx="79">
                  <c:v>104.06337867951103</c:v>
                </c:pt>
                <c:pt idx="80">
                  <c:v>102.3692568574597</c:v>
                </c:pt>
                <c:pt idx="81">
                  <c:v>102.48593524685435</c:v>
                </c:pt>
                <c:pt idx="82">
                  <c:v>103.31531965073094</c:v>
                </c:pt>
                <c:pt idx="83">
                  <c:v>104.39291447628632</c:v>
                </c:pt>
                <c:pt idx="84">
                  <c:v>104.29576089802023</c:v>
                </c:pt>
                <c:pt idx="85">
                  <c:v>104.02789124310532</c:v>
                </c:pt>
                <c:pt idx="86">
                  <c:v>101.91558224431813</c:v>
                </c:pt>
                <c:pt idx="87">
                  <c:v>101.78270599095799</c:v>
                </c:pt>
                <c:pt idx="88">
                  <c:v>101.03851159777132</c:v>
                </c:pt>
                <c:pt idx="89">
                  <c:v>101.58376127171371</c:v>
                </c:pt>
                <c:pt idx="90">
                  <c:v>100.57751097976569</c:v>
                </c:pt>
                <c:pt idx="91">
                  <c:v>101.36072138968255</c:v>
                </c:pt>
                <c:pt idx="92">
                  <c:v>101.3525888521729</c:v>
                </c:pt>
                <c:pt idx="93">
                  <c:v>102.3815900858318</c:v>
                </c:pt>
                <c:pt idx="94">
                  <c:v>102.28662086681416</c:v>
                </c:pt>
                <c:pt idx="95">
                  <c:v>101.87754078786804</c:v>
                </c:pt>
                <c:pt idx="96">
                  <c:v>101.64737653413422</c:v>
                </c:pt>
                <c:pt idx="97">
                  <c:v>102.12763311905319</c:v>
                </c:pt>
                <c:pt idx="98">
                  <c:v>103.65923861301916</c:v>
                </c:pt>
                <c:pt idx="99">
                  <c:v>104.49524330569493</c:v>
                </c:pt>
                <c:pt idx="100">
                  <c:v>104.64798042545259</c:v>
                </c:pt>
                <c:pt idx="101">
                  <c:v>105.39345182866144</c:v>
                </c:pt>
                <c:pt idx="102">
                  <c:v>105.78008341563876</c:v>
                </c:pt>
                <c:pt idx="103">
                  <c:v>105.93560979412908</c:v>
                </c:pt>
                <c:pt idx="104">
                  <c:v>105.89632493318369</c:v>
                </c:pt>
                <c:pt idx="105">
                  <c:v>106.18956676090764</c:v>
                </c:pt>
                <c:pt idx="106">
                  <c:v>106.44342291110554</c:v>
                </c:pt>
                <c:pt idx="107">
                  <c:v>105.92633466870484</c:v>
                </c:pt>
                <c:pt idx="108">
                  <c:v>106.84689086705944</c:v>
                </c:pt>
                <c:pt idx="109">
                  <c:v>106.68830638562129</c:v>
                </c:pt>
                <c:pt idx="110">
                  <c:v>107.21964337142732</c:v>
                </c:pt>
                <c:pt idx="111">
                  <c:v>107.39214054100181</c:v>
                </c:pt>
                <c:pt idx="112">
                  <c:v>107.952815151791</c:v>
                </c:pt>
                <c:pt idx="113">
                  <c:v>108.36549102211534</c:v>
                </c:pt>
                <c:pt idx="114">
                  <c:v>108.62163234814238</c:v>
                </c:pt>
                <c:pt idx="115">
                  <c:v>108.80236287180722</c:v>
                </c:pt>
                <c:pt idx="116">
                  <c:v>108.47181890922496</c:v>
                </c:pt>
                <c:pt idx="117">
                  <c:v>107.59044675523504</c:v>
                </c:pt>
                <c:pt idx="118">
                  <c:v>107.60469549864037</c:v>
                </c:pt>
                <c:pt idx="119">
                  <c:v>108.33800170111166</c:v>
                </c:pt>
                <c:pt idx="120">
                  <c:v>108.42641784238391</c:v>
                </c:pt>
                <c:pt idx="121">
                  <c:v>108.61131545138427</c:v>
                </c:pt>
                <c:pt idx="122">
                  <c:v>108.24451112527758</c:v>
                </c:pt>
                <c:pt idx="123">
                  <c:v>108.42393103339334</c:v>
                </c:pt>
                <c:pt idx="124">
                  <c:v>108.20657048540819</c:v>
                </c:pt>
                <c:pt idx="125">
                  <c:v>107.58782552413689</c:v>
                </c:pt>
                <c:pt idx="126">
                  <c:v>107.43293765065765</c:v>
                </c:pt>
                <c:pt idx="127">
                  <c:v>107.47464210953977</c:v>
                </c:pt>
                <c:pt idx="128">
                  <c:v>107.61961635258369</c:v>
                </c:pt>
                <c:pt idx="129">
                  <c:v>105.25173732172675</c:v>
                </c:pt>
                <c:pt idx="130">
                  <c:v>106.04993579664072</c:v>
                </c:pt>
                <c:pt idx="131">
                  <c:v>104.23748891437668</c:v>
                </c:pt>
                <c:pt idx="132">
                  <c:v>103.77302692710042</c:v>
                </c:pt>
                <c:pt idx="133">
                  <c:v>104.55240630695074</c:v>
                </c:pt>
                <c:pt idx="134">
                  <c:v>103.72150965436367</c:v>
                </c:pt>
                <c:pt idx="135">
                  <c:v>104.75871063658602</c:v>
                </c:pt>
                <c:pt idx="136">
                  <c:v>107.00577779823969</c:v>
                </c:pt>
                <c:pt idx="137">
                  <c:v>107.41640373142317</c:v>
                </c:pt>
                <c:pt idx="138">
                  <c:v>106.61316442747429</c:v>
                </c:pt>
                <c:pt idx="139">
                  <c:v>107.14302277009674</c:v>
                </c:pt>
                <c:pt idx="140">
                  <c:v>106.26060884477293</c:v>
                </c:pt>
                <c:pt idx="141">
                  <c:v>105.45609253080187</c:v>
                </c:pt>
                <c:pt idx="142">
                  <c:v>106.70124451347755</c:v>
                </c:pt>
                <c:pt idx="143">
                  <c:v>106.4398943307811</c:v>
                </c:pt>
                <c:pt idx="144">
                  <c:v>105.51302029336941</c:v>
                </c:pt>
                <c:pt idx="145">
                  <c:v>104.19383533493439</c:v>
                </c:pt>
                <c:pt idx="146">
                  <c:v>105.93507210569867</c:v>
                </c:pt>
                <c:pt idx="147">
                  <c:v>106.98732836397193</c:v>
                </c:pt>
                <c:pt idx="148">
                  <c:v>107.74207489260499</c:v>
                </c:pt>
                <c:pt idx="149">
                  <c:v>107.76801835937131</c:v>
                </c:pt>
                <c:pt idx="150">
                  <c:v>108.80458083658256</c:v>
                </c:pt>
                <c:pt idx="151">
                  <c:v>108.85781199119117</c:v>
                </c:pt>
                <c:pt idx="152">
                  <c:v>109.01454816864987</c:v>
                </c:pt>
                <c:pt idx="153">
                  <c:v>108.78340935463595</c:v>
                </c:pt>
                <c:pt idx="154">
                  <c:v>108.60388862993949</c:v>
                </c:pt>
                <c:pt idx="155">
                  <c:v>108.92999666297105</c:v>
                </c:pt>
                <c:pt idx="156">
                  <c:v>109.15471682134718</c:v>
                </c:pt>
                <c:pt idx="157">
                  <c:v>107.63941000792742</c:v>
                </c:pt>
                <c:pt idx="158">
                  <c:v>107.0209674963982</c:v>
                </c:pt>
                <c:pt idx="159">
                  <c:v>106.78283873278923</c:v>
                </c:pt>
                <c:pt idx="160">
                  <c:v>106.39980293719015</c:v>
                </c:pt>
                <c:pt idx="161">
                  <c:v>107.31565436177884</c:v>
                </c:pt>
                <c:pt idx="162">
                  <c:v>108.01448129365136</c:v>
                </c:pt>
                <c:pt idx="163">
                  <c:v>106.9349037420089</c:v>
                </c:pt>
                <c:pt idx="164">
                  <c:v>106.63436951494778</c:v>
                </c:pt>
                <c:pt idx="165">
                  <c:v>106.73757208805577</c:v>
                </c:pt>
                <c:pt idx="166">
                  <c:v>104.99062237771861</c:v>
                </c:pt>
                <c:pt idx="167">
                  <c:v>104.1300856504063</c:v>
                </c:pt>
                <c:pt idx="168">
                  <c:v>103.58066889112841</c:v>
                </c:pt>
                <c:pt idx="169">
                  <c:v>101.65997860672148</c:v>
                </c:pt>
                <c:pt idx="170">
                  <c:v>101.0019151789779</c:v>
                </c:pt>
                <c:pt idx="171">
                  <c:v>99.99270760066274</c:v>
                </c:pt>
                <c:pt idx="172">
                  <c:v>100.13428768548982</c:v>
                </c:pt>
                <c:pt idx="173">
                  <c:v>99.315791472328613</c:v>
                </c:pt>
                <c:pt idx="174">
                  <c:v>101.00577981457133</c:v>
                </c:pt>
                <c:pt idx="175">
                  <c:v>102.80088624495528</c:v>
                </c:pt>
                <c:pt idx="176">
                  <c:v>103.72735701604417</c:v>
                </c:pt>
                <c:pt idx="177">
                  <c:v>104.64206585271828</c:v>
                </c:pt>
                <c:pt idx="178">
                  <c:v>102.58077004376435</c:v>
                </c:pt>
                <c:pt idx="179">
                  <c:v>102.88211080347106</c:v>
                </c:pt>
                <c:pt idx="180">
                  <c:v>102.81402600597293</c:v>
                </c:pt>
                <c:pt idx="181">
                  <c:v>103.40870940998428</c:v>
                </c:pt>
                <c:pt idx="182">
                  <c:v>105.01485196261306</c:v>
                </c:pt>
                <c:pt idx="183">
                  <c:v>103.77329577131563</c:v>
                </c:pt>
                <c:pt idx="184">
                  <c:v>102.13311081993778</c:v>
                </c:pt>
                <c:pt idx="185">
                  <c:v>101.2014311921795</c:v>
                </c:pt>
                <c:pt idx="186">
                  <c:v>102.63991577110728</c:v>
                </c:pt>
                <c:pt idx="187">
                  <c:v>102.84262430936433</c:v>
                </c:pt>
                <c:pt idx="188">
                  <c:v>101.12202133211626</c:v>
                </c:pt>
                <c:pt idx="189">
                  <c:v>100.26497957960147</c:v>
                </c:pt>
                <c:pt idx="190">
                  <c:v>100.00698994959498</c:v>
                </c:pt>
                <c:pt idx="191">
                  <c:v>99.124239969002176</c:v>
                </c:pt>
                <c:pt idx="192">
                  <c:v>97.769601179688337</c:v>
                </c:pt>
                <c:pt idx="193">
                  <c:v>97.655779260080138</c:v>
                </c:pt>
                <c:pt idx="194">
                  <c:v>100.1513256876278</c:v>
                </c:pt>
                <c:pt idx="195">
                  <c:v>100.07571325210421</c:v>
                </c:pt>
                <c:pt idx="196">
                  <c:v>98.489902043249543</c:v>
                </c:pt>
                <c:pt idx="197">
                  <c:v>99.614981478313751</c:v>
                </c:pt>
                <c:pt idx="198">
                  <c:v>98.882515414014946</c:v>
                </c:pt>
                <c:pt idx="199">
                  <c:v>97.339181591161108</c:v>
                </c:pt>
                <c:pt idx="200">
                  <c:v>94.752093708339558</c:v>
                </c:pt>
                <c:pt idx="201">
                  <c:v>94.018048184276481</c:v>
                </c:pt>
                <c:pt idx="202">
                  <c:v>96.843600885976002</c:v>
                </c:pt>
                <c:pt idx="203">
                  <c:v>96.498976207622917</c:v>
                </c:pt>
                <c:pt idx="204">
                  <c:v>95.441208642938165</c:v>
                </c:pt>
                <c:pt idx="205">
                  <c:v>94.985652120290226</c:v>
                </c:pt>
                <c:pt idx="206">
                  <c:v>96.309709880125638</c:v>
                </c:pt>
                <c:pt idx="207">
                  <c:v>98.676748772810072</c:v>
                </c:pt>
                <c:pt idx="208">
                  <c:v>100.1885942169592</c:v>
                </c:pt>
                <c:pt idx="209">
                  <c:v>101.17236241141154</c:v>
                </c:pt>
                <c:pt idx="210">
                  <c:v>101.15542522585426</c:v>
                </c:pt>
                <c:pt idx="211">
                  <c:v>102.17323581905566</c:v>
                </c:pt>
                <c:pt idx="212">
                  <c:v>101.24652980927847</c:v>
                </c:pt>
                <c:pt idx="213">
                  <c:v>102.21043713733327</c:v>
                </c:pt>
                <c:pt idx="214">
                  <c:v>102.46701533521002</c:v>
                </c:pt>
                <c:pt idx="215">
                  <c:v>102.8877229264633</c:v>
                </c:pt>
                <c:pt idx="216">
                  <c:v>104.54037552832081</c:v>
                </c:pt>
                <c:pt idx="217">
                  <c:v>104.06512616690982</c:v>
                </c:pt>
                <c:pt idx="218">
                  <c:v>102.60002601067774</c:v>
                </c:pt>
                <c:pt idx="219">
                  <c:v>102.73434730169454</c:v>
                </c:pt>
                <c:pt idx="220">
                  <c:v>103.55153289930668</c:v>
                </c:pt>
                <c:pt idx="221">
                  <c:v>102.47649209379563</c:v>
                </c:pt>
                <c:pt idx="222">
                  <c:v>101.22777792526863</c:v>
                </c:pt>
                <c:pt idx="223">
                  <c:v>101.28964570029038</c:v>
                </c:pt>
                <c:pt idx="224">
                  <c:v>101.22636649313884</c:v>
                </c:pt>
                <c:pt idx="225">
                  <c:v>99.88910176123197</c:v>
                </c:pt>
                <c:pt idx="226">
                  <c:v>99.464865589654252</c:v>
                </c:pt>
                <c:pt idx="227">
                  <c:v>100.31468215388567</c:v>
                </c:pt>
                <c:pt idx="228">
                  <c:v>99.493833553841512</c:v>
                </c:pt>
                <c:pt idx="229">
                  <c:v>99.461303403802916</c:v>
                </c:pt>
                <c:pt idx="230">
                  <c:v>99.275834500845264</c:v>
                </c:pt>
                <c:pt idx="231">
                  <c:v>100.30238253104051</c:v>
                </c:pt>
                <c:pt idx="232">
                  <c:v>100.63642146842031</c:v>
                </c:pt>
                <c:pt idx="233">
                  <c:v>99.469570363420161</c:v>
                </c:pt>
                <c:pt idx="234">
                  <c:v>96.866351827686913</c:v>
                </c:pt>
                <c:pt idx="235">
                  <c:v>96.706792785968673</c:v>
                </c:pt>
                <c:pt idx="236">
                  <c:v>94.4650016920382</c:v>
                </c:pt>
                <c:pt idx="237">
                  <c:v>94.347852825266983</c:v>
                </c:pt>
                <c:pt idx="238">
                  <c:v>96.163861893382361</c:v>
                </c:pt>
                <c:pt idx="239">
                  <c:v>93.948115082798907</c:v>
                </c:pt>
                <c:pt idx="240">
                  <c:v>93.972143034531953</c:v>
                </c:pt>
                <c:pt idx="241">
                  <c:v>94.425313564770036</c:v>
                </c:pt>
                <c:pt idx="242">
                  <c:v>96.260679416379446</c:v>
                </c:pt>
                <c:pt idx="243">
                  <c:v>93.561685128982973</c:v>
                </c:pt>
                <c:pt idx="244">
                  <c:v>92.825623273305951</c:v>
                </c:pt>
                <c:pt idx="245">
                  <c:v>89.788187724505846</c:v>
                </c:pt>
                <c:pt idx="246">
                  <c:v>89.970228863719768</c:v>
                </c:pt>
                <c:pt idx="247">
                  <c:v>89.14158378143496</c:v>
                </c:pt>
                <c:pt idx="248">
                  <c:v>88.710290449208372</c:v>
                </c:pt>
                <c:pt idx="249">
                  <c:v>90.779517162510558</c:v>
                </c:pt>
                <c:pt idx="250">
                  <c:v>90.531710007154558</c:v>
                </c:pt>
                <c:pt idx="251">
                  <c:v>92.30833339774388</c:v>
                </c:pt>
                <c:pt idx="252">
                  <c:v>89.560745518450886</c:v>
                </c:pt>
                <c:pt idx="253">
                  <c:v>89.106869272147918</c:v>
                </c:pt>
                <c:pt idx="254">
                  <c:v>89.253355763902292</c:v>
                </c:pt>
                <c:pt idx="255">
                  <c:v>90.81060227489246</c:v>
                </c:pt>
                <c:pt idx="256">
                  <c:v>90.078237027174367</c:v>
                </c:pt>
                <c:pt idx="257">
                  <c:v>90.737913520209119</c:v>
                </c:pt>
                <c:pt idx="258">
                  <c:v>92.212322407392335</c:v>
                </c:pt>
                <c:pt idx="259">
                  <c:v>94.182412816341341</c:v>
                </c:pt>
                <c:pt idx="260">
                  <c:v>94.590988812383955</c:v>
                </c:pt>
                <c:pt idx="261">
                  <c:v>93.793462448007972</c:v>
                </c:pt>
              </c:numCache>
            </c:numRef>
          </c:val>
          <c:smooth val="0"/>
          <c:extLst xmlns:c16r2="http://schemas.microsoft.com/office/drawing/2015/06/chart">
            <c:ext xmlns:c16="http://schemas.microsoft.com/office/drawing/2014/chart" uri="{C3380CC4-5D6E-409C-BE32-E72D297353CC}">
              <c16:uniqueId val="{00000000-0D45-4786-8428-D7B604BE499F}"/>
            </c:ext>
          </c:extLst>
        </c:ser>
        <c:ser>
          <c:idx val="1"/>
          <c:order val="1"/>
          <c:tx>
            <c:strRef>
              <c:f>'MSCI Chart'!$I$7</c:f>
              <c:strCache>
                <c:ptCount val="1"/>
                <c:pt idx="0">
                  <c:v>MSCI India</c:v>
                </c:pt>
              </c:strCache>
            </c:strRef>
          </c:tx>
          <c:spPr>
            <a:ln w="28575" cap="rnd">
              <a:solidFill>
                <a:schemeClr val="accent5"/>
              </a:solidFill>
              <a:round/>
            </a:ln>
            <a:effectLst/>
          </c:spPr>
          <c:marker>
            <c:symbol val="none"/>
          </c:marker>
          <c:cat>
            <c:numRef>
              <c:f>'MSCI Chart'!$G$8:$G$291</c:f>
              <c:numCache>
                <c:formatCode>m/d/yyyy</c:formatCode>
                <c:ptCount val="284"/>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f>'MSCI Chart'!$I$8:$I$291</c:f>
              <c:numCache>
                <c:formatCode>0</c:formatCode>
                <c:ptCount val="284"/>
                <c:pt idx="0" formatCode="0.0">
                  <c:v>100</c:v>
                </c:pt>
                <c:pt idx="1">
                  <c:v>100.02196472821436</c:v>
                </c:pt>
                <c:pt idx="2">
                  <c:v>100.5306098556962</c:v>
                </c:pt>
                <c:pt idx="3">
                  <c:v>101.26692998324771</c:v>
                </c:pt>
                <c:pt idx="4">
                  <c:v>101.37357598597379</c:v>
                </c:pt>
                <c:pt idx="5">
                  <c:v>101.87804001036912</c:v>
                </c:pt>
                <c:pt idx="6">
                  <c:v>102.05559752144207</c:v>
                </c:pt>
                <c:pt idx="7">
                  <c:v>101.300155815775</c:v>
                </c:pt>
                <c:pt idx="8">
                  <c:v>102.13475973987961</c:v>
                </c:pt>
                <c:pt idx="9">
                  <c:v>102.56240296356584</c:v>
                </c:pt>
                <c:pt idx="10">
                  <c:v>102.60053462371464</c:v>
                </c:pt>
                <c:pt idx="11">
                  <c:v>102.89822916347273</c:v>
                </c:pt>
                <c:pt idx="12">
                  <c:v>102.15020194727906</c:v>
                </c:pt>
                <c:pt idx="13">
                  <c:v>101.61830988663634</c:v>
                </c:pt>
                <c:pt idx="14">
                  <c:v>101.35713031383357</c:v>
                </c:pt>
                <c:pt idx="15">
                  <c:v>101.80924692758606</c:v>
                </c:pt>
                <c:pt idx="16">
                  <c:v>102.11942902856248</c:v>
                </c:pt>
                <c:pt idx="17">
                  <c:v>101.49036813218972</c:v>
                </c:pt>
                <c:pt idx="18">
                  <c:v>101.89844379343117</c:v>
                </c:pt>
                <c:pt idx="19">
                  <c:v>102.29832449262311</c:v>
                </c:pt>
                <c:pt idx="20">
                  <c:v>102.08614744799401</c:v>
                </c:pt>
                <c:pt idx="21">
                  <c:v>101.71291431247332</c:v>
                </c:pt>
                <c:pt idx="22">
                  <c:v>101.52548939811624</c:v>
                </c:pt>
                <c:pt idx="23">
                  <c:v>101.37039834762803</c:v>
                </c:pt>
                <c:pt idx="24">
                  <c:v>101.60426138026571</c:v>
                </c:pt>
                <c:pt idx="25">
                  <c:v>102.2024378618396</c:v>
                </c:pt>
                <c:pt idx="26">
                  <c:v>101.86616567760348</c:v>
                </c:pt>
                <c:pt idx="27">
                  <c:v>102.26861078668846</c:v>
                </c:pt>
                <c:pt idx="28">
                  <c:v>101.48724624188515</c:v>
                </c:pt>
                <c:pt idx="29">
                  <c:v>101.42971426341504</c:v>
                </c:pt>
                <c:pt idx="30">
                  <c:v>101.52409569708742</c:v>
                </c:pt>
                <c:pt idx="31">
                  <c:v>102.06290051483313</c:v>
                </c:pt>
                <c:pt idx="32">
                  <c:v>102.27401834668031</c:v>
                </c:pt>
                <c:pt idx="33">
                  <c:v>102.60633241999456</c:v>
                </c:pt>
                <c:pt idx="34">
                  <c:v>102.65516770404477</c:v>
                </c:pt>
                <c:pt idx="35">
                  <c:v>101.86917607182575</c:v>
                </c:pt>
                <c:pt idx="36">
                  <c:v>101.22935580351043</c:v>
                </c:pt>
                <c:pt idx="37">
                  <c:v>101.22935580351043</c:v>
                </c:pt>
                <c:pt idx="38">
                  <c:v>102.66865873000384</c:v>
                </c:pt>
                <c:pt idx="39">
                  <c:v>102.80602190340532</c:v>
                </c:pt>
                <c:pt idx="40">
                  <c:v>102.68895101698359</c:v>
                </c:pt>
                <c:pt idx="41">
                  <c:v>102.09384067767314</c:v>
                </c:pt>
                <c:pt idx="42">
                  <c:v>102.09590335519582</c:v>
                </c:pt>
                <c:pt idx="43">
                  <c:v>102.49193743954817</c:v>
                </c:pt>
                <c:pt idx="44">
                  <c:v>102.39711002154657</c:v>
                </c:pt>
                <c:pt idx="45">
                  <c:v>103.406316810543</c:v>
                </c:pt>
                <c:pt idx="46">
                  <c:v>104.91686573363023</c:v>
                </c:pt>
                <c:pt idx="47">
                  <c:v>105.24812059416257</c:v>
                </c:pt>
                <c:pt idx="48">
                  <c:v>105.36218108636203</c:v>
                </c:pt>
                <c:pt idx="49">
                  <c:v>104.98459960363138</c:v>
                </c:pt>
                <c:pt idx="50">
                  <c:v>104.90103328994273</c:v>
                </c:pt>
                <c:pt idx="51">
                  <c:v>104.96408432448699</c:v>
                </c:pt>
                <c:pt idx="52">
                  <c:v>105.06253536516355</c:v>
                </c:pt>
                <c:pt idx="53">
                  <c:v>105.59515215034126</c:v>
                </c:pt>
                <c:pt idx="54">
                  <c:v>106.38922724852749</c:v>
                </c:pt>
                <c:pt idx="55">
                  <c:v>106.6558143813221</c:v>
                </c:pt>
                <c:pt idx="56">
                  <c:v>107.30154394199967</c:v>
                </c:pt>
                <c:pt idx="57">
                  <c:v>107.19701636483741</c:v>
                </c:pt>
                <c:pt idx="58">
                  <c:v>107.19701636483741</c:v>
                </c:pt>
                <c:pt idx="59">
                  <c:v>106.35332551002482</c:v>
                </c:pt>
                <c:pt idx="60">
                  <c:v>106.55234601694175</c:v>
                </c:pt>
                <c:pt idx="61">
                  <c:v>107.29223401912709</c:v>
                </c:pt>
                <c:pt idx="62">
                  <c:v>107.53022240681013</c:v>
                </c:pt>
                <c:pt idx="63">
                  <c:v>107.70092290882124</c:v>
                </c:pt>
                <c:pt idx="64">
                  <c:v>108.3527290059845</c:v>
                </c:pt>
                <c:pt idx="65">
                  <c:v>109.91545809559111</c:v>
                </c:pt>
                <c:pt idx="66">
                  <c:v>111.40577047973972</c:v>
                </c:pt>
                <c:pt idx="67">
                  <c:v>111.23936257689739</c:v>
                </c:pt>
                <c:pt idx="68">
                  <c:v>112.32499993031487</c:v>
                </c:pt>
                <c:pt idx="69">
                  <c:v>113.04593359850811</c:v>
                </c:pt>
                <c:pt idx="70">
                  <c:v>113.43410720905786</c:v>
                </c:pt>
                <c:pt idx="71">
                  <c:v>113.20554024032973</c:v>
                </c:pt>
                <c:pt idx="72">
                  <c:v>113.18597267788496</c:v>
                </c:pt>
                <c:pt idx="73">
                  <c:v>113.39792673034944</c:v>
                </c:pt>
                <c:pt idx="74">
                  <c:v>113.39792673034944</c:v>
                </c:pt>
                <c:pt idx="75">
                  <c:v>113.45523571665494</c:v>
                </c:pt>
                <c:pt idx="76">
                  <c:v>113.6594965394403</c:v>
                </c:pt>
                <c:pt idx="77">
                  <c:v>114.58290709310197</c:v>
                </c:pt>
                <c:pt idx="78">
                  <c:v>114.98674590321575</c:v>
                </c:pt>
                <c:pt idx="79">
                  <c:v>114.32011082710576</c:v>
                </c:pt>
                <c:pt idx="80">
                  <c:v>112.92167121477763</c:v>
                </c:pt>
                <c:pt idx="81">
                  <c:v>114.03490384856596</c:v>
                </c:pt>
                <c:pt idx="82">
                  <c:v>114.17968151144083</c:v>
                </c:pt>
                <c:pt idx="83">
                  <c:v>115.7547309181423</c:v>
                </c:pt>
                <c:pt idx="84">
                  <c:v>115.5991381352837</c:v>
                </c:pt>
                <c:pt idx="85">
                  <c:v>115.32898312785527</c:v>
                </c:pt>
                <c:pt idx="86">
                  <c:v>114.53462928946328</c:v>
                </c:pt>
                <c:pt idx="87">
                  <c:v>114.36671618950982</c:v>
                </c:pt>
                <c:pt idx="88">
                  <c:v>113.85132554904845</c:v>
                </c:pt>
                <c:pt idx="89">
                  <c:v>113.46153524530526</c:v>
                </c:pt>
                <c:pt idx="90">
                  <c:v>114.67355340801706</c:v>
                </c:pt>
                <c:pt idx="91">
                  <c:v>115.48881276184152</c:v>
                </c:pt>
                <c:pt idx="92">
                  <c:v>114.18213442525155</c:v>
                </c:pt>
                <c:pt idx="93">
                  <c:v>115.39498880858066</c:v>
                </c:pt>
                <c:pt idx="94">
                  <c:v>116.01975710578462</c:v>
                </c:pt>
                <c:pt idx="95">
                  <c:v>116.1652594931945</c:v>
                </c:pt>
                <c:pt idx="96">
                  <c:v>116.54334270829551</c:v>
                </c:pt>
                <c:pt idx="97">
                  <c:v>117.72219078652118</c:v>
                </c:pt>
                <c:pt idx="98">
                  <c:v>118.49602934576879</c:v>
                </c:pt>
                <c:pt idx="99">
                  <c:v>118.49602934576879</c:v>
                </c:pt>
                <c:pt idx="100">
                  <c:v>119.35304398241701</c:v>
                </c:pt>
                <c:pt idx="101">
                  <c:v>118.68434622878434</c:v>
                </c:pt>
                <c:pt idx="102">
                  <c:v>117.46535956092838</c:v>
                </c:pt>
                <c:pt idx="103">
                  <c:v>116.62256067477425</c:v>
                </c:pt>
                <c:pt idx="104">
                  <c:v>115.9429920531167</c:v>
                </c:pt>
                <c:pt idx="105">
                  <c:v>115.83389313657987</c:v>
                </c:pt>
                <c:pt idx="106">
                  <c:v>116.93179505905105</c:v>
                </c:pt>
                <c:pt idx="107">
                  <c:v>116.81338621964163</c:v>
                </c:pt>
                <c:pt idx="108">
                  <c:v>114.74418617615817</c:v>
                </c:pt>
                <c:pt idx="109">
                  <c:v>113.83527011319633</c:v>
                </c:pt>
                <c:pt idx="110">
                  <c:v>115.34938691091733</c:v>
                </c:pt>
                <c:pt idx="111">
                  <c:v>115.15594120811572</c:v>
                </c:pt>
                <c:pt idx="112">
                  <c:v>115.17210814005014</c:v>
                </c:pt>
                <c:pt idx="113">
                  <c:v>115.66269090219834</c:v>
                </c:pt>
                <c:pt idx="114">
                  <c:v>115.66269090219834</c:v>
                </c:pt>
                <c:pt idx="115">
                  <c:v>116.90921710238399</c:v>
                </c:pt>
                <c:pt idx="116">
                  <c:v>117.04356988156324</c:v>
                </c:pt>
                <c:pt idx="117">
                  <c:v>117.15729588551578</c:v>
                </c:pt>
                <c:pt idx="118">
                  <c:v>116.33556975891754</c:v>
                </c:pt>
                <c:pt idx="119">
                  <c:v>117.97846453170249</c:v>
                </c:pt>
                <c:pt idx="120">
                  <c:v>117.98961413993312</c:v>
                </c:pt>
                <c:pt idx="121">
                  <c:v>117.49362381779306</c:v>
                </c:pt>
                <c:pt idx="122">
                  <c:v>116.90771190527288</c:v>
                </c:pt>
                <c:pt idx="123">
                  <c:v>115.79832588632411</c:v>
                </c:pt>
                <c:pt idx="124">
                  <c:v>115.79832588632411</c:v>
                </c:pt>
                <c:pt idx="125">
                  <c:v>113.54788896105158</c:v>
                </c:pt>
                <c:pt idx="126">
                  <c:v>114.35690453426687</c:v>
                </c:pt>
                <c:pt idx="127">
                  <c:v>113.64204740255934</c:v>
                </c:pt>
                <c:pt idx="128">
                  <c:v>114.50497133156979</c:v>
                </c:pt>
                <c:pt idx="129">
                  <c:v>111.155517523003</c:v>
                </c:pt>
                <c:pt idx="130">
                  <c:v>111.02177797227645</c:v>
                </c:pt>
                <c:pt idx="131">
                  <c:v>110.71566547830422</c:v>
                </c:pt>
                <c:pt idx="132">
                  <c:v>111.80815984078355</c:v>
                </c:pt>
                <c:pt idx="133">
                  <c:v>113.34251317744318</c:v>
                </c:pt>
                <c:pt idx="134">
                  <c:v>112.14197911120893</c:v>
                </c:pt>
                <c:pt idx="135">
                  <c:v>110.11782348497725</c:v>
                </c:pt>
                <c:pt idx="136">
                  <c:v>111.80732362016626</c:v>
                </c:pt>
                <c:pt idx="137">
                  <c:v>113.70253402721058</c:v>
                </c:pt>
                <c:pt idx="138">
                  <c:v>114.09020590538995</c:v>
                </c:pt>
                <c:pt idx="139">
                  <c:v>114.14266481211511</c:v>
                </c:pt>
                <c:pt idx="140">
                  <c:v>113.32857616715489</c:v>
                </c:pt>
                <c:pt idx="141">
                  <c:v>113.24294717594357</c:v>
                </c:pt>
                <c:pt idx="142">
                  <c:v>112.48577728100074</c:v>
                </c:pt>
                <c:pt idx="143">
                  <c:v>112.64928628570308</c:v>
                </c:pt>
                <c:pt idx="144">
                  <c:v>110.85537006943413</c:v>
                </c:pt>
                <c:pt idx="145">
                  <c:v>108.3598647552521</c:v>
                </c:pt>
                <c:pt idx="146">
                  <c:v>109.53308228132127</c:v>
                </c:pt>
                <c:pt idx="147">
                  <c:v>110.95660851216833</c:v>
                </c:pt>
                <c:pt idx="148">
                  <c:v>111.83965748403507</c:v>
                </c:pt>
                <c:pt idx="149">
                  <c:v>111.30196762711243</c:v>
                </c:pt>
                <c:pt idx="150">
                  <c:v>111.79946314636364</c:v>
                </c:pt>
                <c:pt idx="151">
                  <c:v>112.81837009452074</c:v>
                </c:pt>
                <c:pt idx="152">
                  <c:v>112.75303339028919</c:v>
                </c:pt>
                <c:pt idx="153">
                  <c:v>112.45846074083565</c:v>
                </c:pt>
                <c:pt idx="154">
                  <c:v>113.53239100561098</c:v>
                </c:pt>
                <c:pt idx="155">
                  <c:v>114.99644606237644</c:v>
                </c:pt>
                <c:pt idx="156">
                  <c:v>115.96947237266444</c:v>
                </c:pt>
                <c:pt idx="157">
                  <c:v>116.32988345871992</c:v>
                </c:pt>
                <c:pt idx="158">
                  <c:v>115.43139227945373</c:v>
                </c:pt>
                <c:pt idx="159">
                  <c:v>115.88741125608695</c:v>
                </c:pt>
                <c:pt idx="160">
                  <c:v>116.89845773044146</c:v>
                </c:pt>
                <c:pt idx="161">
                  <c:v>117.30753685642367</c:v>
                </c:pt>
                <c:pt idx="162">
                  <c:v>118.42021200980048</c:v>
                </c:pt>
                <c:pt idx="163">
                  <c:v>118.98711384028739</c:v>
                </c:pt>
                <c:pt idx="164">
                  <c:v>118.92573524697771</c:v>
                </c:pt>
                <c:pt idx="165">
                  <c:v>119.42718887715077</c:v>
                </c:pt>
                <c:pt idx="166">
                  <c:v>117.83446734140375</c:v>
                </c:pt>
                <c:pt idx="167">
                  <c:v>116.79181172771538</c:v>
                </c:pt>
                <c:pt idx="168">
                  <c:v>115.81460431434087</c:v>
                </c:pt>
                <c:pt idx="169">
                  <c:v>114.55497732448421</c:v>
                </c:pt>
                <c:pt idx="170">
                  <c:v>111.12234743851684</c:v>
                </c:pt>
                <c:pt idx="171">
                  <c:v>112.03561184868862</c:v>
                </c:pt>
                <c:pt idx="172">
                  <c:v>112.03561184868862</c:v>
                </c:pt>
                <c:pt idx="173">
                  <c:v>110.56213537296829</c:v>
                </c:pt>
                <c:pt idx="174">
                  <c:v>110.81249982578733</c:v>
                </c:pt>
                <c:pt idx="175">
                  <c:v>112.38966765805262</c:v>
                </c:pt>
                <c:pt idx="176">
                  <c:v>113.93639705984826</c:v>
                </c:pt>
                <c:pt idx="177">
                  <c:v>115.02978339098607</c:v>
                </c:pt>
                <c:pt idx="178">
                  <c:v>113.62582472258377</c:v>
                </c:pt>
                <c:pt idx="179">
                  <c:v>113.3036567927594</c:v>
                </c:pt>
                <c:pt idx="180">
                  <c:v>111.7803415682481</c:v>
                </c:pt>
                <c:pt idx="181">
                  <c:v>111.971334357239</c:v>
                </c:pt>
                <c:pt idx="182">
                  <c:v>113.16534590265832</c:v>
                </c:pt>
                <c:pt idx="183">
                  <c:v>113.90278099103291</c:v>
                </c:pt>
                <c:pt idx="184">
                  <c:v>112.19131612762955</c:v>
                </c:pt>
                <c:pt idx="185">
                  <c:v>108.77602388246082</c:v>
                </c:pt>
                <c:pt idx="186">
                  <c:v>111.97741089372471</c:v>
                </c:pt>
                <c:pt idx="187">
                  <c:v>111.76216770683217</c:v>
                </c:pt>
                <c:pt idx="188">
                  <c:v>111.89016520931993</c:v>
                </c:pt>
                <c:pt idx="189">
                  <c:v>111.37293488350051</c:v>
                </c:pt>
                <c:pt idx="190">
                  <c:v>110.63589003141399</c:v>
                </c:pt>
                <c:pt idx="191">
                  <c:v>110.04429181869619</c:v>
                </c:pt>
                <c:pt idx="192">
                  <c:v>110.08894599965991</c:v>
                </c:pt>
                <c:pt idx="193">
                  <c:v>104.71628428156103</c:v>
                </c:pt>
                <c:pt idx="194">
                  <c:v>107.6048690339143</c:v>
                </c:pt>
                <c:pt idx="195">
                  <c:v>108.82090105558912</c:v>
                </c:pt>
                <c:pt idx="196">
                  <c:v>108.82090105558912</c:v>
                </c:pt>
                <c:pt idx="197">
                  <c:v>108.13380644837588</c:v>
                </c:pt>
                <c:pt idx="198">
                  <c:v>107.59778903268783</c:v>
                </c:pt>
                <c:pt idx="199">
                  <c:v>105.63155562121433</c:v>
                </c:pt>
                <c:pt idx="200">
                  <c:v>103.19564496302507</c:v>
                </c:pt>
                <c:pt idx="201">
                  <c:v>104.31612484216333</c:v>
                </c:pt>
                <c:pt idx="202">
                  <c:v>106.26078376171053</c:v>
                </c:pt>
                <c:pt idx="203">
                  <c:v>107.91165050438036</c:v>
                </c:pt>
                <c:pt idx="204">
                  <c:v>108.10136108842471</c:v>
                </c:pt>
                <c:pt idx="205">
                  <c:v>109.10198267908358</c:v>
                </c:pt>
                <c:pt idx="206">
                  <c:v>107.85160986405836</c:v>
                </c:pt>
                <c:pt idx="207">
                  <c:v>109.94834943987151</c:v>
                </c:pt>
                <c:pt idx="208">
                  <c:v>111.92428301050566</c:v>
                </c:pt>
                <c:pt idx="209">
                  <c:v>111.92428301050566</c:v>
                </c:pt>
                <c:pt idx="210">
                  <c:v>110.6633738157025</c:v>
                </c:pt>
                <c:pt idx="211">
                  <c:v>111.79879416986979</c:v>
                </c:pt>
                <c:pt idx="212">
                  <c:v>111.53962152654854</c:v>
                </c:pt>
                <c:pt idx="213">
                  <c:v>111.78167952123576</c:v>
                </c:pt>
                <c:pt idx="214">
                  <c:v>111.48760860415261</c:v>
                </c:pt>
                <c:pt idx="215">
                  <c:v>111.78981873524414</c:v>
                </c:pt>
                <c:pt idx="216">
                  <c:v>112.46620971855596</c:v>
                </c:pt>
                <c:pt idx="217">
                  <c:v>113.49353462092719</c:v>
                </c:pt>
                <c:pt idx="218">
                  <c:v>113.39597554890909</c:v>
                </c:pt>
                <c:pt idx="219">
                  <c:v>114.65850143690569</c:v>
                </c:pt>
                <c:pt idx="220">
                  <c:v>116.38172913699239</c:v>
                </c:pt>
                <c:pt idx="221">
                  <c:v>116.39115055594728</c:v>
                </c:pt>
                <c:pt idx="222">
                  <c:v>115.92682512118225</c:v>
                </c:pt>
                <c:pt idx="223">
                  <c:v>114.993379920113</c:v>
                </c:pt>
                <c:pt idx="224">
                  <c:v>116.13955964622286</c:v>
                </c:pt>
                <c:pt idx="225">
                  <c:v>116.04133159771092</c:v>
                </c:pt>
                <c:pt idx="226">
                  <c:v>114.83745264900747</c:v>
                </c:pt>
                <c:pt idx="227">
                  <c:v>114.72316916464342</c:v>
                </c:pt>
                <c:pt idx="228">
                  <c:v>114.72316916464342</c:v>
                </c:pt>
                <c:pt idx="229">
                  <c:v>114.72316916464342</c:v>
                </c:pt>
                <c:pt idx="230">
                  <c:v>113.26664009343365</c:v>
                </c:pt>
                <c:pt idx="231">
                  <c:v>111.79756771296441</c:v>
                </c:pt>
                <c:pt idx="232">
                  <c:v>112.99180225054836</c:v>
                </c:pt>
                <c:pt idx="233">
                  <c:v>114.60364536441095</c:v>
                </c:pt>
                <c:pt idx="234">
                  <c:v>113.33883380672707</c:v>
                </c:pt>
                <c:pt idx="235">
                  <c:v>111.54987916612075</c:v>
                </c:pt>
                <c:pt idx="236">
                  <c:v>113.52363856314993</c:v>
                </c:pt>
                <c:pt idx="237">
                  <c:v>112.21032620966275</c:v>
                </c:pt>
                <c:pt idx="238">
                  <c:v>113.64845842729194</c:v>
                </c:pt>
                <c:pt idx="239">
                  <c:v>112.4401753833374</c:v>
                </c:pt>
                <c:pt idx="240">
                  <c:v>112.041576889092</c:v>
                </c:pt>
                <c:pt idx="241">
                  <c:v>112.041576889092</c:v>
                </c:pt>
                <c:pt idx="242">
                  <c:v>109.43173234250476</c:v>
                </c:pt>
                <c:pt idx="243">
                  <c:v>109.60076040328128</c:v>
                </c:pt>
                <c:pt idx="244">
                  <c:v>107.6297326602686</c:v>
                </c:pt>
                <c:pt idx="245">
                  <c:v>106.55334948168253</c:v>
                </c:pt>
                <c:pt idx="246">
                  <c:v>105.52713954013436</c:v>
                </c:pt>
                <c:pt idx="247">
                  <c:v>104.99296180980434</c:v>
                </c:pt>
                <c:pt idx="248">
                  <c:v>102.69419133285199</c:v>
                </c:pt>
                <c:pt idx="249">
                  <c:v>102.49784673191039</c:v>
                </c:pt>
                <c:pt idx="250">
                  <c:v>103.12701912436545</c:v>
                </c:pt>
                <c:pt idx="251">
                  <c:v>105.96058056010051</c:v>
                </c:pt>
                <c:pt idx="252">
                  <c:v>105.91943850572946</c:v>
                </c:pt>
                <c:pt idx="253">
                  <c:v>102.85190254127441</c:v>
                </c:pt>
                <c:pt idx="254">
                  <c:v>105.49257575461937</c:v>
                </c:pt>
                <c:pt idx="255">
                  <c:v>105.1268128566132</c:v>
                </c:pt>
                <c:pt idx="256">
                  <c:v>104.31177649495335</c:v>
                </c:pt>
                <c:pt idx="257">
                  <c:v>103.2739709608453</c:v>
                </c:pt>
                <c:pt idx="258">
                  <c:v>104.24660703484525</c:v>
                </c:pt>
                <c:pt idx="259">
                  <c:v>105.33497604227924</c:v>
                </c:pt>
                <c:pt idx="260">
                  <c:v>107.71207251705187</c:v>
                </c:pt>
                <c:pt idx="261">
                  <c:v>107.29998299684738</c:v>
                </c:pt>
              </c:numCache>
            </c:numRef>
          </c:val>
          <c:smooth val="0"/>
          <c:extLst xmlns:c16r2="http://schemas.microsoft.com/office/drawing/2015/06/chart">
            <c:ext xmlns:c16="http://schemas.microsoft.com/office/drawing/2014/chart" uri="{C3380CC4-5D6E-409C-BE32-E72D297353CC}">
              <c16:uniqueId val="{00000001-0D45-4786-8428-D7B604BE499F}"/>
            </c:ext>
          </c:extLst>
        </c:ser>
        <c:ser>
          <c:idx val="2"/>
          <c:order val="2"/>
          <c:tx>
            <c:strRef>
              <c:f>'MSCI Chart'!$J$7</c:f>
              <c:strCache>
                <c:ptCount val="1"/>
                <c:pt idx="0">
                  <c:v>MSCI All country</c:v>
                </c:pt>
              </c:strCache>
            </c:strRef>
          </c:tx>
          <c:spPr>
            <a:ln w="28575" cap="rnd">
              <a:solidFill>
                <a:schemeClr val="tx1">
                  <a:lumMod val="75000"/>
                  <a:lumOff val="25000"/>
                </a:schemeClr>
              </a:solidFill>
              <a:round/>
            </a:ln>
            <a:effectLst/>
          </c:spPr>
          <c:marker>
            <c:symbol val="none"/>
          </c:marker>
          <c:cat>
            <c:numRef>
              <c:f>'MSCI Chart'!$G$8:$G$291</c:f>
              <c:numCache>
                <c:formatCode>m/d/yyyy</c:formatCode>
                <c:ptCount val="284"/>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f>'MSCI Chart'!$J$8:$J$291</c:f>
              <c:numCache>
                <c:formatCode>0</c:formatCode>
                <c:ptCount val="284"/>
                <c:pt idx="0" formatCode="0.0">
                  <c:v>100</c:v>
                </c:pt>
                <c:pt idx="1">
                  <c:v>100.3241267833298</c:v>
                </c:pt>
                <c:pt idx="2">
                  <c:v>100.41675451542623</c:v>
                </c:pt>
                <c:pt idx="3">
                  <c:v>99.987490336636441</c:v>
                </c:pt>
                <c:pt idx="4">
                  <c:v>100.68339307048984</c:v>
                </c:pt>
                <c:pt idx="5">
                  <c:v>100.7796753109846</c:v>
                </c:pt>
                <c:pt idx="6">
                  <c:v>100.77475578044837</c:v>
                </c:pt>
                <c:pt idx="7">
                  <c:v>100.57895846510645</c:v>
                </c:pt>
                <c:pt idx="8">
                  <c:v>100.95256166982919</c:v>
                </c:pt>
                <c:pt idx="9">
                  <c:v>101.13472485768499</c:v>
                </c:pt>
                <c:pt idx="10">
                  <c:v>101.35666596387655</c:v>
                </c:pt>
                <c:pt idx="11">
                  <c:v>101.2333965844402</c:v>
                </c:pt>
                <c:pt idx="12">
                  <c:v>100.89802515988471</c:v>
                </c:pt>
                <c:pt idx="13">
                  <c:v>100.4808489704125</c:v>
                </c:pt>
                <c:pt idx="14">
                  <c:v>99.229320401995878</c:v>
                </c:pt>
                <c:pt idx="15">
                  <c:v>99.942511771733734</c:v>
                </c:pt>
                <c:pt idx="16">
                  <c:v>100.46313866048207</c:v>
                </c:pt>
                <c:pt idx="17">
                  <c:v>100.50165155667999</c:v>
                </c:pt>
                <c:pt idx="18">
                  <c:v>101.01581277672356</c:v>
                </c:pt>
                <c:pt idx="19">
                  <c:v>101.46995572422514</c:v>
                </c:pt>
                <c:pt idx="20">
                  <c:v>101.49042322018411</c:v>
                </c:pt>
                <c:pt idx="21">
                  <c:v>101.43195937873355</c:v>
                </c:pt>
                <c:pt idx="22">
                  <c:v>101.1975488087708</c:v>
                </c:pt>
                <c:pt idx="23">
                  <c:v>101.45683182233465</c:v>
                </c:pt>
                <c:pt idx="24">
                  <c:v>101.85705081172252</c:v>
                </c:pt>
                <c:pt idx="25">
                  <c:v>101.95764930775177</c:v>
                </c:pt>
                <c:pt idx="26">
                  <c:v>101.67207772858247</c:v>
                </c:pt>
                <c:pt idx="27">
                  <c:v>101.82112769695692</c:v>
                </c:pt>
                <c:pt idx="28">
                  <c:v>100.78766083350902</c:v>
                </c:pt>
                <c:pt idx="29">
                  <c:v>101.70768008995714</c:v>
                </c:pt>
                <c:pt idx="30">
                  <c:v>102.23231808278868</c:v>
                </c:pt>
                <c:pt idx="31">
                  <c:v>102.09072865275142</c:v>
                </c:pt>
                <c:pt idx="32">
                  <c:v>102.05753067678685</c:v>
                </c:pt>
                <c:pt idx="33">
                  <c:v>101.71636193688947</c:v>
                </c:pt>
                <c:pt idx="34">
                  <c:v>101.0854006606227</c:v>
                </c:pt>
                <c:pt idx="35">
                  <c:v>99.433831470939651</c:v>
                </c:pt>
                <c:pt idx="36">
                  <c:v>100.26014618033595</c:v>
                </c:pt>
                <c:pt idx="37">
                  <c:v>101.17141049968377</c:v>
                </c:pt>
                <c:pt idx="38">
                  <c:v>101.59561458992204</c:v>
                </c:pt>
                <c:pt idx="39">
                  <c:v>102.20437135427652</c:v>
                </c:pt>
                <c:pt idx="40">
                  <c:v>102.13985522524425</c:v>
                </c:pt>
                <c:pt idx="41">
                  <c:v>101.54023473188562</c:v>
                </c:pt>
                <c:pt idx="42">
                  <c:v>101.7089043502706</c:v>
                </c:pt>
                <c:pt idx="43">
                  <c:v>102.56181038723736</c:v>
                </c:pt>
                <c:pt idx="44">
                  <c:v>101.7933797174784</c:v>
                </c:pt>
                <c:pt idx="45">
                  <c:v>102.16881017640034</c:v>
                </c:pt>
                <c:pt idx="46">
                  <c:v>102.62871600253008</c:v>
                </c:pt>
                <c:pt idx="47">
                  <c:v>102.52723311546843</c:v>
                </c:pt>
                <c:pt idx="48">
                  <c:v>102.96872584159117</c:v>
                </c:pt>
                <c:pt idx="49">
                  <c:v>102.77503689647907</c:v>
                </c:pt>
                <c:pt idx="50">
                  <c:v>102.76168388502359</c:v>
                </c:pt>
                <c:pt idx="51">
                  <c:v>102.89127837514938</c:v>
                </c:pt>
                <c:pt idx="52">
                  <c:v>103.17070770960719</c:v>
                </c:pt>
                <c:pt idx="53">
                  <c:v>103.27556398903653</c:v>
                </c:pt>
                <c:pt idx="54">
                  <c:v>103.453650994448</c:v>
                </c:pt>
                <c:pt idx="55">
                  <c:v>103.27935905545017</c:v>
                </c:pt>
                <c:pt idx="56">
                  <c:v>102.48450347881091</c:v>
                </c:pt>
                <c:pt idx="57">
                  <c:v>101.89401925644812</c:v>
                </c:pt>
                <c:pt idx="58">
                  <c:v>101.18490406915457</c:v>
                </c:pt>
                <c:pt idx="59">
                  <c:v>101.56497294258207</c:v>
                </c:pt>
                <c:pt idx="60">
                  <c:v>102.67495958957063</c:v>
                </c:pt>
                <c:pt idx="61">
                  <c:v>103.25883758521333</c:v>
                </c:pt>
                <c:pt idx="62">
                  <c:v>103.42118209290888</c:v>
                </c:pt>
                <c:pt idx="63">
                  <c:v>102.87961205987776</c:v>
                </c:pt>
                <c:pt idx="64">
                  <c:v>103.62513177313942</c:v>
                </c:pt>
                <c:pt idx="65">
                  <c:v>104.12453440157431</c:v>
                </c:pt>
                <c:pt idx="66">
                  <c:v>104.19158057488234</c:v>
                </c:pt>
                <c:pt idx="67">
                  <c:v>104.52863869562167</c:v>
                </c:pt>
                <c:pt idx="68">
                  <c:v>104.809614168248</c:v>
                </c:pt>
                <c:pt idx="69">
                  <c:v>104.92149834844338</c:v>
                </c:pt>
                <c:pt idx="70">
                  <c:v>105.16719375922416</c:v>
                </c:pt>
                <c:pt idx="71">
                  <c:v>104.86668072246825</c:v>
                </c:pt>
                <c:pt idx="72">
                  <c:v>104.40227703984824</c:v>
                </c:pt>
                <c:pt idx="73">
                  <c:v>103.95347529692886</c:v>
                </c:pt>
                <c:pt idx="74">
                  <c:v>103.63103520978289</c:v>
                </c:pt>
                <c:pt idx="75">
                  <c:v>103.67840326094603</c:v>
                </c:pt>
                <c:pt idx="76">
                  <c:v>103.33431723944065</c:v>
                </c:pt>
                <c:pt idx="77">
                  <c:v>103.60278304870342</c:v>
                </c:pt>
                <c:pt idx="78">
                  <c:v>103.3393773279922</c:v>
                </c:pt>
                <c:pt idx="79">
                  <c:v>102.60580504603283</c:v>
                </c:pt>
                <c:pt idx="80">
                  <c:v>100.93274298966907</c:v>
                </c:pt>
                <c:pt idx="81">
                  <c:v>101.06430529200937</c:v>
                </c:pt>
                <c:pt idx="82">
                  <c:v>101.79815868999938</c:v>
                </c:pt>
                <c:pt idx="83">
                  <c:v>102.82718392016312</c:v>
                </c:pt>
                <c:pt idx="84">
                  <c:v>102.67200787124895</c:v>
                </c:pt>
                <c:pt idx="85">
                  <c:v>102.46088973223706</c:v>
                </c:pt>
                <c:pt idx="86">
                  <c:v>100.56391875746722</c:v>
                </c:pt>
                <c:pt idx="87">
                  <c:v>100.35687680089966</c:v>
                </c:pt>
                <c:pt idx="88">
                  <c:v>99.727598566308316</c:v>
                </c:pt>
                <c:pt idx="89">
                  <c:v>100.13943355119834</c:v>
                </c:pt>
                <c:pt idx="90">
                  <c:v>99.168037107316124</c:v>
                </c:pt>
                <c:pt idx="91">
                  <c:v>99.84960292360681</c:v>
                </c:pt>
                <c:pt idx="92">
                  <c:v>99.753180125096719</c:v>
                </c:pt>
                <c:pt idx="93">
                  <c:v>100.89633846370099</c:v>
                </c:pt>
                <c:pt idx="94">
                  <c:v>100.84967320261447</c:v>
                </c:pt>
                <c:pt idx="95">
                  <c:v>100.57614730480014</c:v>
                </c:pt>
                <c:pt idx="96">
                  <c:v>100.26171902452747</c:v>
                </c:pt>
                <c:pt idx="97">
                  <c:v>100.74186520486339</c:v>
                </c:pt>
                <c:pt idx="98">
                  <c:v>102.13395178860083</c:v>
                </c:pt>
                <c:pt idx="99">
                  <c:v>103.02227844542844</c:v>
                </c:pt>
                <c:pt idx="100">
                  <c:v>103.14878065921717</c:v>
                </c:pt>
                <c:pt idx="101">
                  <c:v>103.90652891981173</c:v>
                </c:pt>
                <c:pt idx="102">
                  <c:v>104.30501089324626</c:v>
                </c:pt>
                <c:pt idx="103">
                  <c:v>104.36278023754312</c:v>
                </c:pt>
                <c:pt idx="104">
                  <c:v>104.32988966195805</c:v>
                </c:pt>
                <c:pt idx="105">
                  <c:v>104.6239370300092</c:v>
                </c:pt>
                <c:pt idx="106">
                  <c:v>104.83308735680659</c:v>
                </c:pt>
                <c:pt idx="107">
                  <c:v>104.25834563215973</c:v>
                </c:pt>
                <c:pt idx="108">
                  <c:v>104.99332349427232</c:v>
                </c:pt>
                <c:pt idx="109">
                  <c:v>104.74790919952216</c:v>
                </c:pt>
                <c:pt idx="110">
                  <c:v>105.20739335160593</c:v>
                </c:pt>
                <c:pt idx="111">
                  <c:v>105.35188699135573</c:v>
                </c:pt>
                <c:pt idx="112">
                  <c:v>105.82472415489498</c:v>
                </c:pt>
                <c:pt idx="113">
                  <c:v>106.24035420619866</c:v>
                </c:pt>
                <c:pt idx="114">
                  <c:v>106.42125237191657</c:v>
                </c:pt>
                <c:pt idx="115">
                  <c:v>106.62351535596322</c:v>
                </c:pt>
                <c:pt idx="116">
                  <c:v>106.3757115749526</c:v>
                </c:pt>
                <c:pt idx="117">
                  <c:v>105.62358563497088</c:v>
                </c:pt>
                <c:pt idx="118">
                  <c:v>105.70257923958117</c:v>
                </c:pt>
                <c:pt idx="119">
                  <c:v>106.37866329327434</c:v>
                </c:pt>
                <c:pt idx="120">
                  <c:v>106.4681987490337</c:v>
                </c:pt>
                <c:pt idx="121">
                  <c:v>106.66441773842159</c:v>
                </c:pt>
                <c:pt idx="122">
                  <c:v>106.31077377187439</c:v>
                </c:pt>
                <c:pt idx="123">
                  <c:v>106.34268044135223</c:v>
                </c:pt>
                <c:pt idx="124">
                  <c:v>106.10963525195029</c:v>
                </c:pt>
                <c:pt idx="125">
                  <c:v>105.49891067538131</c:v>
                </c:pt>
                <c:pt idx="126">
                  <c:v>105.30564340431518</c:v>
                </c:pt>
                <c:pt idx="127">
                  <c:v>105.32054255393918</c:v>
                </c:pt>
                <c:pt idx="128">
                  <c:v>105.46110056926</c:v>
                </c:pt>
                <c:pt idx="129">
                  <c:v>103.10309930423787</c:v>
                </c:pt>
                <c:pt idx="130">
                  <c:v>103.757256307541</c:v>
                </c:pt>
                <c:pt idx="131">
                  <c:v>102.11989598706873</c:v>
                </c:pt>
                <c:pt idx="132">
                  <c:v>101.85536580223493</c:v>
                </c:pt>
                <c:pt idx="133">
                  <c:v>102.62210977581003</c:v>
                </c:pt>
                <c:pt idx="134">
                  <c:v>101.78986576709542</c:v>
                </c:pt>
                <c:pt idx="135">
                  <c:v>102.58682971396451</c:v>
                </c:pt>
                <c:pt idx="136">
                  <c:v>104.74467636516979</c:v>
                </c:pt>
                <c:pt idx="137">
                  <c:v>105.15341907372274</c:v>
                </c:pt>
                <c:pt idx="138">
                  <c:v>104.52104856279436</c:v>
                </c:pt>
                <c:pt idx="139">
                  <c:v>104.89240283927197</c:v>
                </c:pt>
                <c:pt idx="140">
                  <c:v>104.05031976948491</c:v>
                </c:pt>
                <c:pt idx="141">
                  <c:v>103.27036334246966</c:v>
                </c:pt>
                <c:pt idx="142">
                  <c:v>104.2776020802587</c:v>
                </c:pt>
                <c:pt idx="143">
                  <c:v>104.14126080539751</c:v>
                </c:pt>
                <c:pt idx="144">
                  <c:v>103.26389767376493</c:v>
                </c:pt>
                <c:pt idx="145">
                  <c:v>101.86689155949125</c:v>
                </c:pt>
                <c:pt idx="146">
                  <c:v>103.50846862042314</c:v>
                </c:pt>
                <c:pt idx="147">
                  <c:v>104.48141120247389</c:v>
                </c:pt>
                <c:pt idx="148">
                  <c:v>105.22988263405728</c:v>
                </c:pt>
                <c:pt idx="149">
                  <c:v>105.26150818750445</c:v>
                </c:pt>
                <c:pt idx="150">
                  <c:v>106.17260524281403</c:v>
                </c:pt>
                <c:pt idx="151">
                  <c:v>106.27029306346199</c:v>
                </c:pt>
                <c:pt idx="152">
                  <c:v>106.31794223065575</c:v>
                </c:pt>
                <c:pt idx="153">
                  <c:v>106.16375008784881</c:v>
                </c:pt>
                <c:pt idx="154">
                  <c:v>106.09712558858674</c:v>
                </c:pt>
                <c:pt idx="155">
                  <c:v>106.39440579099026</c:v>
                </c:pt>
                <c:pt idx="156">
                  <c:v>106.60341555977233</c:v>
                </c:pt>
                <c:pt idx="157">
                  <c:v>105.17098882563783</c:v>
                </c:pt>
                <c:pt idx="158">
                  <c:v>104.57980181319844</c:v>
                </c:pt>
                <c:pt idx="159">
                  <c:v>104.46018694216042</c:v>
                </c:pt>
                <c:pt idx="160">
                  <c:v>104.18722327640738</c:v>
                </c:pt>
                <c:pt idx="161">
                  <c:v>105.08552955232277</c:v>
                </c:pt>
                <c:pt idx="162">
                  <c:v>105.92592592592599</c:v>
                </c:pt>
                <c:pt idx="163">
                  <c:v>104.95031274158416</c:v>
                </c:pt>
                <c:pt idx="164">
                  <c:v>104.6333544170357</c:v>
                </c:pt>
                <c:pt idx="165">
                  <c:v>104.6933726895777</c:v>
                </c:pt>
                <c:pt idx="166">
                  <c:v>103.05404455689093</c:v>
                </c:pt>
                <c:pt idx="167">
                  <c:v>102.29053341766821</c:v>
                </c:pt>
                <c:pt idx="168">
                  <c:v>101.96696886639967</c:v>
                </c:pt>
                <c:pt idx="169">
                  <c:v>100.19031555274445</c:v>
                </c:pt>
                <c:pt idx="170">
                  <c:v>99.40614238526959</c:v>
                </c:pt>
                <c:pt idx="171">
                  <c:v>98.417738421533556</c:v>
                </c:pt>
                <c:pt idx="172">
                  <c:v>98.550144071965775</c:v>
                </c:pt>
                <c:pt idx="173">
                  <c:v>97.653243376203591</c:v>
                </c:pt>
                <c:pt idx="174">
                  <c:v>99.110689437065218</c:v>
                </c:pt>
                <c:pt idx="175">
                  <c:v>100.83280624077594</c:v>
                </c:pt>
                <c:pt idx="176">
                  <c:v>101.69231850446276</c:v>
                </c:pt>
                <c:pt idx="177">
                  <c:v>102.47860004216746</c:v>
                </c:pt>
                <c:pt idx="178">
                  <c:v>100.66146602009985</c:v>
                </c:pt>
                <c:pt idx="179">
                  <c:v>101.02719797596465</c:v>
                </c:pt>
                <c:pt idx="180">
                  <c:v>100.95115608967609</c:v>
                </c:pt>
                <c:pt idx="181">
                  <c:v>101.4716424204091</c:v>
                </c:pt>
                <c:pt idx="182">
                  <c:v>103.05769906528927</c:v>
                </c:pt>
                <c:pt idx="183">
                  <c:v>102.08939489774413</c:v>
                </c:pt>
                <c:pt idx="184">
                  <c:v>100.56434043151319</c:v>
                </c:pt>
                <c:pt idx="185">
                  <c:v>99.562442898306344</c:v>
                </c:pt>
                <c:pt idx="186">
                  <c:v>100.89352730339455</c:v>
                </c:pt>
                <c:pt idx="187">
                  <c:v>101.21540515847923</c:v>
                </c:pt>
                <c:pt idx="188">
                  <c:v>99.710450488439164</c:v>
                </c:pt>
                <c:pt idx="189">
                  <c:v>98.859512263686909</c:v>
                </c:pt>
                <c:pt idx="190">
                  <c:v>98.516972380350055</c:v>
                </c:pt>
                <c:pt idx="191">
                  <c:v>97.627521259399884</c:v>
                </c:pt>
                <c:pt idx="192">
                  <c:v>96.454424063532286</c:v>
                </c:pt>
                <c:pt idx="193">
                  <c:v>95.854381896127691</c:v>
                </c:pt>
                <c:pt idx="194">
                  <c:v>98.184412116100987</c:v>
                </c:pt>
                <c:pt idx="195">
                  <c:v>98.112305854241399</c:v>
                </c:pt>
                <c:pt idx="196">
                  <c:v>96.786843769766037</c:v>
                </c:pt>
                <c:pt idx="197">
                  <c:v>97.684728371635444</c:v>
                </c:pt>
                <c:pt idx="198">
                  <c:v>97.089886850797726</c:v>
                </c:pt>
                <c:pt idx="199">
                  <c:v>95.484011525757325</c:v>
                </c:pt>
                <c:pt idx="200">
                  <c:v>92.876660341556033</c:v>
                </c:pt>
                <c:pt idx="201">
                  <c:v>92.131281186309707</c:v>
                </c:pt>
                <c:pt idx="202">
                  <c:v>94.529060369667661</c:v>
                </c:pt>
                <c:pt idx="203">
                  <c:v>94.347178297842504</c:v>
                </c:pt>
                <c:pt idx="204">
                  <c:v>93.264600463841518</c:v>
                </c:pt>
                <c:pt idx="205">
                  <c:v>92.572914470447756</c:v>
                </c:pt>
                <c:pt idx="206">
                  <c:v>93.447466441773912</c:v>
                </c:pt>
                <c:pt idx="207">
                  <c:v>96.024878768711858</c:v>
                </c:pt>
                <c:pt idx="208">
                  <c:v>97.722397919741439</c:v>
                </c:pt>
                <c:pt idx="209">
                  <c:v>98.595263194883756</c:v>
                </c:pt>
                <c:pt idx="210">
                  <c:v>98.505727739124382</c:v>
                </c:pt>
                <c:pt idx="211">
                  <c:v>99.544592030360604</c:v>
                </c:pt>
                <c:pt idx="212">
                  <c:v>98.831260102607416</c:v>
                </c:pt>
                <c:pt idx="213">
                  <c:v>99.63047297772161</c:v>
                </c:pt>
                <c:pt idx="214">
                  <c:v>99.737297069365439</c:v>
                </c:pt>
                <c:pt idx="215">
                  <c:v>100.10021786492381</c:v>
                </c:pt>
                <c:pt idx="216">
                  <c:v>101.64579380139158</c:v>
                </c:pt>
                <c:pt idx="217">
                  <c:v>101.35821210204519</c:v>
                </c:pt>
                <c:pt idx="218">
                  <c:v>100.01518026565471</c:v>
                </c:pt>
                <c:pt idx="219">
                  <c:v>100.17091854663019</c:v>
                </c:pt>
                <c:pt idx="220">
                  <c:v>101.03239862253152</c:v>
                </c:pt>
                <c:pt idx="221">
                  <c:v>100.0528498137607</c:v>
                </c:pt>
                <c:pt idx="222">
                  <c:v>98.832244008714667</c:v>
                </c:pt>
                <c:pt idx="223">
                  <c:v>98.726684939208724</c:v>
                </c:pt>
                <c:pt idx="224">
                  <c:v>98.689858739194676</c:v>
                </c:pt>
                <c:pt idx="225">
                  <c:v>97.373954599761134</c:v>
                </c:pt>
                <c:pt idx="226">
                  <c:v>96.992901820226379</c:v>
                </c:pt>
                <c:pt idx="227">
                  <c:v>97.816009557945137</c:v>
                </c:pt>
                <c:pt idx="228">
                  <c:v>97.085388994307493</c:v>
                </c:pt>
                <c:pt idx="229">
                  <c:v>97.013985522524507</c:v>
                </c:pt>
                <c:pt idx="230">
                  <c:v>96.792887764424862</c:v>
                </c:pt>
                <c:pt idx="231">
                  <c:v>97.579731534190827</c:v>
                </c:pt>
                <c:pt idx="232">
                  <c:v>97.86576709536871</c:v>
                </c:pt>
                <c:pt idx="233">
                  <c:v>96.76983624991226</c:v>
                </c:pt>
                <c:pt idx="234">
                  <c:v>94.402839271909585</c:v>
                </c:pt>
                <c:pt idx="235">
                  <c:v>93.978494623656019</c:v>
                </c:pt>
                <c:pt idx="236">
                  <c:v>92.067046173308128</c:v>
                </c:pt>
                <c:pt idx="237">
                  <c:v>91.910745660271374</c:v>
                </c:pt>
                <c:pt idx="238">
                  <c:v>93.582964368543216</c:v>
                </c:pt>
                <c:pt idx="239">
                  <c:v>91.878136200716938</c:v>
                </c:pt>
                <c:pt idx="240">
                  <c:v>91.86393984116954</c:v>
                </c:pt>
                <c:pt idx="241">
                  <c:v>92.224752266498086</c:v>
                </c:pt>
                <c:pt idx="242">
                  <c:v>93.764003092276411</c:v>
                </c:pt>
                <c:pt idx="243">
                  <c:v>91.374095157776452</c:v>
                </c:pt>
                <c:pt idx="244">
                  <c:v>90.472415489493372</c:v>
                </c:pt>
                <c:pt idx="245">
                  <c:v>87.675732658654937</c:v>
                </c:pt>
                <c:pt idx="246">
                  <c:v>87.761473048000639</c:v>
                </c:pt>
                <c:pt idx="247">
                  <c:v>87.081593927893806</c:v>
                </c:pt>
                <c:pt idx="248">
                  <c:v>86.481270644458561</c:v>
                </c:pt>
                <c:pt idx="249">
                  <c:v>88.437135427647831</c:v>
                </c:pt>
                <c:pt idx="250">
                  <c:v>88.251036615363049</c:v>
                </c:pt>
                <c:pt idx="251">
                  <c:v>90.017288635884526</c:v>
                </c:pt>
                <c:pt idx="252">
                  <c:v>87.657600674678534</c:v>
                </c:pt>
                <c:pt idx="253">
                  <c:v>87.086935132476</c:v>
                </c:pt>
                <c:pt idx="254">
                  <c:v>87.411624147867087</c:v>
                </c:pt>
                <c:pt idx="255">
                  <c:v>88.754234310211601</c:v>
                </c:pt>
                <c:pt idx="256">
                  <c:v>87.949680230515199</c:v>
                </c:pt>
                <c:pt idx="257">
                  <c:v>88.546911237613372</c:v>
                </c:pt>
                <c:pt idx="258">
                  <c:v>89.858036404526004</c:v>
                </c:pt>
                <c:pt idx="259">
                  <c:v>91.761894722046577</c:v>
                </c:pt>
                <c:pt idx="260">
                  <c:v>92.328202965774182</c:v>
                </c:pt>
                <c:pt idx="261">
                  <c:v>91.758240213648236</c:v>
                </c:pt>
              </c:numCache>
            </c:numRef>
          </c:val>
          <c:smooth val="0"/>
          <c:extLst xmlns:c16r2="http://schemas.microsoft.com/office/drawing/2015/06/chart">
            <c:ext xmlns:c16="http://schemas.microsoft.com/office/drawing/2014/chart" uri="{C3380CC4-5D6E-409C-BE32-E72D297353CC}">
              <c16:uniqueId val="{00000002-0D45-4786-8428-D7B604BE499F}"/>
            </c:ext>
          </c:extLst>
        </c:ser>
        <c:ser>
          <c:idx val="3"/>
          <c:order val="3"/>
          <c:tx>
            <c:strRef>
              <c:f>'MSCI Chart'!$K$7</c:f>
              <c:strCache>
                <c:ptCount val="1"/>
                <c:pt idx="0">
                  <c:v>MSCI Emerging Markets</c:v>
                </c:pt>
              </c:strCache>
            </c:strRef>
          </c:tx>
          <c:spPr>
            <a:ln w="28575" cap="rnd">
              <a:solidFill>
                <a:schemeClr val="accent6">
                  <a:lumMod val="60000"/>
                </a:schemeClr>
              </a:solidFill>
              <a:round/>
            </a:ln>
            <a:effectLst/>
          </c:spPr>
          <c:marker>
            <c:symbol val="none"/>
          </c:marker>
          <c:cat>
            <c:numRef>
              <c:f>'MSCI Chart'!$G$8:$G$291</c:f>
              <c:numCache>
                <c:formatCode>m/d/yyyy</c:formatCode>
                <c:ptCount val="284"/>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f>'MSCI Chart'!$K$8:$K$291</c:f>
              <c:numCache>
                <c:formatCode>0</c:formatCode>
                <c:ptCount val="284"/>
                <c:pt idx="0" formatCode="0.0">
                  <c:v>100</c:v>
                </c:pt>
                <c:pt idx="1">
                  <c:v>101.0636473556323</c:v>
                </c:pt>
                <c:pt idx="2">
                  <c:v>100.8907083812912</c:v>
                </c:pt>
                <c:pt idx="3">
                  <c:v>100.53516619580763</c:v>
                </c:pt>
                <c:pt idx="4">
                  <c:v>100.38882203852907</c:v>
                </c:pt>
                <c:pt idx="5">
                  <c:v>100.31855649727369</c:v>
                </c:pt>
                <c:pt idx="6">
                  <c:v>100.08894004394686</c:v>
                </c:pt>
                <c:pt idx="7">
                  <c:v>99.75265366863151</c:v>
                </c:pt>
                <c:pt idx="8">
                  <c:v>100.19197679420554</c:v>
                </c:pt>
                <c:pt idx="9">
                  <c:v>100.42028530570963</c:v>
                </c:pt>
                <c:pt idx="10">
                  <c:v>100.50740876379155</c:v>
                </c:pt>
                <c:pt idx="11">
                  <c:v>100.14961401183545</c:v>
                </c:pt>
                <c:pt idx="12">
                  <c:v>99.548905398021262</c:v>
                </c:pt>
                <c:pt idx="13">
                  <c:v>99.031905060862925</c:v>
                </c:pt>
                <c:pt idx="14">
                  <c:v>98.912809691558294</c:v>
                </c:pt>
                <c:pt idx="15">
                  <c:v>98.133639682373627</c:v>
                </c:pt>
                <c:pt idx="16">
                  <c:v>97.866020252752534</c:v>
                </c:pt>
                <c:pt idx="17">
                  <c:v>98.858239452175866</c:v>
                </c:pt>
                <c:pt idx="18">
                  <c:v>99.359544487461235</c:v>
                </c:pt>
                <c:pt idx="19">
                  <c:v>100.24545708206904</c:v>
                </c:pt>
                <c:pt idx="20">
                  <c:v>100.34108216199881</c:v>
                </c:pt>
                <c:pt idx="21">
                  <c:v>100.0683762919559</c:v>
                </c:pt>
                <c:pt idx="22">
                  <c:v>99.885845744248002</c:v>
                </c:pt>
                <c:pt idx="23">
                  <c:v>99.419491821003845</c:v>
                </c:pt>
                <c:pt idx="24">
                  <c:v>98.486783974515518</c:v>
                </c:pt>
                <c:pt idx="25">
                  <c:v>98.420078941555374</c:v>
                </c:pt>
                <c:pt idx="26">
                  <c:v>97.846982432888083</c:v>
                </c:pt>
                <c:pt idx="27">
                  <c:v>97.418413495634425</c:v>
                </c:pt>
                <c:pt idx="28">
                  <c:v>95.643027798123583</c:v>
                </c:pt>
                <c:pt idx="29">
                  <c:v>95.783122900026783</c:v>
                </c:pt>
                <c:pt idx="30">
                  <c:v>96.411952263030045</c:v>
                </c:pt>
                <c:pt idx="31">
                  <c:v>97.333687930894186</c:v>
                </c:pt>
                <c:pt idx="32">
                  <c:v>97.233267064281023</c:v>
                </c:pt>
                <c:pt idx="33">
                  <c:v>97.985478939230148</c:v>
                </c:pt>
                <c:pt idx="34">
                  <c:v>97.374960761745371</c:v>
                </c:pt>
                <c:pt idx="35">
                  <c:v>95.71372931998657</c:v>
                </c:pt>
                <c:pt idx="36">
                  <c:v>95.26713985095283</c:v>
                </c:pt>
                <c:pt idx="37">
                  <c:v>95.345325706579303</c:v>
                </c:pt>
                <c:pt idx="38">
                  <c:v>96.379108390592179</c:v>
                </c:pt>
                <c:pt idx="39">
                  <c:v>95.283707114040951</c:v>
                </c:pt>
                <c:pt idx="40">
                  <c:v>93.008251659632919</c:v>
                </c:pt>
                <c:pt idx="41">
                  <c:v>91.006083382744535</c:v>
                </c:pt>
                <c:pt idx="42">
                  <c:v>92.152276400079131</c:v>
                </c:pt>
                <c:pt idx="43">
                  <c:v>94.129085138293121</c:v>
                </c:pt>
                <c:pt idx="44">
                  <c:v>92.849700045342061</c:v>
                </c:pt>
                <c:pt idx="45">
                  <c:v>93.961886575285206</c:v>
                </c:pt>
                <c:pt idx="46">
                  <c:v>94.039418460000306</c:v>
                </c:pt>
                <c:pt idx="47">
                  <c:v>94.752464743701609</c:v>
                </c:pt>
                <c:pt idx="48">
                  <c:v>94.469222675642129</c:v>
                </c:pt>
                <c:pt idx="49">
                  <c:v>93.919669119784288</c:v>
                </c:pt>
                <c:pt idx="50">
                  <c:v>94.041307709299815</c:v>
                </c:pt>
                <c:pt idx="51">
                  <c:v>94.486589236510838</c:v>
                </c:pt>
                <c:pt idx="52">
                  <c:v>94.286910118238026</c:v>
                </c:pt>
                <c:pt idx="53">
                  <c:v>93.802099682606212</c:v>
                </c:pt>
                <c:pt idx="54">
                  <c:v>93.071904828339996</c:v>
                </c:pt>
                <c:pt idx="55">
                  <c:v>92.441476869775585</c:v>
                </c:pt>
                <c:pt idx="56">
                  <c:v>91.24914257147185</c:v>
                </c:pt>
                <c:pt idx="57">
                  <c:v>91.67218908769614</c:v>
                </c:pt>
                <c:pt idx="58">
                  <c:v>89.551361422110716</c:v>
                </c:pt>
                <c:pt idx="59">
                  <c:v>88.70592236057351</c:v>
                </c:pt>
                <c:pt idx="60">
                  <c:v>89.923252880378655</c:v>
                </c:pt>
                <c:pt idx="61">
                  <c:v>92.283361236092333</c:v>
                </c:pt>
                <c:pt idx="62">
                  <c:v>92.668114122283953</c:v>
                </c:pt>
                <c:pt idx="63">
                  <c:v>92.001645100159379</c:v>
                </c:pt>
                <c:pt idx="64">
                  <c:v>92.476791298989795</c:v>
                </c:pt>
                <c:pt idx="65">
                  <c:v>93.400852196761065</c:v>
                </c:pt>
                <c:pt idx="66">
                  <c:v>95.092456954181458</c:v>
                </c:pt>
                <c:pt idx="67">
                  <c:v>95.366470766047115</c:v>
                </c:pt>
                <c:pt idx="68">
                  <c:v>95.328104472579852</c:v>
                </c:pt>
                <c:pt idx="69">
                  <c:v>95.618830874402832</c:v>
                </c:pt>
                <c:pt idx="70">
                  <c:v>96.233418204225075</c:v>
                </c:pt>
                <c:pt idx="71">
                  <c:v>96.326064083336362</c:v>
                </c:pt>
                <c:pt idx="72">
                  <c:v>95.450905677048951</c:v>
                </c:pt>
                <c:pt idx="73">
                  <c:v>94.460212409752145</c:v>
                </c:pt>
                <c:pt idx="74">
                  <c:v>95.112221408391875</c:v>
                </c:pt>
                <c:pt idx="75">
                  <c:v>94.574657319242561</c:v>
                </c:pt>
                <c:pt idx="76">
                  <c:v>94.182492762722021</c:v>
                </c:pt>
                <c:pt idx="77">
                  <c:v>93.639769569716321</c:v>
                </c:pt>
                <c:pt idx="78">
                  <c:v>92.77522002488007</c:v>
                </c:pt>
                <c:pt idx="79">
                  <c:v>92.961674398056218</c:v>
                </c:pt>
                <c:pt idx="80">
                  <c:v>91.427240649669358</c:v>
                </c:pt>
                <c:pt idx="81">
                  <c:v>91.658019717949728</c:v>
                </c:pt>
                <c:pt idx="82">
                  <c:v>91.758731238301294</c:v>
                </c:pt>
                <c:pt idx="83">
                  <c:v>92.465746456931043</c:v>
                </c:pt>
                <c:pt idx="84">
                  <c:v>91.92665643565519</c:v>
                </c:pt>
                <c:pt idx="85">
                  <c:v>92.090657807540822</c:v>
                </c:pt>
                <c:pt idx="86">
                  <c:v>91.620307395393823</c:v>
                </c:pt>
                <c:pt idx="87">
                  <c:v>90.922447769523316</c:v>
                </c:pt>
                <c:pt idx="88">
                  <c:v>91.054331903317049</c:v>
                </c:pt>
                <c:pt idx="89">
                  <c:v>90.582310232174322</c:v>
                </c:pt>
                <c:pt idx="90">
                  <c:v>89.842087823933696</c:v>
                </c:pt>
                <c:pt idx="91">
                  <c:v>89.849208840524213</c:v>
                </c:pt>
                <c:pt idx="92">
                  <c:v>89.167625824003451</c:v>
                </c:pt>
                <c:pt idx="93">
                  <c:v>91.067629311848322</c:v>
                </c:pt>
                <c:pt idx="94">
                  <c:v>91.340989152802592</c:v>
                </c:pt>
                <c:pt idx="95">
                  <c:v>91.966766651552788</c:v>
                </c:pt>
                <c:pt idx="96">
                  <c:v>91.092988850522701</c:v>
                </c:pt>
                <c:pt idx="97">
                  <c:v>91.572567518863551</c:v>
                </c:pt>
                <c:pt idx="98">
                  <c:v>92.040520037668841</c:v>
                </c:pt>
                <c:pt idx="99">
                  <c:v>93.276016416123255</c:v>
                </c:pt>
                <c:pt idx="100">
                  <c:v>93.228421866462156</c:v>
                </c:pt>
                <c:pt idx="101">
                  <c:v>94.067611872624013</c:v>
                </c:pt>
                <c:pt idx="102">
                  <c:v>94.544501993884737</c:v>
                </c:pt>
                <c:pt idx="103">
                  <c:v>93.953966260914143</c:v>
                </c:pt>
                <c:pt idx="104">
                  <c:v>93.963993814888553</c:v>
                </c:pt>
                <c:pt idx="105">
                  <c:v>94.263294501993997</c:v>
                </c:pt>
                <c:pt idx="106">
                  <c:v>94.176171043912078</c:v>
                </c:pt>
                <c:pt idx="107">
                  <c:v>93.218830293095337</c:v>
                </c:pt>
                <c:pt idx="108">
                  <c:v>92.723483659446927</c:v>
                </c:pt>
                <c:pt idx="109">
                  <c:v>91.901369560415375</c:v>
                </c:pt>
                <c:pt idx="110">
                  <c:v>91.885456268238627</c:v>
                </c:pt>
                <c:pt idx="111">
                  <c:v>91.843384139606897</c:v>
                </c:pt>
                <c:pt idx="112">
                  <c:v>91.734606978015051</c:v>
                </c:pt>
                <c:pt idx="113">
                  <c:v>92.170006278120837</c:v>
                </c:pt>
                <c:pt idx="114">
                  <c:v>91.851304453977974</c:v>
                </c:pt>
                <c:pt idx="115">
                  <c:v>92.197037075790959</c:v>
                </c:pt>
                <c:pt idx="116">
                  <c:v>92.497282387546136</c:v>
                </c:pt>
                <c:pt idx="117">
                  <c:v>92.601554416192982</c:v>
                </c:pt>
                <c:pt idx="118">
                  <c:v>93.110707102414821</c:v>
                </c:pt>
                <c:pt idx="119">
                  <c:v>93.407319242440167</c:v>
                </c:pt>
                <c:pt idx="120">
                  <c:v>93.504397591061888</c:v>
                </c:pt>
                <c:pt idx="121">
                  <c:v>93.77565019241284</c:v>
                </c:pt>
                <c:pt idx="122">
                  <c:v>93.508394079964717</c:v>
                </c:pt>
                <c:pt idx="123">
                  <c:v>92.56376943020247</c:v>
                </c:pt>
                <c:pt idx="124">
                  <c:v>92.226029786195184</c:v>
                </c:pt>
                <c:pt idx="125">
                  <c:v>91.669064560008451</c:v>
                </c:pt>
                <c:pt idx="126">
                  <c:v>91.220949158848171</c:v>
                </c:pt>
                <c:pt idx="127">
                  <c:v>91.058328392219863</c:v>
                </c:pt>
                <c:pt idx="128">
                  <c:v>91.169939427761008</c:v>
                </c:pt>
                <c:pt idx="129">
                  <c:v>88.876972085615051</c:v>
                </c:pt>
                <c:pt idx="130">
                  <c:v>88.575782149210085</c:v>
                </c:pt>
                <c:pt idx="131">
                  <c:v>88.098601374210958</c:v>
                </c:pt>
                <c:pt idx="132">
                  <c:v>89.144228198063146</c:v>
                </c:pt>
                <c:pt idx="133">
                  <c:v>89.826101868322297</c:v>
                </c:pt>
                <c:pt idx="134">
                  <c:v>88.986839198725846</c:v>
                </c:pt>
                <c:pt idx="135">
                  <c:v>88.210357736621276</c:v>
                </c:pt>
                <c:pt idx="136">
                  <c:v>89.780033250787724</c:v>
                </c:pt>
                <c:pt idx="137">
                  <c:v>90.176048969341892</c:v>
                </c:pt>
                <c:pt idx="138">
                  <c:v>90.663111971446227</c:v>
                </c:pt>
                <c:pt idx="139">
                  <c:v>89.996206968714091</c:v>
                </c:pt>
                <c:pt idx="140">
                  <c:v>89.420131259228299</c:v>
                </c:pt>
                <c:pt idx="141">
                  <c:v>88.801983421110805</c:v>
                </c:pt>
                <c:pt idx="142">
                  <c:v>88.249450664434505</c:v>
                </c:pt>
                <c:pt idx="143">
                  <c:v>88.931905642170406</c:v>
                </c:pt>
                <c:pt idx="144">
                  <c:v>88.38024484670926</c:v>
                </c:pt>
                <c:pt idx="145">
                  <c:v>86.475590899050189</c:v>
                </c:pt>
                <c:pt idx="146">
                  <c:v>87.462069687140371</c:v>
                </c:pt>
                <c:pt idx="147">
                  <c:v>87.913890923465104</c:v>
                </c:pt>
                <c:pt idx="148">
                  <c:v>88.619961517445091</c:v>
                </c:pt>
                <c:pt idx="149">
                  <c:v>88.68928243405071</c:v>
                </c:pt>
                <c:pt idx="150">
                  <c:v>88.776914536174814</c:v>
                </c:pt>
                <c:pt idx="151">
                  <c:v>89.166463209049837</c:v>
                </c:pt>
                <c:pt idx="152">
                  <c:v>88.499267552579298</c:v>
                </c:pt>
                <c:pt idx="153">
                  <c:v>88.848996663295125</c:v>
                </c:pt>
                <c:pt idx="154">
                  <c:v>89.521932731098815</c:v>
                </c:pt>
                <c:pt idx="155">
                  <c:v>89.630491902386879</c:v>
                </c:pt>
                <c:pt idx="156">
                  <c:v>89.735563228814286</c:v>
                </c:pt>
                <c:pt idx="157">
                  <c:v>88.848197365514551</c:v>
                </c:pt>
                <c:pt idx="158">
                  <c:v>88.43663167195659</c:v>
                </c:pt>
                <c:pt idx="159">
                  <c:v>89.092782486368378</c:v>
                </c:pt>
                <c:pt idx="160">
                  <c:v>89.54082522409405</c:v>
                </c:pt>
                <c:pt idx="161">
                  <c:v>90.323701068443143</c:v>
                </c:pt>
                <c:pt idx="162">
                  <c:v>92.089204538848776</c:v>
                </c:pt>
                <c:pt idx="163">
                  <c:v>91.795716926511105</c:v>
                </c:pt>
                <c:pt idx="164">
                  <c:v>91.371580458767852</c:v>
                </c:pt>
                <c:pt idx="165">
                  <c:v>91.148939695162341</c:v>
                </c:pt>
                <c:pt idx="166">
                  <c:v>90.217176473323789</c:v>
                </c:pt>
                <c:pt idx="167">
                  <c:v>90.090306116517255</c:v>
                </c:pt>
                <c:pt idx="168">
                  <c:v>91.246526687826247</c:v>
                </c:pt>
                <c:pt idx="169">
                  <c:v>90.415620313208464</c:v>
                </c:pt>
                <c:pt idx="170">
                  <c:v>88.80648855405579</c:v>
                </c:pt>
                <c:pt idx="171">
                  <c:v>87.9555270714892</c:v>
                </c:pt>
                <c:pt idx="172">
                  <c:v>88.0278998523479</c:v>
                </c:pt>
                <c:pt idx="173">
                  <c:v>86.619246509248597</c:v>
                </c:pt>
                <c:pt idx="174">
                  <c:v>86.551960168811689</c:v>
                </c:pt>
                <c:pt idx="175">
                  <c:v>87.794286910118231</c:v>
                </c:pt>
                <c:pt idx="176">
                  <c:v>88.213845581481863</c:v>
                </c:pt>
                <c:pt idx="177">
                  <c:v>88.157458756234519</c:v>
                </c:pt>
                <c:pt idx="178">
                  <c:v>87.942374989827115</c:v>
                </c:pt>
                <c:pt idx="179">
                  <c:v>88.729319986513659</c:v>
                </c:pt>
                <c:pt idx="180">
                  <c:v>88.600633043842208</c:v>
                </c:pt>
                <c:pt idx="181">
                  <c:v>88.635220838710438</c:v>
                </c:pt>
                <c:pt idx="182">
                  <c:v>90.087399579133404</c:v>
                </c:pt>
                <c:pt idx="183">
                  <c:v>90.908641716949802</c:v>
                </c:pt>
                <c:pt idx="184">
                  <c:v>90.139499261739545</c:v>
                </c:pt>
                <c:pt idx="185">
                  <c:v>88.679618197249283</c:v>
                </c:pt>
                <c:pt idx="186">
                  <c:v>89.307066954995207</c:v>
                </c:pt>
                <c:pt idx="187">
                  <c:v>90.406973364491449</c:v>
                </c:pt>
                <c:pt idx="188">
                  <c:v>90.314908792856926</c:v>
                </c:pt>
                <c:pt idx="189">
                  <c:v>89.504929487403089</c:v>
                </c:pt>
                <c:pt idx="190">
                  <c:v>88.610151953774462</c:v>
                </c:pt>
                <c:pt idx="191">
                  <c:v>87.677880087893726</c:v>
                </c:pt>
                <c:pt idx="192">
                  <c:v>87.694374687547267</c:v>
                </c:pt>
                <c:pt idx="193">
                  <c:v>83.916312069105871</c:v>
                </c:pt>
                <c:pt idx="194">
                  <c:v>85.160673386581138</c:v>
                </c:pt>
                <c:pt idx="195">
                  <c:v>85.111407577924297</c:v>
                </c:pt>
                <c:pt idx="196">
                  <c:v>85.483371699626844</c:v>
                </c:pt>
                <c:pt idx="197">
                  <c:v>84.900465627288924</c:v>
                </c:pt>
                <c:pt idx="198">
                  <c:v>85.202091544301481</c:v>
                </c:pt>
                <c:pt idx="199">
                  <c:v>83.192874914257189</c:v>
                </c:pt>
                <c:pt idx="200">
                  <c:v>80.4602211293642</c:v>
                </c:pt>
                <c:pt idx="201">
                  <c:v>79.642539499843082</c:v>
                </c:pt>
                <c:pt idx="202">
                  <c:v>79.252046202318283</c:v>
                </c:pt>
                <c:pt idx="203">
                  <c:v>80.128803204166843</c:v>
                </c:pt>
                <c:pt idx="204">
                  <c:v>78.888002394986842</c:v>
                </c:pt>
                <c:pt idx="205">
                  <c:v>76.660722797716659</c:v>
                </c:pt>
                <c:pt idx="206">
                  <c:v>74.608634741260076</c:v>
                </c:pt>
                <c:pt idx="207">
                  <c:v>78.549172799460592</c:v>
                </c:pt>
                <c:pt idx="208">
                  <c:v>81.450841733226426</c:v>
                </c:pt>
                <c:pt idx="209">
                  <c:v>81.59972911071587</c:v>
                </c:pt>
                <c:pt idx="210">
                  <c:v>81.038912722495482</c:v>
                </c:pt>
                <c:pt idx="211">
                  <c:v>82.21206387406562</c:v>
                </c:pt>
                <c:pt idx="212">
                  <c:v>82.888778440468371</c:v>
                </c:pt>
                <c:pt idx="213">
                  <c:v>82.614619301733541</c:v>
                </c:pt>
                <c:pt idx="214">
                  <c:v>81.747017892644209</c:v>
                </c:pt>
                <c:pt idx="215">
                  <c:v>81.732921186332376</c:v>
                </c:pt>
                <c:pt idx="216">
                  <c:v>82.578214921000395</c:v>
                </c:pt>
                <c:pt idx="217">
                  <c:v>83.512303372746075</c:v>
                </c:pt>
                <c:pt idx="218">
                  <c:v>82.966164998314298</c:v>
                </c:pt>
                <c:pt idx="219">
                  <c:v>83.261251206213103</c:v>
                </c:pt>
                <c:pt idx="220">
                  <c:v>84.409115482543442</c:v>
                </c:pt>
                <c:pt idx="221">
                  <c:v>84.053573297059856</c:v>
                </c:pt>
                <c:pt idx="222">
                  <c:v>83.018046690616643</c:v>
                </c:pt>
                <c:pt idx="223">
                  <c:v>81.823459825840374</c:v>
                </c:pt>
                <c:pt idx="224">
                  <c:v>81.959122458233168</c:v>
                </c:pt>
                <c:pt idx="225">
                  <c:v>80.784590701405691</c:v>
                </c:pt>
                <c:pt idx="226">
                  <c:v>80.685695766919054</c:v>
                </c:pt>
                <c:pt idx="227">
                  <c:v>81.333344959482972</c:v>
                </c:pt>
                <c:pt idx="228">
                  <c:v>81.191505935149451</c:v>
                </c:pt>
                <c:pt idx="229">
                  <c:v>80.867063699673409</c:v>
                </c:pt>
                <c:pt idx="230">
                  <c:v>80.415024473044895</c:v>
                </c:pt>
                <c:pt idx="231">
                  <c:v>79.639269645286291</c:v>
                </c:pt>
                <c:pt idx="232">
                  <c:v>79.612166184181561</c:v>
                </c:pt>
                <c:pt idx="233">
                  <c:v>78.979776312883033</c:v>
                </c:pt>
                <c:pt idx="234">
                  <c:v>78.156644925767139</c:v>
                </c:pt>
                <c:pt idx="235">
                  <c:v>76.009077116249969</c:v>
                </c:pt>
                <c:pt idx="236">
                  <c:v>76.252572285584847</c:v>
                </c:pt>
                <c:pt idx="237">
                  <c:v>75.842023880111256</c:v>
                </c:pt>
                <c:pt idx="238">
                  <c:v>76.573962656807808</c:v>
                </c:pt>
                <c:pt idx="239">
                  <c:v>78.199661679048646</c:v>
                </c:pt>
                <c:pt idx="240">
                  <c:v>77.936184065199583</c:v>
                </c:pt>
                <c:pt idx="241">
                  <c:v>77.694505481729635</c:v>
                </c:pt>
                <c:pt idx="242">
                  <c:v>77.302195598339907</c:v>
                </c:pt>
                <c:pt idx="243">
                  <c:v>76.930376803506562</c:v>
                </c:pt>
                <c:pt idx="244">
                  <c:v>74.952478113773608</c:v>
                </c:pt>
                <c:pt idx="245">
                  <c:v>73.730351807285061</c:v>
                </c:pt>
                <c:pt idx="246">
                  <c:v>73.187919268017737</c:v>
                </c:pt>
                <c:pt idx="247">
                  <c:v>73.478573006406123</c:v>
                </c:pt>
                <c:pt idx="248">
                  <c:v>71.778321300268672</c:v>
                </c:pt>
                <c:pt idx="249">
                  <c:v>72.991800658040177</c:v>
                </c:pt>
                <c:pt idx="250">
                  <c:v>73.20870101031251</c:v>
                </c:pt>
                <c:pt idx="251">
                  <c:v>74.903357631985983</c:v>
                </c:pt>
                <c:pt idx="252">
                  <c:v>75.074770674200522</c:v>
                </c:pt>
                <c:pt idx="253">
                  <c:v>73.745102484508266</c:v>
                </c:pt>
                <c:pt idx="254">
                  <c:v>75.228889818980974</c:v>
                </c:pt>
                <c:pt idx="255">
                  <c:v>75.170904398172496</c:v>
                </c:pt>
                <c:pt idx="256">
                  <c:v>73.897986350900567</c:v>
                </c:pt>
                <c:pt idx="257">
                  <c:v>74.087201934591405</c:v>
                </c:pt>
                <c:pt idx="258">
                  <c:v>74.331787055445233</c:v>
                </c:pt>
                <c:pt idx="259">
                  <c:v>75.800315068652552</c:v>
                </c:pt>
                <c:pt idx="260">
                  <c:v>77.393170218455467</c:v>
                </c:pt>
                <c:pt idx="261">
                  <c:v>78.306912908513937</c:v>
                </c:pt>
              </c:numCache>
            </c:numRef>
          </c:val>
          <c:smooth val="0"/>
          <c:extLst xmlns:c16r2="http://schemas.microsoft.com/office/drawing/2015/06/chart">
            <c:ext xmlns:c16="http://schemas.microsoft.com/office/drawing/2014/chart" uri="{C3380CC4-5D6E-409C-BE32-E72D297353CC}">
              <c16:uniqueId val="{00000003-0D45-4786-8428-D7B604BE499F}"/>
            </c:ext>
          </c:extLst>
        </c:ser>
        <c:dLbls>
          <c:showLegendKey val="0"/>
          <c:showVal val="0"/>
          <c:showCatName val="0"/>
          <c:showSerName val="0"/>
          <c:showPercent val="0"/>
          <c:showBubbleSize val="0"/>
        </c:dLbls>
        <c:smooth val="0"/>
        <c:axId val="649398456"/>
        <c:axId val="649408256"/>
      </c:lineChart>
      <c:dateAx>
        <c:axId val="649398456"/>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649408256"/>
        <c:crosses val="autoZero"/>
        <c:auto val="1"/>
        <c:lblOffset val="100"/>
        <c:baseTimeUnit val="days"/>
      </c:dateAx>
      <c:valAx>
        <c:axId val="649408256"/>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9398456"/>
        <c:crosses val="autoZero"/>
        <c:crossBetween val="between"/>
        <c:majorUnit val="20"/>
      </c:valAx>
      <c:spPr>
        <a:noFill/>
        <a:ln>
          <a:noFill/>
        </a:ln>
        <a:effectLst/>
      </c:spPr>
    </c:plotArea>
    <c:legend>
      <c:legendPos val="b"/>
      <c:layout>
        <c:manualLayout>
          <c:xMode val="edge"/>
          <c:yMode val="edge"/>
          <c:x val="4.808223972003501E-2"/>
          <c:y val="0.86414935064935061"/>
          <c:w val="0.89827996500437446"/>
          <c:h val="0.108072871572871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86984470691163607"/>
          <c:h val="0.60706765820939046"/>
        </c:manualLayout>
      </c:layout>
      <c:lineChart>
        <c:grouping val="standard"/>
        <c:varyColors val="0"/>
        <c:ser>
          <c:idx val="2"/>
          <c:order val="2"/>
          <c:tx>
            <c:strRef>
              <c:f>'Currency Chart'!$R$5</c:f>
              <c:strCache>
                <c:ptCount val="1"/>
                <c:pt idx="0">
                  <c:v>USD-INR</c:v>
                </c:pt>
              </c:strCache>
            </c:strRef>
          </c:tx>
          <c:spPr>
            <a:ln w="28575" cap="rnd">
              <a:solidFill>
                <a:schemeClr val="tx1"/>
              </a:solidFill>
              <a:round/>
            </a:ln>
            <a:effectLst/>
          </c:spPr>
          <c:marker>
            <c:symbol val="none"/>
          </c:marker>
          <c:cat>
            <c:numRef>
              <c:f>'Currency Chart'!$O$6:$O$291</c:f>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f>'Currency Chart'!$R$6:$R$291</c:f>
              <c:numCache>
                <c:formatCode>0</c:formatCode>
                <c:ptCount val="286"/>
                <c:pt idx="0" formatCode="General">
                  <c:v>100</c:v>
                </c:pt>
                <c:pt idx="1">
                  <c:v>100.48130628456373</c:v>
                </c:pt>
                <c:pt idx="2">
                  <c:v>100.6054253837349</c:v>
                </c:pt>
                <c:pt idx="3">
                  <c:v>100.72954448290606</c:v>
                </c:pt>
                <c:pt idx="4">
                  <c:v>100.48130628456373</c:v>
                </c:pt>
                <c:pt idx="5">
                  <c:v>100.37925280302299</c:v>
                </c:pt>
                <c:pt idx="6">
                  <c:v>100.6054253837349</c:v>
                </c:pt>
                <c:pt idx="7">
                  <c:v>100.64679841679195</c:v>
                </c:pt>
                <c:pt idx="8">
                  <c:v>100.77091751596309</c:v>
                </c:pt>
                <c:pt idx="9">
                  <c:v>101.00536470328639</c:v>
                </c:pt>
                <c:pt idx="10">
                  <c:v>100.92261863717231</c:v>
                </c:pt>
                <c:pt idx="11">
                  <c:v>101.15706582449559</c:v>
                </c:pt>
                <c:pt idx="12">
                  <c:v>101.04673773634346</c:v>
                </c:pt>
                <c:pt idx="13">
                  <c:v>102.27689591923985</c:v>
                </c:pt>
                <c:pt idx="14">
                  <c:v>102.19139165092193</c:v>
                </c:pt>
                <c:pt idx="15">
                  <c:v>102.232764683979</c:v>
                </c:pt>
                <c:pt idx="16">
                  <c:v>102.50858490435937</c:v>
                </c:pt>
                <c:pt idx="17">
                  <c:v>102.24655569499804</c:v>
                </c:pt>
                <c:pt idx="18">
                  <c:v>102.30171973907412</c:v>
                </c:pt>
                <c:pt idx="19">
                  <c:v>102.34309277213114</c:v>
                </c:pt>
                <c:pt idx="20">
                  <c:v>102.42583883824524</c:v>
                </c:pt>
                <c:pt idx="21">
                  <c:v>102.45342086028329</c:v>
                </c:pt>
                <c:pt idx="22">
                  <c:v>102.54995793741639</c:v>
                </c:pt>
                <c:pt idx="23">
                  <c:v>102.82577815779676</c:v>
                </c:pt>
                <c:pt idx="24">
                  <c:v>102.75958130490547</c:v>
                </c:pt>
                <c:pt idx="25">
                  <c:v>102.45066265807947</c:v>
                </c:pt>
                <c:pt idx="26">
                  <c:v>102.85611838203857</c:v>
                </c:pt>
                <c:pt idx="27">
                  <c:v>103.14297141123417</c:v>
                </c:pt>
                <c:pt idx="28">
                  <c:v>103.06022534512006</c:v>
                </c:pt>
                <c:pt idx="29">
                  <c:v>102.72234557515411</c:v>
                </c:pt>
                <c:pt idx="30">
                  <c:v>102.78440512473969</c:v>
                </c:pt>
                <c:pt idx="31">
                  <c:v>102.8671511908538</c:v>
                </c:pt>
                <c:pt idx="32">
                  <c:v>102.68786804760656</c:v>
                </c:pt>
                <c:pt idx="33">
                  <c:v>102.7981961357587</c:v>
                </c:pt>
                <c:pt idx="34">
                  <c:v>102.88921680848419</c:v>
                </c:pt>
                <c:pt idx="35">
                  <c:v>103.22709657845014</c:v>
                </c:pt>
                <c:pt idx="36">
                  <c:v>102.78440512473968</c:v>
                </c:pt>
                <c:pt idx="37">
                  <c:v>102.723724676256</c:v>
                </c:pt>
                <c:pt idx="38">
                  <c:v>102.67407703658753</c:v>
                </c:pt>
                <c:pt idx="39">
                  <c:v>102.63959950903998</c:v>
                </c:pt>
                <c:pt idx="40">
                  <c:v>102.50858490435932</c:v>
                </c:pt>
                <c:pt idx="41">
                  <c:v>102.74027388947884</c:v>
                </c:pt>
                <c:pt idx="42">
                  <c:v>102.72924108066361</c:v>
                </c:pt>
                <c:pt idx="43">
                  <c:v>102.39136131069769</c:v>
                </c:pt>
                <c:pt idx="44">
                  <c:v>102.51823861207265</c:v>
                </c:pt>
                <c:pt idx="45">
                  <c:v>102.54168333080497</c:v>
                </c:pt>
                <c:pt idx="46">
                  <c:v>102.39687771510528</c:v>
                </c:pt>
                <c:pt idx="47">
                  <c:v>102.25896760491511</c:v>
                </c:pt>
                <c:pt idx="48">
                  <c:v>102.18863344871812</c:v>
                </c:pt>
                <c:pt idx="49">
                  <c:v>102.38446580518816</c:v>
                </c:pt>
                <c:pt idx="50">
                  <c:v>102.71545006964459</c:v>
                </c:pt>
                <c:pt idx="51">
                  <c:v>102.6464950145495</c:v>
                </c:pt>
                <c:pt idx="52">
                  <c:v>102.40239411951288</c:v>
                </c:pt>
                <c:pt idx="53">
                  <c:v>102.48100288232128</c:v>
                </c:pt>
                <c:pt idx="54">
                  <c:v>102.38308670408625</c:v>
                </c:pt>
                <c:pt idx="55">
                  <c:v>102.274137717036</c:v>
                </c:pt>
                <c:pt idx="56">
                  <c:v>102.56374894843538</c:v>
                </c:pt>
                <c:pt idx="57">
                  <c:v>102.43962984926421</c:v>
                </c:pt>
                <c:pt idx="58">
                  <c:v>102.56374894843536</c:v>
                </c:pt>
                <c:pt idx="59">
                  <c:v>102.5320296230916</c:v>
                </c:pt>
                <c:pt idx="60">
                  <c:v>102.21897367295992</c:v>
                </c:pt>
                <c:pt idx="61">
                  <c:v>102.23690198728463</c:v>
                </c:pt>
                <c:pt idx="62">
                  <c:v>102.20518266194088</c:v>
                </c:pt>
                <c:pt idx="63">
                  <c:v>102.26034670601697</c:v>
                </c:pt>
                <c:pt idx="64">
                  <c:v>101.32255795672376</c:v>
                </c:pt>
                <c:pt idx="65">
                  <c:v>101.07707796058524</c:v>
                </c:pt>
                <c:pt idx="66">
                  <c:v>100.60128808042913</c:v>
                </c:pt>
                <c:pt idx="67">
                  <c:v>100.66058942781089</c:v>
                </c:pt>
                <c:pt idx="68">
                  <c:v>100.66472673111659</c:v>
                </c:pt>
                <c:pt idx="69">
                  <c:v>100.64955661899567</c:v>
                </c:pt>
                <c:pt idx="70">
                  <c:v>100.77505481926873</c:v>
                </c:pt>
                <c:pt idx="71">
                  <c:v>101.28118492366669</c:v>
                </c:pt>
                <c:pt idx="72">
                  <c:v>101.73490918619238</c:v>
                </c:pt>
                <c:pt idx="73">
                  <c:v>101.39151301181883</c:v>
                </c:pt>
                <c:pt idx="74">
                  <c:v>101.38737570851312</c:v>
                </c:pt>
                <c:pt idx="75">
                  <c:v>101.4466770558949</c:v>
                </c:pt>
                <c:pt idx="76">
                  <c:v>101.55700514404703</c:v>
                </c:pt>
                <c:pt idx="77">
                  <c:v>101.28118492366666</c:v>
                </c:pt>
                <c:pt idx="78">
                  <c:v>101.46046806691388</c:v>
                </c:pt>
                <c:pt idx="79">
                  <c:v>101.55700514404701</c:v>
                </c:pt>
                <c:pt idx="80">
                  <c:v>101.56527975065841</c:v>
                </c:pt>
                <c:pt idx="81">
                  <c:v>101.69491525423716</c:v>
                </c:pt>
                <c:pt idx="82">
                  <c:v>101.77766132035126</c:v>
                </c:pt>
                <c:pt idx="83">
                  <c:v>101.77766132035126</c:v>
                </c:pt>
                <c:pt idx="84">
                  <c:v>101.79558963467599</c:v>
                </c:pt>
                <c:pt idx="85">
                  <c:v>101.80524334238929</c:v>
                </c:pt>
                <c:pt idx="86">
                  <c:v>102.31551075009295</c:v>
                </c:pt>
                <c:pt idx="87">
                  <c:v>102.43411344485649</c:v>
                </c:pt>
                <c:pt idx="88">
                  <c:v>102.2796541214435</c:v>
                </c:pt>
                <c:pt idx="89">
                  <c:v>102.23345423452979</c:v>
                </c:pt>
                <c:pt idx="90">
                  <c:v>102.83681096661182</c:v>
                </c:pt>
                <c:pt idx="91">
                  <c:v>102.79819613575859</c:v>
                </c:pt>
                <c:pt idx="92">
                  <c:v>103.09884017597317</c:v>
                </c:pt>
                <c:pt idx="93">
                  <c:v>103.1643474783135</c:v>
                </c:pt>
                <c:pt idx="94">
                  <c:v>103.58676614582603</c:v>
                </c:pt>
                <c:pt idx="95">
                  <c:v>103.96077836466178</c:v>
                </c:pt>
                <c:pt idx="96">
                  <c:v>104.07800195832343</c:v>
                </c:pt>
                <c:pt idx="97">
                  <c:v>103.82810883865882</c:v>
                </c:pt>
                <c:pt idx="98">
                  <c:v>103.39879466563679</c:v>
                </c:pt>
                <c:pt idx="99">
                  <c:v>103.4505109569581</c:v>
                </c:pt>
                <c:pt idx="100">
                  <c:v>103.69530140254567</c:v>
                </c:pt>
                <c:pt idx="101">
                  <c:v>103.5711823033745</c:v>
                </c:pt>
                <c:pt idx="102">
                  <c:v>103.14366096178495</c:v>
                </c:pt>
                <c:pt idx="103">
                  <c:v>103.25233412861481</c:v>
                </c:pt>
                <c:pt idx="104">
                  <c:v>103.42430803602196</c:v>
                </c:pt>
                <c:pt idx="105">
                  <c:v>103.45602736136568</c:v>
                </c:pt>
                <c:pt idx="106">
                  <c:v>103.34569927321355</c:v>
                </c:pt>
                <c:pt idx="107">
                  <c:v>103.52084511315506</c:v>
                </c:pt>
                <c:pt idx="108">
                  <c:v>103.13331770352067</c:v>
                </c:pt>
                <c:pt idx="109">
                  <c:v>103.31604859952265</c:v>
                </c:pt>
                <c:pt idx="110">
                  <c:v>103.20089365751384</c:v>
                </c:pt>
                <c:pt idx="111">
                  <c:v>103.0050613010438</c:v>
                </c:pt>
                <c:pt idx="112">
                  <c:v>102.66993973328167</c:v>
                </c:pt>
                <c:pt idx="113">
                  <c:v>102.80233343906424</c:v>
                </c:pt>
                <c:pt idx="114">
                  <c:v>102.29385886279304</c:v>
                </c:pt>
                <c:pt idx="115">
                  <c:v>101.92150156527957</c:v>
                </c:pt>
                <c:pt idx="116">
                  <c:v>102.28792872805485</c:v>
                </c:pt>
                <c:pt idx="117">
                  <c:v>102.60236377928844</c:v>
                </c:pt>
                <c:pt idx="118">
                  <c:v>102.46100591634352</c:v>
                </c:pt>
                <c:pt idx="119">
                  <c:v>102.52513411758196</c:v>
                </c:pt>
                <c:pt idx="120">
                  <c:v>102.57064445394471</c:v>
                </c:pt>
                <c:pt idx="121">
                  <c:v>102.67683523879114</c:v>
                </c:pt>
                <c:pt idx="122">
                  <c:v>102.38170760298416</c:v>
                </c:pt>
                <c:pt idx="123">
                  <c:v>102.27413771703581</c:v>
                </c:pt>
                <c:pt idx="124">
                  <c:v>102.51272220766484</c:v>
                </c:pt>
                <c:pt idx="125">
                  <c:v>102.64373681234551</c:v>
                </c:pt>
                <c:pt idx="126">
                  <c:v>102.64649501454932</c:v>
                </c:pt>
                <c:pt idx="127">
                  <c:v>102.88783770738213</c:v>
                </c:pt>
                <c:pt idx="128">
                  <c:v>102.70855456413489</c:v>
                </c:pt>
                <c:pt idx="129">
                  <c:v>103.4877466867094</c:v>
                </c:pt>
                <c:pt idx="130">
                  <c:v>103.47809297899609</c:v>
                </c:pt>
                <c:pt idx="131">
                  <c:v>103.5567017418045</c:v>
                </c:pt>
                <c:pt idx="132">
                  <c:v>103.43851277737151</c:v>
                </c:pt>
                <c:pt idx="133">
                  <c:v>103.39355408144951</c:v>
                </c:pt>
                <c:pt idx="134">
                  <c:v>103.7419150197899</c:v>
                </c:pt>
                <c:pt idx="135">
                  <c:v>103.97043207237503</c:v>
                </c:pt>
                <c:pt idx="136">
                  <c:v>103.97181117347694</c:v>
                </c:pt>
                <c:pt idx="137">
                  <c:v>103.92630083711418</c:v>
                </c:pt>
                <c:pt idx="138">
                  <c:v>104.23659858504207</c:v>
                </c:pt>
                <c:pt idx="139">
                  <c:v>104.38692060514936</c:v>
                </c:pt>
                <c:pt idx="140">
                  <c:v>104.4806994800787</c:v>
                </c:pt>
                <c:pt idx="141">
                  <c:v>104.86684778861121</c:v>
                </c:pt>
                <c:pt idx="142">
                  <c:v>105.28057811918173</c:v>
                </c:pt>
                <c:pt idx="143">
                  <c:v>105.0268235164318</c:v>
                </c:pt>
                <c:pt idx="144">
                  <c:v>104.79168677855755</c:v>
                </c:pt>
                <c:pt idx="145">
                  <c:v>104.42553543600262</c:v>
                </c:pt>
                <c:pt idx="146">
                  <c:v>104.38416240294556</c:v>
                </c:pt>
                <c:pt idx="147">
                  <c:v>104.03938712747012</c:v>
                </c:pt>
                <c:pt idx="148">
                  <c:v>103.46016466467138</c:v>
                </c:pt>
                <c:pt idx="149">
                  <c:v>103.3981051150858</c:v>
                </c:pt>
                <c:pt idx="150">
                  <c:v>103.37741859855727</c:v>
                </c:pt>
                <c:pt idx="151">
                  <c:v>103.01885231206282</c:v>
                </c:pt>
                <c:pt idx="152">
                  <c:v>102.82577815779656</c:v>
                </c:pt>
                <c:pt idx="153">
                  <c:v>102.60512198149229</c:v>
                </c:pt>
                <c:pt idx="154">
                  <c:v>102.6975217553197</c:v>
                </c:pt>
                <c:pt idx="155">
                  <c:v>102.56788625174094</c:v>
                </c:pt>
                <c:pt idx="156">
                  <c:v>102.74441119278436</c:v>
                </c:pt>
                <c:pt idx="157">
                  <c:v>102.43962984926405</c:v>
                </c:pt>
                <c:pt idx="158">
                  <c:v>102.57753995945421</c:v>
                </c:pt>
                <c:pt idx="159">
                  <c:v>102.42721793934693</c:v>
                </c:pt>
                <c:pt idx="160">
                  <c:v>102.08106356276959</c:v>
                </c:pt>
                <c:pt idx="161">
                  <c:v>101.76455985988312</c:v>
                </c:pt>
                <c:pt idx="162">
                  <c:v>101.74414916357497</c:v>
                </c:pt>
                <c:pt idx="163">
                  <c:v>101.9921115416969</c:v>
                </c:pt>
                <c:pt idx="164">
                  <c:v>102.26172580711869</c:v>
                </c:pt>
                <c:pt idx="165">
                  <c:v>102.38170760298414</c:v>
                </c:pt>
                <c:pt idx="166">
                  <c:v>102.82577815779651</c:v>
                </c:pt>
                <c:pt idx="167">
                  <c:v>102.64373681234547</c:v>
                </c:pt>
                <c:pt idx="168">
                  <c:v>102.66842272206949</c:v>
                </c:pt>
                <c:pt idx="169">
                  <c:v>102.5812635324293</c:v>
                </c:pt>
                <c:pt idx="170">
                  <c:v>102.90204244873168</c:v>
                </c:pt>
                <c:pt idx="171">
                  <c:v>103.11607893974683</c:v>
                </c:pt>
                <c:pt idx="172">
                  <c:v>103.25881590379366</c:v>
                </c:pt>
                <c:pt idx="173">
                  <c:v>103.69185364979083</c:v>
                </c:pt>
                <c:pt idx="174">
                  <c:v>103.47988581042853</c:v>
                </c:pt>
                <c:pt idx="175">
                  <c:v>102.78288811352736</c:v>
                </c:pt>
                <c:pt idx="176">
                  <c:v>103.05195073850841</c:v>
                </c:pt>
                <c:pt idx="177">
                  <c:v>103.15110810773515</c:v>
                </c:pt>
                <c:pt idx="178">
                  <c:v>102.93472714484675</c:v>
                </c:pt>
                <c:pt idx="179">
                  <c:v>102.93610624594865</c:v>
                </c:pt>
                <c:pt idx="180">
                  <c:v>102.92024658327679</c:v>
                </c:pt>
                <c:pt idx="181">
                  <c:v>103.00506130104374</c:v>
                </c:pt>
                <c:pt idx="182">
                  <c:v>103.12642219801111</c:v>
                </c:pt>
                <c:pt idx="183">
                  <c:v>103.53463612417404</c:v>
                </c:pt>
                <c:pt idx="184">
                  <c:v>103.8722400739196</c:v>
                </c:pt>
                <c:pt idx="185">
                  <c:v>104.34030698790507</c:v>
                </c:pt>
                <c:pt idx="186">
                  <c:v>103.63834452703706</c:v>
                </c:pt>
                <c:pt idx="187">
                  <c:v>103.46319868709554</c:v>
                </c:pt>
                <c:pt idx="188">
                  <c:v>103.57049275282348</c:v>
                </c:pt>
                <c:pt idx="189">
                  <c:v>102.97761718911593</c:v>
                </c:pt>
                <c:pt idx="190">
                  <c:v>102.73586076595254</c:v>
                </c:pt>
                <c:pt idx="191">
                  <c:v>102.90852422391065</c:v>
                </c:pt>
                <c:pt idx="192">
                  <c:v>102.92231523492966</c:v>
                </c:pt>
                <c:pt idx="193">
                  <c:v>104.26004330377438</c:v>
                </c:pt>
                <c:pt idx="194">
                  <c:v>103.51532870874743</c:v>
                </c:pt>
                <c:pt idx="195">
                  <c:v>104.11247948587089</c:v>
                </c:pt>
                <c:pt idx="196">
                  <c:v>104.47008040159405</c:v>
                </c:pt>
                <c:pt idx="197">
                  <c:v>104.27521341589532</c:v>
                </c:pt>
                <c:pt idx="198">
                  <c:v>104.73307498172672</c:v>
                </c:pt>
                <c:pt idx="199">
                  <c:v>105.37711519631485</c:v>
                </c:pt>
                <c:pt idx="200">
                  <c:v>106.13562080236083</c:v>
                </c:pt>
                <c:pt idx="201">
                  <c:v>106.03908372522773</c:v>
                </c:pt>
                <c:pt idx="202">
                  <c:v>105.30126463571028</c:v>
                </c:pt>
                <c:pt idx="203">
                  <c:v>105.21162306408667</c:v>
                </c:pt>
                <c:pt idx="204">
                  <c:v>105.47778957675371</c:v>
                </c:pt>
                <c:pt idx="205">
                  <c:v>105.40469721835292</c:v>
                </c:pt>
                <c:pt idx="206">
                  <c:v>105.37711519631488</c:v>
                </c:pt>
                <c:pt idx="207">
                  <c:v>105.07371295389648</c:v>
                </c:pt>
                <c:pt idx="208">
                  <c:v>104.6903228475678</c:v>
                </c:pt>
                <c:pt idx="209">
                  <c:v>104.88063879963025</c:v>
                </c:pt>
                <c:pt idx="210">
                  <c:v>105.19783205306767</c:v>
                </c:pt>
                <c:pt idx="211">
                  <c:v>104.99234598888431</c:v>
                </c:pt>
                <c:pt idx="212">
                  <c:v>105.5288163175241</c:v>
                </c:pt>
                <c:pt idx="213">
                  <c:v>105.22541407510572</c:v>
                </c:pt>
                <c:pt idx="214">
                  <c:v>105.19783205306769</c:v>
                </c:pt>
                <c:pt idx="215">
                  <c:v>104.92201183268732</c:v>
                </c:pt>
                <c:pt idx="216">
                  <c:v>104.31534525796073</c:v>
                </c:pt>
                <c:pt idx="217">
                  <c:v>104.53738053536692</c:v>
                </c:pt>
                <c:pt idx="218">
                  <c:v>104.67570437588765</c:v>
                </c:pt>
                <c:pt idx="219">
                  <c:v>104.77458592489401</c:v>
                </c:pt>
                <c:pt idx="220">
                  <c:v>104.02435492545945</c:v>
                </c:pt>
                <c:pt idx="221">
                  <c:v>104.04366234088607</c:v>
                </c:pt>
                <c:pt idx="222">
                  <c:v>104.7132159258594</c:v>
                </c:pt>
                <c:pt idx="223">
                  <c:v>104.66149963453807</c:v>
                </c:pt>
                <c:pt idx="224">
                  <c:v>104.72631738632747</c:v>
                </c:pt>
                <c:pt idx="225">
                  <c:v>104.54965453517384</c:v>
                </c:pt>
                <c:pt idx="226">
                  <c:v>104.88808594558054</c:v>
                </c:pt>
                <c:pt idx="227">
                  <c:v>104.94324998965661</c:v>
                </c:pt>
                <c:pt idx="228">
                  <c:v>105.17769717697992</c:v>
                </c:pt>
                <c:pt idx="229">
                  <c:v>105.232861221056</c:v>
                </c:pt>
                <c:pt idx="230">
                  <c:v>105.1723186826825</c:v>
                </c:pt>
                <c:pt idx="231">
                  <c:v>105.40469721835296</c:v>
                </c:pt>
                <c:pt idx="232">
                  <c:v>105.14390919998333</c:v>
                </c:pt>
                <c:pt idx="233">
                  <c:v>105.14335755954257</c:v>
                </c:pt>
                <c:pt idx="234">
                  <c:v>105.44607025141001</c:v>
                </c:pt>
                <c:pt idx="235">
                  <c:v>105.80463653790447</c:v>
                </c:pt>
                <c:pt idx="236">
                  <c:v>105.72189047179036</c:v>
                </c:pt>
                <c:pt idx="237">
                  <c:v>105.64603991118578</c:v>
                </c:pt>
                <c:pt idx="238">
                  <c:v>105.72189047179036</c:v>
                </c:pt>
                <c:pt idx="239">
                  <c:v>105.5288163175241</c:v>
                </c:pt>
                <c:pt idx="240">
                  <c:v>105.45986126242902</c:v>
                </c:pt>
                <c:pt idx="241">
                  <c:v>105.44607025140999</c:v>
                </c:pt>
                <c:pt idx="242">
                  <c:v>105.16611272772394</c:v>
                </c:pt>
                <c:pt idx="243">
                  <c:v>105.49020148667086</c:v>
                </c:pt>
                <c:pt idx="244">
                  <c:v>106.13051812828384</c:v>
                </c:pt>
                <c:pt idx="245">
                  <c:v>106.67347023210257</c:v>
                </c:pt>
                <c:pt idx="246">
                  <c:v>106.46977699935168</c:v>
                </c:pt>
                <c:pt idx="247">
                  <c:v>106.75621629821669</c:v>
                </c:pt>
                <c:pt idx="248">
                  <c:v>106.77000730923571</c:v>
                </c:pt>
                <c:pt idx="249">
                  <c:v>106.83896236433078</c:v>
                </c:pt>
                <c:pt idx="250">
                  <c:v>107.30854628952835</c:v>
                </c:pt>
                <c:pt idx="251">
                  <c:v>106.81648301636979</c:v>
                </c:pt>
                <c:pt idx="252">
                  <c:v>107.29406572795837</c:v>
                </c:pt>
                <c:pt idx="253">
                  <c:v>106.74242528719766</c:v>
                </c:pt>
                <c:pt idx="254">
                  <c:v>107.36302078305344</c:v>
                </c:pt>
                <c:pt idx="255">
                  <c:v>106.90336638578958</c:v>
                </c:pt>
                <c:pt idx="256">
                  <c:v>106.82517135331173</c:v>
                </c:pt>
                <c:pt idx="257">
                  <c:v>106.89164402642341</c:v>
                </c:pt>
                <c:pt idx="258">
                  <c:v>107.03700128256385</c:v>
                </c:pt>
                <c:pt idx="259">
                  <c:v>107.01217746272961</c:v>
                </c:pt>
                <c:pt idx="260">
                  <c:v>106.93108631793778</c:v>
                </c:pt>
              </c:numCache>
            </c:numRef>
          </c:val>
          <c:smooth val="0"/>
          <c:extLst xmlns:c16r2="http://schemas.microsoft.com/office/drawing/2015/06/chart">
            <c:ext xmlns:c16="http://schemas.microsoft.com/office/drawing/2014/chart" uri="{C3380CC4-5D6E-409C-BE32-E72D297353CC}">
              <c16:uniqueId val="{00000000-655B-4703-B4C3-57C8BE6FA31A}"/>
            </c:ext>
          </c:extLst>
        </c:ser>
        <c:ser>
          <c:idx val="10"/>
          <c:order val="10"/>
          <c:tx>
            <c:strRef>
              <c:f>'Currency Chart'!$Z$5</c:f>
              <c:strCache>
                <c:ptCount val="1"/>
                <c:pt idx="0">
                  <c:v>USD Index</c:v>
                </c:pt>
              </c:strCache>
            </c:strRef>
          </c:tx>
          <c:spPr>
            <a:ln w="28575" cap="rnd">
              <a:solidFill>
                <a:schemeClr val="accent5">
                  <a:lumMod val="60000"/>
                </a:schemeClr>
              </a:solidFill>
              <a:round/>
            </a:ln>
            <a:effectLst/>
          </c:spPr>
          <c:marker>
            <c:symbol val="none"/>
          </c:marker>
          <c:cat>
            <c:numRef>
              <c:f>'Currency Chart'!$O$6:$O$291</c:f>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f>'Currency Chart'!$Z$6:$Z$291</c:f>
              <c:numCache>
                <c:formatCode>0</c:formatCode>
                <c:ptCount val="286"/>
                <c:pt idx="0" formatCode="General">
                  <c:v>100</c:v>
                </c:pt>
                <c:pt idx="1">
                  <c:v>99.777854294631851</c:v>
                </c:pt>
                <c:pt idx="2">
                  <c:v>99.864491119725443</c:v>
                </c:pt>
                <c:pt idx="3">
                  <c:v>100.53426042141041</c:v>
                </c:pt>
                <c:pt idx="4">
                  <c:v>100.11662649531829</c:v>
                </c:pt>
                <c:pt idx="5">
                  <c:v>99.910030989325904</c:v>
                </c:pt>
                <c:pt idx="6">
                  <c:v>100.04998278370783</c:v>
                </c:pt>
                <c:pt idx="7">
                  <c:v>100.09885483888883</c:v>
                </c:pt>
                <c:pt idx="8">
                  <c:v>100.04887205518099</c:v>
                </c:pt>
                <c:pt idx="9">
                  <c:v>100.58202174806456</c:v>
                </c:pt>
                <c:pt idx="10">
                  <c:v>100.54536770667882</c:v>
                </c:pt>
                <c:pt idx="11">
                  <c:v>100.56091790605457</c:v>
                </c:pt>
                <c:pt idx="12">
                  <c:v>101.21957992247114</c:v>
                </c:pt>
                <c:pt idx="13">
                  <c:v>102.06373360287009</c:v>
                </c:pt>
                <c:pt idx="14">
                  <c:v>102.43693838788857</c:v>
                </c:pt>
                <c:pt idx="15">
                  <c:v>102.0748408881385</c:v>
                </c:pt>
                <c:pt idx="16">
                  <c:v>101.91600670880027</c:v>
                </c:pt>
                <c:pt idx="17">
                  <c:v>101.96710022103494</c:v>
                </c:pt>
                <c:pt idx="18">
                  <c:v>101.98042896335701</c:v>
                </c:pt>
                <c:pt idx="19">
                  <c:v>102.02152591885014</c:v>
                </c:pt>
                <c:pt idx="20">
                  <c:v>102.06151214581642</c:v>
                </c:pt>
                <c:pt idx="21">
                  <c:v>102.24145016716463</c:v>
                </c:pt>
                <c:pt idx="22">
                  <c:v>102.671302107052</c:v>
                </c:pt>
                <c:pt idx="23">
                  <c:v>102.85012939987335</c:v>
                </c:pt>
                <c:pt idx="24">
                  <c:v>102.43804911641544</c:v>
                </c:pt>
                <c:pt idx="25">
                  <c:v>102.42249891703968</c:v>
                </c:pt>
                <c:pt idx="26">
                  <c:v>102.79348224500448</c:v>
                </c:pt>
                <c:pt idx="27">
                  <c:v>102.90233364063486</c:v>
                </c:pt>
                <c:pt idx="28">
                  <c:v>102.65019826504201</c:v>
                </c:pt>
                <c:pt idx="29">
                  <c:v>102.3314191778387</c:v>
                </c:pt>
                <c:pt idx="30">
                  <c:v>102.47692461485484</c:v>
                </c:pt>
                <c:pt idx="31">
                  <c:v>103.02229232153366</c:v>
                </c:pt>
                <c:pt idx="32">
                  <c:v>102.64242316535412</c:v>
                </c:pt>
                <c:pt idx="33">
                  <c:v>102.88011907009803</c:v>
                </c:pt>
                <c:pt idx="34">
                  <c:v>102.95009496728902</c:v>
                </c:pt>
                <c:pt idx="35">
                  <c:v>103.17668358676455</c:v>
                </c:pt>
                <c:pt idx="36">
                  <c:v>103.2677633259655</c:v>
                </c:pt>
                <c:pt idx="37">
                  <c:v>103.02451377858739</c:v>
                </c:pt>
                <c:pt idx="38">
                  <c:v>103.10004331841256</c:v>
                </c:pt>
                <c:pt idx="39">
                  <c:v>103.20000888582823</c:v>
                </c:pt>
                <c:pt idx="40">
                  <c:v>102.9078872832691</c:v>
                </c:pt>
                <c:pt idx="41">
                  <c:v>102.66685919294467</c:v>
                </c:pt>
                <c:pt idx="42">
                  <c:v>102.54467905499219</c:v>
                </c:pt>
                <c:pt idx="43">
                  <c:v>102.03596538969913</c:v>
                </c:pt>
                <c:pt idx="44">
                  <c:v>102.38029123301978</c:v>
                </c:pt>
                <c:pt idx="45">
                  <c:v>102.24033943863783</c:v>
                </c:pt>
                <c:pt idx="46">
                  <c:v>102.27699348002359</c:v>
                </c:pt>
                <c:pt idx="47">
                  <c:v>102.48692117159649</c:v>
                </c:pt>
                <c:pt idx="48">
                  <c:v>102.45804222989864</c:v>
                </c:pt>
                <c:pt idx="49">
                  <c:v>103.07560729082209</c:v>
                </c:pt>
                <c:pt idx="50">
                  <c:v>103.236662927214</c:v>
                </c:pt>
                <c:pt idx="51">
                  <c:v>103.3588430651665</c:v>
                </c:pt>
                <c:pt idx="52">
                  <c:v>103.21111617109666</c:v>
                </c:pt>
                <c:pt idx="53">
                  <c:v>103.33662849462966</c:v>
                </c:pt>
                <c:pt idx="54">
                  <c:v>102.76238184625299</c:v>
                </c:pt>
                <c:pt idx="55">
                  <c:v>102.88456198420548</c:v>
                </c:pt>
                <c:pt idx="56">
                  <c:v>103.44214770467951</c:v>
                </c:pt>
                <c:pt idx="57">
                  <c:v>103.44881207584055</c:v>
                </c:pt>
                <c:pt idx="58">
                  <c:v>103.92864679943575</c:v>
                </c:pt>
                <c:pt idx="59">
                  <c:v>103.84867434550323</c:v>
                </c:pt>
                <c:pt idx="60">
                  <c:v>103.2511023980629</c:v>
                </c:pt>
                <c:pt idx="61">
                  <c:v>103.17890504381825</c:v>
                </c:pt>
                <c:pt idx="62">
                  <c:v>103.10337550399308</c:v>
                </c:pt>
                <c:pt idx="63">
                  <c:v>103.36661816485434</c:v>
                </c:pt>
                <c:pt idx="64">
                  <c:v>102.94898423876224</c:v>
                </c:pt>
                <c:pt idx="65">
                  <c:v>102.91233019737649</c:v>
                </c:pt>
                <c:pt idx="66">
                  <c:v>102.8823405271518</c:v>
                </c:pt>
                <c:pt idx="67">
                  <c:v>102.68574157790097</c:v>
                </c:pt>
                <c:pt idx="68">
                  <c:v>102.43693838788863</c:v>
                </c:pt>
                <c:pt idx="69">
                  <c:v>102.22589996778889</c:v>
                </c:pt>
                <c:pt idx="70">
                  <c:v>102.22589996778889</c:v>
                </c:pt>
                <c:pt idx="71">
                  <c:v>102.75571747509194</c:v>
                </c:pt>
                <c:pt idx="72">
                  <c:v>102.91233019737649</c:v>
                </c:pt>
                <c:pt idx="73">
                  <c:v>102.71906343370618</c:v>
                </c:pt>
                <c:pt idx="74">
                  <c:v>102.83346847197078</c:v>
                </c:pt>
                <c:pt idx="75">
                  <c:v>102.93676622496697</c:v>
                </c:pt>
                <c:pt idx="76">
                  <c:v>102.87900834157126</c:v>
                </c:pt>
                <c:pt idx="77">
                  <c:v>102.7957037020582</c:v>
                </c:pt>
                <c:pt idx="78">
                  <c:v>103.22222345636506</c:v>
                </c:pt>
                <c:pt idx="79">
                  <c:v>103.51434505892416</c:v>
                </c:pt>
                <c:pt idx="80">
                  <c:v>103.60431406959826</c:v>
                </c:pt>
                <c:pt idx="81">
                  <c:v>103.52434161566572</c:v>
                </c:pt>
                <c:pt idx="82">
                  <c:v>103.81090957559066</c:v>
                </c:pt>
                <c:pt idx="83">
                  <c:v>103.33440703757597</c:v>
                </c:pt>
                <c:pt idx="84">
                  <c:v>103.66096122446716</c:v>
                </c:pt>
                <c:pt idx="85">
                  <c:v>103.72316202197023</c:v>
                </c:pt>
                <c:pt idx="86">
                  <c:v>104.14857104775024</c:v>
                </c:pt>
                <c:pt idx="87">
                  <c:v>104.78390776510315</c:v>
                </c:pt>
                <c:pt idx="88">
                  <c:v>104.66394908420436</c:v>
                </c:pt>
                <c:pt idx="89">
                  <c:v>104.44735702147041</c:v>
                </c:pt>
                <c:pt idx="90">
                  <c:v>104.15967833301866</c:v>
                </c:pt>
                <c:pt idx="91">
                  <c:v>104.38071330985997</c:v>
                </c:pt>
                <c:pt idx="92">
                  <c:v>104.70393531117064</c:v>
                </c:pt>
                <c:pt idx="93">
                  <c:v>104.64950961335543</c:v>
                </c:pt>
                <c:pt idx="94">
                  <c:v>104.48290033432932</c:v>
                </c:pt>
                <c:pt idx="95">
                  <c:v>104.75947173751267</c:v>
                </c:pt>
                <c:pt idx="96">
                  <c:v>104.98161744288083</c:v>
                </c:pt>
                <c:pt idx="97">
                  <c:v>104.49733980517826</c:v>
                </c:pt>
                <c:pt idx="98">
                  <c:v>104.35960946785001</c:v>
                </c:pt>
                <c:pt idx="99">
                  <c:v>104.33850562584003</c:v>
                </c:pt>
                <c:pt idx="100">
                  <c:v>104.35627728226949</c:v>
                </c:pt>
                <c:pt idx="101">
                  <c:v>104.11302773489135</c:v>
                </c:pt>
                <c:pt idx="102">
                  <c:v>103.91753951416739</c:v>
                </c:pt>
                <c:pt idx="103">
                  <c:v>104.15301396185761</c:v>
                </c:pt>
                <c:pt idx="104">
                  <c:v>104.01084071042199</c:v>
                </c:pt>
                <c:pt idx="105">
                  <c:v>104.20077528851176</c:v>
                </c:pt>
                <c:pt idx="106">
                  <c:v>104.3518343681621</c:v>
                </c:pt>
                <c:pt idx="107">
                  <c:v>104.18855727471653</c:v>
                </c:pt>
                <c:pt idx="108">
                  <c:v>103.6809543379503</c:v>
                </c:pt>
                <c:pt idx="109">
                  <c:v>104.54510113183242</c:v>
                </c:pt>
                <c:pt idx="110">
                  <c:v>104.27408337128328</c:v>
                </c:pt>
                <c:pt idx="111">
                  <c:v>104.50844709044668</c:v>
                </c:pt>
                <c:pt idx="112">
                  <c:v>104.25742244338066</c:v>
                </c:pt>
                <c:pt idx="113">
                  <c:v>104.79390432184474</c:v>
                </c:pt>
                <c:pt idx="114">
                  <c:v>104.76391465162003</c:v>
                </c:pt>
                <c:pt idx="115">
                  <c:v>104.4629072208462</c:v>
                </c:pt>
                <c:pt idx="116">
                  <c:v>104.35849873932317</c:v>
                </c:pt>
                <c:pt idx="117">
                  <c:v>105.35260077084563</c:v>
                </c:pt>
                <c:pt idx="118">
                  <c:v>105.71691972764938</c:v>
                </c:pt>
                <c:pt idx="119">
                  <c:v>105.66138330130735</c:v>
                </c:pt>
                <c:pt idx="120">
                  <c:v>105.97127656029592</c:v>
                </c:pt>
                <c:pt idx="121">
                  <c:v>106.53552665193104</c:v>
                </c:pt>
                <c:pt idx="122">
                  <c:v>106.43889327009589</c:v>
                </c:pt>
                <c:pt idx="123">
                  <c:v>106.12344636847311</c:v>
                </c:pt>
                <c:pt idx="124">
                  <c:v>106.66437116104457</c:v>
                </c:pt>
                <c:pt idx="125">
                  <c:v>107.23861780942124</c:v>
                </c:pt>
                <c:pt idx="126">
                  <c:v>107.17530628339132</c:v>
                </c:pt>
                <c:pt idx="127">
                  <c:v>107.60182603769817</c:v>
                </c:pt>
                <c:pt idx="128">
                  <c:v>107.48964245648726</c:v>
                </c:pt>
                <c:pt idx="129">
                  <c:v>106.72879341560134</c:v>
                </c:pt>
                <c:pt idx="130">
                  <c:v>107.00869700436522</c:v>
                </c:pt>
                <c:pt idx="131">
                  <c:v>106.62327420555148</c:v>
                </c:pt>
                <c:pt idx="132">
                  <c:v>106.66103897546408</c:v>
                </c:pt>
                <c:pt idx="133">
                  <c:v>106.8032122268997</c:v>
                </c:pt>
                <c:pt idx="134">
                  <c:v>106.75989381435291</c:v>
                </c:pt>
                <c:pt idx="135">
                  <c:v>106.9942575335163</c:v>
                </c:pt>
                <c:pt idx="136">
                  <c:v>107.03979740311678</c:v>
                </c:pt>
                <c:pt idx="137">
                  <c:v>106.51220135286742</c:v>
                </c:pt>
                <c:pt idx="138">
                  <c:v>106.93094600748638</c:v>
                </c:pt>
                <c:pt idx="139">
                  <c:v>106.73767924381609</c:v>
                </c:pt>
                <c:pt idx="140">
                  <c:v>106.98203951972104</c:v>
                </c:pt>
                <c:pt idx="141">
                  <c:v>107.26416456553861</c:v>
                </c:pt>
                <c:pt idx="142">
                  <c:v>107.19752085392815</c:v>
                </c:pt>
                <c:pt idx="143">
                  <c:v>106.67658917483985</c:v>
                </c:pt>
                <c:pt idx="144">
                  <c:v>107.25750019437756</c:v>
                </c:pt>
                <c:pt idx="145">
                  <c:v>107.24194999500179</c:v>
                </c:pt>
                <c:pt idx="146">
                  <c:v>107.17530628339135</c:v>
                </c:pt>
                <c:pt idx="147">
                  <c:v>106.71435394475243</c:v>
                </c:pt>
                <c:pt idx="148">
                  <c:v>106.65104241872253</c:v>
                </c:pt>
                <c:pt idx="149">
                  <c:v>106.65104241872253</c:v>
                </c:pt>
                <c:pt idx="150">
                  <c:v>106.73323632970873</c:v>
                </c:pt>
                <c:pt idx="151">
                  <c:v>106.85430573913438</c:v>
                </c:pt>
                <c:pt idx="152">
                  <c:v>106.55107685130685</c:v>
                </c:pt>
                <c:pt idx="153">
                  <c:v>106.59439526385364</c:v>
                </c:pt>
                <c:pt idx="154">
                  <c:v>106.59439526385364</c:v>
                </c:pt>
                <c:pt idx="155">
                  <c:v>106.86652375292961</c:v>
                </c:pt>
                <c:pt idx="156">
                  <c:v>106.92094945074481</c:v>
                </c:pt>
                <c:pt idx="157">
                  <c:v>106.81987315480231</c:v>
                </c:pt>
                <c:pt idx="158">
                  <c:v>106.98537170530156</c:v>
                </c:pt>
                <c:pt idx="159">
                  <c:v>106.31782386067026</c:v>
                </c:pt>
                <c:pt idx="160">
                  <c:v>106.61994201997096</c:v>
                </c:pt>
                <c:pt idx="161">
                  <c:v>106.21230465062041</c:v>
                </c:pt>
                <c:pt idx="162">
                  <c:v>105.42479812509033</c:v>
                </c:pt>
                <c:pt idx="163">
                  <c:v>105.28595705923524</c:v>
                </c:pt>
                <c:pt idx="164">
                  <c:v>105.70248025680053</c:v>
                </c:pt>
                <c:pt idx="165">
                  <c:v>105.80577800979671</c:v>
                </c:pt>
                <c:pt idx="166">
                  <c:v>106.33226333151923</c:v>
                </c:pt>
                <c:pt idx="167">
                  <c:v>106.08568159856058</c:v>
                </c:pt>
                <c:pt idx="168">
                  <c:v>106.33559551709975</c:v>
                </c:pt>
                <c:pt idx="169">
                  <c:v>106.23229776410355</c:v>
                </c:pt>
                <c:pt idx="170">
                  <c:v>106.53885883751161</c:v>
                </c:pt>
                <c:pt idx="171">
                  <c:v>106.57218069331681</c:v>
                </c:pt>
                <c:pt idx="172">
                  <c:v>107.06312270218042</c:v>
                </c:pt>
                <c:pt idx="173">
                  <c:v>108.02390287789768</c:v>
                </c:pt>
                <c:pt idx="174">
                  <c:v>108.0405638058003</c:v>
                </c:pt>
                <c:pt idx="175">
                  <c:v>107.22973198120656</c:v>
                </c:pt>
                <c:pt idx="176">
                  <c:v>107.05756905954624</c:v>
                </c:pt>
                <c:pt idx="177">
                  <c:v>106.55885195099474</c:v>
                </c:pt>
                <c:pt idx="178">
                  <c:v>105.94017616154443</c:v>
                </c:pt>
                <c:pt idx="179">
                  <c:v>106.05791338538955</c:v>
                </c:pt>
                <c:pt idx="180">
                  <c:v>105.96239073208126</c:v>
                </c:pt>
                <c:pt idx="181">
                  <c:v>106.2334084926304</c:v>
                </c:pt>
                <c:pt idx="182">
                  <c:v>106.06790994213112</c:v>
                </c:pt>
                <c:pt idx="183">
                  <c:v>106.13344292521472</c:v>
                </c:pt>
                <c:pt idx="184">
                  <c:v>106.72101831591348</c:v>
                </c:pt>
                <c:pt idx="185">
                  <c:v>107.04535104575099</c:v>
                </c:pt>
                <c:pt idx="186">
                  <c:v>106.6177205629173</c:v>
                </c:pt>
                <c:pt idx="187">
                  <c:v>106.29783074718715</c:v>
                </c:pt>
                <c:pt idx="188">
                  <c:v>106.4077928713444</c:v>
                </c:pt>
                <c:pt idx="189">
                  <c:v>106.67769990336672</c:v>
                </c:pt>
                <c:pt idx="190">
                  <c:v>106.71657540180615</c:v>
                </c:pt>
                <c:pt idx="191">
                  <c:v>106.65770678988359</c:v>
                </c:pt>
                <c:pt idx="192">
                  <c:v>106.84097699681232</c:v>
                </c:pt>
                <c:pt idx="193">
                  <c:v>107.89283691173051</c:v>
                </c:pt>
                <c:pt idx="194">
                  <c:v>107.31303662071963</c:v>
                </c:pt>
                <c:pt idx="195">
                  <c:v>107.41522364518899</c:v>
                </c:pt>
                <c:pt idx="196">
                  <c:v>108.19495507103122</c:v>
                </c:pt>
                <c:pt idx="197">
                  <c:v>108.16829758638704</c:v>
                </c:pt>
                <c:pt idx="198">
                  <c:v>108.61258899712334</c:v>
                </c:pt>
                <c:pt idx="199">
                  <c:v>109.57114771578691</c:v>
                </c:pt>
                <c:pt idx="200">
                  <c:v>110.2875676155992</c:v>
                </c:pt>
                <c:pt idx="201">
                  <c:v>110.03098932589897</c:v>
                </c:pt>
                <c:pt idx="202">
                  <c:v>108.81585231753519</c:v>
                </c:pt>
                <c:pt idx="203">
                  <c:v>109.41453499350236</c:v>
                </c:pt>
                <c:pt idx="204">
                  <c:v>110.09985449456309</c:v>
                </c:pt>
                <c:pt idx="205">
                  <c:v>109.96101342870799</c:v>
                </c:pt>
                <c:pt idx="206">
                  <c:v>110.0698648243384</c:v>
                </c:pt>
                <c:pt idx="207">
                  <c:v>109.53782585998167</c:v>
                </c:pt>
                <c:pt idx="208">
                  <c:v>108.82251668869623</c:v>
                </c:pt>
                <c:pt idx="209">
                  <c:v>109.11019537714799</c:v>
                </c:pt>
                <c:pt idx="210">
                  <c:v>109.4045384367608</c:v>
                </c:pt>
                <c:pt idx="211">
                  <c:v>109.39898479412659</c:v>
                </c:pt>
                <c:pt idx="212">
                  <c:v>109.54226877408907</c:v>
                </c:pt>
                <c:pt idx="213">
                  <c:v>109.72776043807147</c:v>
                </c:pt>
                <c:pt idx="214">
                  <c:v>109.72776043807147</c:v>
                </c:pt>
                <c:pt idx="215">
                  <c:v>110.06320045317737</c:v>
                </c:pt>
                <c:pt idx="216">
                  <c:v>109.30012995523776</c:v>
                </c:pt>
                <c:pt idx="217">
                  <c:v>108.62036409681123</c:v>
                </c:pt>
                <c:pt idx="218">
                  <c:v>109.19794293076842</c:v>
                </c:pt>
                <c:pt idx="219">
                  <c:v>109.55337605935748</c:v>
                </c:pt>
                <c:pt idx="220">
                  <c:v>109.96212415723487</c:v>
                </c:pt>
                <c:pt idx="221">
                  <c:v>110.48638802190371</c:v>
                </c:pt>
                <c:pt idx="222">
                  <c:v>110.62745054481249</c:v>
                </c:pt>
                <c:pt idx="223">
                  <c:v>110.7962812808923</c:v>
                </c:pt>
                <c:pt idx="224">
                  <c:v>110.84626406460012</c:v>
                </c:pt>
                <c:pt idx="225">
                  <c:v>110.99732314425047</c:v>
                </c:pt>
                <c:pt idx="226">
                  <c:v>111.39718541391315</c:v>
                </c:pt>
                <c:pt idx="227">
                  <c:v>110.93401161822055</c:v>
                </c:pt>
                <c:pt idx="228">
                  <c:v>111.42939654119151</c:v>
                </c:pt>
                <c:pt idx="229">
                  <c:v>111.42939654119151</c:v>
                </c:pt>
                <c:pt idx="230">
                  <c:v>111.94033166353826</c:v>
                </c:pt>
                <c:pt idx="231">
                  <c:v>112.1402627983696</c:v>
                </c:pt>
                <c:pt idx="232">
                  <c:v>111.50603680954353</c:v>
                </c:pt>
                <c:pt idx="233">
                  <c:v>111.71485377258959</c:v>
                </c:pt>
                <c:pt idx="234">
                  <c:v>112.42794148682134</c:v>
                </c:pt>
                <c:pt idx="235">
                  <c:v>113.01884906310062</c:v>
                </c:pt>
                <c:pt idx="236">
                  <c:v>113.63086048138989</c:v>
                </c:pt>
                <c:pt idx="237">
                  <c:v>114.35394475236322</c:v>
                </c:pt>
                <c:pt idx="238">
                  <c:v>115.09702213681969</c:v>
                </c:pt>
                <c:pt idx="239">
                  <c:v>114.35949839499743</c:v>
                </c:pt>
                <c:pt idx="240">
                  <c:v>115.23142028856742</c:v>
                </c:pt>
                <c:pt idx="241">
                  <c:v>114.92152702957885</c:v>
                </c:pt>
                <c:pt idx="242">
                  <c:v>113.94630738301267</c:v>
                </c:pt>
                <c:pt idx="243">
                  <c:v>115.24030611678214</c:v>
                </c:pt>
                <c:pt idx="244">
                  <c:v>115.13811909231279</c:v>
                </c:pt>
                <c:pt idx="245">
                  <c:v>115.12812253557122</c:v>
                </c:pt>
                <c:pt idx="246">
                  <c:v>115.42690850929138</c:v>
                </c:pt>
                <c:pt idx="247">
                  <c:v>115.34471459830516</c:v>
                </c:pt>
                <c:pt idx="248">
                  <c:v>116.46099676778012</c:v>
                </c:pt>
                <c:pt idx="249">
                  <c:v>116.14110695204998</c:v>
                </c:pt>
                <c:pt idx="250">
                  <c:v>115.72347302595786</c:v>
                </c:pt>
                <c:pt idx="251">
                  <c:v>114.80490053426055</c:v>
                </c:pt>
                <c:pt idx="252">
                  <c:v>115.3047283713389</c:v>
                </c:pt>
                <c:pt idx="253">
                  <c:v>114.09847719118984</c:v>
                </c:pt>
                <c:pt idx="254">
                  <c:v>114.57164754362401</c:v>
                </c:pt>
                <c:pt idx="255">
                  <c:v>113.37872510579703</c:v>
                </c:pt>
                <c:pt idx="256">
                  <c:v>113.1354755584189</c:v>
                </c:pt>
                <c:pt idx="257">
                  <c:v>113.35651053526021</c:v>
                </c:pt>
                <c:pt idx="258">
                  <c:v>113.10437515966736</c:v>
                </c:pt>
                <c:pt idx="259">
                  <c:v>112.92554786684602</c:v>
                </c:pt>
                <c:pt idx="260">
                  <c:v>112.92554786684602</c:v>
                </c:pt>
              </c:numCache>
            </c:numRef>
          </c:val>
          <c:smooth val="0"/>
          <c:extLst xmlns:c16r2="http://schemas.microsoft.com/office/drawing/2015/06/chart">
            <c:ext xmlns:c16="http://schemas.microsoft.com/office/drawing/2014/chart" uri="{C3380CC4-5D6E-409C-BE32-E72D297353CC}">
              <c16:uniqueId val="{00000001-655B-4703-B4C3-57C8BE6FA31A}"/>
            </c:ext>
          </c:extLst>
        </c:ser>
        <c:ser>
          <c:idx val="11"/>
          <c:order val="11"/>
          <c:tx>
            <c:strRef>
              <c:f>'Currency Chart'!$AA$5</c:f>
              <c:strCache>
                <c:ptCount val="1"/>
                <c:pt idx="0">
                  <c:v>MSCI EM Currency Index</c:v>
                </c:pt>
              </c:strCache>
            </c:strRef>
          </c:tx>
          <c:spPr>
            <a:ln w="28575" cap="rnd">
              <a:solidFill>
                <a:schemeClr val="accent6">
                  <a:lumMod val="60000"/>
                </a:schemeClr>
              </a:solidFill>
              <a:round/>
            </a:ln>
            <a:effectLst/>
          </c:spPr>
          <c:marker>
            <c:symbol val="none"/>
          </c:marker>
          <c:cat>
            <c:numRef>
              <c:f>'Currency Chart'!$O$6:$O$291</c:f>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f>'Currency Chart'!$AA$6:$AA$291</c:f>
              <c:numCache>
                <c:formatCode>0</c:formatCode>
                <c:ptCount val="286"/>
                <c:pt idx="0" formatCode="General">
                  <c:v>100</c:v>
                </c:pt>
                <c:pt idx="1">
                  <c:v>99.906546962776289</c:v>
                </c:pt>
                <c:pt idx="2">
                  <c:v>99.569486008295272</c:v>
                </c:pt>
                <c:pt idx="3">
                  <c:v>99.516984301989808</c:v>
                </c:pt>
                <c:pt idx="4">
                  <c:v>99.231900036751185</c:v>
                </c:pt>
                <c:pt idx="5">
                  <c:v>99.573686144799694</c:v>
                </c:pt>
                <c:pt idx="6">
                  <c:v>98.960466215151982</c:v>
                </c:pt>
                <c:pt idx="7">
                  <c:v>98.867013177928257</c:v>
                </c:pt>
                <c:pt idx="8">
                  <c:v>99.544285189268635</c:v>
                </c:pt>
                <c:pt idx="9">
                  <c:v>99.703890376437229</c:v>
                </c:pt>
                <c:pt idx="10">
                  <c:v>99.879771092560517</c:v>
                </c:pt>
                <c:pt idx="11">
                  <c:v>99.774767679949605</c:v>
                </c:pt>
                <c:pt idx="12">
                  <c:v>99.00509266551164</c:v>
                </c:pt>
                <c:pt idx="13">
                  <c:v>98.473250380637367</c:v>
                </c:pt>
                <c:pt idx="14">
                  <c:v>98.416023520764426</c:v>
                </c:pt>
                <c:pt idx="15">
                  <c:v>97.62009765317373</c:v>
                </c:pt>
                <c:pt idx="16">
                  <c:v>97.584921509949083</c:v>
                </c:pt>
                <c:pt idx="17">
                  <c:v>98.193941303092359</c:v>
                </c:pt>
                <c:pt idx="18">
                  <c:v>98.923190003675131</c:v>
                </c:pt>
                <c:pt idx="19">
                  <c:v>99.419331128261675</c:v>
                </c:pt>
                <c:pt idx="20">
                  <c:v>99.4917834829632</c:v>
                </c:pt>
                <c:pt idx="21">
                  <c:v>99.326928125164073</c:v>
                </c:pt>
                <c:pt idx="22">
                  <c:v>99.105370924555061</c:v>
                </c:pt>
                <c:pt idx="23">
                  <c:v>98.88906389457658</c:v>
                </c:pt>
                <c:pt idx="24">
                  <c:v>97.962933795348363</c:v>
                </c:pt>
                <c:pt idx="25">
                  <c:v>98.399747991809747</c:v>
                </c:pt>
                <c:pt idx="26">
                  <c:v>97.360214206961743</c:v>
                </c:pt>
                <c:pt idx="27">
                  <c:v>97.914632225547351</c:v>
                </c:pt>
                <c:pt idx="28">
                  <c:v>96.683467212684434</c:v>
                </c:pt>
                <c:pt idx="29">
                  <c:v>96.570588544127716</c:v>
                </c:pt>
                <c:pt idx="30">
                  <c:v>97.162282774190203</c:v>
                </c:pt>
                <c:pt idx="31">
                  <c:v>97.589121646453549</c:v>
                </c:pt>
                <c:pt idx="32">
                  <c:v>97.898356696592685</c:v>
                </c:pt>
                <c:pt idx="33">
                  <c:v>98.690082427678931</c:v>
                </c:pt>
                <c:pt idx="34">
                  <c:v>97.814878983566999</c:v>
                </c:pt>
                <c:pt idx="35">
                  <c:v>96.886123799023508</c:v>
                </c:pt>
                <c:pt idx="36">
                  <c:v>96.934950385887575</c:v>
                </c:pt>
                <c:pt idx="37">
                  <c:v>97.172258098388227</c:v>
                </c:pt>
                <c:pt idx="38">
                  <c:v>97.672074342416153</c:v>
                </c:pt>
                <c:pt idx="39">
                  <c:v>96.864073082375214</c:v>
                </c:pt>
                <c:pt idx="40">
                  <c:v>96.040321310442621</c:v>
                </c:pt>
                <c:pt idx="41">
                  <c:v>94.608074762429808</c:v>
                </c:pt>
                <c:pt idx="42">
                  <c:v>95.440751824434315</c:v>
                </c:pt>
                <c:pt idx="43">
                  <c:v>96.538562503281383</c:v>
                </c:pt>
                <c:pt idx="44">
                  <c:v>95.302672336850975</c:v>
                </c:pt>
                <c:pt idx="45">
                  <c:v>96.674541922612505</c:v>
                </c:pt>
                <c:pt idx="46">
                  <c:v>97.66104898409202</c:v>
                </c:pt>
                <c:pt idx="47">
                  <c:v>98.228592429253979</c:v>
                </c:pt>
                <c:pt idx="48">
                  <c:v>98.153514989237181</c:v>
                </c:pt>
                <c:pt idx="49">
                  <c:v>97.173308132514336</c:v>
                </c:pt>
                <c:pt idx="50">
                  <c:v>97.124481545650269</c:v>
                </c:pt>
                <c:pt idx="51">
                  <c:v>97.645298472200366</c:v>
                </c:pt>
                <c:pt idx="52">
                  <c:v>97.375964718853382</c:v>
                </c:pt>
                <c:pt idx="53">
                  <c:v>97.31296267128684</c:v>
                </c:pt>
                <c:pt idx="54">
                  <c:v>97.368614479970603</c:v>
                </c:pt>
                <c:pt idx="55">
                  <c:v>97.327138131989301</c:v>
                </c:pt>
                <c:pt idx="56">
                  <c:v>97.154407518244355</c:v>
                </c:pt>
                <c:pt idx="57">
                  <c:v>97.23526014595474</c:v>
                </c:pt>
                <c:pt idx="58">
                  <c:v>96.015645508479025</c:v>
                </c:pt>
                <c:pt idx="59">
                  <c:v>95.113141177088252</c:v>
                </c:pt>
                <c:pt idx="60">
                  <c:v>96.276578988817135</c:v>
                </c:pt>
                <c:pt idx="61">
                  <c:v>97.023678269543765</c:v>
                </c:pt>
                <c:pt idx="62">
                  <c:v>97.412190896204123</c:v>
                </c:pt>
                <c:pt idx="63">
                  <c:v>96.361631753031972</c:v>
                </c:pt>
                <c:pt idx="64">
                  <c:v>96.858822911744625</c:v>
                </c:pt>
                <c:pt idx="65">
                  <c:v>97.767627447892067</c:v>
                </c:pt>
                <c:pt idx="66">
                  <c:v>98.704782905444446</c:v>
                </c:pt>
                <c:pt idx="67">
                  <c:v>99.052344201186571</c:v>
                </c:pt>
                <c:pt idx="68">
                  <c:v>99.237675224444828</c:v>
                </c:pt>
                <c:pt idx="69">
                  <c:v>99.867695700110289</c:v>
                </c:pt>
                <c:pt idx="70">
                  <c:v>100.25410825851843</c:v>
                </c:pt>
                <c:pt idx="71">
                  <c:v>99.732766314905263</c:v>
                </c:pt>
                <c:pt idx="72">
                  <c:v>98.757809628812964</c:v>
                </c:pt>
                <c:pt idx="73">
                  <c:v>98.894839082270209</c:v>
                </c:pt>
                <c:pt idx="74">
                  <c:v>99.377329763217332</c:v>
                </c:pt>
                <c:pt idx="75">
                  <c:v>98.831837034703668</c:v>
                </c:pt>
                <c:pt idx="76">
                  <c:v>98.575628707933035</c:v>
                </c:pt>
                <c:pt idx="77">
                  <c:v>98.307870005775214</c:v>
                </c:pt>
                <c:pt idx="78">
                  <c:v>97.540295059589468</c:v>
                </c:pt>
                <c:pt idx="79">
                  <c:v>97.687824854307806</c:v>
                </c:pt>
                <c:pt idx="80">
                  <c:v>96.686617315062776</c:v>
                </c:pt>
                <c:pt idx="81">
                  <c:v>97.267286186801115</c:v>
                </c:pt>
                <c:pt idx="82">
                  <c:v>97.051504173885689</c:v>
                </c:pt>
                <c:pt idx="83">
                  <c:v>97.333963353809054</c:v>
                </c:pt>
                <c:pt idx="84">
                  <c:v>97.283036698692754</c:v>
                </c:pt>
                <c:pt idx="85">
                  <c:v>96.986927075129984</c:v>
                </c:pt>
                <c:pt idx="86">
                  <c:v>95.808263768572516</c:v>
                </c:pt>
                <c:pt idx="87">
                  <c:v>95.352548957841179</c:v>
                </c:pt>
                <c:pt idx="88">
                  <c:v>95.823489263401115</c:v>
                </c:pt>
                <c:pt idx="89">
                  <c:v>95.392975271696386</c:v>
                </c:pt>
                <c:pt idx="90">
                  <c:v>95.084265238620304</c:v>
                </c:pt>
                <c:pt idx="91">
                  <c:v>95.391925237570277</c:v>
                </c:pt>
                <c:pt idx="92">
                  <c:v>94.503596366881979</c:v>
                </c:pt>
                <c:pt idx="93">
                  <c:v>96.061321992964835</c:v>
                </c:pt>
                <c:pt idx="94">
                  <c:v>96.291804483645777</c:v>
                </c:pt>
                <c:pt idx="95">
                  <c:v>95.905391925237637</c:v>
                </c:pt>
                <c:pt idx="96">
                  <c:v>95.616632540557632</c:v>
                </c:pt>
                <c:pt idx="97">
                  <c:v>96.302829841969924</c:v>
                </c:pt>
                <c:pt idx="98">
                  <c:v>96.682942195621422</c:v>
                </c:pt>
                <c:pt idx="99">
                  <c:v>97.321887961358811</c:v>
                </c:pt>
                <c:pt idx="100">
                  <c:v>96.828896939150582</c:v>
                </c:pt>
                <c:pt idx="101">
                  <c:v>97.919357379114885</c:v>
                </c:pt>
                <c:pt idx="102">
                  <c:v>97.836929700215322</c:v>
                </c:pt>
                <c:pt idx="103">
                  <c:v>96.865648133564406</c:v>
                </c:pt>
                <c:pt idx="104">
                  <c:v>97.086155300047309</c:v>
                </c:pt>
                <c:pt idx="105">
                  <c:v>96.56218827111887</c:v>
                </c:pt>
                <c:pt idx="106">
                  <c:v>96.671391820234206</c:v>
                </c:pt>
                <c:pt idx="107">
                  <c:v>96.078647556045624</c:v>
                </c:pt>
                <c:pt idx="108">
                  <c:v>95.484853257730933</c:v>
                </c:pt>
                <c:pt idx="109">
                  <c:v>95.044363941828166</c:v>
                </c:pt>
                <c:pt idx="110">
                  <c:v>95.466477660524021</c:v>
                </c:pt>
                <c:pt idx="111">
                  <c:v>95.351498923715084</c:v>
                </c:pt>
                <c:pt idx="112">
                  <c:v>95.320522916994861</c:v>
                </c:pt>
                <c:pt idx="113">
                  <c:v>95.908542027615965</c:v>
                </c:pt>
                <c:pt idx="114">
                  <c:v>96.287079330078299</c:v>
                </c:pt>
                <c:pt idx="115">
                  <c:v>96.951225914842311</c:v>
                </c:pt>
                <c:pt idx="116">
                  <c:v>97.08300519766901</c:v>
                </c:pt>
                <c:pt idx="117">
                  <c:v>96.878773560140786</c:v>
                </c:pt>
                <c:pt idx="118">
                  <c:v>97.347613797448503</c:v>
                </c:pt>
                <c:pt idx="119">
                  <c:v>97.835879666089241</c:v>
                </c:pt>
                <c:pt idx="120">
                  <c:v>98.168215467002767</c:v>
                </c:pt>
                <c:pt idx="121">
                  <c:v>98.41969864020588</c:v>
                </c:pt>
                <c:pt idx="122">
                  <c:v>98.206016695542687</c:v>
                </c:pt>
                <c:pt idx="123">
                  <c:v>97.371239565285961</c:v>
                </c:pt>
                <c:pt idx="124">
                  <c:v>97.455242295374674</c:v>
                </c:pt>
                <c:pt idx="125">
                  <c:v>96.815246495511175</c:v>
                </c:pt>
                <c:pt idx="126">
                  <c:v>96.610489840919911</c:v>
                </c:pt>
                <c:pt idx="127">
                  <c:v>96.44405943193162</c:v>
                </c:pt>
                <c:pt idx="128">
                  <c:v>96.686092297999764</c:v>
                </c:pt>
                <c:pt idx="129">
                  <c:v>95.075864965611473</c:v>
                </c:pt>
                <c:pt idx="130">
                  <c:v>95.135716910799687</c:v>
                </c:pt>
                <c:pt idx="131">
                  <c:v>94.880033601092123</c:v>
                </c:pt>
                <c:pt idx="132">
                  <c:v>95.584081482648259</c:v>
                </c:pt>
                <c:pt idx="133">
                  <c:v>96.683992229747545</c:v>
                </c:pt>
                <c:pt idx="134">
                  <c:v>95.981519399380559</c:v>
                </c:pt>
                <c:pt idx="135">
                  <c:v>95.163017798078513</c:v>
                </c:pt>
                <c:pt idx="136">
                  <c:v>96.087572846117567</c:v>
                </c:pt>
                <c:pt idx="137">
                  <c:v>97.251535674909491</c:v>
                </c:pt>
                <c:pt idx="138">
                  <c:v>97.845854990287251</c:v>
                </c:pt>
                <c:pt idx="139">
                  <c:v>97.456292329500769</c:v>
                </c:pt>
                <c:pt idx="140">
                  <c:v>97.039428781435461</c:v>
                </c:pt>
                <c:pt idx="141">
                  <c:v>96.973801648553646</c:v>
                </c:pt>
                <c:pt idx="142">
                  <c:v>96.188901139287097</c:v>
                </c:pt>
                <c:pt idx="143">
                  <c:v>97.278311545125291</c:v>
                </c:pt>
                <c:pt idx="144">
                  <c:v>96.903974379167408</c:v>
                </c:pt>
                <c:pt idx="145">
                  <c:v>95.255420801176115</c:v>
                </c:pt>
                <c:pt idx="146">
                  <c:v>96.549587861605588</c:v>
                </c:pt>
                <c:pt idx="147">
                  <c:v>97.231060009450388</c:v>
                </c:pt>
                <c:pt idx="148">
                  <c:v>97.936682942195702</c:v>
                </c:pt>
                <c:pt idx="149">
                  <c:v>98.298419698640274</c:v>
                </c:pt>
                <c:pt idx="150">
                  <c:v>98.45487478343054</c:v>
                </c:pt>
                <c:pt idx="151">
                  <c:v>98.988292119493963</c:v>
                </c:pt>
                <c:pt idx="152">
                  <c:v>98.313645193468858</c:v>
                </c:pt>
                <c:pt idx="153">
                  <c:v>98.973066624665378</c:v>
                </c:pt>
                <c:pt idx="154">
                  <c:v>99.393605292172083</c:v>
                </c:pt>
                <c:pt idx="155">
                  <c:v>99.504908909539651</c:v>
                </c:pt>
                <c:pt idx="156">
                  <c:v>99.230850002625175</c:v>
                </c:pt>
                <c:pt idx="157">
                  <c:v>98.699007717750916</c:v>
                </c:pt>
                <c:pt idx="158">
                  <c:v>97.655273796398461</c:v>
                </c:pt>
                <c:pt idx="159">
                  <c:v>97.928282669186828</c:v>
                </c:pt>
                <c:pt idx="160">
                  <c:v>98.216517036803779</c:v>
                </c:pt>
                <c:pt idx="161">
                  <c:v>98.651231165012931</c:v>
                </c:pt>
                <c:pt idx="162">
                  <c:v>99.867170683047277</c:v>
                </c:pt>
                <c:pt idx="163">
                  <c:v>99.198823961778842</c:v>
                </c:pt>
                <c:pt idx="164">
                  <c:v>98.986192051241758</c:v>
                </c:pt>
                <c:pt idx="165">
                  <c:v>98.738909014543054</c:v>
                </c:pt>
                <c:pt idx="166">
                  <c:v>98.068462225022401</c:v>
                </c:pt>
                <c:pt idx="167">
                  <c:v>97.824329290702025</c:v>
                </c:pt>
                <c:pt idx="168">
                  <c:v>98.162440279309166</c:v>
                </c:pt>
                <c:pt idx="169">
                  <c:v>97.521394445319558</c:v>
                </c:pt>
                <c:pt idx="170">
                  <c:v>95.608757284611826</c:v>
                </c:pt>
                <c:pt idx="171">
                  <c:v>95.106315955268627</c:v>
                </c:pt>
                <c:pt idx="172">
                  <c:v>95.119441381844979</c:v>
                </c:pt>
                <c:pt idx="173">
                  <c:v>93.732871318317919</c:v>
                </c:pt>
                <c:pt idx="174">
                  <c:v>93.302882343676245</c:v>
                </c:pt>
                <c:pt idx="175">
                  <c:v>94.372342101118349</c:v>
                </c:pt>
                <c:pt idx="176">
                  <c:v>95.371974589174201</c:v>
                </c:pt>
                <c:pt idx="177">
                  <c:v>95.668084212736971</c:v>
                </c:pt>
                <c:pt idx="178">
                  <c:v>95.248070562293336</c:v>
                </c:pt>
                <c:pt idx="179">
                  <c:v>95.834514621725262</c:v>
                </c:pt>
                <c:pt idx="180">
                  <c:v>95.69118496351139</c:v>
                </c:pt>
                <c:pt idx="181">
                  <c:v>95.657583871475893</c:v>
                </c:pt>
                <c:pt idx="182">
                  <c:v>97.073029873470972</c:v>
                </c:pt>
                <c:pt idx="183">
                  <c:v>98.129889221399765</c:v>
                </c:pt>
                <c:pt idx="184">
                  <c:v>96.853572741114149</c:v>
                </c:pt>
                <c:pt idx="185">
                  <c:v>95.74946185751044</c:v>
                </c:pt>
                <c:pt idx="186">
                  <c:v>97.027353388985205</c:v>
                </c:pt>
                <c:pt idx="187">
                  <c:v>97.931957788628182</c:v>
                </c:pt>
                <c:pt idx="188">
                  <c:v>97.427416391032764</c:v>
                </c:pt>
                <c:pt idx="189">
                  <c:v>97.127631648028611</c:v>
                </c:pt>
                <c:pt idx="190">
                  <c:v>96.821546700267817</c:v>
                </c:pt>
                <c:pt idx="191">
                  <c:v>95.862340526067157</c:v>
                </c:pt>
                <c:pt idx="192">
                  <c:v>95.947393290281994</c:v>
                </c:pt>
                <c:pt idx="193">
                  <c:v>92.015015488003414</c:v>
                </c:pt>
                <c:pt idx="194">
                  <c:v>94.07413240930336</c:v>
                </c:pt>
                <c:pt idx="195">
                  <c:v>94.463695070089841</c:v>
                </c:pt>
                <c:pt idx="196">
                  <c:v>94.974536672441914</c:v>
                </c:pt>
                <c:pt idx="197">
                  <c:v>94.151834934635431</c:v>
                </c:pt>
                <c:pt idx="198">
                  <c:v>94.336640940830634</c:v>
                </c:pt>
                <c:pt idx="199">
                  <c:v>93.012547907807061</c:v>
                </c:pt>
                <c:pt idx="200">
                  <c:v>90.654696277629085</c:v>
                </c:pt>
                <c:pt idx="201">
                  <c:v>90.003150102378385</c:v>
                </c:pt>
                <c:pt idx="202">
                  <c:v>89.210374337166016</c:v>
                </c:pt>
                <c:pt idx="203">
                  <c:v>90.462015015488063</c:v>
                </c:pt>
                <c:pt idx="204">
                  <c:v>89.626712868168269</c:v>
                </c:pt>
                <c:pt idx="205">
                  <c:v>87.584921509949126</c:v>
                </c:pt>
                <c:pt idx="206">
                  <c:v>85.54050506641471</c:v>
                </c:pt>
                <c:pt idx="207">
                  <c:v>88.371397070404839</c:v>
                </c:pt>
                <c:pt idx="208">
                  <c:v>91.132461805008717</c:v>
                </c:pt>
                <c:pt idx="209">
                  <c:v>91.061059484433301</c:v>
                </c:pt>
                <c:pt idx="210">
                  <c:v>90.927180133354398</c:v>
                </c:pt>
                <c:pt idx="211">
                  <c:v>91.304667401690622</c:v>
                </c:pt>
                <c:pt idx="212">
                  <c:v>91.827584396492966</c:v>
                </c:pt>
                <c:pt idx="213">
                  <c:v>92.034966136399518</c:v>
                </c:pt>
                <c:pt idx="214">
                  <c:v>91.03848375072198</c:v>
                </c:pt>
                <c:pt idx="215">
                  <c:v>90.431564025830923</c:v>
                </c:pt>
                <c:pt idx="216">
                  <c:v>91.001732556308156</c:v>
                </c:pt>
                <c:pt idx="217">
                  <c:v>92.613534939885625</c:v>
                </c:pt>
                <c:pt idx="218">
                  <c:v>92.35890166430417</c:v>
                </c:pt>
                <c:pt idx="219">
                  <c:v>92.809891321468015</c:v>
                </c:pt>
                <c:pt idx="220">
                  <c:v>93.617892581508968</c:v>
                </c:pt>
                <c:pt idx="221">
                  <c:v>93.314432719063433</c:v>
                </c:pt>
                <c:pt idx="222">
                  <c:v>91.925762587284154</c:v>
                </c:pt>
                <c:pt idx="223">
                  <c:v>90.988082112668721</c:v>
                </c:pt>
                <c:pt idx="224">
                  <c:v>90.994907334488431</c:v>
                </c:pt>
                <c:pt idx="225">
                  <c:v>89.745891741481657</c:v>
                </c:pt>
                <c:pt idx="226">
                  <c:v>89.9012967921458</c:v>
                </c:pt>
                <c:pt idx="227">
                  <c:v>89.844069932272859</c:v>
                </c:pt>
                <c:pt idx="228">
                  <c:v>90.146479760592285</c:v>
                </c:pt>
                <c:pt idx="229">
                  <c:v>89.755867065679695</c:v>
                </c:pt>
                <c:pt idx="230">
                  <c:v>89.334278364046895</c:v>
                </c:pt>
                <c:pt idx="231">
                  <c:v>87.403265606132265</c:v>
                </c:pt>
                <c:pt idx="232">
                  <c:v>88.028560928230235</c:v>
                </c:pt>
                <c:pt idx="233">
                  <c:v>87.89048144064688</c:v>
                </c:pt>
                <c:pt idx="234">
                  <c:v>86.305979944348252</c:v>
                </c:pt>
                <c:pt idx="235">
                  <c:v>84.088832887068904</c:v>
                </c:pt>
                <c:pt idx="236">
                  <c:v>84.32614059956957</c:v>
                </c:pt>
                <c:pt idx="237">
                  <c:v>84.453194728828777</c:v>
                </c:pt>
                <c:pt idx="238">
                  <c:v>85.068514726728708</c:v>
                </c:pt>
                <c:pt idx="239">
                  <c:v>85.576206226702467</c:v>
                </c:pt>
                <c:pt idx="240">
                  <c:v>85.117866330655843</c:v>
                </c:pt>
                <c:pt idx="241">
                  <c:v>84.957211109361154</c:v>
                </c:pt>
                <c:pt idx="242">
                  <c:v>84.344516196776482</c:v>
                </c:pt>
                <c:pt idx="243">
                  <c:v>84.43271906336966</c:v>
                </c:pt>
                <c:pt idx="244">
                  <c:v>82.148894839082374</c:v>
                </c:pt>
                <c:pt idx="245">
                  <c:v>80.537617472567959</c:v>
                </c:pt>
                <c:pt idx="246">
                  <c:v>80.301359794193417</c:v>
                </c:pt>
                <c:pt idx="247">
                  <c:v>81.105685934792987</c:v>
                </c:pt>
                <c:pt idx="248">
                  <c:v>79.502283824224392</c:v>
                </c:pt>
                <c:pt idx="249">
                  <c:v>80.395862865543236</c:v>
                </c:pt>
                <c:pt idx="250">
                  <c:v>80.778600304509993</c:v>
                </c:pt>
                <c:pt idx="251">
                  <c:v>82.121068934740478</c:v>
                </c:pt>
                <c:pt idx="252">
                  <c:v>82.093768047461637</c:v>
                </c:pt>
                <c:pt idx="253">
                  <c:v>80.742899144222278</c:v>
                </c:pt>
                <c:pt idx="254">
                  <c:v>82.202971596576987</c:v>
                </c:pt>
                <c:pt idx="255">
                  <c:v>82.114768729983822</c:v>
                </c:pt>
                <c:pt idx="256">
                  <c:v>80.888853887751452</c:v>
                </c:pt>
                <c:pt idx="257">
                  <c:v>80.655221294692168</c:v>
                </c:pt>
                <c:pt idx="258">
                  <c:v>80.869428256418431</c:v>
                </c:pt>
                <c:pt idx="259">
                  <c:v>82.485430776500323</c:v>
                </c:pt>
                <c:pt idx="260">
                  <c:v>84.678427048879186</c:v>
                </c:pt>
              </c:numCache>
            </c:numRef>
          </c:val>
          <c:smooth val="0"/>
          <c:extLst xmlns:c16r2="http://schemas.microsoft.com/office/drawing/2015/06/chart">
            <c:ext xmlns:c16="http://schemas.microsoft.com/office/drawing/2014/chart" uri="{C3380CC4-5D6E-409C-BE32-E72D297353CC}">
              <c16:uniqueId val="{00000002-655B-4703-B4C3-57C8BE6FA31A}"/>
            </c:ext>
          </c:extLst>
        </c:ser>
        <c:dLbls>
          <c:showLegendKey val="0"/>
          <c:showVal val="0"/>
          <c:showCatName val="0"/>
          <c:showSerName val="0"/>
          <c:showPercent val="0"/>
          <c:showBubbleSize val="0"/>
        </c:dLbls>
        <c:smooth val="0"/>
        <c:axId val="649402376"/>
        <c:axId val="649405120"/>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'Currency Chart'!$P$5</c15:sqref>
                        </c15:formulaRef>
                      </c:ext>
                    </c:extLst>
                    <c:strCache>
                      <c:ptCount val="1"/>
                      <c:pt idx="0">
                        <c:v>Real</c:v>
                      </c:pt>
                    </c:strCache>
                  </c:strRef>
                </c:tx>
                <c:spPr>
                  <a:ln w="28575" cap="rnd">
                    <a:solidFill>
                      <a:schemeClr val="accent1"/>
                    </a:solidFill>
                    <a:round/>
                  </a:ln>
                  <a:effectLst/>
                </c:spPr>
                <c:marker>
                  <c:symbol val="none"/>
                </c:marker>
                <c:cat>
                  <c:numRef>
                    <c:extLst xmlns:c16r2="http://schemas.microsoft.com/office/drawing/2015/06/chart">
                      <c:ex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6r2="http://schemas.microsoft.com/office/drawing/2015/06/chart">
                      <c:ext uri="{02D57815-91ED-43cb-92C2-25804820EDAC}">
                        <c15:formulaRef>
                          <c15:sqref>'Currency Chart'!$P$6:$P$291</c15:sqref>
                        </c15:formulaRef>
                      </c:ext>
                    </c:extLst>
                    <c:numCache>
                      <c:formatCode>0</c:formatCode>
                      <c:ptCount val="286"/>
                      <c:pt idx="0" formatCode="General">
                        <c:v>100</c:v>
                      </c:pt>
                      <c:pt idx="1">
                        <c:v>98.729203404124817</c:v>
                      </c:pt>
                      <c:pt idx="2">
                        <c:v>97.282067009123665</c:v>
                      </c:pt>
                      <c:pt idx="3">
                        <c:v>97.322318485011095</c:v>
                      </c:pt>
                      <c:pt idx="4">
                        <c:v>96.785632139845106</c:v>
                      </c:pt>
                      <c:pt idx="5">
                        <c:v>96.701295714176155</c:v>
                      </c:pt>
                      <c:pt idx="6">
                        <c:v>96.459786858851459</c:v>
                      </c:pt>
                      <c:pt idx="7">
                        <c:v>97.027140995169802</c:v>
                      </c:pt>
                      <c:pt idx="8">
                        <c:v>96.894886145825325</c:v>
                      </c:pt>
                      <c:pt idx="9">
                        <c:v>98.081346316031556</c:v>
                      </c:pt>
                      <c:pt idx="10">
                        <c:v>96.988806256229381</c:v>
                      </c:pt>
                      <c:pt idx="11">
                        <c:v>96.674461396917877</c:v>
                      </c:pt>
                      <c:pt idx="12">
                        <c:v>96.881468987196186</c:v>
                      </c:pt>
                      <c:pt idx="13">
                        <c:v>95.949934830943789</c:v>
                      </c:pt>
                      <c:pt idx="14">
                        <c:v>97.550410181706653</c:v>
                      </c:pt>
                      <c:pt idx="15">
                        <c:v>96.0860231541823</c:v>
                      </c:pt>
                      <c:pt idx="16">
                        <c:v>95.020317411638402</c:v>
                      </c:pt>
                      <c:pt idx="17">
                        <c:v>95.198573947711395</c:v>
                      </c:pt>
                      <c:pt idx="18">
                        <c:v>94.182703365790061</c:v>
                      </c:pt>
                      <c:pt idx="19">
                        <c:v>94.562217281300306</c:v>
                      </c:pt>
                      <c:pt idx="20">
                        <c:v>94.387794219121361</c:v>
                      </c:pt>
                      <c:pt idx="21">
                        <c:v>94.991566357433086</c:v>
                      </c:pt>
                      <c:pt idx="22">
                        <c:v>95.234991949704821</c:v>
                      </c:pt>
                      <c:pt idx="23">
                        <c:v>96.749214137851709</c:v>
                      </c:pt>
                      <c:pt idx="24">
                        <c:v>96.938971095606831</c:v>
                      </c:pt>
                      <c:pt idx="25">
                        <c:v>97.581077972858992</c:v>
                      </c:pt>
                      <c:pt idx="26">
                        <c:v>99.610902399754636</c:v>
                      </c:pt>
                      <c:pt idx="27">
                        <c:v>100.27409338342403</c:v>
                      </c:pt>
                      <c:pt idx="28">
                        <c:v>100.78011193743768</c:v>
                      </c:pt>
                      <c:pt idx="29">
                        <c:v>100.78011193743768</c:v>
                      </c:pt>
                      <c:pt idx="30">
                        <c:v>99.152802269416512</c:v>
                      </c:pt>
                      <c:pt idx="31">
                        <c:v>98.945794679138203</c:v>
                      </c:pt>
                      <c:pt idx="32">
                        <c:v>97.190063635666604</c:v>
                      </c:pt>
                      <c:pt idx="33">
                        <c:v>97.945257992793046</c:v>
                      </c:pt>
                      <c:pt idx="34">
                        <c:v>98.03534462930304</c:v>
                      </c:pt>
                      <c:pt idx="35">
                        <c:v>100.66510772061638</c:v>
                      </c:pt>
                      <c:pt idx="36">
                        <c:v>100.06325231925166</c:v>
                      </c:pt>
                      <c:pt idx="37">
                        <c:v>99.428812389787581</c:v>
                      </c:pt>
                      <c:pt idx="38">
                        <c:v>99.676071455953348</c:v>
                      </c:pt>
                      <c:pt idx="39">
                        <c:v>99.681821666794406</c:v>
                      </c:pt>
                      <c:pt idx="40">
                        <c:v>99.212221114774167</c:v>
                      </c:pt>
                      <c:pt idx="41">
                        <c:v>99.076132791535642</c:v>
                      </c:pt>
                      <c:pt idx="42">
                        <c:v>98.054511998773251</c:v>
                      </c:pt>
                      <c:pt idx="43">
                        <c:v>97.393237752050865</c:v>
                      </c:pt>
                      <c:pt idx="44">
                        <c:v>99.906079889595901</c:v>
                      </c:pt>
                      <c:pt idx="45">
                        <c:v>99.185386797515847</c:v>
                      </c:pt>
                      <c:pt idx="46">
                        <c:v>99.60706892586056</c:v>
                      </c:pt>
                      <c:pt idx="47">
                        <c:v>99.066549106800522</c:v>
                      </c:pt>
                      <c:pt idx="48">
                        <c:v>100.60568887525871</c:v>
                      </c:pt>
                      <c:pt idx="49">
                        <c:v>100.2472590661657</c:v>
                      </c:pt>
                      <c:pt idx="50">
                        <c:v>100.30476117457633</c:v>
                      </c:pt>
                      <c:pt idx="51">
                        <c:v>99.469063865674983</c:v>
                      </c:pt>
                      <c:pt idx="52">
                        <c:v>100.02491758031118</c:v>
                      </c:pt>
                      <c:pt idx="53">
                        <c:v>100.67469140535144</c:v>
                      </c:pt>
                      <c:pt idx="54">
                        <c:v>100.5635206624242</c:v>
                      </c:pt>
                      <c:pt idx="55">
                        <c:v>100.81077972858996</c:v>
                      </c:pt>
                      <c:pt idx="56">
                        <c:v>101.48738787088853</c:v>
                      </c:pt>
                      <c:pt idx="57">
                        <c:v>103.10894732806861</c:v>
                      </c:pt>
                      <c:pt idx="58">
                        <c:v>103.77597178563205</c:v>
                      </c:pt>
                      <c:pt idx="59">
                        <c:v>103.06294564134009</c:v>
                      </c:pt>
                      <c:pt idx="60">
                        <c:v>103.12428122364479</c:v>
                      </c:pt>
                      <c:pt idx="61">
                        <c:v>100.55777045158314</c:v>
                      </c:pt>
                      <c:pt idx="62">
                        <c:v>99.894579467913758</c:v>
                      </c:pt>
                      <c:pt idx="63">
                        <c:v>100.67085793145742</c:v>
                      </c:pt>
                      <c:pt idx="64">
                        <c:v>99.662654297324167</c:v>
                      </c:pt>
                      <c:pt idx="65">
                        <c:v>99.363643333588826</c:v>
                      </c:pt>
                      <c:pt idx="66">
                        <c:v>98.696618876025397</c:v>
                      </c:pt>
                      <c:pt idx="67">
                        <c:v>99.398144598635227</c:v>
                      </c:pt>
                      <c:pt idx="68">
                        <c:v>99.323391857701381</c:v>
                      </c:pt>
                      <c:pt idx="69">
                        <c:v>99.493981445986293</c:v>
                      </c:pt>
                      <c:pt idx="70">
                        <c:v>99.081883002376685</c:v>
                      </c:pt>
                      <c:pt idx="71">
                        <c:v>99.079966265429661</c:v>
                      </c:pt>
                      <c:pt idx="72">
                        <c:v>101.99723989879621</c:v>
                      </c:pt>
                      <c:pt idx="73">
                        <c:v>99.624319558383746</c:v>
                      </c:pt>
                      <c:pt idx="74">
                        <c:v>100.54051981905995</c:v>
                      </c:pt>
                      <c:pt idx="75">
                        <c:v>99.946331365483331</c:v>
                      </c:pt>
                      <c:pt idx="76">
                        <c:v>100.43318255002674</c:v>
                      </c:pt>
                      <c:pt idx="77">
                        <c:v>100.09008663650992</c:v>
                      </c:pt>
                      <c:pt idx="78">
                        <c:v>100.69577551176869</c:v>
                      </c:pt>
                      <c:pt idx="79">
                        <c:v>101.36279996933212</c:v>
                      </c:pt>
                      <c:pt idx="80">
                        <c:v>102.04707505941876</c:v>
                      </c:pt>
                      <c:pt idx="81">
                        <c:v>101.01012037108018</c:v>
                      </c:pt>
                      <c:pt idx="82">
                        <c:v>101.37238365406722</c:v>
                      </c:pt>
                      <c:pt idx="83">
                        <c:v>101.64456030054426</c:v>
                      </c:pt>
                      <c:pt idx="84">
                        <c:v>102.24641570190896</c:v>
                      </c:pt>
                      <c:pt idx="85">
                        <c:v>103.33895576171116</c:v>
                      </c:pt>
                      <c:pt idx="86">
                        <c:v>104.06539906463226</c:v>
                      </c:pt>
                      <c:pt idx="87">
                        <c:v>103.79513915510223</c:v>
                      </c:pt>
                      <c:pt idx="88">
                        <c:v>104.32415855248016</c:v>
                      </c:pt>
                      <c:pt idx="89">
                        <c:v>102.79076899486304</c:v>
                      </c:pt>
                      <c:pt idx="90">
                        <c:v>104.52924940581146</c:v>
                      </c:pt>
                      <c:pt idx="91">
                        <c:v>104.93751437552703</c:v>
                      </c:pt>
                      <c:pt idx="92">
                        <c:v>105.25185923483853</c:v>
                      </c:pt>
                      <c:pt idx="93">
                        <c:v>105.78087863221643</c:v>
                      </c:pt>
                      <c:pt idx="94">
                        <c:v>105.57770451583217</c:v>
                      </c:pt>
                      <c:pt idx="95">
                        <c:v>106.12397454573325</c:v>
                      </c:pt>
                      <c:pt idx="96">
                        <c:v>106.04347159395834</c:v>
                      </c:pt>
                      <c:pt idx="97">
                        <c:v>105.67545810013024</c:v>
                      </c:pt>
                      <c:pt idx="98">
                        <c:v>105.67354136318322</c:v>
                      </c:pt>
                      <c:pt idx="99">
                        <c:v>104.67492141378507</c:v>
                      </c:pt>
                      <c:pt idx="100">
                        <c:v>105.6447903089779</c:v>
                      </c:pt>
                      <c:pt idx="101">
                        <c:v>107.03825806946244</c:v>
                      </c:pt>
                      <c:pt idx="102">
                        <c:v>107.28935060952224</c:v>
                      </c:pt>
                      <c:pt idx="103">
                        <c:v>108.44322625162911</c:v>
                      </c:pt>
                      <c:pt idx="104">
                        <c:v>108.24580234608591</c:v>
                      </c:pt>
                      <c:pt idx="105">
                        <c:v>106.49965498734943</c:v>
                      </c:pt>
                      <c:pt idx="106">
                        <c:v>106.69707889289265</c:v>
                      </c:pt>
                      <c:pt idx="107">
                        <c:v>106.14889212604453</c:v>
                      </c:pt>
                      <c:pt idx="108">
                        <c:v>108.22663497661571</c:v>
                      </c:pt>
                      <c:pt idx="109">
                        <c:v>108.05029517748974</c:v>
                      </c:pt>
                      <c:pt idx="110">
                        <c:v>108.89940964502021</c:v>
                      </c:pt>
                      <c:pt idx="111">
                        <c:v>108.86107490607978</c:v>
                      </c:pt>
                      <c:pt idx="112">
                        <c:v>106.42681898336262</c:v>
                      </c:pt>
                      <c:pt idx="113">
                        <c:v>107.37560377213821</c:v>
                      </c:pt>
                      <c:pt idx="114">
                        <c:v>106.24089549950153</c:v>
                      </c:pt>
                      <c:pt idx="115">
                        <c:v>106.26389634286578</c:v>
                      </c:pt>
                      <c:pt idx="116">
                        <c:v>105.0448516445602</c:v>
                      </c:pt>
                      <c:pt idx="117">
                        <c:v>105.24802576094444</c:v>
                      </c:pt>
                      <c:pt idx="118">
                        <c:v>103.48271103273775</c:v>
                      </c:pt>
                      <c:pt idx="119">
                        <c:v>104.63083646400355</c:v>
                      </c:pt>
                      <c:pt idx="120">
                        <c:v>104.60591888369227</c:v>
                      </c:pt>
                      <c:pt idx="121">
                        <c:v>105.47420072069296</c:v>
                      </c:pt>
                      <c:pt idx="122">
                        <c:v>105.98021927470661</c:v>
                      </c:pt>
                      <c:pt idx="123">
                        <c:v>106.52457256766068</c:v>
                      </c:pt>
                      <c:pt idx="124">
                        <c:v>107.59602852104564</c:v>
                      </c:pt>
                      <c:pt idx="125">
                        <c:v>107.07850954534986</c:v>
                      </c:pt>
                      <c:pt idx="126">
                        <c:v>106.78524879245559</c:v>
                      </c:pt>
                      <c:pt idx="127">
                        <c:v>107.45418998696606</c:v>
                      </c:pt>
                      <c:pt idx="128">
                        <c:v>106.69324541899857</c:v>
                      </c:pt>
                      <c:pt idx="129">
                        <c:v>107.51552556927076</c:v>
                      </c:pt>
                      <c:pt idx="130">
                        <c:v>107.36985356129715</c:v>
                      </c:pt>
                      <c:pt idx="131">
                        <c:v>107.7953691635359</c:v>
                      </c:pt>
                      <c:pt idx="132">
                        <c:v>109.1677528176032</c:v>
                      </c:pt>
                      <c:pt idx="133">
                        <c:v>108.22280150272167</c:v>
                      </c:pt>
                      <c:pt idx="134">
                        <c:v>108.35697308901315</c:v>
                      </c:pt>
                      <c:pt idx="135">
                        <c:v>109.04508165299383</c:v>
                      </c:pt>
                      <c:pt idx="136">
                        <c:v>107.58261136241651</c:v>
                      </c:pt>
                      <c:pt idx="137">
                        <c:v>106.04730506785239</c:v>
                      </c:pt>
                      <c:pt idx="138">
                        <c:v>106.81399984666095</c:v>
                      </c:pt>
                      <c:pt idx="139">
                        <c:v>107.58069462546949</c:v>
                      </c:pt>
                      <c:pt idx="140">
                        <c:v>108.87832553860297</c:v>
                      </c:pt>
                      <c:pt idx="141">
                        <c:v>108.8994096450202</c:v>
                      </c:pt>
                      <c:pt idx="142">
                        <c:v>108.88215901249701</c:v>
                      </c:pt>
                      <c:pt idx="143">
                        <c:v>109.03166449436466</c:v>
                      </c:pt>
                      <c:pt idx="144">
                        <c:v>109.17541976539127</c:v>
                      </c:pt>
                      <c:pt idx="145">
                        <c:v>110.05903549796813</c:v>
                      </c:pt>
                      <c:pt idx="146">
                        <c:v>110.11845434332578</c:v>
                      </c:pt>
                      <c:pt idx="147">
                        <c:v>108.3723069845893</c:v>
                      </c:pt>
                      <c:pt idx="148">
                        <c:v>108.77290500651677</c:v>
                      </c:pt>
                      <c:pt idx="149">
                        <c:v>108.77482174346379</c:v>
                      </c:pt>
                      <c:pt idx="150">
                        <c:v>107.81453653300608</c:v>
                      </c:pt>
                      <c:pt idx="151">
                        <c:v>107.87970558920482</c:v>
                      </c:pt>
                      <c:pt idx="152">
                        <c:v>109.31534156252381</c:v>
                      </c:pt>
                      <c:pt idx="153">
                        <c:v>106.78141531856154</c:v>
                      </c:pt>
                      <c:pt idx="154">
                        <c:v>106.76799815993239</c:v>
                      </c:pt>
                      <c:pt idx="155">
                        <c:v>108.90515985586123</c:v>
                      </c:pt>
                      <c:pt idx="156">
                        <c:v>108.8131564824042</c:v>
                      </c:pt>
                      <c:pt idx="157">
                        <c:v>109.42076209460998</c:v>
                      </c:pt>
                      <c:pt idx="158">
                        <c:v>108.93582764701357</c:v>
                      </c:pt>
                      <c:pt idx="159">
                        <c:v>108.01771064939034</c:v>
                      </c:pt>
                      <c:pt idx="160">
                        <c:v>108.55056352066227</c:v>
                      </c:pt>
                      <c:pt idx="161">
                        <c:v>106.73541363183301</c:v>
                      </c:pt>
                      <c:pt idx="162">
                        <c:v>106.06838917426957</c:v>
                      </c:pt>
                      <c:pt idx="163">
                        <c:v>105.96871885302446</c:v>
                      </c:pt>
                      <c:pt idx="164">
                        <c:v>106.0798895959517</c:v>
                      </c:pt>
                      <c:pt idx="165">
                        <c:v>105.73679368243486</c:v>
                      </c:pt>
                      <c:pt idx="166">
                        <c:v>106.69707889289261</c:v>
                      </c:pt>
                      <c:pt idx="167">
                        <c:v>104.23790538986415</c:v>
                      </c:pt>
                      <c:pt idx="168">
                        <c:v>103.86989189603605</c:v>
                      </c:pt>
                      <c:pt idx="169">
                        <c:v>104.61933604232141</c:v>
                      </c:pt>
                      <c:pt idx="170">
                        <c:v>105.18477344169273</c:v>
                      </c:pt>
                      <c:pt idx="171">
                        <c:v>104.34140918500331</c:v>
                      </c:pt>
                      <c:pt idx="172">
                        <c:v>104.12481790998991</c:v>
                      </c:pt>
                      <c:pt idx="173">
                        <c:v>103.62838304071137</c:v>
                      </c:pt>
                      <c:pt idx="174">
                        <c:v>102.878938894426</c:v>
                      </c:pt>
                      <c:pt idx="175">
                        <c:v>101.66564440696146</c:v>
                      </c:pt>
                      <c:pt idx="176">
                        <c:v>100.92578394541121</c:v>
                      </c:pt>
                      <c:pt idx="177">
                        <c:v>100.85869815226545</c:v>
                      </c:pt>
                      <c:pt idx="178">
                        <c:v>101.27846354366314</c:v>
                      </c:pt>
                      <c:pt idx="179">
                        <c:v>102.12182780035253</c:v>
                      </c:pt>
                      <c:pt idx="180">
                        <c:v>100.8893659434178</c:v>
                      </c:pt>
                      <c:pt idx="181">
                        <c:v>100.80694625469587</c:v>
                      </c:pt>
                      <c:pt idx="182">
                        <c:v>100.34884612435778</c:v>
                      </c:pt>
                      <c:pt idx="183">
                        <c:v>100.6210227708348</c:v>
                      </c:pt>
                      <c:pt idx="184">
                        <c:v>100.68044161619247</c:v>
                      </c:pt>
                      <c:pt idx="185">
                        <c:v>99.95591505021838</c:v>
                      </c:pt>
                      <c:pt idx="186">
                        <c:v>98.884459096833424</c:v>
                      </c:pt>
                      <c:pt idx="187">
                        <c:v>98.453193283753606</c:v>
                      </c:pt>
                      <c:pt idx="188">
                        <c:v>99.129801426052154</c:v>
                      </c:pt>
                      <c:pt idx="189">
                        <c:v>98.491528022694027</c:v>
                      </c:pt>
                      <c:pt idx="190">
                        <c:v>97.822586828183574</c:v>
                      </c:pt>
                      <c:pt idx="191">
                        <c:v>96.95430499118288</c:v>
                      </c:pt>
                      <c:pt idx="192">
                        <c:v>96.022770834930469</c:v>
                      </c:pt>
                      <c:pt idx="193">
                        <c:v>98.196350532852733</c:v>
                      </c:pt>
                      <c:pt idx="194">
                        <c:v>98.947711416085127</c:v>
                      </c:pt>
                      <c:pt idx="195">
                        <c:v>98.901709729356611</c:v>
                      </c:pt>
                      <c:pt idx="196">
                        <c:v>98.89404278156853</c:v>
                      </c:pt>
                      <c:pt idx="197">
                        <c:v>97.744000613355681</c:v>
                      </c:pt>
                      <c:pt idx="198">
                        <c:v>96.45020317411624</c:v>
                      </c:pt>
                      <c:pt idx="199">
                        <c:v>97.02522425822265</c:v>
                      </c:pt>
                      <c:pt idx="200">
                        <c:v>97.974009046998233</c:v>
                      </c:pt>
                      <c:pt idx="201">
                        <c:v>96.984972782335191</c:v>
                      </c:pt>
                      <c:pt idx="202">
                        <c:v>96.072605995553005</c:v>
                      </c:pt>
                      <c:pt idx="203">
                        <c:v>96.047688415241737</c:v>
                      </c:pt>
                      <c:pt idx="204">
                        <c:v>97.264816376600308</c:v>
                      </c:pt>
                      <c:pt idx="205">
                        <c:v>98.123514528865897</c:v>
                      </c:pt>
                      <c:pt idx="206">
                        <c:v>98.963045311661276</c:v>
                      </c:pt>
                      <c:pt idx="207">
                        <c:v>97.28781721996458</c:v>
                      </c:pt>
                      <c:pt idx="208">
                        <c:v>96.584374760407727</c:v>
                      </c:pt>
                      <c:pt idx="209">
                        <c:v>96.279613585831342</c:v>
                      </c:pt>
                      <c:pt idx="210">
                        <c:v>94.598635283293575</c:v>
                      </c:pt>
                      <c:pt idx="211">
                        <c:v>94.10028367706802</c:v>
                      </c:pt>
                      <c:pt idx="212">
                        <c:v>92.497891589358147</c:v>
                      </c:pt>
                      <c:pt idx="213">
                        <c:v>92.488307904623042</c:v>
                      </c:pt>
                      <c:pt idx="214">
                        <c:v>90.891666027754212</c:v>
                      </c:pt>
                      <c:pt idx="215">
                        <c:v>91.380433949244662</c:v>
                      </c:pt>
                      <c:pt idx="216">
                        <c:v>91.161925937284224</c:v>
                      </c:pt>
                      <c:pt idx="217">
                        <c:v>91.399601318714886</c:v>
                      </c:pt>
                      <c:pt idx="218">
                        <c:v>90.834163919343567</c:v>
                      </c:pt>
                      <c:pt idx="219">
                        <c:v>89.272023307521138</c:v>
                      </c:pt>
                      <c:pt idx="220">
                        <c:v>88.031894502798323</c:v>
                      </c:pt>
                      <c:pt idx="221">
                        <c:v>89.13976845817669</c:v>
                      </c:pt>
                      <c:pt idx="222">
                        <c:v>90.395231158475696</c:v>
                      </c:pt>
                      <c:pt idx="223">
                        <c:v>91.091006670244468</c:v>
                      </c:pt>
                      <c:pt idx="224">
                        <c:v>90.029134401594618</c:v>
                      </c:pt>
                      <c:pt idx="225">
                        <c:v>89.979299240972054</c:v>
                      </c:pt>
                      <c:pt idx="226">
                        <c:v>89.578701219044575</c:v>
                      </c:pt>
                      <c:pt idx="227">
                        <c:v>89.893046078356079</c:v>
                      </c:pt>
                      <c:pt idx="228">
                        <c:v>90.111554090316517</c:v>
                      </c:pt>
                      <c:pt idx="229">
                        <c:v>90.019550716859499</c:v>
                      </c:pt>
                      <c:pt idx="230">
                        <c:v>89.18001993406412</c:v>
                      </c:pt>
                      <c:pt idx="231">
                        <c:v>89.463697002223284</c:v>
                      </c:pt>
                      <c:pt idx="232">
                        <c:v>88.589664954381519</c:v>
                      </c:pt>
                      <c:pt idx="233">
                        <c:v>88.591581691328528</c:v>
                      </c:pt>
                      <c:pt idx="234">
                        <c:v>91.882619029364264</c:v>
                      </c:pt>
                      <c:pt idx="235">
                        <c:v>93.47159395844497</c:v>
                      </c:pt>
                      <c:pt idx="236">
                        <c:v>95.815763244652132</c:v>
                      </c:pt>
                      <c:pt idx="237">
                        <c:v>95.1679061565589</c:v>
                      </c:pt>
                      <c:pt idx="238">
                        <c:v>94.734723606532071</c:v>
                      </c:pt>
                      <c:pt idx="239">
                        <c:v>95.302077742850415</c:v>
                      </c:pt>
                      <c:pt idx="240">
                        <c:v>97.462240282143512</c:v>
                      </c:pt>
                      <c:pt idx="241">
                        <c:v>95.03948478110847</c:v>
                      </c:pt>
                      <c:pt idx="242">
                        <c:v>94.29962431955822</c:v>
                      </c:pt>
                      <c:pt idx="243">
                        <c:v>96.373533696235356</c:v>
                      </c:pt>
                      <c:pt idx="244">
                        <c:v>97.320401748063929</c:v>
                      </c:pt>
                      <c:pt idx="245">
                        <c:v>98.93621099440297</c:v>
                      </c:pt>
                      <c:pt idx="246">
                        <c:v>98.353522962508478</c:v>
                      </c:pt>
                      <c:pt idx="247">
                        <c:v>98.468527179329755</c:v>
                      </c:pt>
                      <c:pt idx="248">
                        <c:v>98.403358123131028</c:v>
                      </c:pt>
                      <c:pt idx="249">
                        <c:v>96.990722993176263</c:v>
                      </c:pt>
                      <c:pt idx="250">
                        <c:v>96.984972782335205</c:v>
                      </c:pt>
                      <c:pt idx="251">
                        <c:v>94.661887602545292</c:v>
                      </c:pt>
                      <c:pt idx="252">
                        <c:v>95.227325001916611</c:v>
                      </c:pt>
                      <c:pt idx="253">
                        <c:v>94.512382120677628</c:v>
                      </c:pt>
                      <c:pt idx="254">
                        <c:v>93.513762171279481</c:v>
                      </c:pt>
                      <c:pt idx="255">
                        <c:v>92.252549260139403</c:v>
                      </c:pt>
                      <c:pt idx="256">
                        <c:v>92.369470213907704</c:v>
                      </c:pt>
                      <c:pt idx="257">
                        <c:v>92.530476117457511</c:v>
                      </c:pt>
                      <c:pt idx="258">
                        <c:v>91.384267423138709</c:v>
                      </c:pt>
                      <c:pt idx="259">
                        <c:v>90.65207390937654</c:v>
                      </c:pt>
                      <c:pt idx="260">
                        <c:v>91.094840144138487</c:v>
                      </c:pt>
                    </c:numCache>
                  </c:numRef>
                </c:val>
                <c:smooth val="0"/>
                <c:extLst xmlns:c16r2="http://schemas.microsoft.com/office/drawing/2015/06/chart">
                  <c:ext xmlns:c16="http://schemas.microsoft.com/office/drawing/2014/chart" uri="{C3380CC4-5D6E-409C-BE32-E72D297353CC}">
                    <c16:uniqueId val="{00000003-655B-4703-B4C3-57C8BE6FA31A}"/>
                  </c:ext>
                </c:extLst>
              </c15:ser>
            </c15:filteredLineSeries>
            <c15:filteredLine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'Currency Chart'!$Q$5</c15:sqref>
                        </c15:formulaRef>
                      </c:ext>
                    </c:extLst>
                    <c:strCache>
                      <c:ptCount val="1"/>
                      <c:pt idx="0">
                        <c:v>Rouble</c:v>
                      </c:pt>
                    </c:strCache>
                  </c:strRef>
                </c:tx>
                <c:spPr>
                  <a:ln w="28575" cap="rnd">
                    <a:solidFill>
                      <a:schemeClr val="accent2"/>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Chart'!$Q$6:$Q$291</c15:sqref>
                        </c15:formulaRef>
                      </c:ext>
                    </c:extLst>
                    <c:numCache>
                      <c:formatCode>0</c:formatCode>
                      <c:ptCount val="286"/>
                      <c:pt idx="0" formatCode="General">
                        <c:v>100</c:v>
                      </c:pt>
                      <c:pt idx="1">
                        <c:v>100.25938566552901</c:v>
                      </c:pt>
                      <c:pt idx="2">
                        <c:v>99.729692832764513</c:v>
                      </c:pt>
                      <c:pt idx="3">
                        <c:v>99.576245733788397</c:v>
                      </c:pt>
                      <c:pt idx="4">
                        <c:v>99.303754266211598</c:v>
                      </c:pt>
                      <c:pt idx="5">
                        <c:v>99.287781569965873</c:v>
                      </c:pt>
                      <c:pt idx="6">
                        <c:v>98.581296928327646</c:v>
                      </c:pt>
                      <c:pt idx="7">
                        <c:v>98.647098976109206</c:v>
                      </c:pt>
                      <c:pt idx="8">
                        <c:v>97.924914675767909</c:v>
                      </c:pt>
                      <c:pt idx="9">
                        <c:v>98.024573378839563</c:v>
                      </c:pt>
                      <c:pt idx="10">
                        <c:v>98.258020477815677</c:v>
                      </c:pt>
                      <c:pt idx="11">
                        <c:v>98.532423208191105</c:v>
                      </c:pt>
                      <c:pt idx="12">
                        <c:v>99.115904436860049</c:v>
                      </c:pt>
                      <c:pt idx="13">
                        <c:v>98.636177474402714</c:v>
                      </c:pt>
                      <c:pt idx="14">
                        <c:v>99.232764505119434</c:v>
                      </c:pt>
                      <c:pt idx="15">
                        <c:v>99.661433447098958</c:v>
                      </c:pt>
                      <c:pt idx="16">
                        <c:v>99.344709897610898</c:v>
                      </c:pt>
                      <c:pt idx="17">
                        <c:v>98.890102389078478</c:v>
                      </c:pt>
                      <c:pt idx="18">
                        <c:v>98.501706484641616</c:v>
                      </c:pt>
                      <c:pt idx="19">
                        <c:v>98.412286689419773</c:v>
                      </c:pt>
                      <c:pt idx="20">
                        <c:v>98.435494880546045</c:v>
                      </c:pt>
                      <c:pt idx="21">
                        <c:v>99.257337883959025</c:v>
                      </c:pt>
                      <c:pt idx="22">
                        <c:v>99.624573378839571</c:v>
                      </c:pt>
                      <c:pt idx="23">
                        <c:v>100.06402730375426</c:v>
                      </c:pt>
                      <c:pt idx="24">
                        <c:v>99.781569965870318</c:v>
                      </c:pt>
                      <c:pt idx="25">
                        <c:v>100.09419795221844</c:v>
                      </c:pt>
                      <c:pt idx="26">
                        <c:v>101.48122866894197</c:v>
                      </c:pt>
                      <c:pt idx="27">
                        <c:v>101.69965870307168</c:v>
                      </c:pt>
                      <c:pt idx="28">
                        <c:v>101.81569965870308</c:v>
                      </c:pt>
                      <c:pt idx="29">
                        <c:v>101.45993174061435</c:v>
                      </c:pt>
                      <c:pt idx="30">
                        <c:v>101.49310580204779</c:v>
                      </c:pt>
                      <c:pt idx="31">
                        <c:v>101.44436860068262</c:v>
                      </c:pt>
                      <c:pt idx="32">
                        <c:v>101.07986348122868</c:v>
                      </c:pt>
                      <c:pt idx="33">
                        <c:v>101.32191126279866</c:v>
                      </c:pt>
                      <c:pt idx="34">
                        <c:v>101.01296928327649</c:v>
                      </c:pt>
                      <c:pt idx="35">
                        <c:v>101.82389078498296</c:v>
                      </c:pt>
                      <c:pt idx="36">
                        <c:v>101.35563139931743</c:v>
                      </c:pt>
                      <c:pt idx="37">
                        <c:v>100.8464163822526</c:v>
                      </c:pt>
                      <c:pt idx="38">
                        <c:v>100.41774744027306</c:v>
                      </c:pt>
                      <c:pt idx="39">
                        <c:v>100.62935153583619</c:v>
                      </c:pt>
                      <c:pt idx="40">
                        <c:v>100.45392491467578</c:v>
                      </c:pt>
                      <c:pt idx="41">
                        <c:v>100.61569965870308</c:v>
                      </c:pt>
                      <c:pt idx="42">
                        <c:v>100.17064846416383</c:v>
                      </c:pt>
                      <c:pt idx="43">
                        <c:v>99.771331058020479</c:v>
                      </c:pt>
                      <c:pt idx="44">
                        <c:v>99.757679180887393</c:v>
                      </c:pt>
                      <c:pt idx="45">
                        <c:v>99.419795221843017</c:v>
                      </c:pt>
                      <c:pt idx="46">
                        <c:v>99.561501706484648</c:v>
                      </c:pt>
                      <c:pt idx="47">
                        <c:v>99.748805460750859</c:v>
                      </c:pt>
                      <c:pt idx="48">
                        <c:v>99.731877133105797</c:v>
                      </c:pt>
                      <c:pt idx="49">
                        <c:v>100.3344709897611</c:v>
                      </c:pt>
                      <c:pt idx="50">
                        <c:v>100.48191126279863</c:v>
                      </c:pt>
                      <c:pt idx="51">
                        <c:v>100.84232081911264</c:v>
                      </c:pt>
                      <c:pt idx="52">
                        <c:v>100.18839590443687</c:v>
                      </c:pt>
                      <c:pt idx="53">
                        <c:v>100.38498293515357</c:v>
                      </c:pt>
                      <c:pt idx="54">
                        <c:v>99.866211604095554</c:v>
                      </c:pt>
                      <c:pt idx="55">
                        <c:v>99.849829351535831</c:v>
                      </c:pt>
                      <c:pt idx="56">
                        <c:v>100.3015699658703</c:v>
                      </c:pt>
                      <c:pt idx="57">
                        <c:v>100.28313993174061</c:v>
                      </c:pt>
                      <c:pt idx="58">
                        <c:v>100.95221843003411</c:v>
                      </c:pt>
                      <c:pt idx="59">
                        <c:v>101.38566552901023</c:v>
                      </c:pt>
                      <c:pt idx="60">
                        <c:v>100.88423208191125</c:v>
                      </c:pt>
                      <c:pt idx="61">
                        <c:v>100.43344709897609</c:v>
                      </c:pt>
                      <c:pt idx="62">
                        <c:v>100.68941979522181</c:v>
                      </c:pt>
                      <c:pt idx="63">
                        <c:v>101.18225255972693</c:v>
                      </c:pt>
                      <c:pt idx="64">
                        <c:v>100.26894197952217</c:v>
                      </c:pt>
                      <c:pt idx="65">
                        <c:v>100.20764505119453</c:v>
                      </c:pt>
                      <c:pt idx="66">
                        <c:v>99.819112627986343</c:v>
                      </c:pt>
                      <c:pt idx="67">
                        <c:v>99.604095563139907</c:v>
                      </c:pt>
                      <c:pt idx="68">
                        <c:v>99.429351535836147</c:v>
                      </c:pt>
                      <c:pt idx="69">
                        <c:v>99.310580204778148</c:v>
                      </c:pt>
                      <c:pt idx="70">
                        <c:v>99.589078498293489</c:v>
                      </c:pt>
                      <c:pt idx="71">
                        <c:v>100.01911262798632</c:v>
                      </c:pt>
                      <c:pt idx="72">
                        <c:v>99.819112627986343</c:v>
                      </c:pt>
                      <c:pt idx="73">
                        <c:v>99.590443686006822</c:v>
                      </c:pt>
                      <c:pt idx="74">
                        <c:v>99.772013651877117</c:v>
                      </c:pt>
                      <c:pt idx="75">
                        <c:v>98.996587030716711</c:v>
                      </c:pt>
                      <c:pt idx="76">
                        <c:v>99.533105802047771</c:v>
                      </c:pt>
                      <c:pt idx="77">
                        <c:v>98.522184300341294</c:v>
                      </c:pt>
                      <c:pt idx="78">
                        <c:v>98.554129692832745</c:v>
                      </c:pt>
                      <c:pt idx="79">
                        <c:v>99.385665529010225</c:v>
                      </c:pt>
                      <c:pt idx="80">
                        <c:v>100.07426621160408</c:v>
                      </c:pt>
                      <c:pt idx="81">
                        <c:v>99.747440273037526</c:v>
                      </c:pt>
                      <c:pt idx="82">
                        <c:v>99.467576791808852</c:v>
                      </c:pt>
                      <c:pt idx="83">
                        <c:v>99.275221843003393</c:v>
                      </c:pt>
                      <c:pt idx="84">
                        <c:v>99.109215017064827</c:v>
                      </c:pt>
                      <c:pt idx="85">
                        <c:v>99.055699658703062</c:v>
                      </c:pt>
                      <c:pt idx="86">
                        <c:v>99.263481228668923</c:v>
                      </c:pt>
                      <c:pt idx="87">
                        <c:v>99.434812286689407</c:v>
                      </c:pt>
                      <c:pt idx="88">
                        <c:v>99.081911262798627</c:v>
                      </c:pt>
                      <c:pt idx="89">
                        <c:v>99.081911262798627</c:v>
                      </c:pt>
                      <c:pt idx="90">
                        <c:v>98.703071672354938</c:v>
                      </c:pt>
                      <c:pt idx="91">
                        <c:v>98.614334470989746</c:v>
                      </c:pt>
                      <c:pt idx="92">
                        <c:v>98.791808873720115</c:v>
                      </c:pt>
                      <c:pt idx="93">
                        <c:v>97.88054607508532</c:v>
                      </c:pt>
                      <c:pt idx="94">
                        <c:v>97.987713310580176</c:v>
                      </c:pt>
                      <c:pt idx="95">
                        <c:v>97.739249146757643</c:v>
                      </c:pt>
                      <c:pt idx="96">
                        <c:v>97.881228668941944</c:v>
                      </c:pt>
                      <c:pt idx="97">
                        <c:v>98.182935153583585</c:v>
                      </c:pt>
                      <c:pt idx="98">
                        <c:v>97.317406143344684</c:v>
                      </c:pt>
                      <c:pt idx="99">
                        <c:v>96.694880546075055</c:v>
                      </c:pt>
                      <c:pt idx="100">
                        <c:v>97.092150170648452</c:v>
                      </c:pt>
                      <c:pt idx="101">
                        <c:v>96.627986348122846</c:v>
                      </c:pt>
                      <c:pt idx="102">
                        <c:v>96.42320819112625</c:v>
                      </c:pt>
                      <c:pt idx="103">
                        <c:v>96.955631399317369</c:v>
                      </c:pt>
                      <c:pt idx="104">
                        <c:v>95.965870307167208</c:v>
                      </c:pt>
                      <c:pt idx="105">
                        <c:v>95.197269624573352</c:v>
                      </c:pt>
                      <c:pt idx="106">
                        <c:v>94.637815699658674</c:v>
                      </c:pt>
                      <c:pt idx="107">
                        <c:v>96.360682593856623</c:v>
                      </c:pt>
                      <c:pt idx="108">
                        <c:v>95.648464163822496</c:v>
                      </c:pt>
                      <c:pt idx="109">
                        <c:v>96.740614334470962</c:v>
                      </c:pt>
                      <c:pt idx="110">
                        <c:v>97.498293515358355</c:v>
                      </c:pt>
                      <c:pt idx="111">
                        <c:v>97.423208191126264</c:v>
                      </c:pt>
                      <c:pt idx="112">
                        <c:v>97.840273037542644</c:v>
                      </c:pt>
                      <c:pt idx="113">
                        <c:v>97.341296928327608</c:v>
                      </c:pt>
                      <c:pt idx="114">
                        <c:v>96.948122866894167</c:v>
                      </c:pt>
                      <c:pt idx="115">
                        <c:v>97.251877133105765</c:v>
                      </c:pt>
                      <c:pt idx="116">
                        <c:v>96.298976109214991</c:v>
                      </c:pt>
                      <c:pt idx="117">
                        <c:v>97.133105802047766</c:v>
                      </c:pt>
                      <c:pt idx="118">
                        <c:v>97.477815699658677</c:v>
                      </c:pt>
                      <c:pt idx="119">
                        <c:v>99.314675767918061</c:v>
                      </c:pt>
                      <c:pt idx="120">
                        <c:v>98.81228668941975</c:v>
                      </c:pt>
                      <c:pt idx="121">
                        <c:v>99.578156996586983</c:v>
                      </c:pt>
                      <c:pt idx="122">
                        <c:v>98.736791808873676</c:v>
                      </c:pt>
                      <c:pt idx="123">
                        <c:v>99.669624573378783</c:v>
                      </c:pt>
                      <c:pt idx="124">
                        <c:v>99.952218430034094</c:v>
                      </c:pt>
                      <c:pt idx="125">
                        <c:v>102.14880546075081</c:v>
                      </c:pt>
                      <c:pt idx="126">
                        <c:v>101.38430034129688</c:v>
                      </c:pt>
                      <c:pt idx="127">
                        <c:v>102.08054607508529</c:v>
                      </c:pt>
                      <c:pt idx="128">
                        <c:v>101.74197952218425</c:v>
                      </c:pt>
                      <c:pt idx="129">
                        <c:v>102.76450511945387</c:v>
                      </c:pt>
                      <c:pt idx="130">
                        <c:v>101.37474402730371</c:v>
                      </c:pt>
                      <c:pt idx="131">
                        <c:v>100.81215017064841</c:v>
                      </c:pt>
                      <c:pt idx="132">
                        <c:v>101.33378839590439</c:v>
                      </c:pt>
                      <c:pt idx="133">
                        <c:v>100.38634812286685</c:v>
                      </c:pt>
                      <c:pt idx="134">
                        <c:v>100.6006825938566</c:v>
                      </c:pt>
                      <c:pt idx="135">
                        <c:v>101.05392491467573</c:v>
                      </c:pt>
                      <c:pt idx="136">
                        <c:v>100.82320819112623</c:v>
                      </c:pt>
                      <c:pt idx="137">
                        <c:v>100.14675767918085</c:v>
                      </c:pt>
                      <c:pt idx="138">
                        <c:v>100.12969283276448</c:v>
                      </c:pt>
                      <c:pt idx="139">
                        <c:v>99.945392491467544</c:v>
                      </c:pt>
                      <c:pt idx="140">
                        <c:v>100.18976109215015</c:v>
                      </c:pt>
                      <c:pt idx="141">
                        <c:v>100.65392491467576</c:v>
                      </c:pt>
                      <c:pt idx="142">
                        <c:v>100.33993174061432</c:v>
                      </c:pt>
                      <c:pt idx="143">
                        <c:v>100.55972696245732</c:v>
                      </c:pt>
                      <c:pt idx="144">
                        <c:v>101.0619795221843</c:v>
                      </c:pt>
                      <c:pt idx="145">
                        <c:v>101.11262798634812</c:v>
                      </c:pt>
                      <c:pt idx="146">
                        <c:v>100.8778156996587</c:v>
                      </c:pt>
                      <c:pt idx="147">
                        <c:v>100.32218430034129</c:v>
                      </c:pt>
                      <c:pt idx="148">
                        <c:v>100.01665529010239</c:v>
                      </c:pt>
                      <c:pt idx="149">
                        <c:v>100.49488054607507</c:v>
                      </c:pt>
                      <c:pt idx="150">
                        <c:v>99.862798634812279</c:v>
                      </c:pt>
                      <c:pt idx="151">
                        <c:v>100.41337883959044</c:v>
                      </c:pt>
                      <c:pt idx="152">
                        <c:v>100.53501706484641</c:v>
                      </c:pt>
                      <c:pt idx="153">
                        <c:v>101.68150170648464</c:v>
                      </c:pt>
                      <c:pt idx="154">
                        <c:v>101.78935153583618</c:v>
                      </c:pt>
                      <c:pt idx="155">
                        <c:v>101.24914675767918</c:v>
                      </c:pt>
                      <c:pt idx="156">
                        <c:v>102.72354948805462</c:v>
                      </c:pt>
                      <c:pt idx="157">
                        <c:v>104.7098976109215</c:v>
                      </c:pt>
                      <c:pt idx="158">
                        <c:v>104.05023890784985</c:v>
                      </c:pt>
                      <c:pt idx="159">
                        <c:v>102.96573378839591</c:v>
                      </c:pt>
                      <c:pt idx="160">
                        <c:v>102.04778156996588</c:v>
                      </c:pt>
                      <c:pt idx="161">
                        <c:v>101.34061433447098</c:v>
                      </c:pt>
                      <c:pt idx="162">
                        <c:v>101.58498293515359</c:v>
                      </c:pt>
                      <c:pt idx="163">
                        <c:v>104.1903071672355</c:v>
                      </c:pt>
                      <c:pt idx="164">
                        <c:v>103.99153583617748</c:v>
                      </c:pt>
                      <c:pt idx="165">
                        <c:v>103.81296928327646</c:v>
                      </c:pt>
                      <c:pt idx="166">
                        <c:v>104.96641638225258</c:v>
                      </c:pt>
                      <c:pt idx="167">
                        <c:v>103.8293515358362</c:v>
                      </c:pt>
                      <c:pt idx="168">
                        <c:v>104.70648464163824</c:v>
                      </c:pt>
                      <c:pt idx="169">
                        <c:v>105.64587030716724</c:v>
                      </c:pt>
                      <c:pt idx="170">
                        <c:v>107.25324232081913</c:v>
                      </c:pt>
                      <c:pt idx="171">
                        <c:v>107.1709215017065</c:v>
                      </c:pt>
                      <c:pt idx="172">
                        <c:v>107.91372013651878</c:v>
                      </c:pt>
                      <c:pt idx="173">
                        <c:v>106.30621160409555</c:v>
                      </c:pt>
                      <c:pt idx="174">
                        <c:v>106.5890784982935</c:v>
                      </c:pt>
                      <c:pt idx="175">
                        <c:v>105.45802047781571</c:v>
                      </c:pt>
                      <c:pt idx="176">
                        <c:v>104.74402730375427</c:v>
                      </c:pt>
                      <c:pt idx="177">
                        <c:v>103.78566552901023</c:v>
                      </c:pt>
                      <c:pt idx="178">
                        <c:v>103.67808873720135</c:v>
                      </c:pt>
                      <c:pt idx="179">
                        <c:v>103.18580204778156</c:v>
                      </c:pt>
                      <c:pt idx="180">
                        <c:v>102.76587030716722</c:v>
                      </c:pt>
                      <c:pt idx="181">
                        <c:v>102.34744027303752</c:v>
                      </c:pt>
                      <c:pt idx="182">
                        <c:v>101.90402730375425</c:v>
                      </c:pt>
                      <c:pt idx="183">
                        <c:v>102.259385665529</c:v>
                      </c:pt>
                      <c:pt idx="184">
                        <c:v>105.22225255972694</c:v>
                      </c:pt>
                      <c:pt idx="185">
                        <c:v>104.04518771331055</c:v>
                      </c:pt>
                      <c:pt idx="186">
                        <c:v>102.64163822525596</c:v>
                      </c:pt>
                      <c:pt idx="187">
                        <c:v>102.35904436860066</c:v>
                      </c:pt>
                      <c:pt idx="188">
                        <c:v>103.83522184300338</c:v>
                      </c:pt>
                      <c:pt idx="189">
                        <c:v>105.34334470989759</c:v>
                      </c:pt>
                      <c:pt idx="190">
                        <c:v>109.23822525597267</c:v>
                      </c:pt>
                      <c:pt idx="191">
                        <c:v>107.30197952218427</c:v>
                      </c:pt>
                      <c:pt idx="192">
                        <c:v>110.78225255972694</c:v>
                      </c:pt>
                      <c:pt idx="193">
                        <c:v>114.74061433447098</c:v>
                      </c:pt>
                      <c:pt idx="194">
                        <c:v>114.53419795221842</c:v>
                      </c:pt>
                      <c:pt idx="195">
                        <c:v>137.93856655290102</c:v>
                      </c:pt>
                      <c:pt idx="196">
                        <c:v>143.40341296928329</c:v>
                      </c:pt>
                      <c:pt idx="197">
                        <c:v>133.24232081911262</c:v>
                      </c:pt>
                      <c:pt idx="198">
                        <c:v>147.97952218430032</c:v>
                      </c:pt>
                      <c:pt idx="199">
                        <c:v>165.23822525597271</c:v>
                      </c:pt>
                      <c:pt idx="200">
                        <c:v>184.98293515358361</c:v>
                      </c:pt>
                      <c:pt idx="201">
                        <c:v>163.82252559726962</c:v>
                      </c:pt>
                      <c:pt idx="202">
                        <c:v>177.4744027303754</c:v>
                      </c:pt>
                      <c:pt idx="203">
                        <c:v>172.01365187713307</c:v>
                      </c:pt>
                      <c:pt idx="204">
                        <c:v>172.69624573378834</c:v>
                      </c:pt>
                      <c:pt idx="205">
                        <c:v>156.31399317406138</c:v>
                      </c:pt>
                      <c:pt idx="206">
                        <c:v>135.15358361774739</c:v>
                      </c:pt>
                      <c:pt idx="207">
                        <c:v>123.54948805460747</c:v>
                      </c:pt>
                      <c:pt idx="208">
                        <c:v>130.03412969283272</c:v>
                      </c:pt>
                      <c:pt idx="209">
                        <c:v>135.15358361774739</c:v>
                      </c:pt>
                      <c:pt idx="210">
                        <c:v>135.35836177474397</c:v>
                      </c:pt>
                      <c:pt idx="211">
                        <c:v>134.53924914675761</c:v>
                      </c:pt>
                      <c:pt idx="212">
                        <c:v>121.84300341296922</c:v>
                      </c:pt>
                      <c:pt idx="213">
                        <c:v>129.35153583617742</c:v>
                      </c:pt>
                      <c:pt idx="214">
                        <c:v>131.74061433447093</c:v>
                      </c:pt>
                      <c:pt idx="215">
                        <c:v>119.45392491467571</c:v>
                      </c:pt>
                      <c:pt idx="216">
                        <c:v>109.21501706484636</c:v>
                      </c:pt>
                      <c:pt idx="217">
                        <c:v>103.75426621160405</c:v>
                      </c:pt>
                      <c:pt idx="218">
                        <c:v>108.19112627986344</c:v>
                      </c:pt>
                      <c:pt idx="219">
                        <c:v>113.65187713310574</c:v>
                      </c:pt>
                      <c:pt idx="220">
                        <c:v>111.25597269624569</c:v>
                      </c:pt>
                      <c:pt idx="221">
                        <c:v>111.60409556313989</c:v>
                      </c:pt>
                      <c:pt idx="222">
                        <c:v>109.21501706484638</c:v>
                      </c:pt>
                      <c:pt idx="223">
                        <c:v>104.77815699658699</c:v>
                      </c:pt>
                      <c:pt idx="224">
                        <c:v>106.14334470989756</c:v>
                      </c:pt>
                      <c:pt idx="225">
                        <c:v>110.58020477815695</c:v>
                      </c:pt>
                      <c:pt idx="226">
                        <c:v>113.13993174061429</c:v>
                      </c:pt>
                      <c:pt idx="227">
                        <c:v>109.21501706484638</c:v>
                      </c:pt>
                      <c:pt idx="228">
                        <c:v>109.3856655290102</c:v>
                      </c:pt>
                      <c:pt idx="229">
                        <c:v>106.82593856655285</c:v>
                      </c:pt>
                      <c:pt idx="230">
                        <c:v>107.33788395904431</c:v>
                      </c:pt>
                      <c:pt idx="231">
                        <c:v>106.82593856655284</c:v>
                      </c:pt>
                      <c:pt idx="232">
                        <c:v>108.87372013651871</c:v>
                      </c:pt>
                      <c:pt idx="233">
                        <c:v>106.99658703071667</c:v>
                      </c:pt>
                      <c:pt idx="234">
                        <c:v>102.21843003412964</c:v>
                      </c:pt>
                      <c:pt idx="235">
                        <c:v>99.010238907849782</c:v>
                      </c:pt>
                      <c:pt idx="236">
                        <c:v>99.829351535836125</c:v>
                      </c:pt>
                      <c:pt idx="237">
                        <c:v>97.269624573378792</c:v>
                      </c:pt>
                      <c:pt idx="238">
                        <c:v>95.904436860068202</c:v>
                      </c:pt>
                      <c:pt idx="239">
                        <c:v>95.836177474402675</c:v>
                      </c:pt>
                      <c:pt idx="240">
                        <c:v>93.071672354948745</c:v>
                      </c:pt>
                      <c:pt idx="241">
                        <c:v>89.761092150170597</c:v>
                      </c:pt>
                      <c:pt idx="242">
                        <c:v>86.860068259385613</c:v>
                      </c:pt>
                      <c:pt idx="243">
                        <c:v>85.324232081911205</c:v>
                      </c:pt>
                      <c:pt idx="244">
                        <c:v>90.784982935153522</c:v>
                      </c:pt>
                      <c:pt idx="245">
                        <c:v>92.150170648464112</c:v>
                      </c:pt>
                      <c:pt idx="246">
                        <c:v>92.32081911262793</c:v>
                      </c:pt>
                      <c:pt idx="247">
                        <c:v>87.713310580204734</c:v>
                      </c:pt>
                      <c:pt idx="248">
                        <c:v>84.982935153583568</c:v>
                      </c:pt>
                      <c:pt idx="249">
                        <c:v>87.372013651877069</c:v>
                      </c:pt>
                      <c:pt idx="250">
                        <c:v>84.812286689419736</c:v>
                      </c:pt>
                      <c:pt idx="251">
                        <c:v>85.836177474402675</c:v>
                      </c:pt>
                      <c:pt idx="252">
                        <c:v>84.982935153583554</c:v>
                      </c:pt>
                      <c:pt idx="253">
                        <c:v>84.778156996586972</c:v>
                      </c:pt>
                      <c:pt idx="254">
                        <c:v>81.228668941979464</c:v>
                      </c:pt>
                      <c:pt idx="255">
                        <c:v>76.55290102389074</c:v>
                      </c:pt>
                      <c:pt idx="256">
                        <c:v>75.767918088737147</c:v>
                      </c:pt>
                      <c:pt idx="257">
                        <c:v>78.976109215017004</c:v>
                      </c:pt>
                      <c:pt idx="258">
                        <c:v>84.880546075085249</c:v>
                      </c:pt>
                      <c:pt idx="259">
                        <c:v>87.372013651877069</c:v>
                      </c:pt>
                      <c:pt idx="260">
                        <c:v>83.959044368600615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4-655B-4703-B4C3-57C8BE6FA31A}"/>
                  </c:ext>
                </c:extLst>
              </c15:ser>
            </c15:filteredLineSeries>
            <c15:filteredLine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'Currency Chart'!$S$5</c15:sqref>
                        </c15:formulaRef>
                      </c:ext>
                    </c:extLst>
                    <c:strCache>
                      <c:ptCount val="1"/>
                      <c:pt idx="0">
                        <c:v>Renminbi</c:v>
                      </c:pt>
                    </c:strCache>
                  </c:strRef>
                </c:tx>
                <c:spPr>
                  <a:ln w="28575" cap="rnd">
                    <a:solidFill>
                      <a:schemeClr val="accent4"/>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Chart'!$S$6:$S$291</c15:sqref>
                        </c15:formulaRef>
                      </c:ext>
                    </c:extLst>
                    <c:numCache>
                      <c:formatCode>0</c:formatCode>
                      <c:ptCount val="286"/>
                      <c:pt idx="0" formatCode="General">
                        <c:v>100</c:v>
                      </c:pt>
                      <c:pt idx="1">
                        <c:v>100.16957668634593</c:v>
                      </c:pt>
                      <c:pt idx="2">
                        <c:v>100.18370807687475</c:v>
                      </c:pt>
                      <c:pt idx="3">
                        <c:v>100.54641376711467</c:v>
                      </c:pt>
                      <c:pt idx="4">
                        <c:v>100.40352970732319</c:v>
                      </c:pt>
                      <c:pt idx="5">
                        <c:v>100.43179248838085</c:v>
                      </c:pt>
                      <c:pt idx="6">
                        <c:v>100.48988820499936</c:v>
                      </c:pt>
                      <c:pt idx="7">
                        <c:v>100.27791734706693</c:v>
                      </c:pt>
                      <c:pt idx="8">
                        <c:v>100.37840723527192</c:v>
                      </c:pt>
                      <c:pt idx="9">
                        <c:v>100.43807310639363</c:v>
                      </c:pt>
                      <c:pt idx="10">
                        <c:v>100.43807310639363</c:v>
                      </c:pt>
                      <c:pt idx="11">
                        <c:v>100.57153623916589</c:v>
                      </c:pt>
                      <c:pt idx="12">
                        <c:v>100.44121341540003</c:v>
                      </c:pt>
                      <c:pt idx="13">
                        <c:v>101.23885190302721</c:v>
                      </c:pt>
                      <c:pt idx="14">
                        <c:v>101.31421931918096</c:v>
                      </c:pt>
                      <c:pt idx="15">
                        <c:v>101.52462002261019</c:v>
                      </c:pt>
                      <c:pt idx="16">
                        <c:v>101.76328350709706</c:v>
                      </c:pt>
                      <c:pt idx="17">
                        <c:v>101.63139052882799</c:v>
                      </c:pt>
                      <c:pt idx="18">
                        <c:v>101.59056651174473</c:v>
                      </c:pt>
                      <c:pt idx="19">
                        <c:v>101.34562240924504</c:v>
                      </c:pt>
                      <c:pt idx="20">
                        <c:v>101.36132395427707</c:v>
                      </c:pt>
                      <c:pt idx="21">
                        <c:v>101.48693631453331</c:v>
                      </c:pt>
                      <c:pt idx="22">
                        <c:v>101.3785956538123</c:v>
                      </c:pt>
                      <c:pt idx="23">
                        <c:v>101.55602311267425</c:v>
                      </c:pt>
                      <c:pt idx="24">
                        <c:v>101.62196960180879</c:v>
                      </c:pt>
                      <c:pt idx="25">
                        <c:v>101.4790855420173</c:v>
                      </c:pt>
                      <c:pt idx="26">
                        <c:v>101.67064439140808</c:v>
                      </c:pt>
                      <c:pt idx="27">
                        <c:v>101.61725913829916</c:v>
                      </c:pt>
                      <c:pt idx="28">
                        <c:v>101.89988694887572</c:v>
                      </c:pt>
                      <c:pt idx="29">
                        <c:v>101.72716995352337</c:v>
                      </c:pt>
                      <c:pt idx="30">
                        <c:v>101.66907423690488</c:v>
                      </c:pt>
                      <c:pt idx="31">
                        <c:v>101.56544403969346</c:v>
                      </c:pt>
                      <c:pt idx="32">
                        <c:v>101.57015450320309</c:v>
                      </c:pt>
                      <c:pt idx="33">
                        <c:v>101.38330611732192</c:v>
                      </c:pt>
                      <c:pt idx="34">
                        <c:v>101.72245949001379</c:v>
                      </c:pt>
                      <c:pt idx="35">
                        <c:v>101.89203617635972</c:v>
                      </c:pt>
                      <c:pt idx="36">
                        <c:v>101.81666876020597</c:v>
                      </c:pt>
                      <c:pt idx="37">
                        <c:v>101.53247079512622</c:v>
                      </c:pt>
                      <c:pt idx="38">
                        <c:v>101.58742620273833</c:v>
                      </c:pt>
                      <c:pt idx="39">
                        <c:v>101.75857304358748</c:v>
                      </c:pt>
                      <c:pt idx="40">
                        <c:v>101.78526567014191</c:v>
                      </c:pt>
                      <c:pt idx="41">
                        <c:v>102.22333877653558</c:v>
                      </c:pt>
                      <c:pt idx="42">
                        <c:v>101.91087803039817</c:v>
                      </c:pt>
                      <c:pt idx="43">
                        <c:v>101.3723150357995</c:v>
                      </c:pt>
                      <c:pt idx="44">
                        <c:v>101.44611229745004</c:v>
                      </c:pt>
                      <c:pt idx="45">
                        <c:v>101.46338399698529</c:v>
                      </c:pt>
                      <c:pt idx="46">
                        <c:v>101.58899635724153</c:v>
                      </c:pt>
                      <c:pt idx="47">
                        <c:v>101.51833940459738</c:v>
                      </c:pt>
                      <c:pt idx="48">
                        <c:v>101.44454214294684</c:v>
                      </c:pt>
                      <c:pt idx="49">
                        <c:v>101.78526567014192</c:v>
                      </c:pt>
                      <c:pt idx="50">
                        <c:v>101.83551061424441</c:v>
                      </c:pt>
                      <c:pt idx="51">
                        <c:v>101.8276598417284</c:v>
                      </c:pt>
                      <c:pt idx="52">
                        <c:v>101.71931918100739</c:v>
                      </c:pt>
                      <c:pt idx="53">
                        <c:v>101.71774902650419</c:v>
                      </c:pt>
                      <c:pt idx="54">
                        <c:v>101.69576686345934</c:v>
                      </c:pt>
                      <c:pt idx="55">
                        <c:v>101.65494284637606</c:v>
                      </c:pt>
                      <c:pt idx="56">
                        <c:v>101.83080015073483</c:v>
                      </c:pt>
                      <c:pt idx="57">
                        <c:v>101.81038814219319</c:v>
                      </c:pt>
                      <c:pt idx="58">
                        <c:v>101.96897374701672</c:v>
                      </c:pt>
                      <c:pt idx="59">
                        <c:v>102.07888456224094</c:v>
                      </c:pt>
                      <c:pt idx="60">
                        <c:v>101.75386258007791</c:v>
                      </c:pt>
                      <c:pt idx="61">
                        <c:v>101.60469790227361</c:v>
                      </c:pt>
                      <c:pt idx="62">
                        <c:v>101.67692500942097</c:v>
                      </c:pt>
                      <c:pt idx="63">
                        <c:v>101.76014319809073</c:v>
                      </c:pt>
                      <c:pt idx="64">
                        <c:v>101.60626805677681</c:v>
                      </c:pt>
                      <c:pt idx="65">
                        <c:v>101.52304986810705</c:v>
                      </c:pt>
                      <c:pt idx="66">
                        <c:v>101.43826152493409</c:v>
                      </c:pt>
                      <c:pt idx="67">
                        <c:v>101.40999874387643</c:v>
                      </c:pt>
                      <c:pt idx="68">
                        <c:v>101.36603441778675</c:v>
                      </c:pt>
                      <c:pt idx="69">
                        <c:v>101.31892978269065</c:v>
                      </c:pt>
                      <c:pt idx="70">
                        <c:v>101.34091194573548</c:v>
                      </c:pt>
                      <c:pt idx="71">
                        <c:v>101.52933048611986</c:v>
                      </c:pt>
                      <c:pt idx="72">
                        <c:v>101.4508227609597</c:v>
                      </c:pt>
                      <c:pt idx="73">
                        <c:v>101.29694761964579</c:v>
                      </c:pt>
                      <c:pt idx="74">
                        <c:v>101.18075618640876</c:v>
                      </c:pt>
                      <c:pt idx="75">
                        <c:v>101.29223715613618</c:v>
                      </c:pt>
                      <c:pt idx="76">
                        <c:v>101.08968722522297</c:v>
                      </c:pt>
                      <c:pt idx="77">
                        <c:v>100.99233764602438</c:v>
                      </c:pt>
                      <c:pt idx="78">
                        <c:v>101.37859565381235</c:v>
                      </c:pt>
                      <c:pt idx="79">
                        <c:v>101.51833940459744</c:v>
                      </c:pt>
                      <c:pt idx="80">
                        <c:v>101.51833940459744</c:v>
                      </c:pt>
                      <c:pt idx="81">
                        <c:v>101.51833940459744</c:v>
                      </c:pt>
                      <c:pt idx="82">
                        <c:v>101.40528828036683</c:v>
                      </c:pt>
                      <c:pt idx="83">
                        <c:v>101.41627936188924</c:v>
                      </c:pt>
                      <c:pt idx="84">
                        <c:v>101.52619017711345</c:v>
                      </c:pt>
                      <c:pt idx="85">
                        <c:v>101.36917472679315</c:v>
                      </c:pt>
                      <c:pt idx="86">
                        <c:v>101.42413013440525</c:v>
                      </c:pt>
                      <c:pt idx="87">
                        <c:v>101.59213666624798</c:v>
                      </c:pt>
                      <c:pt idx="88">
                        <c:v>101.1995980404472</c:v>
                      </c:pt>
                      <c:pt idx="89">
                        <c:v>101.1995980404472</c:v>
                      </c:pt>
                      <c:pt idx="90">
                        <c:v>101.1995980404472</c:v>
                      </c:pt>
                      <c:pt idx="91">
                        <c:v>101.1995980404472</c:v>
                      </c:pt>
                      <c:pt idx="92">
                        <c:v>101.1995980404472</c:v>
                      </c:pt>
                      <c:pt idx="93">
                        <c:v>101.1995980404472</c:v>
                      </c:pt>
                      <c:pt idx="94">
                        <c:v>101.17290541389275</c:v>
                      </c:pt>
                      <c:pt idx="95">
                        <c:v>101.27653561110415</c:v>
                      </c:pt>
                      <c:pt idx="96">
                        <c:v>101.2514131390529</c:v>
                      </c:pt>
                      <c:pt idx="97">
                        <c:v>100.9012686848386</c:v>
                      </c:pt>
                      <c:pt idx="98">
                        <c:v>101.08654691621656</c:v>
                      </c:pt>
                      <c:pt idx="99">
                        <c:v>101.02374073608844</c:v>
                      </c:pt>
                      <c:pt idx="100">
                        <c:v>100.94523301092829</c:v>
                      </c:pt>
                      <c:pt idx="101">
                        <c:v>100.21040070342923</c:v>
                      </c:pt>
                      <c:pt idx="102">
                        <c:v>100.38939831679438</c:v>
                      </c:pt>
                      <c:pt idx="103">
                        <c:v>100.37212661725914</c:v>
                      </c:pt>
                      <c:pt idx="104">
                        <c:v>100.23709332998367</c:v>
                      </c:pt>
                      <c:pt idx="105">
                        <c:v>100.26378595653813</c:v>
                      </c:pt>
                      <c:pt idx="106">
                        <c:v>100.2072603944228</c:v>
                      </c:pt>
                      <c:pt idx="107">
                        <c:v>100.3564250722271</c:v>
                      </c:pt>
                      <c:pt idx="108">
                        <c:v>100.35956538123352</c:v>
                      </c:pt>
                      <c:pt idx="109">
                        <c:v>100.56839593015955</c:v>
                      </c:pt>
                      <c:pt idx="110">
                        <c:v>100.44592387890971</c:v>
                      </c:pt>
                      <c:pt idx="111">
                        <c:v>100.48203743248339</c:v>
                      </c:pt>
                      <c:pt idx="112">
                        <c:v>100.5856676296948</c:v>
                      </c:pt>
                      <c:pt idx="113">
                        <c:v>100.44278356990331</c:v>
                      </c:pt>
                      <c:pt idx="114">
                        <c:v>100.45848511493534</c:v>
                      </c:pt>
                      <c:pt idx="115">
                        <c:v>100.3360130636855</c:v>
                      </c:pt>
                      <c:pt idx="116">
                        <c:v>100.35799522673035</c:v>
                      </c:pt>
                      <c:pt idx="117">
                        <c:v>100.30460997362144</c:v>
                      </c:pt>
                      <c:pt idx="118">
                        <c:v>100.32973244567269</c:v>
                      </c:pt>
                      <c:pt idx="119">
                        <c:v>100.15544529581715</c:v>
                      </c:pt>
                      <c:pt idx="120">
                        <c:v>100.21354101243566</c:v>
                      </c:pt>
                      <c:pt idx="121">
                        <c:v>100.36270569023995</c:v>
                      </c:pt>
                      <c:pt idx="122">
                        <c:v>100.1366034417787</c:v>
                      </c:pt>
                      <c:pt idx="123">
                        <c:v>100.25593518402214</c:v>
                      </c:pt>
                      <c:pt idx="124">
                        <c:v>100.27477703806056</c:v>
                      </c:pt>
                      <c:pt idx="125">
                        <c:v>100.24180379349329</c:v>
                      </c:pt>
                      <c:pt idx="126">
                        <c:v>100.34857429971109</c:v>
                      </c:pt>
                      <c:pt idx="127">
                        <c:v>100.35956538123352</c:v>
                      </c:pt>
                      <c:pt idx="128">
                        <c:v>100.27006657455094</c:v>
                      </c:pt>
                      <c:pt idx="129">
                        <c:v>100.37055646275593</c:v>
                      </c:pt>
                      <c:pt idx="130">
                        <c:v>100.29361889209898</c:v>
                      </c:pt>
                      <c:pt idx="131">
                        <c:v>99.924632583846247</c:v>
                      </c:pt>
                      <c:pt idx="132">
                        <c:v>99.976447682451962</c:v>
                      </c:pt>
                      <c:pt idx="133">
                        <c:v>100.11776158774023</c:v>
                      </c:pt>
                      <c:pt idx="134">
                        <c:v>100.10991081522423</c:v>
                      </c:pt>
                      <c:pt idx="135">
                        <c:v>100.10677050621783</c:v>
                      </c:pt>
                      <c:pt idx="136">
                        <c:v>99.951325210400725</c:v>
                      </c:pt>
                      <c:pt idx="137">
                        <c:v>99.602750910689622</c:v>
                      </c:pt>
                      <c:pt idx="138">
                        <c:v>100.13189297826908</c:v>
                      </c:pt>
                      <c:pt idx="139">
                        <c:v>99.995289536490404</c:v>
                      </c:pt>
                      <c:pt idx="140">
                        <c:v>99.908931038814245</c:v>
                      </c:pt>
                      <c:pt idx="141">
                        <c:v>99.973307373445564</c:v>
                      </c:pt>
                      <c:pt idx="142">
                        <c:v>99.97644768245199</c:v>
                      </c:pt>
                      <c:pt idx="143">
                        <c:v>99.978017836955189</c:v>
                      </c:pt>
                      <c:pt idx="144">
                        <c:v>100.09420927019222</c:v>
                      </c:pt>
                      <c:pt idx="145">
                        <c:v>100.10677050621787</c:v>
                      </c:pt>
                      <c:pt idx="146">
                        <c:v>100.04396432608975</c:v>
                      </c:pt>
                      <c:pt idx="147">
                        <c:v>100.01099108152249</c:v>
                      </c:pt>
                      <c:pt idx="148">
                        <c:v>100.01256123602569</c:v>
                      </c:pt>
                      <c:pt idx="149">
                        <c:v>99.97487752794882</c:v>
                      </c:pt>
                      <c:pt idx="150">
                        <c:v>100.02669262655452</c:v>
                      </c:pt>
                      <c:pt idx="151">
                        <c:v>99.993719381987262</c:v>
                      </c:pt>
                      <c:pt idx="152">
                        <c:v>99.987438763974453</c:v>
                      </c:pt>
                      <c:pt idx="153">
                        <c:v>100.00471046350968</c:v>
                      </c:pt>
                      <c:pt idx="154">
                        <c:v>99.737784197965141</c:v>
                      </c:pt>
                      <c:pt idx="155">
                        <c:v>99.737784197965141</c:v>
                      </c:pt>
                      <c:pt idx="156">
                        <c:v>100.05181509860574</c:v>
                      </c:pt>
                      <c:pt idx="157">
                        <c:v>99.924632583846289</c:v>
                      </c:pt>
                      <c:pt idx="158">
                        <c:v>100.21040070342926</c:v>
                      </c:pt>
                      <c:pt idx="159">
                        <c:v>100.12718251475948</c:v>
                      </c:pt>
                      <c:pt idx="160">
                        <c:v>100.10677050621784</c:v>
                      </c:pt>
                      <c:pt idx="161">
                        <c:v>100.07379726165057</c:v>
                      </c:pt>
                      <c:pt idx="162">
                        <c:v>99.83042331365408</c:v>
                      </c:pt>
                      <c:pt idx="163">
                        <c:v>99.853975631202118</c:v>
                      </c:pt>
                      <c:pt idx="164">
                        <c:v>99.742494661474709</c:v>
                      </c:pt>
                      <c:pt idx="165">
                        <c:v>99.676548172340176</c:v>
                      </c:pt>
                      <c:pt idx="166">
                        <c:v>99.744064815977893</c:v>
                      </c:pt>
                      <c:pt idx="167">
                        <c:v>99.621592764728049</c:v>
                      </c:pt>
                      <c:pt idx="168">
                        <c:v>99.55721643009673</c:v>
                      </c:pt>
                      <c:pt idx="169">
                        <c:v>99.524243185529457</c:v>
                      </c:pt>
                      <c:pt idx="170">
                        <c:v>99.397060670770003</c:v>
                      </c:pt>
                      <c:pt idx="171">
                        <c:v>99.323263409119463</c:v>
                      </c:pt>
                      <c:pt idx="172">
                        <c:v>99.243185529456099</c:v>
                      </c:pt>
                      <c:pt idx="173">
                        <c:v>99.929343047355871</c:v>
                      </c:pt>
                      <c:pt idx="174">
                        <c:v>99.869677176234148</c:v>
                      </c:pt>
                      <c:pt idx="175">
                        <c:v>99.869677176234148</c:v>
                      </c:pt>
                      <c:pt idx="176">
                        <c:v>99.869677176234148</c:v>
                      </c:pt>
                      <c:pt idx="177">
                        <c:v>99.869677176234148</c:v>
                      </c:pt>
                      <c:pt idx="178">
                        <c:v>99.869677176234148</c:v>
                      </c:pt>
                      <c:pt idx="179">
                        <c:v>99.869677176234148</c:v>
                      </c:pt>
                      <c:pt idx="180">
                        <c:v>99.835133777163676</c:v>
                      </c:pt>
                      <c:pt idx="181">
                        <c:v>99.956035673910321</c:v>
                      </c:pt>
                      <c:pt idx="182">
                        <c:v>99.891659339279002</c:v>
                      </c:pt>
                      <c:pt idx="183">
                        <c:v>99.745634970481106</c:v>
                      </c:pt>
                      <c:pt idx="184">
                        <c:v>99.76761713352596</c:v>
                      </c:pt>
                      <c:pt idx="185">
                        <c:v>99.81001130511244</c:v>
                      </c:pt>
                      <c:pt idx="186">
                        <c:v>99.524243185529471</c:v>
                      </c:pt>
                      <c:pt idx="187">
                        <c:v>99.441024996859696</c:v>
                      </c:pt>
                      <c:pt idx="188">
                        <c:v>99.517962567516648</c:v>
                      </c:pt>
                      <c:pt idx="189">
                        <c:v>99.313842482100242</c:v>
                      </c:pt>
                      <c:pt idx="190">
                        <c:v>99.461437005401336</c:v>
                      </c:pt>
                      <c:pt idx="191">
                        <c:v>99.327973872629059</c:v>
                      </c:pt>
                      <c:pt idx="192">
                        <c:v>99.130134405225476</c:v>
                      </c:pt>
                      <c:pt idx="193">
                        <c:v>99.364087426202744</c:v>
                      </c:pt>
                      <c:pt idx="194">
                        <c:v>99.185089812837603</c:v>
                      </c:pt>
                      <c:pt idx="195">
                        <c:v>99.051626680065326</c:v>
                      </c:pt>
                      <c:pt idx="196">
                        <c:v>99.101871624167828</c:v>
                      </c:pt>
                      <c:pt idx="197">
                        <c:v>99.249466147468908</c:v>
                      </c:pt>
                      <c:pt idx="198">
                        <c:v>99.225913829920856</c:v>
                      </c:pt>
                      <c:pt idx="199">
                        <c:v>99.21492274839845</c:v>
                      </c:pt>
                      <c:pt idx="200">
                        <c:v>99.224343675417671</c:v>
                      </c:pt>
                      <c:pt idx="201">
                        <c:v>99.19922120336642</c:v>
                      </c:pt>
                      <c:pt idx="202">
                        <c:v>99.192940585353611</c:v>
                      </c:pt>
                      <c:pt idx="203">
                        <c:v>99.252606456475334</c:v>
                      </c:pt>
                      <c:pt idx="204">
                        <c:v>99.530523803542266</c:v>
                      </c:pt>
                      <c:pt idx="205">
                        <c:v>99.872817485240546</c:v>
                      </c:pt>
                      <c:pt idx="206">
                        <c:v>100.01256123602563</c:v>
                      </c:pt>
                      <c:pt idx="207">
                        <c:v>99.720512498429855</c:v>
                      </c:pt>
                      <c:pt idx="208">
                        <c:v>99.640434618766491</c:v>
                      </c:pt>
                      <c:pt idx="209">
                        <c:v>99.875957794246943</c:v>
                      </c:pt>
                      <c:pt idx="210">
                        <c:v>99.786458987564359</c:v>
                      </c:pt>
                      <c:pt idx="211">
                        <c:v>99.956035673910307</c:v>
                      </c:pt>
                      <c:pt idx="212">
                        <c:v>100.05024494410249</c:v>
                      </c:pt>
                      <c:pt idx="213">
                        <c:v>99.971737218942337</c:v>
                      </c:pt>
                      <c:pt idx="214">
                        <c:v>99.95289536490391</c:v>
                      </c:pt>
                      <c:pt idx="215">
                        <c:v>100.04082401708328</c:v>
                      </c:pt>
                      <c:pt idx="216">
                        <c:v>99.864966712724524</c:v>
                      </c:pt>
                      <c:pt idx="217">
                        <c:v>99.65770631830172</c:v>
                      </c:pt>
                      <c:pt idx="218">
                        <c:v>99.536804421555061</c:v>
                      </c:pt>
                      <c:pt idx="219">
                        <c:v>99.90108026629818</c:v>
                      </c:pt>
                      <c:pt idx="220">
                        <c:v>99.90108026629818</c:v>
                      </c:pt>
                      <c:pt idx="221">
                        <c:v>99.90108026629818</c:v>
                      </c:pt>
                      <c:pt idx="222">
                        <c:v>99.846124858686082</c:v>
                      </c:pt>
                      <c:pt idx="223">
                        <c:v>99.805300841602801</c:v>
                      </c:pt>
                      <c:pt idx="224">
                        <c:v>99.877527948750142</c:v>
                      </c:pt>
                      <c:pt idx="225">
                        <c:v>99.956035673910293</c:v>
                      </c:pt>
                      <c:pt idx="226">
                        <c:v>99.941904283381476</c:v>
                      </c:pt>
                      <c:pt idx="227">
                        <c:v>99.984298454967956</c:v>
                      </c:pt>
                      <c:pt idx="228">
                        <c:v>100.13660344177868</c:v>
                      </c:pt>
                      <c:pt idx="229">
                        <c:v>100.02669262655445</c:v>
                      </c:pt>
                      <c:pt idx="230">
                        <c:v>99.908931038814231</c:v>
                      </c:pt>
                      <c:pt idx="231">
                        <c:v>100.37997738977515</c:v>
                      </c:pt>
                      <c:pt idx="232">
                        <c:v>100.78507725160156</c:v>
                      </c:pt>
                      <c:pt idx="233">
                        <c:v>101.27496545660094</c:v>
                      </c:pt>
                      <c:pt idx="234">
                        <c:v>102.07574425323453</c:v>
                      </c:pt>
                      <c:pt idx="235">
                        <c:v>102.97858309257633</c:v>
                      </c:pt>
                      <c:pt idx="236">
                        <c:v>102.92676799397063</c:v>
                      </c:pt>
                      <c:pt idx="237">
                        <c:v>102.99428463760836</c:v>
                      </c:pt>
                      <c:pt idx="238">
                        <c:v>104.01174475568399</c:v>
                      </c:pt>
                      <c:pt idx="239">
                        <c:v>103.75580957166187</c:v>
                      </c:pt>
                      <c:pt idx="240">
                        <c:v>103.75580957166187</c:v>
                      </c:pt>
                      <c:pt idx="241">
                        <c:v>103.75580957166187</c:v>
                      </c:pt>
                      <c:pt idx="242">
                        <c:v>103.75580957166187</c:v>
                      </c:pt>
                      <c:pt idx="243">
                        <c:v>104.47022987061931</c:v>
                      </c:pt>
                      <c:pt idx="244">
                        <c:v>104.65236779299087</c:v>
                      </c:pt>
                      <c:pt idx="245">
                        <c:v>105.66354729305368</c:v>
                      </c:pt>
                      <c:pt idx="246">
                        <c:v>105.73891470920744</c:v>
                      </c:pt>
                      <c:pt idx="247">
                        <c:v>105.49240045220455</c:v>
                      </c:pt>
                      <c:pt idx="248">
                        <c:v>106.55068458736343</c:v>
                      </c:pt>
                      <c:pt idx="249">
                        <c:v>106.58208767742752</c:v>
                      </c:pt>
                      <c:pt idx="250">
                        <c:v>106.49101871624173</c:v>
                      </c:pt>
                      <c:pt idx="251">
                        <c:v>105.72949378218821</c:v>
                      </c:pt>
                      <c:pt idx="252">
                        <c:v>106.04823514633844</c:v>
                      </c:pt>
                      <c:pt idx="253">
                        <c:v>105.33381484738102</c:v>
                      </c:pt>
                      <c:pt idx="254">
                        <c:v>105.07630950885572</c:v>
                      </c:pt>
                      <c:pt idx="255">
                        <c:v>104.39957291797518</c:v>
                      </c:pt>
                      <c:pt idx="256">
                        <c:v>104.46237909810328</c:v>
                      </c:pt>
                      <c:pt idx="257">
                        <c:v>105.06845873633969</c:v>
                      </c:pt>
                      <c:pt idx="258">
                        <c:v>105.79701042582595</c:v>
                      </c:pt>
                      <c:pt idx="259">
                        <c:v>105.1689486245447</c:v>
                      </c:pt>
                      <c:pt idx="260">
                        <c:v>104.5675794498179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5-655B-4703-B4C3-57C8BE6FA31A}"/>
                  </c:ext>
                </c:extLst>
              </c15:ser>
            </c15:filteredLineSeries>
            <c15:filteredLine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'Currency Chart'!$T$5</c15:sqref>
                        </c15:formulaRef>
                      </c:ext>
                    </c:extLst>
                    <c:strCache>
                      <c:ptCount val="1"/>
                      <c:pt idx="0">
                        <c:v>Rand</c:v>
                      </c:pt>
                    </c:strCache>
                  </c:strRef>
                </c:tx>
                <c:spPr>
                  <a:ln w="28575" cap="rnd">
                    <a:solidFill>
                      <a:schemeClr val="accent5"/>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Chart'!$T$6:$T$291</c15:sqref>
                        </c15:formulaRef>
                      </c:ext>
                    </c:extLst>
                    <c:numCache>
                      <c:formatCode>0</c:formatCode>
                      <c:ptCount val="286"/>
                      <c:pt idx="0" formatCode="General">
                        <c:v>100</c:v>
                      </c:pt>
                      <c:pt idx="1">
                        <c:v>100.20119110968562</c:v>
                      </c:pt>
                      <c:pt idx="2">
                        <c:v>98.493982490541839</c:v>
                      </c:pt>
                      <c:pt idx="3">
                        <c:v>99.357063192961249</c:v>
                      </c:pt>
                      <c:pt idx="4">
                        <c:v>97.931959499354889</c:v>
                      </c:pt>
                      <c:pt idx="5">
                        <c:v>98.335799625318018</c:v>
                      </c:pt>
                      <c:pt idx="6">
                        <c:v>98.886888317065527</c:v>
                      </c:pt>
                      <c:pt idx="7">
                        <c:v>100.23545191459584</c:v>
                      </c:pt>
                      <c:pt idx="8">
                        <c:v>99.099013726190563</c:v>
                      </c:pt>
                      <c:pt idx="9">
                        <c:v>99.690194849216013</c:v>
                      </c:pt>
                      <c:pt idx="10">
                        <c:v>100.34042118921441</c:v>
                      </c:pt>
                      <c:pt idx="11">
                        <c:v>100.30907619748803</c:v>
                      </c:pt>
                      <c:pt idx="12">
                        <c:v>102.12052513795442</c:v>
                      </c:pt>
                      <c:pt idx="13">
                        <c:v>102.57830780781876</c:v>
                      </c:pt>
                      <c:pt idx="14">
                        <c:v>104.82785767915851</c:v>
                      </c:pt>
                      <c:pt idx="15">
                        <c:v>103.72713820225539</c:v>
                      </c:pt>
                      <c:pt idx="16">
                        <c:v>103.96696383662699</c:v>
                      </c:pt>
                      <c:pt idx="17">
                        <c:v>103.56603952384771</c:v>
                      </c:pt>
                      <c:pt idx="18">
                        <c:v>103.44794908990181</c:v>
                      </c:pt>
                      <c:pt idx="19">
                        <c:v>103.08274348862467</c:v>
                      </c:pt>
                      <c:pt idx="20">
                        <c:v>103.76650168023734</c:v>
                      </c:pt>
                      <c:pt idx="21">
                        <c:v>104.58001355853131</c:v>
                      </c:pt>
                      <c:pt idx="22">
                        <c:v>104.00414045472107</c:v>
                      </c:pt>
                      <c:pt idx="23">
                        <c:v>105.09611249207263</c:v>
                      </c:pt>
                      <c:pt idx="24">
                        <c:v>103.87803153451958</c:v>
                      </c:pt>
                      <c:pt idx="25">
                        <c:v>103.93488989160466</c:v>
                      </c:pt>
                      <c:pt idx="26">
                        <c:v>104.81692337971907</c:v>
                      </c:pt>
                      <c:pt idx="27">
                        <c:v>104.27385317422716</c:v>
                      </c:pt>
                      <c:pt idx="28">
                        <c:v>104.47139951743293</c:v>
                      </c:pt>
                      <c:pt idx="29">
                        <c:v>103.32621388947611</c:v>
                      </c:pt>
                      <c:pt idx="30">
                        <c:v>105.011553909741</c:v>
                      </c:pt>
                      <c:pt idx="31">
                        <c:v>107.35951247603566</c:v>
                      </c:pt>
                      <c:pt idx="32">
                        <c:v>105.74998359855084</c:v>
                      </c:pt>
                      <c:pt idx="33">
                        <c:v>106.11373129323604</c:v>
                      </c:pt>
                      <c:pt idx="34">
                        <c:v>104.86576325054853</c:v>
                      </c:pt>
                      <c:pt idx="35">
                        <c:v>106.17058965032111</c:v>
                      </c:pt>
                      <c:pt idx="36">
                        <c:v>106.43009702368369</c:v>
                      </c:pt>
                      <c:pt idx="37">
                        <c:v>106.39656517206942</c:v>
                      </c:pt>
                      <c:pt idx="38">
                        <c:v>107.03221244614858</c:v>
                      </c:pt>
                      <c:pt idx="39">
                        <c:v>108.19489295320849</c:v>
                      </c:pt>
                      <c:pt idx="40">
                        <c:v>107.93538557984591</c:v>
                      </c:pt>
                      <c:pt idx="41">
                        <c:v>107.73273656356838</c:v>
                      </c:pt>
                      <c:pt idx="42">
                        <c:v>107.69920471195411</c:v>
                      </c:pt>
                      <c:pt idx="43">
                        <c:v>106.0583308427429</c:v>
                      </c:pt>
                      <c:pt idx="44">
                        <c:v>106.15163686462608</c:v>
                      </c:pt>
                      <c:pt idx="45">
                        <c:v>105.3672831181706</c:v>
                      </c:pt>
                      <c:pt idx="46">
                        <c:v>104.30446921265754</c:v>
                      </c:pt>
                      <c:pt idx="47">
                        <c:v>104.71559887158028</c:v>
                      </c:pt>
                      <c:pt idx="48">
                        <c:v>105.71936756012042</c:v>
                      </c:pt>
                      <c:pt idx="49">
                        <c:v>106.37396761989459</c:v>
                      </c:pt>
                      <c:pt idx="50">
                        <c:v>107.72690493720064</c:v>
                      </c:pt>
                      <c:pt idx="51">
                        <c:v>107.82385572556363</c:v>
                      </c:pt>
                      <c:pt idx="52">
                        <c:v>106.79967634473655</c:v>
                      </c:pt>
                      <c:pt idx="53">
                        <c:v>107.72471807731276</c:v>
                      </c:pt>
                      <c:pt idx="54">
                        <c:v>107.30702783872636</c:v>
                      </c:pt>
                      <c:pt idx="55">
                        <c:v>108.11689495054048</c:v>
                      </c:pt>
                      <c:pt idx="56">
                        <c:v>108.56520122755731</c:v>
                      </c:pt>
                      <c:pt idx="57">
                        <c:v>108.89468811733229</c:v>
                      </c:pt>
                      <c:pt idx="58">
                        <c:v>110.81037737912129</c:v>
                      </c:pt>
                      <c:pt idx="59">
                        <c:v>111.48830394436625</c:v>
                      </c:pt>
                      <c:pt idx="60">
                        <c:v>110.19368289073716</c:v>
                      </c:pt>
                      <c:pt idx="61">
                        <c:v>109.35465764708452</c:v>
                      </c:pt>
                      <c:pt idx="62">
                        <c:v>108.97414402659219</c:v>
                      </c:pt>
                      <c:pt idx="63">
                        <c:v>108.77003710372274</c:v>
                      </c:pt>
                      <c:pt idx="64">
                        <c:v>107.27495389370401</c:v>
                      </c:pt>
                      <c:pt idx="65">
                        <c:v>106.8805901605884</c:v>
                      </c:pt>
                      <c:pt idx="66">
                        <c:v>105.77987068368527</c:v>
                      </c:pt>
                      <c:pt idx="67">
                        <c:v>105.02977774214004</c:v>
                      </c:pt>
                      <c:pt idx="68">
                        <c:v>105.34541451929172</c:v>
                      </c:pt>
                      <c:pt idx="69">
                        <c:v>104.31175874561714</c:v>
                      </c:pt>
                      <c:pt idx="70">
                        <c:v>103.68996158416128</c:v>
                      </c:pt>
                      <c:pt idx="71">
                        <c:v>104.25635829512399</c:v>
                      </c:pt>
                      <c:pt idx="72">
                        <c:v>103.3699510872338</c:v>
                      </c:pt>
                      <c:pt idx="73">
                        <c:v>103.50991012005858</c:v>
                      </c:pt>
                      <c:pt idx="74">
                        <c:v>103.49897582061914</c:v>
                      </c:pt>
                      <c:pt idx="75">
                        <c:v>103.14397556548549</c:v>
                      </c:pt>
                      <c:pt idx="76">
                        <c:v>104.38028035543761</c:v>
                      </c:pt>
                      <c:pt idx="77">
                        <c:v>105.01811448940465</c:v>
                      </c:pt>
                      <c:pt idx="78">
                        <c:v>106.36522018034303</c:v>
                      </c:pt>
                      <c:pt idx="79">
                        <c:v>107.02856767966874</c:v>
                      </c:pt>
                      <c:pt idx="80">
                        <c:v>107.77574480803013</c:v>
                      </c:pt>
                      <c:pt idx="81">
                        <c:v>108.06441031323121</c:v>
                      </c:pt>
                      <c:pt idx="82">
                        <c:v>107.81365037942017</c:v>
                      </c:pt>
                      <c:pt idx="83">
                        <c:v>107.43896838529552</c:v>
                      </c:pt>
                      <c:pt idx="84">
                        <c:v>108.9180146228031</c:v>
                      </c:pt>
                      <c:pt idx="85">
                        <c:v>109.02444180401359</c:v>
                      </c:pt>
                      <c:pt idx="86">
                        <c:v>110.01727619311427</c:v>
                      </c:pt>
                      <c:pt idx="87">
                        <c:v>110.62303638205897</c:v>
                      </c:pt>
                      <c:pt idx="88">
                        <c:v>109.98738910797982</c:v>
                      </c:pt>
                      <c:pt idx="89">
                        <c:v>108.38223395027077</c:v>
                      </c:pt>
                      <c:pt idx="90">
                        <c:v>109.51648527878814</c:v>
                      </c:pt>
                      <c:pt idx="91">
                        <c:v>109.25843581201748</c:v>
                      </c:pt>
                      <c:pt idx="92">
                        <c:v>109.07911330121075</c:v>
                      </c:pt>
                      <c:pt idx="93">
                        <c:v>108.83272708717548</c:v>
                      </c:pt>
                      <c:pt idx="94">
                        <c:v>109.00184425183876</c:v>
                      </c:pt>
                      <c:pt idx="95">
                        <c:v>109.73881603405665</c:v>
                      </c:pt>
                      <c:pt idx="96">
                        <c:v>109.16440083683834</c:v>
                      </c:pt>
                      <c:pt idx="97">
                        <c:v>107.91351698096699</c:v>
                      </c:pt>
                      <c:pt idx="98">
                        <c:v>107.77282899484625</c:v>
                      </c:pt>
                      <c:pt idx="99">
                        <c:v>106.38563087262995</c:v>
                      </c:pt>
                      <c:pt idx="100">
                        <c:v>107.02200710000506</c:v>
                      </c:pt>
                      <c:pt idx="101">
                        <c:v>105.86151345283302</c:v>
                      </c:pt>
                      <c:pt idx="102">
                        <c:v>104.91460312137797</c:v>
                      </c:pt>
                      <c:pt idx="103">
                        <c:v>106.91922468527437</c:v>
                      </c:pt>
                      <c:pt idx="104">
                        <c:v>108.01265462921786</c:v>
                      </c:pt>
                      <c:pt idx="105">
                        <c:v>107.18966635807638</c:v>
                      </c:pt>
                      <c:pt idx="106">
                        <c:v>107.89310628868003</c:v>
                      </c:pt>
                      <c:pt idx="107">
                        <c:v>109.90793319871992</c:v>
                      </c:pt>
                      <c:pt idx="108">
                        <c:v>110.30156797853958</c:v>
                      </c:pt>
                      <c:pt idx="109">
                        <c:v>110.82860121152034</c:v>
                      </c:pt>
                      <c:pt idx="110">
                        <c:v>112.38418754510394</c:v>
                      </c:pt>
                      <c:pt idx="111">
                        <c:v>112.49061472631445</c:v>
                      </c:pt>
                      <c:pt idx="112">
                        <c:v>111.23025447759558</c:v>
                      </c:pt>
                      <c:pt idx="113">
                        <c:v>110.85557248347094</c:v>
                      </c:pt>
                      <c:pt idx="114">
                        <c:v>109.71038685551413</c:v>
                      </c:pt>
                      <c:pt idx="115">
                        <c:v>108.67454422195168</c:v>
                      </c:pt>
                      <c:pt idx="116">
                        <c:v>109.41005809757766</c:v>
                      </c:pt>
                      <c:pt idx="117">
                        <c:v>112.36304789952106</c:v>
                      </c:pt>
                      <c:pt idx="118">
                        <c:v>111.5145462630209</c:v>
                      </c:pt>
                      <c:pt idx="119">
                        <c:v>111.76967991660773</c:v>
                      </c:pt>
                      <c:pt idx="120">
                        <c:v>111.0115684888069</c:v>
                      </c:pt>
                      <c:pt idx="121">
                        <c:v>113.02493749225486</c:v>
                      </c:pt>
                      <c:pt idx="122">
                        <c:v>112.9389210033313</c:v>
                      </c:pt>
                      <c:pt idx="123">
                        <c:v>113.51843887362135</c:v>
                      </c:pt>
                      <c:pt idx="124">
                        <c:v>114.57469219947076</c:v>
                      </c:pt>
                      <c:pt idx="125">
                        <c:v>115.54128426991682</c:v>
                      </c:pt>
                      <c:pt idx="126">
                        <c:v>115.38164349810106</c:v>
                      </c:pt>
                      <c:pt idx="127">
                        <c:v>115.85400523388465</c:v>
                      </c:pt>
                      <c:pt idx="128">
                        <c:v>116.32636696966824</c:v>
                      </c:pt>
                      <c:pt idx="129">
                        <c:v>118.8390689808504</c:v>
                      </c:pt>
                      <c:pt idx="130">
                        <c:v>117.66836998753489</c:v>
                      </c:pt>
                      <c:pt idx="131">
                        <c:v>115.71040143458008</c:v>
                      </c:pt>
                      <c:pt idx="132">
                        <c:v>116.84829752957725</c:v>
                      </c:pt>
                      <c:pt idx="133">
                        <c:v>116.11278365395127</c:v>
                      </c:pt>
                      <c:pt idx="134">
                        <c:v>117.19236348527146</c:v>
                      </c:pt>
                      <c:pt idx="135">
                        <c:v>115.77309141803281</c:v>
                      </c:pt>
                      <c:pt idx="136">
                        <c:v>115.46328626724883</c:v>
                      </c:pt>
                      <c:pt idx="137">
                        <c:v>114.40776189469538</c:v>
                      </c:pt>
                      <c:pt idx="138">
                        <c:v>116.04936471720252</c:v>
                      </c:pt>
                      <c:pt idx="139">
                        <c:v>116.44372845031813</c:v>
                      </c:pt>
                      <c:pt idx="140">
                        <c:v>116.78925231260426</c:v>
                      </c:pt>
                      <c:pt idx="141">
                        <c:v>117.28275369397078</c:v>
                      </c:pt>
                      <c:pt idx="142">
                        <c:v>116.41675717836752</c:v>
                      </c:pt>
                      <c:pt idx="143">
                        <c:v>116.15360503852511</c:v>
                      </c:pt>
                      <c:pt idx="144">
                        <c:v>115.71404620105983</c:v>
                      </c:pt>
                      <c:pt idx="145">
                        <c:v>114.85825503160007</c:v>
                      </c:pt>
                      <c:pt idx="146">
                        <c:v>115.4902575391994</c:v>
                      </c:pt>
                      <c:pt idx="147">
                        <c:v>114.35090353761029</c:v>
                      </c:pt>
                      <c:pt idx="148">
                        <c:v>114.11982534279024</c:v>
                      </c:pt>
                      <c:pt idx="149">
                        <c:v>113.37775088750058</c:v>
                      </c:pt>
                      <c:pt idx="150">
                        <c:v>113.234147088196</c:v>
                      </c:pt>
                      <c:pt idx="151">
                        <c:v>114.84950759204851</c:v>
                      </c:pt>
                      <c:pt idx="152">
                        <c:v>116.12153109350278</c:v>
                      </c:pt>
                      <c:pt idx="153">
                        <c:v>116.06394378312176</c:v>
                      </c:pt>
                      <c:pt idx="154">
                        <c:v>116.57494004359134</c:v>
                      </c:pt>
                      <c:pt idx="155">
                        <c:v>115.70529876150827</c:v>
                      </c:pt>
                      <c:pt idx="156">
                        <c:v>116.66678815888257</c:v>
                      </c:pt>
                      <c:pt idx="157">
                        <c:v>115.87587383276345</c:v>
                      </c:pt>
                      <c:pt idx="158">
                        <c:v>114.64612962247499</c:v>
                      </c:pt>
                      <c:pt idx="159">
                        <c:v>113.62559500812773</c:v>
                      </c:pt>
                      <c:pt idx="160">
                        <c:v>114.14606766144482</c:v>
                      </c:pt>
                      <c:pt idx="161">
                        <c:v>113.16999919815127</c:v>
                      </c:pt>
                      <c:pt idx="162">
                        <c:v>111.48611708447831</c:v>
                      </c:pt>
                      <c:pt idx="163">
                        <c:v>112.25589176501451</c:v>
                      </c:pt>
                      <c:pt idx="164">
                        <c:v>112.14654877062017</c:v>
                      </c:pt>
                      <c:pt idx="165">
                        <c:v>112.11083005911802</c:v>
                      </c:pt>
                      <c:pt idx="166">
                        <c:v>113.0030688933759</c:v>
                      </c:pt>
                      <c:pt idx="167">
                        <c:v>111.72156899907412</c:v>
                      </c:pt>
                      <c:pt idx="168">
                        <c:v>110.81256423900909</c:v>
                      </c:pt>
                      <c:pt idx="169">
                        <c:v>110.0289394458496</c:v>
                      </c:pt>
                      <c:pt idx="170">
                        <c:v>111.26961795557749</c:v>
                      </c:pt>
                      <c:pt idx="171">
                        <c:v>110.93429943943481</c:v>
                      </c:pt>
                      <c:pt idx="172">
                        <c:v>111.7565587572803</c:v>
                      </c:pt>
                      <c:pt idx="173">
                        <c:v>112.6932637425919</c:v>
                      </c:pt>
                      <c:pt idx="174">
                        <c:v>113.57383932411439</c:v>
                      </c:pt>
                      <c:pt idx="175">
                        <c:v>112.1188485453736</c:v>
                      </c:pt>
                      <c:pt idx="176">
                        <c:v>111.22223599133993</c:v>
                      </c:pt>
                      <c:pt idx="177">
                        <c:v>111.77769840286322</c:v>
                      </c:pt>
                      <c:pt idx="178">
                        <c:v>111.19526471938931</c:v>
                      </c:pt>
                      <c:pt idx="179">
                        <c:v>112.86821253362285</c:v>
                      </c:pt>
                      <c:pt idx="180">
                        <c:v>113.06065620375691</c:v>
                      </c:pt>
                      <c:pt idx="181">
                        <c:v>111.8105013011815</c:v>
                      </c:pt>
                      <c:pt idx="182">
                        <c:v>110.85046981039912</c:v>
                      </c:pt>
                      <c:pt idx="183">
                        <c:v>110.51952501403223</c:v>
                      </c:pt>
                      <c:pt idx="184">
                        <c:v>110.80600365934541</c:v>
                      </c:pt>
                      <c:pt idx="185">
                        <c:v>110.20680405006438</c:v>
                      </c:pt>
                      <c:pt idx="186">
                        <c:v>110.13099290728431</c:v>
                      </c:pt>
                      <c:pt idx="187">
                        <c:v>109.25406209224163</c:v>
                      </c:pt>
                      <c:pt idx="188">
                        <c:v>109.25114627905776</c:v>
                      </c:pt>
                      <c:pt idx="189">
                        <c:v>109.9144937783835</c:v>
                      </c:pt>
                      <c:pt idx="190">
                        <c:v>110.24106485497462</c:v>
                      </c:pt>
                      <c:pt idx="191">
                        <c:v>109.74975033349601</c:v>
                      </c:pt>
                      <c:pt idx="192">
                        <c:v>110.12370337432468</c:v>
                      </c:pt>
                      <c:pt idx="193">
                        <c:v>111.93369440819913</c:v>
                      </c:pt>
                      <c:pt idx="194">
                        <c:v>110.349678896073</c:v>
                      </c:pt>
                      <c:pt idx="195">
                        <c:v>111.97743160595687</c:v>
                      </c:pt>
                      <c:pt idx="196">
                        <c:v>112.4220931164939</c:v>
                      </c:pt>
                      <c:pt idx="197">
                        <c:v>111.58160996624935</c:v>
                      </c:pt>
                      <c:pt idx="198">
                        <c:v>110.78267715387463</c:v>
                      </c:pt>
                      <c:pt idx="199">
                        <c:v>112.17935166893845</c:v>
                      </c:pt>
                      <c:pt idx="200">
                        <c:v>111.78790374900669</c:v>
                      </c:pt>
                      <c:pt idx="201">
                        <c:v>111.53058323553199</c:v>
                      </c:pt>
                      <c:pt idx="202">
                        <c:v>109.35392869378849</c:v>
                      </c:pt>
                      <c:pt idx="203">
                        <c:v>109.58136212212874</c:v>
                      </c:pt>
                      <c:pt idx="204">
                        <c:v>109.80369287739724</c:v>
                      </c:pt>
                      <c:pt idx="205">
                        <c:v>110.24543857475041</c:v>
                      </c:pt>
                      <c:pt idx="206">
                        <c:v>110.10256372874181</c:v>
                      </c:pt>
                      <c:pt idx="207">
                        <c:v>108.68620747468701</c:v>
                      </c:pt>
                      <c:pt idx="208">
                        <c:v>108.74962641143571</c:v>
                      </c:pt>
                      <c:pt idx="209">
                        <c:v>109.11628991930476</c:v>
                      </c:pt>
                      <c:pt idx="210">
                        <c:v>108.63518074396963</c:v>
                      </c:pt>
                      <c:pt idx="211">
                        <c:v>108.22040631856706</c:v>
                      </c:pt>
                      <c:pt idx="212">
                        <c:v>107.54539556650595</c:v>
                      </c:pt>
                      <c:pt idx="213">
                        <c:v>105.75727313151037</c:v>
                      </c:pt>
                      <c:pt idx="214">
                        <c:v>106.10862862016421</c:v>
                      </c:pt>
                      <c:pt idx="215">
                        <c:v>107.37336258865884</c:v>
                      </c:pt>
                      <c:pt idx="216">
                        <c:v>105.91108227695841</c:v>
                      </c:pt>
                      <c:pt idx="217">
                        <c:v>105.39425439012112</c:v>
                      </c:pt>
                      <c:pt idx="218">
                        <c:v>106.4548814357463</c:v>
                      </c:pt>
                      <c:pt idx="219">
                        <c:v>106.84632935567808</c:v>
                      </c:pt>
                      <c:pt idx="220">
                        <c:v>106.27847473812342</c:v>
                      </c:pt>
                      <c:pt idx="221">
                        <c:v>106.93307479789759</c:v>
                      </c:pt>
                      <c:pt idx="222">
                        <c:v>106.88569283366004</c:v>
                      </c:pt>
                      <c:pt idx="223">
                        <c:v>107.45865012428642</c:v>
                      </c:pt>
                      <c:pt idx="224">
                        <c:v>106.93307479789759</c:v>
                      </c:pt>
                      <c:pt idx="225">
                        <c:v>106.26899834527592</c:v>
                      </c:pt>
                      <c:pt idx="226">
                        <c:v>105.72884395296784</c:v>
                      </c:pt>
                      <c:pt idx="227">
                        <c:v>106.10206804050054</c:v>
                      </c:pt>
                      <c:pt idx="228">
                        <c:v>106.83685296283058</c:v>
                      </c:pt>
                      <c:pt idx="229">
                        <c:v>106.48258166099288</c:v>
                      </c:pt>
                      <c:pt idx="230">
                        <c:v>106.73115473491603</c:v>
                      </c:pt>
                      <c:pt idx="231">
                        <c:v>108.9646676337446</c:v>
                      </c:pt>
                      <c:pt idx="232">
                        <c:v>109.4640006414788</c:v>
                      </c:pt>
                      <c:pt idx="233">
                        <c:v>112.20413608100118</c:v>
                      </c:pt>
                      <c:pt idx="234">
                        <c:v>113.96820305723</c:v>
                      </c:pt>
                      <c:pt idx="235">
                        <c:v>114.23645787014415</c:v>
                      </c:pt>
                      <c:pt idx="236">
                        <c:v>115.41736220960311</c:v>
                      </c:pt>
                      <c:pt idx="237">
                        <c:v>115.8569210470684</c:v>
                      </c:pt>
                      <c:pt idx="238">
                        <c:v>116.79435498567598</c:v>
                      </c:pt>
                      <c:pt idx="239">
                        <c:v>115.2322080724287</c:v>
                      </c:pt>
                      <c:pt idx="240">
                        <c:v>117.73980741053913</c:v>
                      </c:pt>
                      <c:pt idx="241">
                        <c:v>114.95010314689129</c:v>
                      </c:pt>
                      <c:pt idx="242">
                        <c:v>112.57444435535007</c:v>
                      </c:pt>
                      <c:pt idx="243">
                        <c:v>116.52682912605781</c:v>
                      </c:pt>
                      <c:pt idx="244">
                        <c:v>116.69448838412916</c:v>
                      </c:pt>
                      <c:pt idx="245">
                        <c:v>117.76240496271396</c:v>
                      </c:pt>
                      <c:pt idx="246">
                        <c:v>117.63775394910438</c:v>
                      </c:pt>
                      <c:pt idx="247">
                        <c:v>117.25724032861204</c:v>
                      </c:pt>
                      <c:pt idx="248">
                        <c:v>117.36731227630234</c:v>
                      </c:pt>
                      <c:pt idx="249">
                        <c:v>117.75001275668257</c:v>
                      </c:pt>
                      <c:pt idx="250">
                        <c:v>117.76313391600989</c:v>
                      </c:pt>
                      <c:pt idx="251">
                        <c:v>115.93710590962425</c:v>
                      </c:pt>
                      <c:pt idx="252">
                        <c:v>116.76592580713341</c:v>
                      </c:pt>
                      <c:pt idx="253">
                        <c:v>115.54565798969247</c:v>
                      </c:pt>
                      <c:pt idx="254">
                        <c:v>115.41663325630715</c:v>
                      </c:pt>
                      <c:pt idx="255">
                        <c:v>114.82107841350593</c:v>
                      </c:pt>
                      <c:pt idx="256">
                        <c:v>114.02943513409085</c:v>
                      </c:pt>
                      <c:pt idx="257">
                        <c:v>114.67018508124173</c:v>
                      </c:pt>
                      <c:pt idx="258">
                        <c:v>114.33486656509905</c:v>
                      </c:pt>
                      <c:pt idx="259">
                        <c:v>113.48928074178275</c:v>
                      </c:pt>
                      <c:pt idx="260">
                        <c:v>112.87331520669458</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6-655B-4703-B4C3-57C8BE6FA31A}"/>
                  </c:ext>
                </c:extLst>
              </c15:ser>
            </c15:filteredLineSeries>
            <c15:filteredLine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'Currency Chart'!$U$5</c15:sqref>
                        </c15:formulaRef>
                      </c:ext>
                    </c:extLst>
                    <c:strCache>
                      <c:ptCount val="1"/>
                      <c:pt idx="0">
                        <c:v>Won</c:v>
                      </c:pt>
                    </c:strCache>
                  </c:strRef>
                </c:tx>
                <c:spPr>
                  <a:ln w="28575" cap="rnd">
                    <a:solidFill>
                      <a:schemeClr val="accent6"/>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Chart'!$U$6:$U$291</c15:sqref>
                        </c15:formulaRef>
                      </c:ext>
                    </c:extLst>
                    <c:numCache>
                      <c:formatCode>0</c:formatCode>
                      <c:ptCount val="286"/>
                      <c:pt idx="0" formatCode="General">
                        <c:v>100</c:v>
                      </c:pt>
                      <c:pt idx="1">
                        <c:v>100.16266334110504</c:v>
                      </c:pt>
                      <c:pt idx="2">
                        <c:v>100.39219938910881</c:v>
                      </c:pt>
                      <c:pt idx="3">
                        <c:v>100.89284100562094</c:v>
                      </c:pt>
                      <c:pt idx="4">
                        <c:v>100.35605197997435</c:v>
                      </c:pt>
                      <c:pt idx="5">
                        <c:v>100.36508883225797</c:v>
                      </c:pt>
                      <c:pt idx="6">
                        <c:v>101.00670534439446</c:v>
                      </c:pt>
                      <c:pt idx="7">
                        <c:v>100.81602776121022</c:v>
                      </c:pt>
                      <c:pt idx="8">
                        <c:v>100.51871532107937</c:v>
                      </c:pt>
                      <c:pt idx="9">
                        <c:v>100.88741889425077</c:v>
                      </c:pt>
                      <c:pt idx="10">
                        <c:v>100.88109309765223</c:v>
                      </c:pt>
                      <c:pt idx="11">
                        <c:v>100.94977317500769</c:v>
                      </c:pt>
                      <c:pt idx="12">
                        <c:v>102.3586184460229</c:v>
                      </c:pt>
                      <c:pt idx="13">
                        <c:v>102.50501545301741</c:v>
                      </c:pt>
                      <c:pt idx="14">
                        <c:v>102.56285130763254</c:v>
                      </c:pt>
                      <c:pt idx="15">
                        <c:v>102.24294673679266</c:v>
                      </c:pt>
                      <c:pt idx="16">
                        <c:v>102.43904643134705</c:v>
                      </c:pt>
                      <c:pt idx="17">
                        <c:v>102.64508666341342</c:v>
                      </c:pt>
                      <c:pt idx="18">
                        <c:v>102.18691825263427</c:v>
                      </c:pt>
                      <c:pt idx="19">
                        <c:v>101.85616945905404</c:v>
                      </c:pt>
                      <c:pt idx="20">
                        <c:v>102.12004554573554</c:v>
                      </c:pt>
                      <c:pt idx="21">
                        <c:v>102.26282781181661</c:v>
                      </c:pt>
                      <c:pt idx="22">
                        <c:v>102.15980769578344</c:v>
                      </c:pt>
                      <c:pt idx="23">
                        <c:v>102.5077265087025</c:v>
                      </c:pt>
                      <c:pt idx="24">
                        <c:v>102.16432612192523</c:v>
                      </c:pt>
                      <c:pt idx="25">
                        <c:v>102.15438558441326</c:v>
                      </c:pt>
                      <c:pt idx="26">
                        <c:v>102.72641833396594</c:v>
                      </c:pt>
                      <c:pt idx="27">
                        <c:v>103.15566881743753</c:v>
                      </c:pt>
                      <c:pt idx="28">
                        <c:v>103.61564459867341</c:v>
                      </c:pt>
                      <c:pt idx="29">
                        <c:v>103.3571906233621</c:v>
                      </c:pt>
                      <c:pt idx="30">
                        <c:v>103.63914041461079</c:v>
                      </c:pt>
                      <c:pt idx="31">
                        <c:v>103.91837915017443</c:v>
                      </c:pt>
                      <c:pt idx="32">
                        <c:v>103.40147119955178</c:v>
                      </c:pt>
                      <c:pt idx="33">
                        <c:v>103.16380198449276</c:v>
                      </c:pt>
                      <c:pt idx="34">
                        <c:v>103.15657250266588</c:v>
                      </c:pt>
                      <c:pt idx="35">
                        <c:v>103.99880713549855</c:v>
                      </c:pt>
                      <c:pt idx="36">
                        <c:v>103.69516889876917</c:v>
                      </c:pt>
                      <c:pt idx="37">
                        <c:v>103.86144698078762</c:v>
                      </c:pt>
                      <c:pt idx="38">
                        <c:v>103.97350394910443</c:v>
                      </c:pt>
                      <c:pt idx="39">
                        <c:v>104.06116141625547</c:v>
                      </c:pt>
                      <c:pt idx="40">
                        <c:v>104.15333730954832</c:v>
                      </c:pt>
                      <c:pt idx="41">
                        <c:v>104.3078674835981</c:v>
                      </c:pt>
                      <c:pt idx="42">
                        <c:v>103.94820076271031</c:v>
                      </c:pt>
                      <c:pt idx="43">
                        <c:v>103.30206582443201</c:v>
                      </c:pt>
                      <c:pt idx="44">
                        <c:v>104.05122087874349</c:v>
                      </c:pt>
                      <c:pt idx="45">
                        <c:v>103.94006759565507</c:v>
                      </c:pt>
                      <c:pt idx="46">
                        <c:v>103.7828263659202</c:v>
                      </c:pt>
                      <c:pt idx="47">
                        <c:v>103.45027020188326</c:v>
                      </c:pt>
                      <c:pt idx="48">
                        <c:v>103.25417050732885</c:v>
                      </c:pt>
                      <c:pt idx="49">
                        <c:v>103.46563285076539</c:v>
                      </c:pt>
                      <c:pt idx="50">
                        <c:v>103.6427551555242</c:v>
                      </c:pt>
                      <c:pt idx="51">
                        <c:v>104.16779627320207</c:v>
                      </c:pt>
                      <c:pt idx="52">
                        <c:v>104.28346798243233</c:v>
                      </c:pt>
                      <c:pt idx="53">
                        <c:v>105.09678468795747</c:v>
                      </c:pt>
                      <c:pt idx="54">
                        <c:v>104.9512913661913</c:v>
                      </c:pt>
                      <c:pt idx="55">
                        <c:v>105.30463229048054</c:v>
                      </c:pt>
                      <c:pt idx="56">
                        <c:v>106.39086193497076</c:v>
                      </c:pt>
                      <c:pt idx="57">
                        <c:v>105.73388277395213</c:v>
                      </c:pt>
                      <c:pt idx="58">
                        <c:v>106.29868604167791</c:v>
                      </c:pt>
                      <c:pt idx="59">
                        <c:v>106.1965696108731</c:v>
                      </c:pt>
                      <c:pt idx="60">
                        <c:v>105.67333586365191</c:v>
                      </c:pt>
                      <c:pt idx="61">
                        <c:v>105.15733159825766</c:v>
                      </c:pt>
                      <c:pt idx="62">
                        <c:v>105.17721267328159</c:v>
                      </c:pt>
                      <c:pt idx="63">
                        <c:v>105.7790670353702</c:v>
                      </c:pt>
                      <c:pt idx="64">
                        <c:v>104.93863977299424</c:v>
                      </c:pt>
                      <c:pt idx="65">
                        <c:v>105.21968587901456</c:v>
                      </c:pt>
                      <c:pt idx="66">
                        <c:v>104.7127184659039</c:v>
                      </c:pt>
                      <c:pt idx="67">
                        <c:v>104.41811708145813</c:v>
                      </c:pt>
                      <c:pt idx="68">
                        <c:v>104.65126787037534</c:v>
                      </c:pt>
                      <c:pt idx="69">
                        <c:v>104.31057853928314</c:v>
                      </c:pt>
                      <c:pt idx="70">
                        <c:v>104.55999566231084</c:v>
                      </c:pt>
                      <c:pt idx="71">
                        <c:v>105.00641616512131</c:v>
                      </c:pt>
                      <c:pt idx="72">
                        <c:v>105.41849662925404</c:v>
                      </c:pt>
                      <c:pt idx="73">
                        <c:v>105.69863905004605</c:v>
                      </c:pt>
                      <c:pt idx="74">
                        <c:v>105.75195647851936</c:v>
                      </c:pt>
                      <c:pt idx="75">
                        <c:v>105.98691463789328</c:v>
                      </c:pt>
                      <c:pt idx="76">
                        <c:v>105.93269352419161</c:v>
                      </c:pt>
                      <c:pt idx="77">
                        <c:v>105.39048238717484</c:v>
                      </c:pt>
                      <c:pt idx="78">
                        <c:v>106.20018435178653</c:v>
                      </c:pt>
                      <c:pt idx="79">
                        <c:v>106.69721122738522</c:v>
                      </c:pt>
                      <c:pt idx="80">
                        <c:v>107.14724647110914</c:v>
                      </c:pt>
                      <c:pt idx="81">
                        <c:v>106.99271629705936</c:v>
                      </c:pt>
                      <c:pt idx="82">
                        <c:v>106.79300186159152</c:v>
                      </c:pt>
                      <c:pt idx="83">
                        <c:v>106.14957797899831</c:v>
                      </c:pt>
                      <c:pt idx="84">
                        <c:v>106.60593901932074</c:v>
                      </c:pt>
                      <c:pt idx="85">
                        <c:v>106.44869778958588</c:v>
                      </c:pt>
                      <c:pt idx="86">
                        <c:v>107.28189557013496</c:v>
                      </c:pt>
                      <c:pt idx="87">
                        <c:v>107.27737714399315</c:v>
                      </c:pt>
                      <c:pt idx="88">
                        <c:v>107.01711579822512</c:v>
                      </c:pt>
                      <c:pt idx="89">
                        <c:v>106.66648592962095</c:v>
                      </c:pt>
                      <c:pt idx="90">
                        <c:v>107.00717526071315</c:v>
                      </c:pt>
                      <c:pt idx="91">
                        <c:v>107.22044497460642</c:v>
                      </c:pt>
                      <c:pt idx="92">
                        <c:v>107.55751956478518</c:v>
                      </c:pt>
                      <c:pt idx="93">
                        <c:v>107.6180664750854</c:v>
                      </c:pt>
                      <c:pt idx="94">
                        <c:v>108.15214444504689</c:v>
                      </c:pt>
                      <c:pt idx="95">
                        <c:v>108.01749534602105</c:v>
                      </c:pt>
                      <c:pt idx="96">
                        <c:v>108.19732870646493</c:v>
                      </c:pt>
                      <c:pt idx="97">
                        <c:v>107.19333441775558</c:v>
                      </c:pt>
                      <c:pt idx="98">
                        <c:v>106.78757975022137</c:v>
                      </c:pt>
                      <c:pt idx="99">
                        <c:v>106.82191978889909</c:v>
                      </c:pt>
                      <c:pt idx="100">
                        <c:v>107.12917276654194</c:v>
                      </c:pt>
                      <c:pt idx="101">
                        <c:v>106.19476224041641</c:v>
                      </c:pt>
                      <c:pt idx="102">
                        <c:v>106.23994650183448</c:v>
                      </c:pt>
                      <c:pt idx="103">
                        <c:v>106.43423882593214</c:v>
                      </c:pt>
                      <c:pt idx="104">
                        <c:v>106.40712826908131</c:v>
                      </c:pt>
                      <c:pt idx="105">
                        <c:v>105.55224204305156</c:v>
                      </c:pt>
                      <c:pt idx="106">
                        <c:v>105.54591624645305</c:v>
                      </c:pt>
                      <c:pt idx="107">
                        <c:v>105.91642719008114</c:v>
                      </c:pt>
                      <c:pt idx="108">
                        <c:v>105.59019682264274</c:v>
                      </c:pt>
                      <c:pt idx="109">
                        <c:v>106.13511901534456</c:v>
                      </c:pt>
                      <c:pt idx="110">
                        <c:v>106.40441721339621</c:v>
                      </c:pt>
                      <c:pt idx="111">
                        <c:v>106.49749679191741</c:v>
                      </c:pt>
                      <c:pt idx="112">
                        <c:v>106.52460734876824</c:v>
                      </c:pt>
                      <c:pt idx="113">
                        <c:v>107.15447595293604</c:v>
                      </c:pt>
                      <c:pt idx="114">
                        <c:v>106.72974389560625</c:v>
                      </c:pt>
                      <c:pt idx="115">
                        <c:v>106.71076650581065</c:v>
                      </c:pt>
                      <c:pt idx="116">
                        <c:v>106.49026731009052</c:v>
                      </c:pt>
                      <c:pt idx="117">
                        <c:v>107.09031430172237</c:v>
                      </c:pt>
                      <c:pt idx="118">
                        <c:v>106.85083771620666</c:v>
                      </c:pt>
                      <c:pt idx="119">
                        <c:v>106.5625621283594</c:v>
                      </c:pt>
                      <c:pt idx="120">
                        <c:v>106.94391729472787</c:v>
                      </c:pt>
                      <c:pt idx="121">
                        <c:v>106.98277575954739</c:v>
                      </c:pt>
                      <c:pt idx="122">
                        <c:v>106.67642646713294</c:v>
                      </c:pt>
                      <c:pt idx="123">
                        <c:v>106.84903034574992</c:v>
                      </c:pt>
                      <c:pt idx="124">
                        <c:v>107.27647345876481</c:v>
                      </c:pt>
                      <c:pt idx="125">
                        <c:v>107.54577165681647</c:v>
                      </c:pt>
                      <c:pt idx="126">
                        <c:v>107.45540313398035</c:v>
                      </c:pt>
                      <c:pt idx="127">
                        <c:v>107.42738889190116</c:v>
                      </c:pt>
                      <c:pt idx="128">
                        <c:v>107.55300113864338</c:v>
                      </c:pt>
                      <c:pt idx="129">
                        <c:v>107.93887473115365</c:v>
                      </c:pt>
                      <c:pt idx="130">
                        <c:v>107.60089645574654</c:v>
                      </c:pt>
                      <c:pt idx="131">
                        <c:v>106.87975564351424</c:v>
                      </c:pt>
                      <c:pt idx="132">
                        <c:v>106.35742558152144</c:v>
                      </c:pt>
                      <c:pt idx="133">
                        <c:v>106.34025556218258</c:v>
                      </c:pt>
                      <c:pt idx="134">
                        <c:v>106.63485694662835</c:v>
                      </c:pt>
                      <c:pt idx="135">
                        <c:v>106.68365594895985</c:v>
                      </c:pt>
                      <c:pt idx="136">
                        <c:v>106.33935187695421</c:v>
                      </c:pt>
                      <c:pt idx="137">
                        <c:v>106.20018435178659</c:v>
                      </c:pt>
                      <c:pt idx="138">
                        <c:v>106.46767517938152</c:v>
                      </c:pt>
                      <c:pt idx="139">
                        <c:v>106.71257387626738</c:v>
                      </c:pt>
                      <c:pt idx="140">
                        <c:v>107.07856639375372</c:v>
                      </c:pt>
                      <c:pt idx="141">
                        <c:v>107.10386958014782</c:v>
                      </c:pt>
                      <c:pt idx="142">
                        <c:v>107.04784109598941</c:v>
                      </c:pt>
                      <c:pt idx="143">
                        <c:v>107.20327495526755</c:v>
                      </c:pt>
                      <c:pt idx="144">
                        <c:v>107.33069457246648</c:v>
                      </c:pt>
                      <c:pt idx="145">
                        <c:v>107.49606896925658</c:v>
                      </c:pt>
                      <c:pt idx="146">
                        <c:v>107.59908908528978</c:v>
                      </c:pt>
                      <c:pt idx="147">
                        <c:v>107.55751956478515</c:v>
                      </c:pt>
                      <c:pt idx="148">
                        <c:v>107.13640224836881</c:v>
                      </c:pt>
                      <c:pt idx="149">
                        <c:v>107.17616439841672</c:v>
                      </c:pt>
                      <c:pt idx="150">
                        <c:v>107.14182435973898</c:v>
                      </c:pt>
                      <c:pt idx="151">
                        <c:v>107.36593829637258</c:v>
                      </c:pt>
                      <c:pt idx="152">
                        <c:v>107.05958900395812</c:v>
                      </c:pt>
                      <c:pt idx="153">
                        <c:v>107.48070632037447</c:v>
                      </c:pt>
                      <c:pt idx="154">
                        <c:v>107.35419038840391</c:v>
                      </c:pt>
                      <c:pt idx="155">
                        <c:v>107.80964774349798</c:v>
                      </c:pt>
                      <c:pt idx="156">
                        <c:v>108.21540241103219</c:v>
                      </c:pt>
                      <c:pt idx="157">
                        <c:v>108.27956406224583</c:v>
                      </c:pt>
                      <c:pt idx="158">
                        <c:v>108.88955159138966</c:v>
                      </c:pt>
                      <c:pt idx="159">
                        <c:v>108.22805400422922</c:v>
                      </c:pt>
                      <c:pt idx="160">
                        <c:v>108.26510509859203</c:v>
                      </c:pt>
                      <c:pt idx="161">
                        <c:v>107.74729346274103</c:v>
                      </c:pt>
                      <c:pt idx="162">
                        <c:v>107.16532017567637</c:v>
                      </c:pt>
                      <c:pt idx="163">
                        <c:v>107.18700862115703</c:v>
                      </c:pt>
                      <c:pt idx="164">
                        <c:v>107.5448679715881</c:v>
                      </c:pt>
                      <c:pt idx="165">
                        <c:v>107.53763848976122</c:v>
                      </c:pt>
                      <c:pt idx="166">
                        <c:v>107.78163350141877</c:v>
                      </c:pt>
                      <c:pt idx="167">
                        <c:v>107.36955303728604</c:v>
                      </c:pt>
                      <c:pt idx="168">
                        <c:v>107.75723400025302</c:v>
                      </c:pt>
                      <c:pt idx="169">
                        <c:v>107.76536716730826</c:v>
                      </c:pt>
                      <c:pt idx="170">
                        <c:v>108.04370221764353</c:v>
                      </c:pt>
                      <c:pt idx="171">
                        <c:v>108.11238229499899</c:v>
                      </c:pt>
                      <c:pt idx="172">
                        <c:v>108.17383289052756</c:v>
                      </c:pt>
                      <c:pt idx="173">
                        <c:v>108.78291673444305</c:v>
                      </c:pt>
                      <c:pt idx="174">
                        <c:v>109.30615048166422</c:v>
                      </c:pt>
                      <c:pt idx="175">
                        <c:v>108.86063366408213</c:v>
                      </c:pt>
                      <c:pt idx="176">
                        <c:v>108.65097869110231</c:v>
                      </c:pt>
                      <c:pt idx="177">
                        <c:v>108.39342840101936</c:v>
                      </c:pt>
                      <c:pt idx="178">
                        <c:v>108.39433208624773</c:v>
                      </c:pt>
                      <c:pt idx="179">
                        <c:v>108.28408248838765</c:v>
                      </c:pt>
                      <c:pt idx="180">
                        <c:v>108.1593739268738</c:v>
                      </c:pt>
                      <c:pt idx="181">
                        <c:v>108.11238229499902</c:v>
                      </c:pt>
                      <c:pt idx="182">
                        <c:v>107.90453469247593</c:v>
                      </c:pt>
                      <c:pt idx="183">
                        <c:v>108.42686475446872</c:v>
                      </c:pt>
                      <c:pt idx="184">
                        <c:v>108.3952357714761</c:v>
                      </c:pt>
                      <c:pt idx="185">
                        <c:v>108.20003976215006</c:v>
                      </c:pt>
                      <c:pt idx="186">
                        <c:v>108.14943338936183</c:v>
                      </c:pt>
                      <c:pt idx="187">
                        <c:v>108.12864862910952</c:v>
                      </c:pt>
                      <c:pt idx="188">
                        <c:v>108.31842252706539</c:v>
                      </c:pt>
                      <c:pt idx="189">
                        <c:v>108.04370221764356</c:v>
                      </c:pt>
                      <c:pt idx="190">
                        <c:v>107.87109833902657</c:v>
                      </c:pt>
                      <c:pt idx="191">
                        <c:v>107.71024236837827</c:v>
                      </c:pt>
                      <c:pt idx="192">
                        <c:v>107.75904137070978</c:v>
                      </c:pt>
                      <c:pt idx="193">
                        <c:v>108.98895696650943</c:v>
                      </c:pt>
                      <c:pt idx="194">
                        <c:v>108.22263189285908</c:v>
                      </c:pt>
                      <c:pt idx="195">
                        <c:v>108.45307162609119</c:v>
                      </c:pt>
                      <c:pt idx="196">
                        <c:v>108.92298794483904</c:v>
                      </c:pt>
                      <c:pt idx="197">
                        <c:v>108.72779193551303</c:v>
                      </c:pt>
                      <c:pt idx="198">
                        <c:v>108.942869019863</c:v>
                      </c:pt>
                      <c:pt idx="199">
                        <c:v>110.01915812684126</c:v>
                      </c:pt>
                      <c:pt idx="200">
                        <c:v>111.34667172730396</c:v>
                      </c:pt>
                      <c:pt idx="201">
                        <c:v>111.47228397404615</c:v>
                      </c:pt>
                      <c:pt idx="202">
                        <c:v>110.53245133655045</c:v>
                      </c:pt>
                      <c:pt idx="203">
                        <c:v>111.04755191671634</c:v>
                      </c:pt>
                      <c:pt idx="204">
                        <c:v>111.79309223011438</c:v>
                      </c:pt>
                      <c:pt idx="205">
                        <c:v>112.114804171411</c:v>
                      </c:pt>
                      <c:pt idx="206">
                        <c:v>112.11299680095425</c:v>
                      </c:pt>
                      <c:pt idx="207">
                        <c:v>110.73306945724661</c:v>
                      </c:pt>
                      <c:pt idx="208">
                        <c:v>109.33597209420013</c:v>
                      </c:pt>
                      <c:pt idx="209">
                        <c:v>109.44983643297365</c:v>
                      </c:pt>
                      <c:pt idx="210">
                        <c:v>110.02819497912485</c:v>
                      </c:pt>
                      <c:pt idx="211">
                        <c:v>109.80408104249125</c:v>
                      </c:pt>
                      <c:pt idx="212">
                        <c:v>110.12488929855948</c:v>
                      </c:pt>
                      <c:pt idx="213">
                        <c:v>110.21164308048215</c:v>
                      </c:pt>
                      <c:pt idx="214">
                        <c:v>110.70866995608085</c:v>
                      </c:pt>
                      <c:pt idx="215">
                        <c:v>110.5794429684252</c:v>
                      </c:pt>
                      <c:pt idx="216">
                        <c:v>109.10643604619632</c:v>
                      </c:pt>
                      <c:pt idx="217">
                        <c:v>109.37392687379126</c:v>
                      </c:pt>
                      <c:pt idx="218">
                        <c:v>109.72274937193872</c:v>
                      </c:pt>
                      <c:pt idx="219">
                        <c:v>110.22519835890758</c:v>
                      </c:pt>
                      <c:pt idx="220">
                        <c:v>109.68479459234754</c:v>
                      </c:pt>
                      <c:pt idx="221">
                        <c:v>110.08874188942504</c:v>
                      </c:pt>
                      <c:pt idx="222">
                        <c:v>110.0218691825263</c:v>
                      </c:pt>
                      <c:pt idx="223">
                        <c:v>110.48003759330545</c:v>
                      </c:pt>
                      <c:pt idx="224">
                        <c:v>111.08008458493732</c:v>
                      </c:pt>
                      <c:pt idx="225">
                        <c:v>111.54367510708663</c:v>
                      </c:pt>
                      <c:pt idx="226">
                        <c:v>110.9797755245892</c:v>
                      </c:pt>
                      <c:pt idx="227">
                        <c:v>110.54148818883399</c:v>
                      </c:pt>
                      <c:pt idx="228">
                        <c:v>111.16683836685999</c:v>
                      </c:pt>
                      <c:pt idx="229">
                        <c:v>110.98971606210118</c:v>
                      </c:pt>
                      <c:pt idx="230">
                        <c:v>111.62500677763914</c:v>
                      </c:pt>
                      <c:pt idx="231">
                        <c:v>112.01449511106284</c:v>
                      </c:pt>
                      <c:pt idx="232">
                        <c:v>111.48403188201479</c:v>
                      </c:pt>
                      <c:pt idx="233">
                        <c:v>112.31090386596533</c:v>
                      </c:pt>
                      <c:pt idx="234">
                        <c:v>112.42838294565229</c:v>
                      </c:pt>
                      <c:pt idx="235">
                        <c:v>112.96969039744069</c:v>
                      </c:pt>
                      <c:pt idx="236">
                        <c:v>113.92488568381856</c:v>
                      </c:pt>
                      <c:pt idx="237">
                        <c:v>114.43094941170085</c:v>
                      </c:pt>
                      <c:pt idx="238">
                        <c:v>114.95870158506381</c:v>
                      </c:pt>
                      <c:pt idx="239">
                        <c:v>114.1381553977118</c:v>
                      </c:pt>
                      <c:pt idx="240">
                        <c:v>114.54300638001764</c:v>
                      </c:pt>
                      <c:pt idx="241">
                        <c:v>113.89596775651097</c:v>
                      </c:pt>
                      <c:pt idx="242">
                        <c:v>113.09711001463963</c:v>
                      </c:pt>
                      <c:pt idx="243">
                        <c:v>114.69572918361069</c:v>
                      </c:pt>
                      <c:pt idx="244">
                        <c:v>114.76712031665123</c:v>
                      </c:pt>
                      <c:pt idx="245">
                        <c:v>115.15480127961821</c:v>
                      </c:pt>
                      <c:pt idx="246">
                        <c:v>115.35361202985769</c:v>
                      </c:pt>
                      <c:pt idx="247">
                        <c:v>115.58405176308979</c:v>
                      </c:pt>
                      <c:pt idx="248">
                        <c:v>116.64045979504411</c:v>
                      </c:pt>
                      <c:pt idx="249">
                        <c:v>115.53163801984485</c:v>
                      </c:pt>
                      <c:pt idx="250">
                        <c:v>115.70604926891856</c:v>
                      </c:pt>
                      <c:pt idx="251">
                        <c:v>114.45173417195312</c:v>
                      </c:pt>
                      <c:pt idx="252">
                        <c:v>115.2496882285961</c:v>
                      </c:pt>
                      <c:pt idx="253">
                        <c:v>114.10020061812057</c:v>
                      </c:pt>
                      <c:pt idx="254">
                        <c:v>115.09244699886123</c:v>
                      </c:pt>
                      <c:pt idx="255">
                        <c:v>113.67275750510572</c:v>
                      </c:pt>
                      <c:pt idx="256">
                        <c:v>113.9574183520395</c:v>
                      </c:pt>
                      <c:pt idx="257">
                        <c:v>114.44360100489786</c:v>
                      </c:pt>
                      <c:pt idx="258">
                        <c:v>113.866146143975</c:v>
                      </c:pt>
                      <c:pt idx="259">
                        <c:v>113.14048690560092</c:v>
                      </c:pt>
                      <c:pt idx="260">
                        <c:v>111.59157042418973</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7-655B-4703-B4C3-57C8BE6FA31A}"/>
                  </c:ext>
                </c:extLst>
              </c15:ser>
            </c15:filteredLineSeries>
            <c15:filteredLine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'Currency Chart'!$V$5</c15:sqref>
                        </c15:formulaRef>
                      </c:ext>
                    </c:extLst>
                    <c:strCache>
                      <c:ptCount val="1"/>
                      <c:pt idx="0">
                        <c:v>Pound</c:v>
                      </c:pt>
                    </c:strCache>
                  </c:strRef>
                </c:tx>
                <c:spPr>
                  <a:ln w="28575" cap="rnd">
                    <a:solidFill>
                      <a:schemeClr val="accent1">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Chart'!$V$6:$V$291</c15:sqref>
                        </c15:formulaRef>
                      </c:ext>
                    </c:extLst>
                    <c:numCache>
                      <c:formatCode>0</c:formatCode>
                      <c:ptCount val="286"/>
                      <c:pt idx="0" formatCode="General">
                        <c:v>100</c:v>
                      </c:pt>
                      <c:pt idx="1">
                        <c:v>100.44065387348968</c:v>
                      </c:pt>
                      <c:pt idx="2">
                        <c:v>100.29850746268656</c:v>
                      </c:pt>
                      <c:pt idx="3">
                        <c:v>100.75337597725657</c:v>
                      </c:pt>
                      <c:pt idx="4">
                        <c:v>100.39800995024875</c:v>
                      </c:pt>
                      <c:pt idx="5">
                        <c:v>100.22743425728498</c:v>
                      </c:pt>
                      <c:pt idx="6">
                        <c:v>100.39800995024875</c:v>
                      </c:pt>
                      <c:pt idx="7">
                        <c:v>100.65387348969436</c:v>
                      </c:pt>
                      <c:pt idx="8">
                        <c:v>100.24164889836531</c:v>
                      </c:pt>
                      <c:pt idx="9">
                        <c:v>100.75337597725657</c:v>
                      </c:pt>
                      <c:pt idx="10">
                        <c:v>100.72494669509594</c:v>
                      </c:pt>
                      <c:pt idx="11">
                        <c:v>100.90973702914</c:v>
                      </c:pt>
                      <c:pt idx="12">
                        <c:v>101.60625444207533</c:v>
                      </c:pt>
                      <c:pt idx="13">
                        <c:v>102.08955223880595</c:v>
                      </c:pt>
                      <c:pt idx="14">
                        <c:v>102.91400142146408</c:v>
                      </c:pt>
                      <c:pt idx="15">
                        <c:v>101.99004975124376</c:v>
                      </c:pt>
                      <c:pt idx="16">
                        <c:v>101.89054726368157</c:v>
                      </c:pt>
                      <c:pt idx="17">
                        <c:v>101.77683013503906</c:v>
                      </c:pt>
                      <c:pt idx="18">
                        <c:v>102.07533759772562</c:v>
                      </c:pt>
                      <c:pt idx="19">
                        <c:v>102.41648898365312</c:v>
                      </c:pt>
                      <c:pt idx="20">
                        <c:v>102.35963041933186</c:v>
                      </c:pt>
                      <c:pt idx="21">
                        <c:v>102.7149964463397</c:v>
                      </c:pt>
                      <c:pt idx="22">
                        <c:v>102.77185501066093</c:v>
                      </c:pt>
                      <c:pt idx="23">
                        <c:v>103.22672352523094</c:v>
                      </c:pt>
                      <c:pt idx="24">
                        <c:v>102.75764036958063</c:v>
                      </c:pt>
                      <c:pt idx="25">
                        <c:v>102.64392324093812</c:v>
                      </c:pt>
                      <c:pt idx="26">
                        <c:v>102.97085998578534</c:v>
                      </c:pt>
                      <c:pt idx="27">
                        <c:v>102.97085998578534</c:v>
                      </c:pt>
                      <c:pt idx="28">
                        <c:v>103.09879175550815</c:v>
                      </c:pt>
                      <c:pt idx="29">
                        <c:v>102.2459132906894</c:v>
                      </c:pt>
                      <c:pt idx="30">
                        <c:v>102.38805970149252</c:v>
                      </c:pt>
                      <c:pt idx="31">
                        <c:v>102.88557213930346</c:v>
                      </c:pt>
                      <c:pt idx="32">
                        <c:v>102.54442075337597</c:v>
                      </c:pt>
                      <c:pt idx="33">
                        <c:v>102.77185501066097</c:v>
                      </c:pt>
                      <c:pt idx="34">
                        <c:v>103.22672352523098</c:v>
                      </c:pt>
                      <c:pt idx="35">
                        <c:v>103.93745557924662</c:v>
                      </c:pt>
                      <c:pt idx="36">
                        <c:v>104.29282160625444</c:v>
                      </c:pt>
                      <c:pt idx="37">
                        <c:v>103.65316275764036</c:v>
                      </c:pt>
                      <c:pt idx="38">
                        <c:v>103.21250888415067</c:v>
                      </c:pt>
                      <c:pt idx="39">
                        <c:v>103.41151385927505</c:v>
                      </c:pt>
                      <c:pt idx="40">
                        <c:v>102.84292821606255</c:v>
                      </c:pt>
                      <c:pt idx="41">
                        <c:v>102.40227434257285</c:v>
                      </c:pt>
                      <c:pt idx="42">
                        <c:v>102.24591329068942</c:v>
                      </c:pt>
                      <c:pt idx="43">
                        <c:v>101.79104477611939</c:v>
                      </c:pt>
                      <c:pt idx="44">
                        <c:v>102.23169864960909</c:v>
                      </c:pt>
                      <c:pt idx="45">
                        <c:v>102.37384506041221</c:v>
                      </c:pt>
                      <c:pt idx="46">
                        <c:v>102.1321961620469</c:v>
                      </c:pt>
                      <c:pt idx="47">
                        <c:v>102.31698649609095</c:v>
                      </c:pt>
                      <c:pt idx="48">
                        <c:v>102.03269367448469</c:v>
                      </c:pt>
                      <c:pt idx="49">
                        <c:v>102.44491826581375</c:v>
                      </c:pt>
                      <c:pt idx="50">
                        <c:v>102.64392324093814</c:v>
                      </c:pt>
                      <c:pt idx="51">
                        <c:v>102.65813788201844</c:v>
                      </c:pt>
                      <c:pt idx="52">
                        <c:v>102.44491826581375</c:v>
                      </c:pt>
                      <c:pt idx="53">
                        <c:v>102.94243070362469</c:v>
                      </c:pt>
                      <c:pt idx="54">
                        <c:v>102.501776830135</c:v>
                      </c:pt>
                      <c:pt idx="55">
                        <c:v>102.60127931769721</c:v>
                      </c:pt>
                      <c:pt idx="56">
                        <c:v>103.43994314143565</c:v>
                      </c:pt>
                      <c:pt idx="57">
                        <c:v>103.31201137171283</c:v>
                      </c:pt>
                      <c:pt idx="58">
                        <c:v>104.19331911869223</c:v>
                      </c:pt>
                      <c:pt idx="59">
                        <c:v>104.33546552949537</c:v>
                      </c:pt>
                      <c:pt idx="60">
                        <c:v>103.5963041933191</c:v>
                      </c:pt>
                      <c:pt idx="61">
                        <c:v>103.52523098791752</c:v>
                      </c:pt>
                      <c:pt idx="62">
                        <c:v>103.28358208955221</c:v>
                      </c:pt>
                      <c:pt idx="63">
                        <c:v>103.73845060412222</c:v>
                      </c:pt>
                      <c:pt idx="64">
                        <c:v>103.29779673063253</c:v>
                      </c:pt>
                      <c:pt idx="65">
                        <c:v>103.28358208955221</c:v>
                      </c:pt>
                      <c:pt idx="66">
                        <c:v>103.31201137171283</c:v>
                      </c:pt>
                      <c:pt idx="67">
                        <c:v>103.21250888415062</c:v>
                      </c:pt>
                      <c:pt idx="68">
                        <c:v>102.72921108742</c:v>
                      </c:pt>
                      <c:pt idx="69">
                        <c:v>102.50177683013499</c:v>
                      </c:pt>
                      <c:pt idx="70">
                        <c:v>102.71499644633968</c:v>
                      </c:pt>
                      <c:pt idx="71">
                        <c:v>103.0845771144278</c:v>
                      </c:pt>
                      <c:pt idx="72">
                        <c:v>103.19829424307031</c:v>
                      </c:pt>
                      <c:pt idx="73">
                        <c:v>102.71499644633968</c:v>
                      </c:pt>
                      <c:pt idx="74">
                        <c:v>102.68656716417907</c:v>
                      </c:pt>
                      <c:pt idx="75">
                        <c:v>102.70078180525938</c:v>
                      </c:pt>
                      <c:pt idx="76">
                        <c:v>102.91400142146408</c:v>
                      </c:pt>
                      <c:pt idx="77">
                        <c:v>102.7149964463397</c:v>
                      </c:pt>
                      <c:pt idx="78">
                        <c:v>103.0703624733475</c:v>
                      </c:pt>
                      <c:pt idx="79">
                        <c:v>103.41151385927502</c:v>
                      </c:pt>
                      <c:pt idx="80">
                        <c:v>104.05117270788909</c:v>
                      </c:pt>
                      <c:pt idx="81">
                        <c:v>104.03695806680878</c:v>
                      </c:pt>
                      <c:pt idx="82">
                        <c:v>104.29282160625442</c:v>
                      </c:pt>
                      <c:pt idx="83">
                        <c:v>103.61051883439941</c:v>
                      </c:pt>
                      <c:pt idx="84">
                        <c:v>103.9374555792466</c:v>
                      </c:pt>
                      <c:pt idx="85">
                        <c:v>103.75266524520255</c:v>
                      </c:pt>
                      <c:pt idx="86">
                        <c:v>105.00355366027007</c:v>
                      </c:pt>
                      <c:pt idx="87">
                        <c:v>105.82800284292821</c:v>
                      </c:pt>
                      <c:pt idx="88">
                        <c:v>105.48685145700071</c:v>
                      </c:pt>
                      <c:pt idx="89">
                        <c:v>104.9182658137882</c:v>
                      </c:pt>
                      <c:pt idx="90">
                        <c:v>104.42075337597727</c:v>
                      </c:pt>
                      <c:pt idx="91">
                        <c:v>104.26439232409383</c:v>
                      </c:pt>
                      <c:pt idx="92">
                        <c:v>104.64818763326228</c:v>
                      </c:pt>
                      <c:pt idx="93">
                        <c:v>104.36389481165602</c:v>
                      </c:pt>
                      <c:pt idx="94">
                        <c:v>104.40653873489698</c:v>
                      </c:pt>
                      <c:pt idx="95">
                        <c:v>104.5344705046198</c:v>
                      </c:pt>
                      <c:pt idx="96">
                        <c:v>104.59132906894105</c:v>
                      </c:pt>
                      <c:pt idx="97">
                        <c:v>104.05117270788917</c:v>
                      </c:pt>
                      <c:pt idx="98">
                        <c:v>103.93745557924666</c:v>
                      </c:pt>
                      <c:pt idx="99">
                        <c:v>103.35465529495384</c:v>
                      </c:pt>
                      <c:pt idx="100">
                        <c:v>103.53944562899791</c:v>
                      </c:pt>
                      <c:pt idx="101">
                        <c:v>103.01350390902634</c:v>
                      </c:pt>
                      <c:pt idx="102">
                        <c:v>102.81449893390197</c:v>
                      </c:pt>
                      <c:pt idx="103">
                        <c:v>103.04193319118697</c:v>
                      </c:pt>
                      <c:pt idx="104">
                        <c:v>103.34044065387354</c:v>
                      </c:pt>
                      <c:pt idx="105">
                        <c:v>103.22672352523104</c:v>
                      </c:pt>
                      <c:pt idx="106">
                        <c:v>103.22672352523104</c:v>
                      </c:pt>
                      <c:pt idx="107">
                        <c:v>103.36886993603417</c:v>
                      </c:pt>
                      <c:pt idx="108">
                        <c:v>103.07036247334761</c:v>
                      </c:pt>
                      <c:pt idx="109">
                        <c:v>103.79530916844357</c:v>
                      </c:pt>
                      <c:pt idx="110">
                        <c:v>104.00852878464826</c:v>
                      </c:pt>
                      <c:pt idx="111">
                        <c:v>104.37810945273638</c:v>
                      </c:pt>
                      <c:pt idx="112">
                        <c:v>103.85216773276483</c:v>
                      </c:pt>
                      <c:pt idx="113">
                        <c:v>105.2878464818764</c:v>
                      </c:pt>
                      <c:pt idx="114">
                        <c:v>105.2878464818764</c:v>
                      </c:pt>
                      <c:pt idx="115">
                        <c:v>104.80454868514576</c:v>
                      </c:pt>
                      <c:pt idx="116">
                        <c:v>104.84719260838671</c:v>
                      </c:pt>
                      <c:pt idx="117">
                        <c:v>106.02700781805267</c:v>
                      </c:pt>
                      <c:pt idx="118">
                        <c:v>106.28287135749829</c:v>
                      </c:pt>
                      <c:pt idx="119">
                        <c:v>105.94171997157079</c:v>
                      </c:pt>
                      <c:pt idx="120">
                        <c:v>105.89907604832986</c:v>
                      </c:pt>
                      <c:pt idx="121">
                        <c:v>105.82800284292831</c:v>
                      </c:pt>
                      <c:pt idx="122">
                        <c:v>105.41577825159924</c:v>
                      </c:pt>
                      <c:pt idx="123">
                        <c:v>105.33049040511735</c:v>
                      </c:pt>
                      <c:pt idx="124">
                        <c:v>105.64321250888422</c:v>
                      </c:pt>
                      <c:pt idx="125">
                        <c:v>106.09808102345423</c:v>
                      </c:pt>
                      <c:pt idx="126">
                        <c:v>106.22601279317705</c:v>
                      </c:pt>
                      <c:pt idx="127">
                        <c:v>106.6240227434258</c:v>
                      </c:pt>
                      <c:pt idx="128">
                        <c:v>106.68088130774706</c:v>
                      </c:pt>
                      <c:pt idx="129">
                        <c:v>106.55294953802427</c:v>
                      </c:pt>
                      <c:pt idx="130">
                        <c:v>106.75195451314863</c:v>
                      </c:pt>
                      <c:pt idx="131">
                        <c:v>106.86567164179114</c:v>
                      </c:pt>
                      <c:pt idx="132">
                        <c:v>107.02203269367457</c:v>
                      </c:pt>
                      <c:pt idx="133">
                        <c:v>106.79459843638956</c:v>
                      </c:pt>
                      <c:pt idx="134">
                        <c:v>107.40582800284302</c:v>
                      </c:pt>
                      <c:pt idx="135">
                        <c:v>107.13574982231708</c:v>
                      </c:pt>
                      <c:pt idx="136">
                        <c:v>107.30632551528083</c:v>
                      </c:pt>
                      <c:pt idx="137">
                        <c:v>107.57640369580677</c:v>
                      </c:pt>
                      <c:pt idx="138">
                        <c:v>107.50533049040521</c:v>
                      </c:pt>
                      <c:pt idx="139">
                        <c:v>107.07889125799583</c:v>
                      </c:pt>
                      <c:pt idx="140">
                        <c:v>107.51954513148554</c:v>
                      </c:pt>
                      <c:pt idx="141">
                        <c:v>107.34896943852179</c:v>
                      </c:pt>
                      <c:pt idx="142">
                        <c:v>107.14996446339741</c:v>
                      </c:pt>
                      <c:pt idx="143">
                        <c:v>106.6950959488274</c:v>
                      </c:pt>
                      <c:pt idx="144">
                        <c:v>107.34896943852179</c:v>
                      </c:pt>
                      <c:pt idx="145">
                        <c:v>107.61904761904773</c:v>
                      </c:pt>
                      <c:pt idx="146">
                        <c:v>107.10732054015646</c:v>
                      </c:pt>
                      <c:pt idx="147">
                        <c:v>106.43923240938177</c:v>
                      </c:pt>
                      <c:pt idx="148">
                        <c:v>105.99857853589208</c:v>
                      </c:pt>
                      <c:pt idx="149">
                        <c:v>106.16915422885583</c:v>
                      </c:pt>
                      <c:pt idx="150">
                        <c:v>105.72850035536614</c:v>
                      </c:pt>
                      <c:pt idx="151">
                        <c:v>105.78535891968737</c:v>
                      </c:pt>
                      <c:pt idx="152">
                        <c:v>105.35891968727799</c:v>
                      </c:pt>
                      <c:pt idx="153">
                        <c:v>105.31627576403706</c:v>
                      </c:pt>
                      <c:pt idx="154">
                        <c:v>105.0319829424308</c:v>
                      </c:pt>
                      <c:pt idx="155">
                        <c:v>105.48685145700081</c:v>
                      </c:pt>
                      <c:pt idx="156">
                        <c:v>105.04619758351112</c:v>
                      </c:pt>
                      <c:pt idx="157">
                        <c:v>104.84719260838675</c:v>
                      </c:pt>
                      <c:pt idx="158">
                        <c:v>105.0177683013505</c:v>
                      </c:pt>
                      <c:pt idx="159">
                        <c:v>104.57711442786081</c:v>
                      </c:pt>
                      <c:pt idx="160">
                        <c:v>104.67661691542301</c:v>
                      </c:pt>
                      <c:pt idx="161">
                        <c:v>104.2359630419333</c:v>
                      </c:pt>
                      <c:pt idx="162">
                        <c:v>103.72423596304205</c:v>
                      </c:pt>
                      <c:pt idx="163">
                        <c:v>103.69580668088143</c:v>
                      </c:pt>
                      <c:pt idx="164">
                        <c:v>103.93745557924674</c:v>
                      </c:pt>
                      <c:pt idx="165">
                        <c:v>104.15067519545146</c:v>
                      </c:pt>
                      <c:pt idx="166">
                        <c:v>104.5486851457002</c:v>
                      </c:pt>
                      <c:pt idx="167">
                        <c:v>104.44918265813801</c:v>
                      </c:pt>
                      <c:pt idx="168">
                        <c:v>104.49182658137894</c:v>
                      </c:pt>
                      <c:pt idx="169">
                        <c:v>104.84719260838676</c:v>
                      </c:pt>
                      <c:pt idx="170">
                        <c:v>105.37313432835832</c:v>
                      </c:pt>
                      <c:pt idx="171">
                        <c:v>105.23098791755518</c:v>
                      </c:pt>
                      <c:pt idx="172">
                        <c:v>105.57213930348269</c:v>
                      </c:pt>
                      <c:pt idx="173">
                        <c:v>106.16915422885582</c:v>
                      </c:pt>
                      <c:pt idx="174">
                        <c:v>106.0270078180527</c:v>
                      </c:pt>
                      <c:pt idx="175">
                        <c:v>105.67164179104486</c:v>
                      </c:pt>
                      <c:pt idx="176">
                        <c:v>105.11727078891268</c:v>
                      </c:pt>
                      <c:pt idx="177">
                        <c:v>104.66240227434265</c:v>
                      </c:pt>
                      <c:pt idx="178">
                        <c:v>104.52025586353953</c:v>
                      </c:pt>
                      <c:pt idx="179">
                        <c:v>105.0461975835111</c:v>
                      </c:pt>
                      <c:pt idx="180">
                        <c:v>105.00355366027016</c:v>
                      </c:pt>
                      <c:pt idx="181">
                        <c:v>104.9466950959489</c:v>
                      </c:pt>
                      <c:pt idx="182">
                        <c:v>105.01776830135047</c:v>
                      </c:pt>
                      <c:pt idx="183">
                        <c:v>104.84719260838673</c:v>
                      </c:pt>
                      <c:pt idx="184">
                        <c:v>104.79033404406547</c:v>
                      </c:pt>
                      <c:pt idx="185">
                        <c:v>105.06041222459142</c:v>
                      </c:pt>
                      <c:pt idx="186">
                        <c:v>104.97512437810954</c:v>
                      </c:pt>
                      <c:pt idx="187">
                        <c:v>104.60554371002141</c:v>
                      </c:pt>
                      <c:pt idx="188">
                        <c:v>104.34968017057578</c:v>
                      </c:pt>
                      <c:pt idx="189">
                        <c:v>104.56289978678049</c:v>
                      </c:pt>
                      <c:pt idx="190">
                        <c:v>104.50604122245923</c:v>
                      </c:pt>
                      <c:pt idx="191">
                        <c:v>104.59132906894111</c:v>
                      </c:pt>
                      <c:pt idx="192">
                        <c:v>104.93248045486861</c:v>
                      </c:pt>
                      <c:pt idx="193">
                        <c:v>106.24022743425738</c:v>
                      </c:pt>
                      <c:pt idx="194">
                        <c:v>106.01279317697238</c:v>
                      </c:pt>
                      <c:pt idx="195">
                        <c:v>105.89907604832987</c:v>
                      </c:pt>
                      <c:pt idx="196">
                        <c:v>106.65245202558646</c:v>
                      </c:pt>
                      <c:pt idx="197">
                        <c:v>105.99857853589208</c:v>
                      </c:pt>
                      <c:pt idx="198">
                        <c:v>106.43923240938179</c:v>
                      </c:pt>
                      <c:pt idx="199">
                        <c:v>107.44847192608398</c:v>
                      </c:pt>
                      <c:pt idx="200">
                        <c:v>108.45771144278618</c:v>
                      </c:pt>
                      <c:pt idx="201">
                        <c:v>108.45771144278618</c:v>
                      </c:pt>
                      <c:pt idx="202">
                        <c:v>107.83226723525243</c:v>
                      </c:pt>
                      <c:pt idx="203">
                        <c:v>108.61407249466961</c:v>
                      </c:pt>
                      <c:pt idx="204">
                        <c:v>109.01208244491838</c:v>
                      </c:pt>
                      <c:pt idx="205">
                        <c:v>109.31058990760495</c:v>
                      </c:pt>
                      <c:pt idx="206">
                        <c:v>108.99786780383808</c:v>
                      </c:pt>
                      <c:pt idx="207">
                        <c:v>108.05970149253743</c:v>
                      </c:pt>
                      <c:pt idx="208">
                        <c:v>108.10234541577836</c:v>
                      </c:pt>
                      <c:pt idx="209">
                        <c:v>107.84648187633273</c:v>
                      </c:pt>
                      <c:pt idx="210">
                        <c:v>107.90334044065398</c:v>
                      </c:pt>
                      <c:pt idx="211">
                        <c:v>107.14996446339741</c:v>
                      </c:pt>
                      <c:pt idx="212">
                        <c:v>107.63326226012803</c:v>
                      </c:pt>
                      <c:pt idx="213">
                        <c:v>107.76119402985084</c:v>
                      </c:pt>
                      <c:pt idx="214">
                        <c:v>107.83226723525243</c:v>
                      </c:pt>
                      <c:pt idx="215">
                        <c:v>108.61407249466961</c:v>
                      </c:pt>
                      <c:pt idx="216">
                        <c:v>108.55721393034837</c:v>
                      </c:pt>
                      <c:pt idx="217">
                        <c:v>108.21606254442085</c:v>
                      </c:pt>
                      <c:pt idx="218">
                        <c:v>108.20184790334054</c:v>
                      </c:pt>
                      <c:pt idx="219">
                        <c:v>108.37242359630429</c:v>
                      </c:pt>
                      <c:pt idx="220">
                        <c:v>108.37242359630429</c:v>
                      </c:pt>
                      <c:pt idx="221">
                        <c:v>108.7135749822318</c:v>
                      </c:pt>
                      <c:pt idx="222">
                        <c:v>108.74200426439243</c:v>
                      </c:pt>
                      <c:pt idx="223">
                        <c:v>108.7135749822318</c:v>
                      </c:pt>
                      <c:pt idx="224">
                        <c:v>109.05472636815931</c:v>
                      </c:pt>
                      <c:pt idx="225">
                        <c:v>109.09737029140024</c:v>
                      </c:pt>
                      <c:pt idx="226">
                        <c:v>109.31058990760495</c:v>
                      </c:pt>
                      <c:pt idx="227">
                        <c:v>108.358208955224</c:v>
                      </c:pt>
                      <c:pt idx="228">
                        <c:v>108.77043354655308</c:v>
                      </c:pt>
                      <c:pt idx="229">
                        <c:v>108.82729211087432</c:v>
                      </c:pt>
                      <c:pt idx="230">
                        <c:v>109.21108742004279</c:v>
                      </c:pt>
                      <c:pt idx="231">
                        <c:v>109.32480454868529</c:v>
                      </c:pt>
                      <c:pt idx="232">
                        <c:v>108.75621890547279</c:v>
                      </c:pt>
                      <c:pt idx="233">
                        <c:v>109.0973702914003</c:v>
                      </c:pt>
                      <c:pt idx="234">
                        <c:v>110.70362473347565</c:v>
                      </c:pt>
                      <c:pt idx="235">
                        <c:v>111.54228855721408</c:v>
                      </c:pt>
                      <c:pt idx="236">
                        <c:v>113.0063965884863</c:v>
                      </c:pt>
                      <c:pt idx="237">
                        <c:v>113.24804548685159</c:v>
                      </c:pt>
                      <c:pt idx="238">
                        <c:v>114.08670931059004</c:v>
                      </c:pt>
                      <c:pt idx="239">
                        <c:v>113.0348258706469</c:v>
                      </c:pt>
                      <c:pt idx="240">
                        <c:v>113.75977256574284</c:v>
                      </c:pt>
                      <c:pt idx="241">
                        <c:v>113.70291400142159</c:v>
                      </c:pt>
                      <c:pt idx="242">
                        <c:v>112.59417199715719</c:v>
                      </c:pt>
                      <c:pt idx="243">
                        <c:v>114.92537313432847</c:v>
                      </c:pt>
                      <c:pt idx="244">
                        <c:v>115.18123667377411</c:v>
                      </c:pt>
                      <c:pt idx="245">
                        <c:v>115.23809523809535</c:v>
                      </c:pt>
                      <c:pt idx="246">
                        <c:v>115.32338308457724</c:v>
                      </c:pt>
                      <c:pt idx="247">
                        <c:v>116.00568585643227</c:v>
                      </c:pt>
                      <c:pt idx="248">
                        <c:v>116.48898365316289</c:v>
                      </c:pt>
                      <c:pt idx="249">
                        <c:v>115.89196872778976</c:v>
                      </c:pt>
                      <c:pt idx="250">
                        <c:v>115.36602700781819</c:v>
                      </c:pt>
                      <c:pt idx="251">
                        <c:v>113.77398720682316</c:v>
                      </c:pt>
                      <c:pt idx="252">
                        <c:v>115.16702203269381</c:v>
                      </c:pt>
                      <c:pt idx="253">
                        <c:v>114.04406538734911</c:v>
                      </c:pt>
                      <c:pt idx="254">
                        <c:v>113.80241648898379</c:v>
                      </c:pt>
                      <c:pt idx="255">
                        <c:v>112.89267945984379</c:v>
                      </c:pt>
                      <c:pt idx="256">
                        <c:v>113.41862117981536</c:v>
                      </c:pt>
                      <c:pt idx="257">
                        <c:v>113.10589907604847</c:v>
                      </c:pt>
                      <c:pt idx="258">
                        <c:v>112.83582089552253</c:v>
                      </c:pt>
                      <c:pt idx="259">
                        <c:v>112.63681592039816</c:v>
                      </c:pt>
                      <c:pt idx="260">
                        <c:v>112.33830845771159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8-655B-4703-B4C3-57C8BE6FA31A}"/>
                  </c:ext>
                </c:extLst>
              </c15:ser>
            </c15:filteredLineSeries>
            <c15:filteredLine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'Currency Chart'!$W$5</c15:sqref>
                        </c15:formulaRef>
                      </c:ext>
                    </c:extLst>
                    <c:strCache>
                      <c:ptCount val="1"/>
                      <c:pt idx="0">
                        <c:v>Euro</c:v>
                      </c:pt>
                    </c:strCache>
                  </c:strRef>
                </c:tx>
                <c:spPr>
                  <a:ln w="28575" cap="rnd">
                    <a:solidFill>
                      <a:schemeClr val="accent2">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Chart'!$W$6:$W$291</c15:sqref>
                        </c15:formulaRef>
                      </c:ext>
                    </c:extLst>
                    <c:numCache>
                      <c:formatCode>0</c:formatCode>
                      <c:ptCount val="286"/>
                      <c:pt idx="0" formatCode="General">
                        <c:v>100</c:v>
                      </c:pt>
                      <c:pt idx="1">
                        <c:v>100.1222942399413</c:v>
                      </c:pt>
                      <c:pt idx="2">
                        <c:v>100.13452366393543</c:v>
                      </c:pt>
                      <c:pt idx="3">
                        <c:v>100.83160083160084</c:v>
                      </c:pt>
                      <c:pt idx="4">
                        <c:v>100.50140638375933</c:v>
                      </c:pt>
                      <c:pt idx="5">
                        <c:v>100.31796502384738</c:v>
                      </c:pt>
                      <c:pt idx="6">
                        <c:v>100.45248868778282</c:v>
                      </c:pt>
                      <c:pt idx="7">
                        <c:v>100.39134156781216</c:v>
                      </c:pt>
                      <c:pt idx="8">
                        <c:v>100.46471811177695</c:v>
                      </c:pt>
                      <c:pt idx="9">
                        <c:v>100.99058334352453</c:v>
                      </c:pt>
                      <c:pt idx="10">
                        <c:v>100.89274795157149</c:v>
                      </c:pt>
                      <c:pt idx="11">
                        <c:v>100.83160083160085</c:v>
                      </c:pt>
                      <c:pt idx="12">
                        <c:v>101.9567078390608</c:v>
                      </c:pt>
                      <c:pt idx="13">
                        <c:v>102.67824385471447</c:v>
                      </c:pt>
                      <c:pt idx="14">
                        <c:v>103.08181484652076</c:v>
                      </c:pt>
                      <c:pt idx="15">
                        <c:v>102.61709673474381</c:v>
                      </c:pt>
                      <c:pt idx="16">
                        <c:v>102.40919652684362</c:v>
                      </c:pt>
                      <c:pt idx="17">
                        <c:v>102.53149076678491</c:v>
                      </c:pt>
                      <c:pt idx="18">
                        <c:v>102.47034364681426</c:v>
                      </c:pt>
                      <c:pt idx="19">
                        <c:v>102.445884798826</c:v>
                      </c:pt>
                      <c:pt idx="20">
                        <c:v>102.53149076678491</c:v>
                      </c:pt>
                      <c:pt idx="21">
                        <c:v>102.77607924666752</c:v>
                      </c:pt>
                      <c:pt idx="22">
                        <c:v>103.13073254249728</c:v>
                      </c:pt>
                      <c:pt idx="23">
                        <c:v>103.1796502384738</c:v>
                      </c:pt>
                      <c:pt idx="24">
                        <c:v>103.04512657453837</c:v>
                      </c:pt>
                      <c:pt idx="25">
                        <c:v>103.06958542252663</c:v>
                      </c:pt>
                      <c:pt idx="26">
                        <c:v>103.41200929436228</c:v>
                      </c:pt>
                      <c:pt idx="27">
                        <c:v>103.70551547022139</c:v>
                      </c:pt>
                      <c:pt idx="28">
                        <c:v>103.24079735844444</c:v>
                      </c:pt>
                      <c:pt idx="29">
                        <c:v>102.97175003057359</c:v>
                      </c:pt>
                      <c:pt idx="30">
                        <c:v>103.09404427051487</c:v>
                      </c:pt>
                      <c:pt idx="31">
                        <c:v>103.82780971016267</c:v>
                      </c:pt>
                      <c:pt idx="32">
                        <c:v>103.30194447841508</c:v>
                      </c:pt>
                      <c:pt idx="33">
                        <c:v>103.49761526232118</c:v>
                      </c:pt>
                      <c:pt idx="34">
                        <c:v>103.55876238229182</c:v>
                      </c:pt>
                      <c:pt idx="35">
                        <c:v>103.61990950226247</c:v>
                      </c:pt>
                      <c:pt idx="36">
                        <c:v>103.7911214381803</c:v>
                      </c:pt>
                      <c:pt idx="37">
                        <c:v>103.668827198239</c:v>
                      </c:pt>
                      <c:pt idx="38">
                        <c:v>103.88895683013334</c:v>
                      </c:pt>
                      <c:pt idx="39">
                        <c:v>103.86449798214508</c:v>
                      </c:pt>
                      <c:pt idx="40">
                        <c:v>103.60768007826834</c:v>
                      </c:pt>
                      <c:pt idx="41">
                        <c:v>103.48538583832705</c:v>
                      </c:pt>
                      <c:pt idx="42">
                        <c:v>103.24079735844445</c:v>
                      </c:pt>
                      <c:pt idx="43">
                        <c:v>102.84945579063231</c:v>
                      </c:pt>
                      <c:pt idx="44">
                        <c:v>103.008438302556</c:v>
                      </c:pt>
                      <c:pt idx="45">
                        <c:v>103.02066772655013</c:v>
                      </c:pt>
                      <c:pt idx="46">
                        <c:v>103.08181484652077</c:v>
                      </c:pt>
                      <c:pt idx="47">
                        <c:v>103.30194447841511</c:v>
                      </c:pt>
                      <c:pt idx="48">
                        <c:v>103.32640332640338</c:v>
                      </c:pt>
                      <c:pt idx="49">
                        <c:v>103.96233337409814</c:v>
                      </c:pt>
                      <c:pt idx="50">
                        <c:v>104.15800415800423</c:v>
                      </c:pt>
                      <c:pt idx="51">
                        <c:v>104.32921609392204</c:v>
                      </c:pt>
                      <c:pt idx="52">
                        <c:v>104.15800415800422</c:v>
                      </c:pt>
                      <c:pt idx="53">
                        <c:v>104.24361012596313</c:v>
                      </c:pt>
                      <c:pt idx="54">
                        <c:v>103.68105662223316</c:v>
                      </c:pt>
                      <c:pt idx="55">
                        <c:v>103.80335086217445</c:v>
                      </c:pt>
                      <c:pt idx="56">
                        <c:v>104.42705148587508</c:v>
                      </c:pt>
                      <c:pt idx="57">
                        <c:v>104.40259263788683</c:v>
                      </c:pt>
                      <c:pt idx="58">
                        <c:v>104.7205576617342</c:v>
                      </c:pt>
                      <c:pt idx="59">
                        <c:v>104.53711630182227</c:v>
                      </c:pt>
                      <c:pt idx="60">
                        <c:v>104.10908646202772</c:v>
                      </c:pt>
                      <c:pt idx="61">
                        <c:v>104.02348049406882</c:v>
                      </c:pt>
                      <c:pt idx="62">
                        <c:v>103.86449798214514</c:v>
                      </c:pt>
                      <c:pt idx="63">
                        <c:v>104.04793934205708</c:v>
                      </c:pt>
                      <c:pt idx="64">
                        <c:v>103.66882719823906</c:v>
                      </c:pt>
                      <c:pt idx="65">
                        <c:v>103.6443683502508</c:v>
                      </c:pt>
                      <c:pt idx="66">
                        <c:v>103.54653295829776</c:v>
                      </c:pt>
                      <c:pt idx="67">
                        <c:v>103.28971505442104</c:v>
                      </c:pt>
                      <c:pt idx="68">
                        <c:v>102.97175003057366</c:v>
                      </c:pt>
                      <c:pt idx="69">
                        <c:v>102.91060291060302</c:v>
                      </c:pt>
                      <c:pt idx="70">
                        <c:v>103.00843830255607</c:v>
                      </c:pt>
                      <c:pt idx="71">
                        <c:v>103.27748563042692</c:v>
                      </c:pt>
                      <c:pt idx="72">
                        <c:v>103.48538583832712</c:v>
                      </c:pt>
                      <c:pt idx="73">
                        <c:v>103.39977987036821</c:v>
                      </c:pt>
                      <c:pt idx="74">
                        <c:v>103.49761526232125</c:v>
                      </c:pt>
                      <c:pt idx="75">
                        <c:v>103.53430353430363</c:v>
                      </c:pt>
                      <c:pt idx="76">
                        <c:v>103.58322123028015</c:v>
                      </c:pt>
                      <c:pt idx="77">
                        <c:v>103.47315641433298</c:v>
                      </c:pt>
                      <c:pt idx="78">
                        <c:v>103.92564510211578</c:v>
                      </c:pt>
                      <c:pt idx="79">
                        <c:v>104.26806897395142</c:v>
                      </c:pt>
                      <c:pt idx="80">
                        <c:v>104.26806897395142</c:v>
                      </c:pt>
                      <c:pt idx="81">
                        <c:v>104.28029839794553</c:v>
                      </c:pt>
                      <c:pt idx="82">
                        <c:v>104.61049284578704</c:v>
                      </c:pt>
                      <c:pt idx="83">
                        <c:v>104.17023358199836</c:v>
                      </c:pt>
                      <c:pt idx="84">
                        <c:v>104.36590436590446</c:v>
                      </c:pt>
                      <c:pt idx="85">
                        <c:v>104.54934572581639</c:v>
                      </c:pt>
                      <c:pt idx="86">
                        <c:v>104.65941054176355</c:v>
                      </c:pt>
                      <c:pt idx="87">
                        <c:v>105.42986425339373</c:v>
                      </c:pt>
                      <c:pt idx="88">
                        <c:v>105.56438791732917</c:v>
                      </c:pt>
                      <c:pt idx="89">
                        <c:v>105.44209367738787</c:v>
                      </c:pt>
                      <c:pt idx="90">
                        <c:v>105.20973462149941</c:v>
                      </c:pt>
                      <c:pt idx="91">
                        <c:v>105.42986425339375</c:v>
                      </c:pt>
                      <c:pt idx="92">
                        <c:v>105.79674697321765</c:v>
                      </c:pt>
                      <c:pt idx="93">
                        <c:v>105.84566466919416</c:v>
                      </c:pt>
                      <c:pt idx="94">
                        <c:v>105.68668215727047</c:v>
                      </c:pt>
                      <c:pt idx="95">
                        <c:v>105.85789409318831</c:v>
                      </c:pt>
                      <c:pt idx="96">
                        <c:v>106.05356487709439</c:v>
                      </c:pt>
                      <c:pt idx="97">
                        <c:v>105.47878194937029</c:v>
                      </c:pt>
                      <c:pt idx="98">
                        <c:v>105.44209367738789</c:v>
                      </c:pt>
                      <c:pt idx="99">
                        <c:v>105.4054054054055</c:v>
                      </c:pt>
                      <c:pt idx="100">
                        <c:v>105.30757001345246</c:v>
                      </c:pt>
                      <c:pt idx="101">
                        <c:v>105.09966980555227</c:v>
                      </c:pt>
                      <c:pt idx="102">
                        <c:v>104.94068729362857</c:v>
                      </c:pt>
                      <c:pt idx="103">
                        <c:v>105.19750519750529</c:v>
                      </c:pt>
                      <c:pt idx="104">
                        <c:v>104.96514614161683</c:v>
                      </c:pt>
                      <c:pt idx="105">
                        <c:v>105.33202886144072</c:v>
                      </c:pt>
                      <c:pt idx="106">
                        <c:v>105.45432310138203</c:v>
                      </c:pt>
                      <c:pt idx="107">
                        <c:v>105.356487709429</c:v>
                      </c:pt>
                      <c:pt idx="108">
                        <c:v>104.67163996575773</c:v>
                      </c:pt>
                      <c:pt idx="109">
                        <c:v>105.74782927724117</c:v>
                      </c:pt>
                      <c:pt idx="110">
                        <c:v>105.35648770942902</c:v>
                      </c:pt>
                      <c:pt idx="111">
                        <c:v>105.60107618931163</c:v>
                      </c:pt>
                      <c:pt idx="112">
                        <c:v>105.29534058945836</c:v>
                      </c:pt>
                      <c:pt idx="113">
                        <c:v>105.83343524520008</c:v>
                      </c:pt>
                      <c:pt idx="114">
                        <c:v>105.71114100525878</c:v>
                      </c:pt>
                      <c:pt idx="115">
                        <c:v>105.51547022135271</c:v>
                      </c:pt>
                      <c:pt idx="116">
                        <c:v>105.4665525253762</c:v>
                      </c:pt>
                      <c:pt idx="117">
                        <c:v>106.50605356487725</c:v>
                      </c:pt>
                      <c:pt idx="118">
                        <c:v>106.78733031674223</c:v>
                      </c:pt>
                      <c:pt idx="119">
                        <c:v>106.7751008927481</c:v>
                      </c:pt>
                      <c:pt idx="120">
                        <c:v>107.54555460437828</c:v>
                      </c:pt>
                      <c:pt idx="121">
                        <c:v>108.01027271615521</c:v>
                      </c:pt>
                      <c:pt idx="122">
                        <c:v>108.03473156414347</c:v>
                      </c:pt>
                      <c:pt idx="123">
                        <c:v>107.53332518038415</c:v>
                      </c:pt>
                      <c:pt idx="124">
                        <c:v>108.31600831600848</c:v>
                      </c:pt>
                      <c:pt idx="125">
                        <c:v>108.8174146997678</c:v>
                      </c:pt>
                      <c:pt idx="126">
                        <c:v>108.70734988382063</c:v>
                      </c:pt>
                      <c:pt idx="127">
                        <c:v>109.19652684358583</c:v>
                      </c:pt>
                      <c:pt idx="128">
                        <c:v>109.09869145163279</c:v>
                      </c:pt>
                      <c:pt idx="129">
                        <c:v>108.02250214014936</c:v>
                      </c:pt>
                      <c:pt idx="130">
                        <c:v>108.29154946802022</c:v>
                      </c:pt>
                      <c:pt idx="131">
                        <c:v>107.85129020423155</c:v>
                      </c:pt>
                      <c:pt idx="132">
                        <c:v>108.02250214014936</c:v>
                      </c:pt>
                      <c:pt idx="133">
                        <c:v>108.19371407606718</c:v>
                      </c:pt>
                      <c:pt idx="134">
                        <c:v>108.05919041213176</c:v>
                      </c:pt>
                      <c:pt idx="135">
                        <c:v>108.34046716399675</c:v>
                      </c:pt>
                      <c:pt idx="136">
                        <c:v>108.5239085239087</c:v>
                      </c:pt>
                      <c:pt idx="137">
                        <c:v>107.81460193224918</c:v>
                      </c:pt>
                      <c:pt idx="138">
                        <c:v>108.27932004402609</c:v>
                      </c:pt>
                      <c:pt idx="139">
                        <c:v>108.08364926012003</c:v>
                      </c:pt>
                      <c:pt idx="140">
                        <c:v>108.36492601198502</c:v>
                      </c:pt>
                      <c:pt idx="141">
                        <c:v>108.59728506787349</c:v>
                      </c:pt>
                      <c:pt idx="142">
                        <c:v>108.32823774000262</c:v>
                      </c:pt>
                      <c:pt idx="143">
                        <c:v>107.92466674819633</c:v>
                      </c:pt>
                      <c:pt idx="144">
                        <c:v>108.78072642778542</c:v>
                      </c:pt>
                      <c:pt idx="145">
                        <c:v>108.42607313195568</c:v>
                      </c:pt>
                      <c:pt idx="146">
                        <c:v>108.35269658799089</c:v>
                      </c:pt>
                      <c:pt idx="147">
                        <c:v>107.96135502017873</c:v>
                      </c:pt>
                      <c:pt idx="148">
                        <c:v>107.93689617219047</c:v>
                      </c:pt>
                      <c:pt idx="149">
                        <c:v>108.02250214014936</c:v>
                      </c:pt>
                      <c:pt idx="150">
                        <c:v>107.93689617219046</c:v>
                      </c:pt>
                      <c:pt idx="151">
                        <c:v>108.09587868411414</c:v>
                      </c:pt>
                      <c:pt idx="152">
                        <c:v>107.72899596429025</c:v>
                      </c:pt>
                      <c:pt idx="153">
                        <c:v>107.97358444417284</c:v>
                      </c:pt>
                      <c:pt idx="154">
                        <c:v>107.54555460437828</c:v>
                      </c:pt>
                      <c:pt idx="155">
                        <c:v>108.24263177204369</c:v>
                      </c:pt>
                      <c:pt idx="156">
                        <c:v>108.32823774000261</c:v>
                      </c:pt>
                      <c:pt idx="157">
                        <c:v>108.05919041213176</c:v>
                      </c:pt>
                      <c:pt idx="158">
                        <c:v>108.26709062003195</c:v>
                      </c:pt>
                      <c:pt idx="159">
                        <c:v>107.61893114834307</c:v>
                      </c:pt>
                      <c:pt idx="160">
                        <c:v>107.9613550201787</c:v>
                      </c:pt>
                      <c:pt idx="161">
                        <c:v>107.58224287636067</c:v>
                      </c:pt>
                      <c:pt idx="162">
                        <c:v>106.84847743671287</c:v>
                      </c:pt>
                      <c:pt idx="163">
                        <c:v>106.7384126207657</c:v>
                      </c:pt>
                      <c:pt idx="164">
                        <c:v>107.10529534058961</c:v>
                      </c:pt>
                      <c:pt idx="165">
                        <c:v>107.16644246056025</c:v>
                      </c:pt>
                      <c:pt idx="166">
                        <c:v>107.94912559618457</c:v>
                      </c:pt>
                      <c:pt idx="167">
                        <c:v>107.802372508255</c:v>
                      </c:pt>
                      <c:pt idx="168">
                        <c:v>108.09587868411413</c:v>
                      </c:pt>
                      <c:pt idx="169">
                        <c:v>107.802372508255</c:v>
                      </c:pt>
                      <c:pt idx="170">
                        <c:v>107.9613550201787</c:v>
                      </c:pt>
                      <c:pt idx="171">
                        <c:v>108.19371407606718</c:v>
                      </c:pt>
                      <c:pt idx="172">
                        <c:v>108.79295585177952</c:v>
                      </c:pt>
                      <c:pt idx="173">
                        <c:v>109.71016265133927</c:v>
                      </c:pt>
                      <c:pt idx="174">
                        <c:v>109.71016265133927</c:v>
                      </c:pt>
                      <c:pt idx="175">
                        <c:v>108.82964412376192</c:v>
                      </c:pt>
                      <c:pt idx="176">
                        <c:v>108.48722025192627</c:v>
                      </c:pt>
                      <c:pt idx="177">
                        <c:v>108.16925522807888</c:v>
                      </c:pt>
                      <c:pt idx="178">
                        <c:v>106.88516570869525</c:v>
                      </c:pt>
                      <c:pt idx="179">
                        <c:v>106.81178916473047</c:v>
                      </c:pt>
                      <c:pt idx="180">
                        <c:v>106.87293628470113</c:v>
                      </c:pt>
                      <c:pt idx="181">
                        <c:v>107.12975418857785</c:v>
                      </c:pt>
                      <c:pt idx="182">
                        <c:v>107.03191879662481</c:v>
                      </c:pt>
                      <c:pt idx="183">
                        <c:v>107.00745994863655</c:v>
                      </c:pt>
                      <c:pt idx="184">
                        <c:v>107.71676654029609</c:v>
                      </c:pt>
                      <c:pt idx="185">
                        <c:v>108.14479638009063</c:v>
                      </c:pt>
                      <c:pt idx="186">
                        <c:v>107.65561942032542</c:v>
                      </c:pt>
                      <c:pt idx="187">
                        <c:v>107.50886633239587</c:v>
                      </c:pt>
                      <c:pt idx="188">
                        <c:v>107.63116057233717</c:v>
                      </c:pt>
                      <c:pt idx="189">
                        <c:v>107.98581386816693</c:v>
                      </c:pt>
                      <c:pt idx="190">
                        <c:v>108.10810810810821</c:v>
                      </c:pt>
                      <c:pt idx="191">
                        <c:v>107.96135502017866</c:v>
                      </c:pt>
                      <c:pt idx="192">
                        <c:v>108.09587868411408</c:v>
                      </c:pt>
                      <c:pt idx="193">
                        <c:v>109.2454445395623</c:v>
                      </c:pt>
                      <c:pt idx="194">
                        <c:v>108.49944967592037</c:v>
                      </c:pt>
                      <c:pt idx="195">
                        <c:v>108.96416778769731</c:v>
                      </c:pt>
                      <c:pt idx="196">
                        <c:v>109.89360401125118</c:v>
                      </c:pt>
                      <c:pt idx="197">
                        <c:v>109.94252170722771</c:v>
                      </c:pt>
                      <c:pt idx="198">
                        <c:v>110.49284578696356</c:v>
                      </c:pt>
                      <c:pt idx="199">
                        <c:v>111.91145897028264</c:v>
                      </c:pt>
                      <c:pt idx="200">
                        <c:v>112.64522440993042</c:v>
                      </c:pt>
                      <c:pt idx="201">
                        <c:v>112.16827687415935</c:v>
                      </c:pt>
                      <c:pt idx="202">
                        <c:v>110.3950103950105</c:v>
                      </c:pt>
                      <c:pt idx="203">
                        <c:v>111.31221719457025</c:v>
                      </c:pt>
                      <c:pt idx="204">
                        <c:v>112.05821205821218</c:v>
                      </c:pt>
                      <c:pt idx="205">
                        <c:v>111.7769353063472</c:v>
                      </c:pt>
                      <c:pt idx="206">
                        <c:v>111.63018221841763</c:v>
                      </c:pt>
                      <c:pt idx="207">
                        <c:v>110.83526965879919</c:v>
                      </c:pt>
                      <c:pt idx="208">
                        <c:v>110.24825730708096</c:v>
                      </c:pt>
                      <c:pt idx="209">
                        <c:v>110.6640577228814</c:v>
                      </c:pt>
                      <c:pt idx="210">
                        <c:v>110.99425217072289</c:v>
                      </c:pt>
                      <c:pt idx="211">
                        <c:v>110.85972850678745</c:v>
                      </c:pt>
                      <c:pt idx="212">
                        <c:v>111.11654641066418</c:v>
                      </c:pt>
                      <c:pt idx="213">
                        <c:v>111.18992295462897</c:v>
                      </c:pt>
                      <c:pt idx="214">
                        <c:v>111.32444661856441</c:v>
                      </c:pt>
                      <c:pt idx="215">
                        <c:v>111.36113489054681</c:v>
                      </c:pt>
                      <c:pt idx="216">
                        <c:v>110.28494557906339</c:v>
                      </c:pt>
                      <c:pt idx="217">
                        <c:v>109.57563898740385</c:v>
                      </c:pt>
                      <c:pt idx="218">
                        <c:v>110.48061636296946</c:v>
                      </c:pt>
                      <c:pt idx="219">
                        <c:v>110.60291060291077</c:v>
                      </c:pt>
                      <c:pt idx="220">
                        <c:v>111.43451143451161</c:v>
                      </c:pt>
                      <c:pt idx="221">
                        <c:v>112.11935917818288</c:v>
                      </c:pt>
                      <c:pt idx="222">
                        <c:v>112.21719457013593</c:v>
                      </c:pt>
                      <c:pt idx="223">
                        <c:v>112.40063593004788</c:v>
                      </c:pt>
                      <c:pt idx="224">
                        <c:v>112.40063593004788</c:v>
                      </c:pt>
                      <c:pt idx="225">
                        <c:v>112.36394765806548</c:v>
                      </c:pt>
                      <c:pt idx="226">
                        <c:v>112.92650116179547</c:v>
                      </c:pt>
                      <c:pt idx="227">
                        <c:v>112.31502996208899</c:v>
                      </c:pt>
                      <c:pt idx="228">
                        <c:v>112.91427173780136</c:v>
                      </c:pt>
                      <c:pt idx="229">
                        <c:v>113.13440136969571</c:v>
                      </c:pt>
                      <c:pt idx="230">
                        <c:v>113.40344869756657</c:v>
                      </c:pt>
                      <c:pt idx="231">
                        <c:v>113.34230157759592</c:v>
                      </c:pt>
                      <c:pt idx="232">
                        <c:v>112.65745383392465</c:v>
                      </c:pt>
                      <c:pt idx="233">
                        <c:v>112.81643634584833</c:v>
                      </c:pt>
                      <c:pt idx="234">
                        <c:v>113.28115445762528</c:v>
                      </c:pt>
                      <c:pt idx="235">
                        <c:v>114.13721413721437</c:v>
                      </c:pt>
                      <c:pt idx="236">
                        <c:v>114.94435612082692</c:v>
                      </c:pt>
                      <c:pt idx="237">
                        <c:v>115.8248746484043</c:v>
                      </c:pt>
                      <c:pt idx="238">
                        <c:v>116.44857527210492</c:v>
                      </c:pt>
                      <c:pt idx="239">
                        <c:v>115.97162773633386</c:v>
                      </c:pt>
                      <c:pt idx="240">
                        <c:v>116.39965757612839</c:v>
                      </c:pt>
                      <c:pt idx="241">
                        <c:v>116.20398679222232</c:v>
                      </c:pt>
                      <c:pt idx="242">
                        <c:v>115.10333863275063</c:v>
                      </c:pt>
                      <c:pt idx="243">
                        <c:v>115.98385716032799</c:v>
                      </c:pt>
                      <c:pt idx="244">
                        <c:v>115.86156292038667</c:v>
                      </c:pt>
                      <c:pt idx="245">
                        <c:v>115.82487464840429</c:v>
                      </c:pt>
                      <c:pt idx="246">
                        <c:v>116.13061024825754</c:v>
                      </c:pt>
                      <c:pt idx="247">
                        <c:v>116.30182218417536</c:v>
                      </c:pt>
                      <c:pt idx="248">
                        <c:v>117.80604133545334</c:v>
                      </c:pt>
                      <c:pt idx="249">
                        <c:v>117.42692919163531</c:v>
                      </c:pt>
                      <c:pt idx="250">
                        <c:v>117.19457013574684</c:v>
                      </c:pt>
                      <c:pt idx="251">
                        <c:v>115.9104806163632</c:v>
                      </c:pt>
                      <c:pt idx="252">
                        <c:v>116.80322856793468</c:v>
                      </c:pt>
                      <c:pt idx="253">
                        <c:v>115.47022135257453</c:v>
                      </c:pt>
                      <c:pt idx="254">
                        <c:v>115.76372752843365</c:v>
                      </c:pt>
                      <c:pt idx="255">
                        <c:v>114.36957319310285</c:v>
                      </c:pt>
                      <c:pt idx="256">
                        <c:v>113.90485508132592</c:v>
                      </c:pt>
                      <c:pt idx="257">
                        <c:v>114.46740858505591</c:v>
                      </c:pt>
                      <c:pt idx="258">
                        <c:v>113.99046104928485</c:v>
                      </c:pt>
                      <c:pt idx="259">
                        <c:v>113.96600220129658</c:v>
                      </c:pt>
                      <c:pt idx="260">
                        <c:v>113.440136969549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9-655B-4703-B4C3-57C8BE6FA31A}"/>
                  </c:ext>
                </c:extLst>
              </c15:ser>
            </c15:filteredLineSeries>
            <c15:filteredLine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'Currency Chart'!$X$5</c15:sqref>
                        </c15:formulaRef>
                      </c:ext>
                    </c:extLst>
                    <c:strCache>
                      <c:ptCount val="1"/>
                      <c:pt idx="0">
                        <c:v>Yen</c:v>
                      </c:pt>
                    </c:strCache>
                  </c:strRef>
                </c:tx>
                <c:spPr>
                  <a:ln w="28575" cap="rnd">
                    <a:solidFill>
                      <a:schemeClr val="accent3">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Chart'!$X$6:$X$291</c15:sqref>
                        </c15:formulaRef>
                      </c:ext>
                    </c:extLst>
                    <c:numCache>
                      <c:formatCode>0</c:formatCode>
                      <c:ptCount val="286"/>
                      <c:pt idx="0" formatCode="General">
                        <c:v>100</c:v>
                      </c:pt>
                      <c:pt idx="1">
                        <c:v>99.917838232609085</c:v>
                      </c:pt>
                      <c:pt idx="2">
                        <c:v>100</c:v>
                      </c:pt>
                      <c:pt idx="3">
                        <c:v>100.67555230965857</c:v>
                      </c:pt>
                      <c:pt idx="4">
                        <c:v>99.954354573671708</c:v>
                      </c:pt>
                      <c:pt idx="5">
                        <c:v>99.72612744203029</c:v>
                      </c:pt>
                      <c:pt idx="6">
                        <c:v>99.954354573671694</c:v>
                      </c:pt>
                      <c:pt idx="7">
                        <c:v>100.06390359685956</c:v>
                      </c:pt>
                      <c:pt idx="8">
                        <c:v>99.790031038889879</c:v>
                      </c:pt>
                      <c:pt idx="9">
                        <c:v>100.1004199379222</c:v>
                      </c:pt>
                      <c:pt idx="10">
                        <c:v>100.47471243381412</c:v>
                      </c:pt>
                      <c:pt idx="11">
                        <c:v>100.48384151907977</c:v>
                      </c:pt>
                      <c:pt idx="12">
                        <c:v>101.04984480555048</c:v>
                      </c:pt>
                      <c:pt idx="13">
                        <c:v>100.60251962753333</c:v>
                      </c:pt>
                      <c:pt idx="14">
                        <c:v>100.59339054226767</c:v>
                      </c:pt>
                      <c:pt idx="15">
                        <c:v>100.6938104801899</c:v>
                      </c:pt>
                      <c:pt idx="16">
                        <c:v>101.0041993792222</c:v>
                      </c:pt>
                      <c:pt idx="17">
                        <c:v>101.27807193719188</c:v>
                      </c:pt>
                      <c:pt idx="18">
                        <c:v>101.20503925506664</c:v>
                      </c:pt>
                      <c:pt idx="19">
                        <c:v>101.12287748767574</c:v>
                      </c:pt>
                      <c:pt idx="20">
                        <c:v>100.98594120869089</c:v>
                      </c:pt>
                      <c:pt idx="21">
                        <c:v>100.87639218550301</c:v>
                      </c:pt>
                      <c:pt idx="22">
                        <c:v>101.42413730144239</c:v>
                      </c:pt>
                      <c:pt idx="23">
                        <c:v>101.78930071206865</c:v>
                      </c:pt>
                      <c:pt idx="24">
                        <c:v>101.36936278984847</c:v>
                      </c:pt>
                      <c:pt idx="25">
                        <c:v>101.29633010772321</c:v>
                      </c:pt>
                      <c:pt idx="26">
                        <c:v>100.96768303815958</c:v>
                      </c:pt>
                      <c:pt idx="27">
                        <c:v>101.01332846448787</c:v>
                      </c:pt>
                      <c:pt idx="28">
                        <c:v>100.22822713164142</c:v>
                      </c:pt>
                      <c:pt idx="29">
                        <c:v>100.54774511593939</c:v>
                      </c:pt>
                      <c:pt idx="30">
                        <c:v>100.73945590651817</c:v>
                      </c:pt>
                      <c:pt idx="31">
                        <c:v>100.97681212342525</c:v>
                      </c:pt>
                      <c:pt idx="32">
                        <c:v>100.41080883695454</c:v>
                      </c:pt>
                      <c:pt idx="33">
                        <c:v>100.29213072850102</c:v>
                      </c:pt>
                      <c:pt idx="34">
                        <c:v>100.49297060434546</c:v>
                      </c:pt>
                      <c:pt idx="35">
                        <c:v>99.908709147343444</c:v>
                      </c:pt>
                      <c:pt idx="36">
                        <c:v>100.27387255796971</c:v>
                      </c:pt>
                      <c:pt idx="37">
                        <c:v>100.66642322439293</c:v>
                      </c:pt>
                      <c:pt idx="38">
                        <c:v>100.54774511593939</c:v>
                      </c:pt>
                      <c:pt idx="39">
                        <c:v>100.91290852656564</c:v>
                      </c:pt>
                      <c:pt idx="40">
                        <c:v>100.73032682125252</c:v>
                      </c:pt>
                      <c:pt idx="41">
                        <c:v>100.20083987584445</c:v>
                      </c:pt>
                      <c:pt idx="42">
                        <c:v>100.32864706956363</c:v>
                      </c:pt>
                      <c:pt idx="43">
                        <c:v>99.926967317874741</c:v>
                      </c:pt>
                      <c:pt idx="44">
                        <c:v>100.1460653642505</c:v>
                      </c:pt>
                      <c:pt idx="45">
                        <c:v>99.76264378309294</c:v>
                      </c:pt>
                      <c:pt idx="46">
                        <c:v>99.543545736717192</c:v>
                      </c:pt>
                      <c:pt idx="47">
                        <c:v>99.936096403140411</c:v>
                      </c:pt>
                      <c:pt idx="48">
                        <c:v>100.18258170531313</c:v>
                      </c:pt>
                      <c:pt idx="49">
                        <c:v>100.6481650538616</c:v>
                      </c:pt>
                      <c:pt idx="50">
                        <c:v>100.67555230965857</c:v>
                      </c:pt>
                      <c:pt idx="51">
                        <c:v>100.93116669709696</c:v>
                      </c:pt>
                      <c:pt idx="52">
                        <c:v>100.78510133284647</c:v>
                      </c:pt>
                      <c:pt idx="53">
                        <c:v>100.76684316231514</c:v>
                      </c:pt>
                      <c:pt idx="54">
                        <c:v>100.02738725579698</c:v>
                      </c:pt>
                      <c:pt idx="55">
                        <c:v>99.716998356764677</c:v>
                      </c:pt>
                      <c:pt idx="56">
                        <c:v>100.02738725579698</c:v>
                      </c:pt>
                      <c:pt idx="57">
                        <c:v>100.18258170531313</c:v>
                      </c:pt>
                      <c:pt idx="58">
                        <c:v>100.16432353478181</c:v>
                      </c:pt>
                      <c:pt idx="59">
                        <c:v>100.23735621690706</c:v>
                      </c:pt>
                      <c:pt idx="60">
                        <c:v>100.12780719371919</c:v>
                      </c:pt>
                      <c:pt idx="61">
                        <c:v>100.07303268212526</c:v>
                      </c:pt>
                      <c:pt idx="62">
                        <c:v>100.41080883695453</c:v>
                      </c:pt>
                      <c:pt idx="63">
                        <c:v>100.48384151907979</c:v>
                      </c:pt>
                      <c:pt idx="64">
                        <c:v>100.25561438743838</c:v>
                      </c:pt>
                      <c:pt idx="65">
                        <c:v>100.34690524009497</c:v>
                      </c:pt>
                      <c:pt idx="66">
                        <c:v>100.43819609275154</c:v>
                      </c:pt>
                      <c:pt idx="67">
                        <c:v>100.41080883695457</c:v>
                      </c:pt>
                      <c:pt idx="68">
                        <c:v>100.34690524009498</c:v>
                      </c:pt>
                      <c:pt idx="69">
                        <c:v>100.17345262004751</c:v>
                      </c:pt>
                      <c:pt idx="70">
                        <c:v>100.26474347270408</c:v>
                      </c:pt>
                      <c:pt idx="71">
                        <c:v>100.66642322439296</c:v>
                      </c:pt>
                      <c:pt idx="72">
                        <c:v>100.62990688333034</c:v>
                      </c:pt>
                      <c:pt idx="73">
                        <c:v>100.14606536425055</c:v>
                      </c:pt>
                      <c:pt idx="74">
                        <c:v>100.35603432536064</c:v>
                      </c:pt>
                      <c:pt idx="75">
                        <c:v>100.40167975168892</c:v>
                      </c:pt>
                      <c:pt idx="76">
                        <c:v>100.11867810845357</c:v>
                      </c:pt>
                      <c:pt idx="77">
                        <c:v>99.835676465218214</c:v>
                      </c:pt>
                      <c:pt idx="78">
                        <c:v>100.14606536425053</c:v>
                      </c:pt>
                      <c:pt idx="79">
                        <c:v>100.38342158115759</c:v>
                      </c:pt>
                      <c:pt idx="80">
                        <c:v>99.86306372101518</c:v>
                      </c:pt>
                      <c:pt idx="81">
                        <c:v>99.698740186233366</c:v>
                      </c:pt>
                      <c:pt idx="82">
                        <c:v>100.21909804637579</c:v>
                      </c:pt>
                      <c:pt idx="83">
                        <c:v>100.69381048018992</c:v>
                      </c:pt>
                      <c:pt idx="84">
                        <c:v>101.07723206134749</c:v>
                      </c:pt>
                      <c:pt idx="85">
                        <c:v>101.33284644878587</c:v>
                      </c:pt>
                      <c:pt idx="86">
                        <c:v>101.78930071206868</c:v>
                      </c:pt>
                      <c:pt idx="87">
                        <c:v>102.20923863428887</c:v>
                      </c:pt>
                      <c:pt idx="88">
                        <c:v>101.57933175095857</c:v>
                      </c:pt>
                      <c:pt idx="89">
                        <c:v>101.37849187511414</c:v>
                      </c:pt>
                      <c:pt idx="90">
                        <c:v>101.21416834033232</c:v>
                      </c:pt>
                      <c:pt idx="91">
                        <c:v>101.74365528574039</c:v>
                      </c:pt>
                      <c:pt idx="92">
                        <c:v>101.70713894467775</c:v>
                      </c:pt>
                      <c:pt idx="93">
                        <c:v>101.87146247945958</c:v>
                      </c:pt>
                      <c:pt idx="94">
                        <c:v>102.44659485119594</c:v>
                      </c:pt>
                      <c:pt idx="95">
                        <c:v>103.43253605988683</c:v>
                      </c:pt>
                      <c:pt idx="96">
                        <c:v>103.70640861785652</c:v>
                      </c:pt>
                      <c:pt idx="97">
                        <c:v>103.36863246302724</c:v>
                      </c:pt>
                      <c:pt idx="98">
                        <c:v>103.76118312945046</c:v>
                      </c:pt>
                      <c:pt idx="99">
                        <c:v>104.2541537337959</c:v>
                      </c:pt>
                      <c:pt idx="100">
                        <c:v>104.35457367171811</c:v>
                      </c:pt>
                      <c:pt idx="101">
                        <c:v>104.40021909804639</c:v>
                      </c:pt>
                      <c:pt idx="102">
                        <c:v>104.30892824538984</c:v>
                      </c:pt>
                      <c:pt idx="103">
                        <c:v>104.0441847726858</c:v>
                      </c:pt>
                      <c:pt idx="104">
                        <c:v>103.57860142413732</c:v>
                      </c:pt>
                      <c:pt idx="105">
                        <c:v>103.79769947051308</c:v>
                      </c:pt>
                      <c:pt idx="106">
                        <c:v>104.19937922220196</c:v>
                      </c:pt>
                      <c:pt idx="107">
                        <c:v>103.89811940843529</c:v>
                      </c:pt>
                      <c:pt idx="108">
                        <c:v>103.66989227679387</c:v>
                      </c:pt>
                      <c:pt idx="109">
                        <c:v>104.07157202848275</c:v>
                      </c:pt>
                      <c:pt idx="110">
                        <c:v>104.05331385795144</c:v>
                      </c:pt>
                      <c:pt idx="111">
                        <c:v>104.02592660215447</c:v>
                      </c:pt>
                      <c:pt idx="112">
                        <c:v>104.05331385795145</c:v>
                      </c:pt>
                      <c:pt idx="113">
                        <c:v>103.84334489684136</c:v>
                      </c:pt>
                      <c:pt idx="114">
                        <c:v>103.5238269125434</c:v>
                      </c:pt>
                      <c:pt idx="115">
                        <c:v>103.35950337776157</c:v>
                      </c:pt>
                      <c:pt idx="116">
                        <c:v>103.02172722293228</c:v>
                      </c:pt>
                      <c:pt idx="117">
                        <c:v>103.98028117582621</c:v>
                      </c:pt>
                      <c:pt idx="118">
                        <c:v>104.11721745481104</c:v>
                      </c:pt>
                      <c:pt idx="119">
                        <c:v>103.93463574949791</c:v>
                      </c:pt>
                      <c:pt idx="120">
                        <c:v>104.18112105167063</c:v>
                      </c:pt>
                      <c:pt idx="121">
                        <c:v>104.82015702026656</c:v>
                      </c:pt>
                      <c:pt idx="122">
                        <c:v>104.13547562534232</c:v>
                      </c:pt>
                      <c:pt idx="123">
                        <c:v>104.2906700748585</c:v>
                      </c:pt>
                      <c:pt idx="124">
                        <c:v>104.05331385795144</c:v>
                      </c:pt>
                      <c:pt idx="125">
                        <c:v>104.8566733613292</c:v>
                      </c:pt>
                      <c:pt idx="126">
                        <c:v>105.09402957823626</c:v>
                      </c:pt>
                      <c:pt idx="127">
                        <c:v>105.35877305094029</c:v>
                      </c:pt>
                      <c:pt idx="128">
                        <c:v>105.30399853934635</c:v>
                      </c:pt>
                      <c:pt idx="129">
                        <c:v>103.44166514515246</c:v>
                      </c:pt>
                      <c:pt idx="130">
                        <c:v>103.63337593573124</c:v>
                      </c:pt>
                      <c:pt idx="131">
                        <c:v>103.27734161037064</c:v>
                      </c:pt>
                      <c:pt idx="132">
                        <c:v>102.9304363702757</c:v>
                      </c:pt>
                      <c:pt idx="133">
                        <c:v>103.29559978090197</c:v>
                      </c:pt>
                      <c:pt idx="134">
                        <c:v>102.97608179660399</c:v>
                      </c:pt>
                      <c:pt idx="135">
                        <c:v>103.57860142413732</c:v>
                      </c:pt>
                      <c:pt idx="136">
                        <c:v>103.67902136205953</c:v>
                      </c:pt>
                      <c:pt idx="137">
                        <c:v>103.76118312945044</c:v>
                      </c:pt>
                      <c:pt idx="138">
                        <c:v>103.56034325360601</c:v>
                      </c:pt>
                      <c:pt idx="139">
                        <c:v>103.50556874201206</c:v>
                      </c:pt>
                      <c:pt idx="140">
                        <c:v>103.66989227679387</c:v>
                      </c:pt>
                      <c:pt idx="141">
                        <c:v>103.80682855577871</c:v>
                      </c:pt>
                      <c:pt idx="142">
                        <c:v>104.08983019901406</c:v>
                      </c:pt>
                      <c:pt idx="143">
                        <c:v>103.79769947051307</c:v>
                      </c:pt>
                      <c:pt idx="144">
                        <c:v>103.7703122147161</c:v>
                      </c:pt>
                      <c:pt idx="145">
                        <c:v>103.68815044732519</c:v>
                      </c:pt>
                      <c:pt idx="146">
                        <c:v>104.14460471060799</c:v>
                      </c:pt>
                      <c:pt idx="147">
                        <c:v>104.17199196640496</c:v>
                      </c:pt>
                      <c:pt idx="148">
                        <c:v>104.40934818331203</c:v>
                      </c:pt>
                      <c:pt idx="149">
                        <c:v>104.44586452437464</c:v>
                      </c:pt>
                      <c:pt idx="150">
                        <c:v>104.8292861055322</c:v>
                      </c:pt>
                      <c:pt idx="151">
                        <c:v>104.81102793500089</c:v>
                      </c:pt>
                      <c:pt idx="152">
                        <c:v>104.92970604345443</c:v>
                      </c:pt>
                      <c:pt idx="153">
                        <c:v>105.03925506664231</c:v>
                      </c:pt>
                      <c:pt idx="154">
                        <c:v>105.05751323717361</c:v>
                      </c:pt>
                      <c:pt idx="155">
                        <c:v>105.27661128354936</c:v>
                      </c:pt>
                      <c:pt idx="156">
                        <c:v>106.02519627533319</c:v>
                      </c:pt>
                      <c:pt idx="157">
                        <c:v>105.98867993427055</c:v>
                      </c:pt>
                      <c:pt idx="158">
                        <c:v>105.73306554683217</c:v>
                      </c:pt>
                      <c:pt idx="159">
                        <c:v>105.48658024465945</c:v>
                      </c:pt>
                      <c:pt idx="160">
                        <c:v>105.16706226036148</c:v>
                      </c:pt>
                      <c:pt idx="161">
                        <c:v>105.24009494248672</c:v>
                      </c:pt>
                      <c:pt idx="162">
                        <c:v>104.64670440021905</c:v>
                      </c:pt>
                      <c:pt idx="163">
                        <c:v>104.22676647799886</c:v>
                      </c:pt>
                      <c:pt idx="164">
                        <c:v>104.25415373379583</c:v>
                      </c:pt>
                      <c:pt idx="165">
                        <c:v>104.61931714442208</c:v>
                      </c:pt>
                      <c:pt idx="166">
                        <c:v>104.62844622968774</c:v>
                      </c:pt>
                      <c:pt idx="167">
                        <c:v>104.3637027569837</c:v>
                      </c:pt>
                      <c:pt idx="168">
                        <c:v>104.15373379587361</c:v>
                      </c:pt>
                      <c:pt idx="169">
                        <c:v>103.7794412999817</c:v>
                      </c:pt>
                      <c:pt idx="170">
                        <c:v>103.99853934635745</c:v>
                      </c:pt>
                      <c:pt idx="171">
                        <c:v>103.94376483476351</c:v>
                      </c:pt>
                      <c:pt idx="172">
                        <c:v>104.64670440021905</c:v>
                      </c:pt>
                      <c:pt idx="173">
                        <c:v>105.29486945408065</c:v>
                      </c:pt>
                      <c:pt idx="174">
                        <c:v>105.20357860142408</c:v>
                      </c:pt>
                      <c:pt idx="175">
                        <c:v>105.07577140770489</c:v>
                      </c:pt>
                      <c:pt idx="176">
                        <c:v>104.7197370823443</c:v>
                      </c:pt>
                      <c:pt idx="177">
                        <c:v>104.47325178017158</c:v>
                      </c:pt>
                      <c:pt idx="178">
                        <c:v>104.93883512872006</c:v>
                      </c:pt>
                      <c:pt idx="179">
                        <c:v>105.16706226036146</c:v>
                      </c:pt>
                      <c:pt idx="180">
                        <c:v>105.09402957823622</c:v>
                      </c:pt>
                      <c:pt idx="181">
                        <c:v>105.47745115939379</c:v>
                      </c:pt>
                      <c:pt idx="182">
                        <c:v>105.4318057330655</c:v>
                      </c:pt>
                      <c:pt idx="183">
                        <c:v>105.89738908161398</c:v>
                      </c:pt>
                      <c:pt idx="184">
                        <c:v>105.35877305094026</c:v>
                      </c:pt>
                      <c:pt idx="185">
                        <c:v>105.46832207412814</c:v>
                      </c:pt>
                      <c:pt idx="186">
                        <c:v>105.55048384151905</c:v>
                      </c:pt>
                      <c:pt idx="187">
                        <c:v>105.40441847726855</c:v>
                      </c:pt>
                      <c:pt idx="188">
                        <c:v>104.92057695818878</c:v>
                      </c:pt>
                      <c:pt idx="189">
                        <c:v>104.98448055504836</c:v>
                      </c:pt>
                      <c:pt idx="190">
                        <c:v>104.74712433814129</c:v>
                      </c:pt>
                      <c:pt idx="191">
                        <c:v>105.05751323717361</c:v>
                      </c:pt>
                      <c:pt idx="192">
                        <c:v>104.95709329925138</c:v>
                      </c:pt>
                      <c:pt idx="193">
                        <c:v>105.4591929888625</c:v>
                      </c:pt>
                      <c:pt idx="194">
                        <c:v>105.49570932992513</c:v>
                      </c:pt>
                      <c:pt idx="195">
                        <c:v>104.97535146978271</c:v>
                      </c:pt>
                      <c:pt idx="196">
                        <c:v>104.88406061712615</c:v>
                      </c:pt>
                      <c:pt idx="197">
                        <c:v>105.44093481833119</c:v>
                      </c:pt>
                      <c:pt idx="198">
                        <c:v>105.40441847726855</c:v>
                      </c:pt>
                      <c:pt idx="199">
                        <c:v>104.78364067920393</c:v>
                      </c:pt>
                      <c:pt idx="200">
                        <c:v>105.2492240277524</c:v>
                      </c:pt>
                      <c:pt idx="201">
                        <c:v>105.58700018258169</c:v>
                      </c:pt>
                      <c:pt idx="202">
                        <c:v>105.73306554683218</c:v>
                      </c:pt>
                      <c:pt idx="203">
                        <c:v>106.01606719006753</c:v>
                      </c:pt>
                      <c:pt idx="204">
                        <c:v>107.06591199561802</c:v>
                      </c:pt>
                      <c:pt idx="205">
                        <c:v>107.8875296695271</c:v>
                      </c:pt>
                      <c:pt idx="206">
                        <c:v>107.97882052218365</c:v>
                      </c:pt>
                      <c:pt idx="207">
                        <c:v>108.38050027387253</c:v>
                      </c:pt>
                      <c:pt idx="208">
                        <c:v>108.26182216541899</c:v>
                      </c:pt>
                      <c:pt idx="209">
                        <c:v>108.79130911082707</c:v>
                      </c:pt>
                      <c:pt idx="210">
                        <c:v>109.06518166879677</c:v>
                      </c:pt>
                      <c:pt idx="211">
                        <c:v>110.27935000912906</c:v>
                      </c:pt>
                      <c:pt idx="212">
                        <c:v>110.59886799342705</c:v>
                      </c:pt>
                      <c:pt idx="213">
                        <c:v>111.67610005477449</c:v>
                      </c:pt>
                      <c:pt idx="214">
                        <c:v>111.42961475260178</c:v>
                      </c:pt>
                      <c:pt idx="215">
                        <c:v>113.11849552674819</c:v>
                      </c:pt>
                      <c:pt idx="216">
                        <c:v>112.14168340332296</c:v>
                      </c:pt>
                      <c:pt idx="217">
                        <c:v>111.19225853569469</c:v>
                      </c:pt>
                      <c:pt idx="218">
                        <c:v>111.0644513419755</c:v>
                      </c:pt>
                      <c:pt idx="219">
                        <c:v>111.82216541902497</c:v>
                      </c:pt>
                      <c:pt idx="220">
                        <c:v>112.08690889172901</c:v>
                      </c:pt>
                      <c:pt idx="221">
                        <c:v>112.83549388351284</c:v>
                      </c:pt>
                      <c:pt idx="222">
                        <c:v>113.00894650356032</c:v>
                      </c:pt>
                      <c:pt idx="223">
                        <c:v>113.12762461201385</c:v>
                      </c:pt>
                      <c:pt idx="224">
                        <c:v>113.49278802264008</c:v>
                      </c:pt>
                      <c:pt idx="225">
                        <c:v>114.4330838050027</c:v>
                      </c:pt>
                      <c:pt idx="226">
                        <c:v>114.4330838050027</c:v>
                      </c:pt>
                      <c:pt idx="227">
                        <c:v>114.71608544823805</c:v>
                      </c:pt>
                      <c:pt idx="228">
                        <c:v>114.89866715355119</c:v>
                      </c:pt>
                      <c:pt idx="229">
                        <c:v>115.34599233156835</c:v>
                      </c:pt>
                      <c:pt idx="230">
                        <c:v>115.91199561803906</c:v>
                      </c:pt>
                      <c:pt idx="231">
                        <c:v>117.67390907431074</c:v>
                      </c:pt>
                      <c:pt idx="232">
                        <c:v>116.74274237721379</c:v>
                      </c:pt>
                      <c:pt idx="233">
                        <c:v>117.20832572576225</c:v>
                      </c:pt>
                      <c:pt idx="234">
                        <c:v>117.36352017527842</c:v>
                      </c:pt>
                      <c:pt idx="235">
                        <c:v>116.96184042358954</c:v>
                      </c:pt>
                      <c:pt idx="236">
                        <c:v>116.14022274968046</c:v>
                      </c:pt>
                      <c:pt idx="237">
                        <c:v>117.23571298155923</c:v>
                      </c:pt>
                      <c:pt idx="238">
                        <c:v>119.45408070111375</c:v>
                      </c:pt>
                      <c:pt idx="239">
                        <c:v>118.52291400401681</c:v>
                      </c:pt>
                      <c:pt idx="240">
                        <c:v>118.80591564725214</c:v>
                      </c:pt>
                      <c:pt idx="241">
                        <c:v>118.76939930618951</c:v>
                      </c:pt>
                      <c:pt idx="242">
                        <c:v>117.8291035238269</c:v>
                      </c:pt>
                      <c:pt idx="243">
                        <c:v>118.79678656198648</c:v>
                      </c:pt>
                      <c:pt idx="244">
                        <c:v>119.1893372284097</c:v>
                      </c:pt>
                      <c:pt idx="245">
                        <c:v>118.90633558517435</c:v>
                      </c:pt>
                      <c:pt idx="246">
                        <c:v>119.07065911995618</c:v>
                      </c:pt>
                      <c:pt idx="247">
                        <c:v>118.64159211247032</c:v>
                      </c:pt>
                      <c:pt idx="248">
                        <c:v>117.14442212890266</c:v>
                      </c:pt>
                      <c:pt idx="249">
                        <c:v>117.93865254701477</c:v>
                      </c:pt>
                      <c:pt idx="250">
                        <c:v>117.91126529121779</c:v>
                      </c:pt>
                      <c:pt idx="251">
                        <c:v>118.12123425232787</c:v>
                      </c:pt>
                      <c:pt idx="252">
                        <c:v>117.05313127624609</c:v>
                      </c:pt>
                      <c:pt idx="253">
                        <c:v>116.66970969508851</c:v>
                      </c:pt>
                      <c:pt idx="254">
                        <c:v>116.71535512141681</c:v>
                      </c:pt>
                      <c:pt idx="255">
                        <c:v>116.73361329194812</c:v>
                      </c:pt>
                      <c:pt idx="256">
                        <c:v>115.75680116852288</c:v>
                      </c:pt>
                      <c:pt idx="257">
                        <c:v>116.22238451707135</c:v>
                      </c:pt>
                      <c:pt idx="258">
                        <c:v>116.06719006755519</c:v>
                      </c:pt>
                      <c:pt idx="259">
                        <c:v>116.03980281175821</c:v>
                      </c:pt>
                      <c:pt idx="260">
                        <c:v>116.4414825634471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A-655B-4703-B4C3-57C8BE6FA31A}"/>
                  </c:ext>
                </c:extLst>
              </c15:ser>
            </c15:filteredLineSeries>
            <c15:filteredLineSeries>
              <c15:ser>
                <c:idx val="9"/>
                <c:order val="9"/>
                <c:tx>
                  <c:strRef>
                    <c:extLst xmlns:c15="http://schemas.microsoft.com/office/drawing/2012/chart" xmlns:c16r2="http://schemas.microsoft.com/office/drawing/2015/06/chart">
                      <c:ext xmlns:c15="http://schemas.microsoft.com/office/drawing/2012/chart" uri="{02D57815-91ED-43cb-92C2-25804820EDAC}">
                        <c15:formulaRef>
                          <c15:sqref>'Currency Chart'!$Y$5</c15:sqref>
                        </c15:formulaRef>
                      </c:ext>
                    </c:extLst>
                    <c:strCache>
                      <c:ptCount val="1"/>
                      <c:pt idx="0">
                        <c:v>Swiss Franc</c:v>
                      </c:pt>
                    </c:strCache>
                  </c:strRef>
                </c:tx>
                <c:spPr>
                  <a:ln w="28575" cap="rnd">
                    <a:solidFill>
                      <a:schemeClr val="accent4">
                        <a:lumMod val="60000"/>
                      </a:schemeClr>
                    </a:solidFill>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'Currency Chart'!$O$6:$O$291</c15:sqref>
                        </c15:formulaRef>
                      </c:ext>
                    </c:extLst>
                    <c:numCache>
                      <c:formatCode>m/d/yyyy</c:formatCode>
                      <c:ptCount val="286"/>
                      <c:pt idx="0">
                        <c:v>44347</c:v>
                      </c:pt>
                      <c:pt idx="1">
                        <c:v>44348</c:v>
                      </c:pt>
                      <c:pt idx="2">
                        <c:v>44349</c:v>
                      </c:pt>
                      <c:pt idx="3">
                        <c:v>44350</c:v>
                      </c:pt>
                      <c:pt idx="4">
                        <c:v>44351</c:v>
                      </c:pt>
                      <c:pt idx="5">
                        <c:v>44354</c:v>
                      </c:pt>
                      <c:pt idx="6">
                        <c:v>44355</c:v>
                      </c:pt>
                      <c:pt idx="7">
                        <c:v>44356</c:v>
                      </c:pt>
                      <c:pt idx="8">
                        <c:v>44357</c:v>
                      </c:pt>
                      <c:pt idx="9">
                        <c:v>44358</c:v>
                      </c:pt>
                      <c:pt idx="10">
                        <c:v>44361</c:v>
                      </c:pt>
                      <c:pt idx="11">
                        <c:v>44362</c:v>
                      </c:pt>
                      <c:pt idx="12">
                        <c:v>44363</c:v>
                      </c:pt>
                      <c:pt idx="13">
                        <c:v>44364</c:v>
                      </c:pt>
                      <c:pt idx="14">
                        <c:v>44365</c:v>
                      </c:pt>
                      <c:pt idx="15">
                        <c:v>44368</c:v>
                      </c:pt>
                      <c:pt idx="16">
                        <c:v>44369</c:v>
                      </c:pt>
                      <c:pt idx="17">
                        <c:v>44370</c:v>
                      </c:pt>
                      <c:pt idx="18">
                        <c:v>44371</c:v>
                      </c:pt>
                      <c:pt idx="19">
                        <c:v>44372</c:v>
                      </c:pt>
                      <c:pt idx="20">
                        <c:v>44375</c:v>
                      </c:pt>
                      <c:pt idx="21">
                        <c:v>44376</c:v>
                      </c:pt>
                      <c:pt idx="22">
                        <c:v>44377</c:v>
                      </c:pt>
                      <c:pt idx="23">
                        <c:v>44378</c:v>
                      </c:pt>
                      <c:pt idx="24">
                        <c:v>44379</c:v>
                      </c:pt>
                      <c:pt idx="25">
                        <c:v>44382</c:v>
                      </c:pt>
                      <c:pt idx="26">
                        <c:v>44383</c:v>
                      </c:pt>
                      <c:pt idx="27">
                        <c:v>44384</c:v>
                      </c:pt>
                      <c:pt idx="28">
                        <c:v>44385</c:v>
                      </c:pt>
                      <c:pt idx="29">
                        <c:v>44386</c:v>
                      </c:pt>
                      <c:pt idx="30">
                        <c:v>44389</c:v>
                      </c:pt>
                      <c:pt idx="31">
                        <c:v>44390</c:v>
                      </c:pt>
                      <c:pt idx="32">
                        <c:v>44391</c:v>
                      </c:pt>
                      <c:pt idx="33">
                        <c:v>44392</c:v>
                      </c:pt>
                      <c:pt idx="34">
                        <c:v>44393</c:v>
                      </c:pt>
                      <c:pt idx="35">
                        <c:v>44396</c:v>
                      </c:pt>
                      <c:pt idx="36">
                        <c:v>44397</c:v>
                      </c:pt>
                      <c:pt idx="37">
                        <c:v>44398</c:v>
                      </c:pt>
                      <c:pt idx="38">
                        <c:v>44399</c:v>
                      </c:pt>
                      <c:pt idx="39">
                        <c:v>44400</c:v>
                      </c:pt>
                      <c:pt idx="40">
                        <c:v>44403</c:v>
                      </c:pt>
                      <c:pt idx="41">
                        <c:v>44404</c:v>
                      </c:pt>
                      <c:pt idx="42">
                        <c:v>44405</c:v>
                      </c:pt>
                      <c:pt idx="43">
                        <c:v>44406</c:v>
                      </c:pt>
                      <c:pt idx="44">
                        <c:v>44407</c:v>
                      </c:pt>
                      <c:pt idx="45">
                        <c:v>44410</c:v>
                      </c:pt>
                      <c:pt idx="46">
                        <c:v>44411</c:v>
                      </c:pt>
                      <c:pt idx="47">
                        <c:v>44412</c:v>
                      </c:pt>
                      <c:pt idx="48">
                        <c:v>44413</c:v>
                      </c:pt>
                      <c:pt idx="49">
                        <c:v>44414</c:v>
                      </c:pt>
                      <c:pt idx="50">
                        <c:v>44417</c:v>
                      </c:pt>
                      <c:pt idx="51">
                        <c:v>44418</c:v>
                      </c:pt>
                      <c:pt idx="52">
                        <c:v>44419</c:v>
                      </c:pt>
                      <c:pt idx="53">
                        <c:v>44420</c:v>
                      </c:pt>
                      <c:pt idx="54">
                        <c:v>44421</c:v>
                      </c:pt>
                      <c:pt idx="55">
                        <c:v>44424</c:v>
                      </c:pt>
                      <c:pt idx="56">
                        <c:v>44425</c:v>
                      </c:pt>
                      <c:pt idx="57">
                        <c:v>44426</c:v>
                      </c:pt>
                      <c:pt idx="58">
                        <c:v>44427</c:v>
                      </c:pt>
                      <c:pt idx="59">
                        <c:v>44428</c:v>
                      </c:pt>
                      <c:pt idx="60">
                        <c:v>44431</c:v>
                      </c:pt>
                      <c:pt idx="61">
                        <c:v>44432</c:v>
                      </c:pt>
                      <c:pt idx="62">
                        <c:v>44433</c:v>
                      </c:pt>
                      <c:pt idx="63">
                        <c:v>44434</c:v>
                      </c:pt>
                      <c:pt idx="64">
                        <c:v>44435</c:v>
                      </c:pt>
                      <c:pt idx="65">
                        <c:v>44438</c:v>
                      </c:pt>
                      <c:pt idx="66">
                        <c:v>44439</c:v>
                      </c:pt>
                      <c:pt idx="67">
                        <c:v>44440</c:v>
                      </c:pt>
                      <c:pt idx="68">
                        <c:v>44441</c:v>
                      </c:pt>
                      <c:pt idx="69">
                        <c:v>44442</c:v>
                      </c:pt>
                      <c:pt idx="70">
                        <c:v>44445</c:v>
                      </c:pt>
                      <c:pt idx="71">
                        <c:v>44446</c:v>
                      </c:pt>
                      <c:pt idx="72">
                        <c:v>44447</c:v>
                      </c:pt>
                      <c:pt idx="73">
                        <c:v>44448</c:v>
                      </c:pt>
                      <c:pt idx="74">
                        <c:v>44449</c:v>
                      </c:pt>
                      <c:pt idx="75">
                        <c:v>44452</c:v>
                      </c:pt>
                      <c:pt idx="76">
                        <c:v>44453</c:v>
                      </c:pt>
                      <c:pt idx="77">
                        <c:v>44454</c:v>
                      </c:pt>
                      <c:pt idx="78">
                        <c:v>44455</c:v>
                      </c:pt>
                      <c:pt idx="79">
                        <c:v>44456</c:v>
                      </c:pt>
                      <c:pt idx="80">
                        <c:v>44459</c:v>
                      </c:pt>
                      <c:pt idx="81">
                        <c:v>44460</c:v>
                      </c:pt>
                      <c:pt idx="82">
                        <c:v>44461</c:v>
                      </c:pt>
                      <c:pt idx="83">
                        <c:v>44462</c:v>
                      </c:pt>
                      <c:pt idx="84">
                        <c:v>44463</c:v>
                      </c:pt>
                      <c:pt idx="85">
                        <c:v>44466</c:v>
                      </c:pt>
                      <c:pt idx="86">
                        <c:v>44467</c:v>
                      </c:pt>
                      <c:pt idx="87">
                        <c:v>44468</c:v>
                      </c:pt>
                      <c:pt idx="88">
                        <c:v>44469</c:v>
                      </c:pt>
                      <c:pt idx="89">
                        <c:v>44470</c:v>
                      </c:pt>
                      <c:pt idx="90">
                        <c:v>44473</c:v>
                      </c:pt>
                      <c:pt idx="91">
                        <c:v>44474</c:v>
                      </c:pt>
                      <c:pt idx="92">
                        <c:v>44475</c:v>
                      </c:pt>
                      <c:pt idx="93">
                        <c:v>44476</c:v>
                      </c:pt>
                      <c:pt idx="94">
                        <c:v>44477</c:v>
                      </c:pt>
                      <c:pt idx="95">
                        <c:v>44480</c:v>
                      </c:pt>
                      <c:pt idx="96">
                        <c:v>44481</c:v>
                      </c:pt>
                      <c:pt idx="97">
                        <c:v>44482</c:v>
                      </c:pt>
                      <c:pt idx="98">
                        <c:v>44483</c:v>
                      </c:pt>
                      <c:pt idx="99">
                        <c:v>44484</c:v>
                      </c:pt>
                      <c:pt idx="100">
                        <c:v>44487</c:v>
                      </c:pt>
                      <c:pt idx="101">
                        <c:v>44488</c:v>
                      </c:pt>
                      <c:pt idx="102">
                        <c:v>44489</c:v>
                      </c:pt>
                      <c:pt idx="103">
                        <c:v>44490</c:v>
                      </c:pt>
                      <c:pt idx="104">
                        <c:v>44491</c:v>
                      </c:pt>
                      <c:pt idx="105">
                        <c:v>44494</c:v>
                      </c:pt>
                      <c:pt idx="106">
                        <c:v>44495</c:v>
                      </c:pt>
                      <c:pt idx="107">
                        <c:v>44496</c:v>
                      </c:pt>
                      <c:pt idx="108">
                        <c:v>44497</c:v>
                      </c:pt>
                      <c:pt idx="109">
                        <c:v>44498</c:v>
                      </c:pt>
                      <c:pt idx="110">
                        <c:v>44501</c:v>
                      </c:pt>
                      <c:pt idx="111">
                        <c:v>44502</c:v>
                      </c:pt>
                      <c:pt idx="112">
                        <c:v>44503</c:v>
                      </c:pt>
                      <c:pt idx="113">
                        <c:v>44504</c:v>
                      </c:pt>
                      <c:pt idx="114">
                        <c:v>44505</c:v>
                      </c:pt>
                      <c:pt idx="115">
                        <c:v>44508</c:v>
                      </c:pt>
                      <c:pt idx="116">
                        <c:v>44509</c:v>
                      </c:pt>
                      <c:pt idx="117">
                        <c:v>44510</c:v>
                      </c:pt>
                      <c:pt idx="118">
                        <c:v>44511</c:v>
                      </c:pt>
                      <c:pt idx="119">
                        <c:v>44512</c:v>
                      </c:pt>
                      <c:pt idx="120">
                        <c:v>44515</c:v>
                      </c:pt>
                      <c:pt idx="121">
                        <c:v>44516</c:v>
                      </c:pt>
                      <c:pt idx="122">
                        <c:v>44517</c:v>
                      </c:pt>
                      <c:pt idx="123">
                        <c:v>44518</c:v>
                      </c:pt>
                      <c:pt idx="124">
                        <c:v>44519</c:v>
                      </c:pt>
                      <c:pt idx="125">
                        <c:v>44522</c:v>
                      </c:pt>
                      <c:pt idx="126">
                        <c:v>44523</c:v>
                      </c:pt>
                      <c:pt idx="127">
                        <c:v>44524</c:v>
                      </c:pt>
                      <c:pt idx="128">
                        <c:v>44525</c:v>
                      </c:pt>
                      <c:pt idx="129">
                        <c:v>44526</c:v>
                      </c:pt>
                      <c:pt idx="130">
                        <c:v>44529</c:v>
                      </c:pt>
                      <c:pt idx="131">
                        <c:v>44530</c:v>
                      </c:pt>
                      <c:pt idx="132">
                        <c:v>44531</c:v>
                      </c:pt>
                      <c:pt idx="133">
                        <c:v>44532</c:v>
                      </c:pt>
                      <c:pt idx="134">
                        <c:v>44533</c:v>
                      </c:pt>
                      <c:pt idx="135">
                        <c:v>44536</c:v>
                      </c:pt>
                      <c:pt idx="136">
                        <c:v>44537</c:v>
                      </c:pt>
                      <c:pt idx="137">
                        <c:v>44538</c:v>
                      </c:pt>
                      <c:pt idx="138">
                        <c:v>44539</c:v>
                      </c:pt>
                      <c:pt idx="139">
                        <c:v>44540</c:v>
                      </c:pt>
                      <c:pt idx="140">
                        <c:v>44543</c:v>
                      </c:pt>
                      <c:pt idx="141">
                        <c:v>44544</c:v>
                      </c:pt>
                      <c:pt idx="142">
                        <c:v>44545</c:v>
                      </c:pt>
                      <c:pt idx="143">
                        <c:v>44546</c:v>
                      </c:pt>
                      <c:pt idx="144">
                        <c:v>44547</c:v>
                      </c:pt>
                      <c:pt idx="145">
                        <c:v>44550</c:v>
                      </c:pt>
                      <c:pt idx="146">
                        <c:v>44551</c:v>
                      </c:pt>
                      <c:pt idx="147">
                        <c:v>44552</c:v>
                      </c:pt>
                      <c:pt idx="148">
                        <c:v>44553</c:v>
                      </c:pt>
                      <c:pt idx="149">
                        <c:v>44554</c:v>
                      </c:pt>
                      <c:pt idx="150">
                        <c:v>44557</c:v>
                      </c:pt>
                      <c:pt idx="151">
                        <c:v>44558</c:v>
                      </c:pt>
                      <c:pt idx="152">
                        <c:v>44559</c:v>
                      </c:pt>
                      <c:pt idx="153">
                        <c:v>44560</c:v>
                      </c:pt>
                      <c:pt idx="154">
                        <c:v>44561</c:v>
                      </c:pt>
                      <c:pt idx="155">
                        <c:v>44564</c:v>
                      </c:pt>
                      <c:pt idx="156">
                        <c:v>44565</c:v>
                      </c:pt>
                      <c:pt idx="157">
                        <c:v>44566</c:v>
                      </c:pt>
                      <c:pt idx="158">
                        <c:v>44567</c:v>
                      </c:pt>
                      <c:pt idx="159">
                        <c:v>44568</c:v>
                      </c:pt>
                      <c:pt idx="160">
                        <c:v>44571</c:v>
                      </c:pt>
                      <c:pt idx="161">
                        <c:v>44572</c:v>
                      </c:pt>
                      <c:pt idx="162">
                        <c:v>44573</c:v>
                      </c:pt>
                      <c:pt idx="163">
                        <c:v>44574</c:v>
                      </c:pt>
                      <c:pt idx="164">
                        <c:v>44575</c:v>
                      </c:pt>
                      <c:pt idx="165">
                        <c:v>44578</c:v>
                      </c:pt>
                      <c:pt idx="166">
                        <c:v>44579</c:v>
                      </c:pt>
                      <c:pt idx="167">
                        <c:v>44580</c:v>
                      </c:pt>
                      <c:pt idx="168">
                        <c:v>44581</c:v>
                      </c:pt>
                      <c:pt idx="169">
                        <c:v>44582</c:v>
                      </c:pt>
                      <c:pt idx="170">
                        <c:v>44585</c:v>
                      </c:pt>
                      <c:pt idx="171">
                        <c:v>44586</c:v>
                      </c:pt>
                      <c:pt idx="172">
                        <c:v>44587</c:v>
                      </c:pt>
                      <c:pt idx="173">
                        <c:v>44588</c:v>
                      </c:pt>
                      <c:pt idx="174">
                        <c:v>44589</c:v>
                      </c:pt>
                      <c:pt idx="175">
                        <c:v>44592</c:v>
                      </c:pt>
                      <c:pt idx="176">
                        <c:v>44593</c:v>
                      </c:pt>
                      <c:pt idx="177">
                        <c:v>44594</c:v>
                      </c:pt>
                      <c:pt idx="178">
                        <c:v>44595</c:v>
                      </c:pt>
                      <c:pt idx="179">
                        <c:v>44596</c:v>
                      </c:pt>
                      <c:pt idx="180">
                        <c:v>44599</c:v>
                      </c:pt>
                      <c:pt idx="181">
                        <c:v>44600</c:v>
                      </c:pt>
                      <c:pt idx="182">
                        <c:v>44601</c:v>
                      </c:pt>
                      <c:pt idx="183">
                        <c:v>44602</c:v>
                      </c:pt>
                      <c:pt idx="184">
                        <c:v>44603</c:v>
                      </c:pt>
                      <c:pt idx="185">
                        <c:v>44606</c:v>
                      </c:pt>
                      <c:pt idx="186">
                        <c:v>44607</c:v>
                      </c:pt>
                      <c:pt idx="187">
                        <c:v>44608</c:v>
                      </c:pt>
                      <c:pt idx="188">
                        <c:v>44609</c:v>
                      </c:pt>
                      <c:pt idx="189">
                        <c:v>44610</c:v>
                      </c:pt>
                      <c:pt idx="190">
                        <c:v>44613</c:v>
                      </c:pt>
                      <c:pt idx="191">
                        <c:v>44614</c:v>
                      </c:pt>
                      <c:pt idx="192">
                        <c:v>44615</c:v>
                      </c:pt>
                      <c:pt idx="193">
                        <c:v>44616</c:v>
                      </c:pt>
                      <c:pt idx="194">
                        <c:v>44617</c:v>
                      </c:pt>
                      <c:pt idx="195">
                        <c:v>44620</c:v>
                      </c:pt>
                      <c:pt idx="196">
                        <c:v>44621</c:v>
                      </c:pt>
                      <c:pt idx="197">
                        <c:v>44622</c:v>
                      </c:pt>
                      <c:pt idx="198">
                        <c:v>44623</c:v>
                      </c:pt>
                      <c:pt idx="199">
                        <c:v>44624</c:v>
                      </c:pt>
                      <c:pt idx="200">
                        <c:v>44627</c:v>
                      </c:pt>
                      <c:pt idx="201">
                        <c:v>44628</c:v>
                      </c:pt>
                      <c:pt idx="202">
                        <c:v>44629</c:v>
                      </c:pt>
                      <c:pt idx="203">
                        <c:v>44630</c:v>
                      </c:pt>
                      <c:pt idx="204">
                        <c:v>44631</c:v>
                      </c:pt>
                      <c:pt idx="205">
                        <c:v>44634</c:v>
                      </c:pt>
                      <c:pt idx="206">
                        <c:v>44635</c:v>
                      </c:pt>
                      <c:pt idx="207">
                        <c:v>44636</c:v>
                      </c:pt>
                      <c:pt idx="208">
                        <c:v>44637</c:v>
                      </c:pt>
                      <c:pt idx="209">
                        <c:v>44638</c:v>
                      </c:pt>
                      <c:pt idx="210">
                        <c:v>44641</c:v>
                      </c:pt>
                      <c:pt idx="211">
                        <c:v>44642</c:v>
                      </c:pt>
                      <c:pt idx="212">
                        <c:v>44643</c:v>
                      </c:pt>
                      <c:pt idx="213">
                        <c:v>44644</c:v>
                      </c:pt>
                      <c:pt idx="214">
                        <c:v>44645</c:v>
                      </c:pt>
                      <c:pt idx="215">
                        <c:v>44648</c:v>
                      </c:pt>
                      <c:pt idx="216">
                        <c:v>44649</c:v>
                      </c:pt>
                      <c:pt idx="217">
                        <c:v>44650</c:v>
                      </c:pt>
                      <c:pt idx="218">
                        <c:v>44651</c:v>
                      </c:pt>
                      <c:pt idx="219">
                        <c:v>44652</c:v>
                      </c:pt>
                      <c:pt idx="220">
                        <c:v>44655</c:v>
                      </c:pt>
                      <c:pt idx="221">
                        <c:v>44656</c:v>
                      </c:pt>
                      <c:pt idx="222">
                        <c:v>44657</c:v>
                      </c:pt>
                      <c:pt idx="223">
                        <c:v>44658</c:v>
                      </c:pt>
                      <c:pt idx="224">
                        <c:v>44659</c:v>
                      </c:pt>
                      <c:pt idx="225">
                        <c:v>44662</c:v>
                      </c:pt>
                      <c:pt idx="226">
                        <c:v>44663</c:v>
                      </c:pt>
                      <c:pt idx="227">
                        <c:v>44664</c:v>
                      </c:pt>
                      <c:pt idx="228">
                        <c:v>44665</c:v>
                      </c:pt>
                      <c:pt idx="229">
                        <c:v>44666</c:v>
                      </c:pt>
                      <c:pt idx="230">
                        <c:v>44669</c:v>
                      </c:pt>
                      <c:pt idx="231">
                        <c:v>44670</c:v>
                      </c:pt>
                      <c:pt idx="232">
                        <c:v>44671</c:v>
                      </c:pt>
                      <c:pt idx="233">
                        <c:v>44672</c:v>
                      </c:pt>
                      <c:pt idx="234">
                        <c:v>44673</c:v>
                      </c:pt>
                      <c:pt idx="235">
                        <c:v>44676</c:v>
                      </c:pt>
                      <c:pt idx="236">
                        <c:v>44677</c:v>
                      </c:pt>
                      <c:pt idx="237">
                        <c:v>44678</c:v>
                      </c:pt>
                      <c:pt idx="238">
                        <c:v>44679</c:v>
                      </c:pt>
                      <c:pt idx="239">
                        <c:v>44680</c:v>
                      </c:pt>
                      <c:pt idx="240">
                        <c:v>44683</c:v>
                      </c:pt>
                      <c:pt idx="241">
                        <c:v>44684</c:v>
                      </c:pt>
                      <c:pt idx="242">
                        <c:v>44685</c:v>
                      </c:pt>
                      <c:pt idx="243">
                        <c:v>44686</c:v>
                      </c:pt>
                      <c:pt idx="244">
                        <c:v>44687</c:v>
                      </c:pt>
                      <c:pt idx="245">
                        <c:v>44690</c:v>
                      </c:pt>
                      <c:pt idx="246">
                        <c:v>44691</c:v>
                      </c:pt>
                      <c:pt idx="247">
                        <c:v>44692</c:v>
                      </c:pt>
                      <c:pt idx="248">
                        <c:v>44693</c:v>
                      </c:pt>
                      <c:pt idx="249">
                        <c:v>44694</c:v>
                      </c:pt>
                      <c:pt idx="250">
                        <c:v>44697</c:v>
                      </c:pt>
                      <c:pt idx="251">
                        <c:v>44698</c:v>
                      </c:pt>
                      <c:pt idx="252">
                        <c:v>44699</c:v>
                      </c:pt>
                      <c:pt idx="253">
                        <c:v>44700</c:v>
                      </c:pt>
                      <c:pt idx="254">
                        <c:v>44701</c:v>
                      </c:pt>
                      <c:pt idx="255">
                        <c:v>44704</c:v>
                      </c:pt>
                      <c:pt idx="256">
                        <c:v>44705</c:v>
                      </c:pt>
                      <c:pt idx="257">
                        <c:v>44706</c:v>
                      </c:pt>
                      <c:pt idx="258">
                        <c:v>44707</c:v>
                      </c:pt>
                      <c:pt idx="259">
                        <c:v>44708</c:v>
                      </c:pt>
                      <c:pt idx="260">
                        <c:v>44711</c:v>
                      </c:pt>
                      <c:pt idx="261">
                        <c:v>44712</c:v>
                      </c:pt>
                      <c:pt idx="262">
                        <c:v>44713</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'Currency Chart'!$Y$6:$Y$291</c15:sqref>
                        </c15:formulaRef>
                      </c:ext>
                    </c:extLst>
                    <c:numCache>
                      <c:formatCode>0</c:formatCode>
                      <c:ptCount val="286"/>
                      <c:pt idx="0" formatCode="General">
                        <c:v>100</c:v>
                      </c:pt>
                      <c:pt idx="1">
                        <c:v>99.733096085409258</c:v>
                      </c:pt>
                      <c:pt idx="2">
                        <c:v>99.822064056939496</c:v>
                      </c:pt>
                      <c:pt idx="3">
                        <c:v>100.46708185053382</c:v>
                      </c:pt>
                      <c:pt idx="4">
                        <c:v>100</c:v>
                      </c:pt>
                      <c:pt idx="5">
                        <c:v>99.79982206405694</c:v>
                      </c:pt>
                      <c:pt idx="6">
                        <c:v>99.710854092526688</c:v>
                      </c:pt>
                      <c:pt idx="7">
                        <c:v>99.599644128113866</c:v>
                      </c:pt>
                      <c:pt idx="8">
                        <c:v>99.455071174377224</c:v>
                      </c:pt>
                      <c:pt idx="9">
                        <c:v>99.855427046263344</c:v>
                      </c:pt>
                      <c:pt idx="10">
                        <c:v>100.06672597864768</c:v>
                      </c:pt>
                      <c:pt idx="11">
                        <c:v>99.85542704626333</c:v>
                      </c:pt>
                      <c:pt idx="12">
                        <c:v>101.03425266903913</c:v>
                      </c:pt>
                      <c:pt idx="13">
                        <c:v>102.01290035587188</c:v>
                      </c:pt>
                      <c:pt idx="14">
                        <c:v>102.58007117437722</c:v>
                      </c:pt>
                      <c:pt idx="15">
                        <c:v>102.0685053380783</c:v>
                      </c:pt>
                      <c:pt idx="16">
                        <c:v>102.0685053380783</c:v>
                      </c:pt>
                      <c:pt idx="17">
                        <c:v>102.16859430604983</c:v>
                      </c:pt>
                      <c:pt idx="18">
                        <c:v>102.03514234875445</c:v>
                      </c:pt>
                      <c:pt idx="19">
                        <c:v>102.03514234875445</c:v>
                      </c:pt>
                      <c:pt idx="20">
                        <c:v>102.23532028469751</c:v>
                      </c:pt>
                      <c:pt idx="21">
                        <c:v>102.37989323843416</c:v>
                      </c:pt>
                      <c:pt idx="22">
                        <c:v>102.85809608540926</c:v>
                      </c:pt>
                      <c:pt idx="23">
                        <c:v>102.89145907473309</c:v>
                      </c:pt>
                      <c:pt idx="24">
                        <c:v>102.37989323843415</c:v>
                      </c:pt>
                      <c:pt idx="25">
                        <c:v>102.52446619217082</c:v>
                      </c:pt>
                      <c:pt idx="26">
                        <c:v>102.76912811387899</c:v>
                      </c:pt>
                      <c:pt idx="27">
                        <c:v>102.90258007117437</c:v>
                      </c:pt>
                      <c:pt idx="28">
                        <c:v>101.81272241992882</c:v>
                      </c:pt>
                      <c:pt idx="29">
                        <c:v>101.62366548042704</c:v>
                      </c:pt>
                      <c:pt idx="30">
                        <c:v>101.74599644128112</c:v>
                      </c:pt>
                      <c:pt idx="31">
                        <c:v>102.13523131672595</c:v>
                      </c:pt>
                      <c:pt idx="32">
                        <c:v>101.74599644128111</c:v>
                      </c:pt>
                      <c:pt idx="33">
                        <c:v>102.04626334519568</c:v>
                      </c:pt>
                      <c:pt idx="34">
                        <c:v>102.24644128113873</c:v>
                      </c:pt>
                      <c:pt idx="35">
                        <c:v>102.07962633451952</c:v>
                      </c:pt>
                      <c:pt idx="36">
                        <c:v>102.50222419928818</c:v>
                      </c:pt>
                      <c:pt idx="37">
                        <c:v>102.03514234875438</c:v>
                      </c:pt>
                      <c:pt idx="38">
                        <c:v>102.17971530249102</c:v>
                      </c:pt>
                      <c:pt idx="39">
                        <c:v>102.20195729537357</c:v>
                      </c:pt>
                      <c:pt idx="40">
                        <c:v>101.85720640569386</c:v>
                      </c:pt>
                      <c:pt idx="41">
                        <c:v>101.67927046263335</c:v>
                      </c:pt>
                      <c:pt idx="42">
                        <c:v>101.18994661921698</c:v>
                      </c:pt>
                      <c:pt idx="43">
                        <c:v>100.77846975088958</c:v>
                      </c:pt>
                      <c:pt idx="44">
                        <c:v>100.68950177935933</c:v>
                      </c:pt>
                      <c:pt idx="45">
                        <c:v>100.68950177935933</c:v>
                      </c:pt>
                      <c:pt idx="46">
                        <c:v>100.48932384341627</c:v>
                      </c:pt>
                      <c:pt idx="47">
                        <c:v>100.84519572953728</c:v>
                      </c:pt>
                      <c:pt idx="48">
                        <c:v>100.91192170818498</c:v>
                      </c:pt>
                      <c:pt idx="49">
                        <c:v>101.69039145907465</c:v>
                      </c:pt>
                      <c:pt idx="50">
                        <c:v>102.3687722419928</c:v>
                      </c:pt>
                      <c:pt idx="51">
                        <c:v>102.60231316725971</c:v>
                      </c:pt>
                      <c:pt idx="52">
                        <c:v>102.51334519572946</c:v>
                      </c:pt>
                      <c:pt idx="53">
                        <c:v>102.66903914590739</c:v>
                      </c:pt>
                      <c:pt idx="54">
                        <c:v>101.80160142348747</c:v>
                      </c:pt>
                      <c:pt idx="55">
                        <c:v>101.4234875444839</c:v>
                      </c:pt>
                      <c:pt idx="56">
                        <c:v>101.69039145907465</c:v>
                      </c:pt>
                      <c:pt idx="57">
                        <c:v>101.95729537366537</c:v>
                      </c:pt>
                      <c:pt idx="58">
                        <c:v>102.16859430604973</c:v>
                      </c:pt>
                      <c:pt idx="59">
                        <c:v>101.99065836298924</c:v>
                      </c:pt>
                      <c:pt idx="60">
                        <c:v>101.44572953736646</c:v>
                      </c:pt>
                      <c:pt idx="61">
                        <c:v>101.44572953736646</c:v>
                      </c:pt>
                      <c:pt idx="62">
                        <c:v>101.60142348754438</c:v>
                      </c:pt>
                      <c:pt idx="63">
                        <c:v>102.04626334519563</c:v>
                      </c:pt>
                      <c:pt idx="64">
                        <c:v>101.32339857651236</c:v>
                      </c:pt>
                      <c:pt idx="65">
                        <c:v>101.95729537366539</c:v>
                      </c:pt>
                      <c:pt idx="66">
                        <c:v>101.75711743772233</c:v>
                      </c:pt>
                      <c:pt idx="67">
                        <c:v>101.75711743772233</c:v>
                      </c:pt>
                      <c:pt idx="68">
                        <c:v>101.6570284697508</c:v>
                      </c:pt>
                      <c:pt idx="69">
                        <c:v>101.5903024911031</c:v>
                      </c:pt>
                      <c:pt idx="70">
                        <c:v>101.73487544483974</c:v>
                      </c:pt>
                      <c:pt idx="71">
                        <c:v>102.25756227757995</c:v>
                      </c:pt>
                      <c:pt idx="72">
                        <c:v>102.53558718861198</c:v>
                      </c:pt>
                      <c:pt idx="73">
                        <c:v>101.95729537366536</c:v>
                      </c:pt>
                      <c:pt idx="74">
                        <c:v>102.04626334519563</c:v>
                      </c:pt>
                      <c:pt idx="75">
                        <c:v>102.54670818505329</c:v>
                      </c:pt>
                      <c:pt idx="76">
                        <c:v>102.33540925266895</c:v>
                      </c:pt>
                      <c:pt idx="77">
                        <c:v>102.26868327402126</c:v>
                      </c:pt>
                      <c:pt idx="78">
                        <c:v>103.14724199288247</c:v>
                      </c:pt>
                      <c:pt idx="79">
                        <c:v>103.68104982206397</c:v>
                      </c:pt>
                      <c:pt idx="80">
                        <c:v>103.15836298932375</c:v>
                      </c:pt>
                      <c:pt idx="81">
                        <c:v>102.68016014234867</c:v>
                      </c:pt>
                      <c:pt idx="82">
                        <c:v>102.99154804270455</c:v>
                      </c:pt>
                      <c:pt idx="83">
                        <c:v>102.75800711743764</c:v>
                      </c:pt>
                      <c:pt idx="84">
                        <c:v>102.74688612099636</c:v>
                      </c:pt>
                      <c:pt idx="85">
                        <c:v>102.93594306049813</c:v>
                      </c:pt>
                      <c:pt idx="86">
                        <c:v>103.33629893238427</c:v>
                      </c:pt>
                      <c:pt idx="87">
                        <c:v>103.95907473309599</c:v>
                      </c:pt>
                      <c:pt idx="88">
                        <c:v>103.59208185053372</c:v>
                      </c:pt>
                      <c:pt idx="89">
                        <c:v>103.52535587188602</c:v>
                      </c:pt>
                      <c:pt idx="90">
                        <c:v>102.83585409252659</c:v>
                      </c:pt>
                      <c:pt idx="91">
                        <c:v>103.16948398576503</c:v>
                      </c:pt>
                      <c:pt idx="92">
                        <c:v>103.11387900355862</c:v>
                      </c:pt>
                      <c:pt idx="93">
                        <c:v>103.30293594306039</c:v>
                      </c:pt>
                      <c:pt idx="94">
                        <c:v>103.10275800711734</c:v>
                      </c:pt>
                      <c:pt idx="95">
                        <c:v>103.14724199288247</c:v>
                      </c:pt>
                      <c:pt idx="96">
                        <c:v>103.49199288256217</c:v>
                      </c:pt>
                      <c:pt idx="97">
                        <c:v>102.78024911032018</c:v>
                      </c:pt>
                      <c:pt idx="98">
                        <c:v>102.68016014234865</c:v>
                      </c:pt>
                      <c:pt idx="99">
                        <c:v>102.60231316725968</c:v>
                      </c:pt>
                      <c:pt idx="100">
                        <c:v>102.72464412811378</c:v>
                      </c:pt>
                      <c:pt idx="101">
                        <c:v>102.62455516014225</c:v>
                      </c:pt>
                      <c:pt idx="102">
                        <c:v>102.179715302491</c:v>
                      </c:pt>
                      <c:pt idx="103">
                        <c:v>102.11298932384332</c:v>
                      </c:pt>
                      <c:pt idx="104">
                        <c:v>101.84608540925257</c:v>
                      </c:pt>
                      <c:pt idx="105">
                        <c:v>102.2909252669038</c:v>
                      </c:pt>
                      <c:pt idx="106">
                        <c:v>102.32428825622766</c:v>
                      </c:pt>
                      <c:pt idx="107">
                        <c:v>102.09074733096077</c:v>
                      </c:pt>
                      <c:pt idx="108">
                        <c:v>101.39012455516004</c:v>
                      </c:pt>
                      <c:pt idx="109">
                        <c:v>101.82384341637001</c:v>
                      </c:pt>
                      <c:pt idx="110">
                        <c:v>101.08985765124547</c:v>
                      </c:pt>
                      <c:pt idx="111">
                        <c:v>101.69039145907465</c:v>
                      </c:pt>
                      <c:pt idx="112">
                        <c:v>101.37900355871876</c:v>
                      </c:pt>
                      <c:pt idx="113">
                        <c:v>101.46797153024902</c:v>
                      </c:pt>
                      <c:pt idx="114">
                        <c:v>101.43460854092517</c:v>
                      </c:pt>
                      <c:pt idx="115">
                        <c:v>101.5903024911031</c:v>
                      </c:pt>
                      <c:pt idx="116">
                        <c:v>101.32339857651236</c:v>
                      </c:pt>
                      <c:pt idx="117">
                        <c:v>102.03514234875435</c:v>
                      </c:pt>
                      <c:pt idx="118">
                        <c:v>102.39101423487536</c:v>
                      </c:pt>
                      <c:pt idx="119">
                        <c:v>102.45774021352305</c:v>
                      </c:pt>
                      <c:pt idx="120">
                        <c:v>102.86921708185046</c:v>
                      </c:pt>
                      <c:pt idx="121">
                        <c:v>103.40302491103195</c:v>
                      </c:pt>
                      <c:pt idx="122">
                        <c:v>103.22508896797146</c:v>
                      </c:pt>
                      <c:pt idx="123">
                        <c:v>102.98042704626327</c:v>
                      </c:pt>
                      <c:pt idx="124">
                        <c:v>103.21396797153017</c:v>
                      </c:pt>
                      <c:pt idx="125">
                        <c:v>103.75889679715296</c:v>
                      </c:pt>
                      <c:pt idx="126">
                        <c:v>103.74777580071166</c:v>
                      </c:pt>
                      <c:pt idx="127">
                        <c:v>103.92571174377218</c:v>
                      </c:pt>
                      <c:pt idx="128">
                        <c:v>104.08140569395012</c:v>
                      </c:pt>
                      <c:pt idx="129">
                        <c:v>102.74688612099639</c:v>
                      </c:pt>
                      <c:pt idx="130">
                        <c:v>102.64679715302486</c:v>
                      </c:pt>
                      <c:pt idx="131">
                        <c:v>102.15747330960849</c:v>
                      </c:pt>
                      <c:pt idx="132">
                        <c:v>102.35765124555157</c:v>
                      </c:pt>
                      <c:pt idx="133">
                        <c:v>102.33540925266901</c:v>
                      </c:pt>
                      <c:pt idx="134">
                        <c:v>102.06850533807825</c:v>
                      </c:pt>
                      <c:pt idx="135">
                        <c:v>102.93594306049819</c:v>
                      </c:pt>
                      <c:pt idx="136">
                        <c:v>102.8803380782918</c:v>
                      </c:pt>
                      <c:pt idx="137">
                        <c:v>102.3465302491103</c:v>
                      </c:pt>
                      <c:pt idx="138">
                        <c:v>102.66903914590746</c:v>
                      </c:pt>
                      <c:pt idx="139">
                        <c:v>102.413256227758</c:v>
                      </c:pt>
                      <c:pt idx="140">
                        <c:v>102.5911921708185</c:v>
                      </c:pt>
                      <c:pt idx="141">
                        <c:v>102.74688612099644</c:v>
                      </c:pt>
                      <c:pt idx="142">
                        <c:v>102.84697508896795</c:v>
                      </c:pt>
                      <c:pt idx="143">
                        <c:v>102.21307829181494</c:v>
                      </c:pt>
                      <c:pt idx="144">
                        <c:v>102.72464412811387</c:v>
                      </c:pt>
                      <c:pt idx="145">
                        <c:v>102.42437722419928</c:v>
                      </c:pt>
                      <c:pt idx="146">
                        <c:v>102.71352313167257</c:v>
                      </c:pt>
                      <c:pt idx="147">
                        <c:v>102.29092526690388</c:v>
                      </c:pt>
                      <c:pt idx="148">
                        <c:v>102.12411032028467</c:v>
                      </c:pt>
                      <c:pt idx="149">
                        <c:v>102.23532028469748</c:v>
                      </c:pt>
                      <c:pt idx="150">
                        <c:v>102.00177935943057</c:v>
                      </c:pt>
                      <c:pt idx="151">
                        <c:v>102.02402135231314</c:v>
                      </c:pt>
                      <c:pt idx="152">
                        <c:v>101.71263345195726</c:v>
                      </c:pt>
                      <c:pt idx="153">
                        <c:v>101.57918149466188</c:v>
                      </c:pt>
                      <c:pt idx="154">
                        <c:v>101.4457295373665</c:v>
                      </c:pt>
                      <c:pt idx="155">
                        <c:v>102.21307829181491</c:v>
                      </c:pt>
                      <c:pt idx="156">
                        <c:v>101.87944839857649</c:v>
                      </c:pt>
                      <c:pt idx="157">
                        <c:v>101.95729537366545</c:v>
                      </c:pt>
                      <c:pt idx="158">
                        <c:v>102.43549822064055</c:v>
                      </c:pt>
                      <c:pt idx="159">
                        <c:v>102.17971530249108</c:v>
                      </c:pt>
                      <c:pt idx="160">
                        <c:v>103.11387900355871</c:v>
                      </c:pt>
                      <c:pt idx="161">
                        <c:v>102.64679715302491</c:v>
                      </c:pt>
                      <c:pt idx="162">
                        <c:v>101.65702846975088</c:v>
                      </c:pt>
                      <c:pt idx="163">
                        <c:v>101.29003558718861</c:v>
                      </c:pt>
                      <c:pt idx="164">
                        <c:v>101.63478647686831</c:v>
                      </c:pt>
                      <c:pt idx="165">
                        <c:v>101.62366548042702</c:v>
                      </c:pt>
                      <c:pt idx="166">
                        <c:v>102.01290035587186</c:v>
                      </c:pt>
                      <c:pt idx="167">
                        <c:v>101.8127224199288</c:v>
                      </c:pt>
                      <c:pt idx="168">
                        <c:v>101.91281138790033</c:v>
                      </c:pt>
                      <c:pt idx="169">
                        <c:v>101.33451957295371</c:v>
                      </c:pt>
                      <c:pt idx="170">
                        <c:v>101.60142348754447</c:v>
                      </c:pt>
                      <c:pt idx="171">
                        <c:v>102.10186832740213</c:v>
                      </c:pt>
                      <c:pt idx="172">
                        <c:v>102.74688612099644</c:v>
                      </c:pt>
                      <c:pt idx="173">
                        <c:v>103.48087188612099</c:v>
                      </c:pt>
                      <c:pt idx="174">
                        <c:v>103.50311387900355</c:v>
                      </c:pt>
                      <c:pt idx="175">
                        <c:v>103.08051601423486</c:v>
                      </c:pt>
                      <c:pt idx="176">
                        <c:v>102.4688612099644</c:v>
                      </c:pt>
                      <c:pt idx="177">
                        <c:v>102.12411032028469</c:v>
                      </c:pt>
                      <c:pt idx="178">
                        <c:v>102.27980427046262</c:v>
                      </c:pt>
                      <c:pt idx="179">
                        <c:v>102.91370106761565</c:v>
                      </c:pt>
                      <c:pt idx="180">
                        <c:v>102.75800711743773</c:v>
                      </c:pt>
                      <c:pt idx="181">
                        <c:v>102.83585409252669</c:v>
                      </c:pt>
                      <c:pt idx="182">
                        <c:v>102.79137010676156</c:v>
                      </c:pt>
                      <c:pt idx="183">
                        <c:v>102.89145907473309</c:v>
                      </c:pt>
                      <c:pt idx="184">
                        <c:v>102.93594306049822</c:v>
                      </c:pt>
                      <c:pt idx="185">
                        <c:v>102.80249110320285</c:v>
                      </c:pt>
                      <c:pt idx="186">
                        <c:v>102.91370106761565</c:v>
                      </c:pt>
                      <c:pt idx="187">
                        <c:v>102.60231316725978</c:v>
                      </c:pt>
                      <c:pt idx="188">
                        <c:v>102.32428825622776</c:v>
                      </c:pt>
                      <c:pt idx="189">
                        <c:v>102.47998220640568</c:v>
                      </c:pt>
                      <c:pt idx="190">
                        <c:v>101.82384341637008</c:v>
                      </c:pt>
                      <c:pt idx="191">
                        <c:v>102.46886120996439</c:v>
                      </c:pt>
                      <c:pt idx="192">
                        <c:v>102.10186832740212</c:v>
                      </c:pt>
                      <c:pt idx="193">
                        <c:v>102.96930604982202</c:v>
                      </c:pt>
                      <c:pt idx="194">
                        <c:v>102.86921708185051</c:v>
                      </c:pt>
                      <c:pt idx="195">
                        <c:v>101.93505338078288</c:v>
                      </c:pt>
                      <c:pt idx="196">
                        <c:v>102.14635231316723</c:v>
                      </c:pt>
                      <c:pt idx="197">
                        <c:v>102.36877224199284</c:v>
                      </c:pt>
                      <c:pt idx="198">
                        <c:v>101.99065836298929</c:v>
                      </c:pt>
                      <c:pt idx="199">
                        <c:v>101.9239323843416</c:v>
                      </c:pt>
                      <c:pt idx="200">
                        <c:v>102.90258007117434</c:v>
                      </c:pt>
                      <c:pt idx="201">
                        <c:v>103.31405693950174</c:v>
                      </c:pt>
                      <c:pt idx="202">
                        <c:v>103.00266903914587</c:v>
                      </c:pt>
                      <c:pt idx="203">
                        <c:v>103.42526690391455</c:v>
                      </c:pt>
                      <c:pt idx="204">
                        <c:v>103.93683274021348</c:v>
                      </c:pt>
                      <c:pt idx="205">
                        <c:v>104.37055160142344</c:v>
                      </c:pt>
                      <c:pt idx="206">
                        <c:v>104.64857651245546</c:v>
                      </c:pt>
                      <c:pt idx="207">
                        <c:v>104.55960854092523</c:v>
                      </c:pt>
                      <c:pt idx="208">
                        <c:v>104.18149466192166</c:v>
                      </c:pt>
                      <c:pt idx="209">
                        <c:v>103.55871886120993</c:v>
                      </c:pt>
                      <c:pt idx="210">
                        <c:v>103.81450177935938</c:v>
                      </c:pt>
                      <c:pt idx="211">
                        <c:v>103.77001779359425</c:v>
                      </c:pt>
                      <c:pt idx="212">
                        <c:v>103.48087188612094</c:v>
                      </c:pt>
                      <c:pt idx="213">
                        <c:v>103.4475088967971</c:v>
                      </c:pt>
                      <c:pt idx="214">
                        <c:v>103.45862989323838</c:v>
                      </c:pt>
                      <c:pt idx="215">
                        <c:v>103.84786476868321</c:v>
                      </c:pt>
                      <c:pt idx="216">
                        <c:v>103.56983985765119</c:v>
                      </c:pt>
                      <c:pt idx="217">
                        <c:v>102.66903914590742</c:v>
                      </c:pt>
                      <c:pt idx="218">
                        <c:v>102.60231316725972</c:v>
                      </c:pt>
                      <c:pt idx="219">
                        <c:v>102.91370106761559</c:v>
                      </c:pt>
                      <c:pt idx="220">
                        <c:v>103.00266903914586</c:v>
                      </c:pt>
                      <c:pt idx="221">
                        <c:v>103.40302491103198</c:v>
                      </c:pt>
                      <c:pt idx="222">
                        <c:v>103.74777580071168</c:v>
                      </c:pt>
                      <c:pt idx="223">
                        <c:v>103.87010676156579</c:v>
                      </c:pt>
                      <c:pt idx="224">
                        <c:v>103.93683274021348</c:v>
                      </c:pt>
                      <c:pt idx="225">
                        <c:v>103.48087188612095</c:v>
                      </c:pt>
                      <c:pt idx="226">
                        <c:v>103.77001779359428</c:v>
                      </c:pt>
                      <c:pt idx="227">
                        <c:v>103.92571174377221</c:v>
                      </c:pt>
                      <c:pt idx="228">
                        <c:v>104.77090747330958</c:v>
                      </c:pt>
                      <c:pt idx="229">
                        <c:v>104.81539145907469</c:v>
                      </c:pt>
                      <c:pt idx="230">
                        <c:v>105.06005338078286</c:v>
                      </c:pt>
                      <c:pt idx="231">
                        <c:v>105.82740213523125</c:v>
                      </c:pt>
                      <c:pt idx="232">
                        <c:v>105.4492882562277</c:v>
                      </c:pt>
                      <c:pt idx="233">
                        <c:v>105.99421708185045</c:v>
                      </c:pt>
                      <c:pt idx="234">
                        <c:v>106.4390569395017</c:v>
                      </c:pt>
                      <c:pt idx="235">
                        <c:v>106.70596085409244</c:v>
                      </c:pt>
                      <c:pt idx="236">
                        <c:v>107.03959074733086</c:v>
                      </c:pt>
                      <c:pt idx="237">
                        <c:v>107.75133451957285</c:v>
                      </c:pt>
                      <c:pt idx="238">
                        <c:v>108.10720640569384</c:v>
                      </c:pt>
                      <c:pt idx="239">
                        <c:v>108.25177935943051</c:v>
                      </c:pt>
                      <c:pt idx="240">
                        <c:v>108.75222419928815</c:v>
                      </c:pt>
                      <c:pt idx="241">
                        <c:v>108.85231316725968</c:v>
                      </c:pt>
                      <c:pt idx="242">
                        <c:v>108.09608540925257</c:v>
                      </c:pt>
                      <c:pt idx="243">
                        <c:v>109.51957295373656</c:v>
                      </c:pt>
                      <c:pt idx="244">
                        <c:v>109.95329181494654</c:v>
                      </c:pt>
                      <c:pt idx="245">
                        <c:v>110.49822064056933</c:v>
                      </c:pt>
                      <c:pt idx="246">
                        <c:v>110.76512455516007</c:v>
                      </c:pt>
                      <c:pt idx="247">
                        <c:v>110.57606761565829</c:v>
                      </c:pt>
                      <c:pt idx="248">
                        <c:v>111.53247330960846</c:v>
                      </c:pt>
                      <c:pt idx="249">
                        <c:v>111.3990213523131</c:v>
                      </c:pt>
                      <c:pt idx="250">
                        <c:v>111.41014234875439</c:v>
                      </c:pt>
                      <c:pt idx="251">
                        <c:v>110.47597864768677</c:v>
                      </c:pt>
                      <c:pt idx="252">
                        <c:v>109.84208185053375</c:v>
                      </c:pt>
                      <c:pt idx="253">
                        <c:v>108.20729537366542</c:v>
                      </c:pt>
                      <c:pt idx="254">
                        <c:v>108.42971530249103</c:v>
                      </c:pt>
                      <c:pt idx="255">
                        <c:v>107.40658362989316</c:v>
                      </c:pt>
                      <c:pt idx="256">
                        <c:v>106.78380782918143</c:v>
                      </c:pt>
                      <c:pt idx="257">
                        <c:v>106.92838078291808</c:v>
                      </c:pt>
                      <c:pt idx="258">
                        <c:v>106.6837188612099</c:v>
                      </c:pt>
                      <c:pt idx="259">
                        <c:v>106.42793594306042</c:v>
                      </c:pt>
                      <c:pt idx="260">
                        <c:v>106.46129893238427</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B-655B-4703-B4C3-57C8BE6FA31A}"/>
                  </c:ext>
                </c:extLst>
              </c15:ser>
            </c15:filteredLineSeries>
          </c:ext>
        </c:extLst>
      </c:lineChart>
      <c:dateAx>
        <c:axId val="649402376"/>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9405120"/>
        <c:crosses val="autoZero"/>
        <c:auto val="1"/>
        <c:lblOffset val="100"/>
        <c:baseTimeUnit val="days"/>
      </c:dateAx>
      <c:valAx>
        <c:axId val="649405120"/>
        <c:scaling>
          <c:orientation val="minMax"/>
          <c:min val="7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9402376"/>
        <c:crosses val="autoZero"/>
        <c:crossBetween val="between"/>
        <c:majorUnit val="10"/>
      </c:valAx>
      <c:spPr>
        <a:noFill/>
        <a:ln>
          <a:noFill/>
        </a:ln>
        <a:effectLst/>
      </c:spPr>
    </c:plotArea>
    <c:legend>
      <c:legendPos val="b"/>
      <c:layout>
        <c:manualLayout>
          <c:xMode val="edge"/>
          <c:yMode val="edge"/>
          <c:x val="6.0165354330708659E-2"/>
          <c:y val="0.80497521143190431"/>
          <c:w val="0.87966929133858263"/>
          <c:h val="0.167247010790317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1408458048704"/>
          <c:y val="2.7597065390420877E-2"/>
          <c:w val="0.81568441362048283"/>
          <c:h val="0.65597657310486546"/>
        </c:manualLayout>
      </c:layout>
      <c:barChart>
        <c:barDir val="col"/>
        <c:grouping val="clustered"/>
        <c:varyColors val="0"/>
        <c:ser>
          <c:idx val="2"/>
          <c:order val="0"/>
          <c:tx>
            <c:strRef>
              <c:f>ADT!$B$4</c:f>
              <c:strCache>
                <c:ptCount val="1"/>
                <c:pt idx="0">
                  <c:v>ADT at BSE (RHS)</c:v>
                </c:pt>
              </c:strCache>
            </c:strRef>
          </c:tx>
          <c:spPr>
            <a:solidFill>
              <a:srgbClr val="5B9BD5"/>
            </a:solidFill>
            <a:ln>
              <a:solidFill>
                <a:srgbClr val="5B9BD5"/>
              </a:solidFill>
            </a:ln>
            <a:effectLst/>
          </c:spPr>
          <c:invertIfNegative val="0"/>
          <c:cat>
            <c:numRef>
              <c:f>ADT!$A$8:$A$19</c:f>
              <c:numCache>
                <c:formatCode>[$-409]mmm\-yy</c:formatCode>
                <c:ptCount val="12"/>
                <c:pt idx="0">
                  <c:v>44348</c:v>
                </c:pt>
                <c:pt idx="1">
                  <c:v>44378</c:v>
                </c:pt>
                <c:pt idx="2">
                  <c:v>44409</c:v>
                </c:pt>
                <c:pt idx="3">
                  <c:v>44440</c:v>
                </c:pt>
                <c:pt idx="4">
                  <c:v>44471</c:v>
                </c:pt>
                <c:pt idx="5">
                  <c:v>44501</c:v>
                </c:pt>
                <c:pt idx="6">
                  <c:v>44531</c:v>
                </c:pt>
                <c:pt idx="7">
                  <c:v>44562</c:v>
                </c:pt>
                <c:pt idx="8">
                  <c:v>44593</c:v>
                </c:pt>
                <c:pt idx="9">
                  <c:v>44621</c:v>
                </c:pt>
                <c:pt idx="10">
                  <c:v>44652</c:v>
                </c:pt>
                <c:pt idx="11">
                  <c:v>44682</c:v>
                </c:pt>
              </c:numCache>
            </c:numRef>
          </c:cat>
          <c:val>
            <c:numRef>
              <c:f>ADT!$B$8:$B$19</c:f>
              <c:numCache>
                <c:formatCode>#,##0;\-#,##0;0</c:formatCode>
                <c:ptCount val="12"/>
                <c:pt idx="0">
                  <c:v>6815.7186363636347</c:v>
                </c:pt>
                <c:pt idx="1">
                  <c:v>5525.4642857142853</c:v>
                </c:pt>
                <c:pt idx="2">
                  <c:v>5199.0995238100004</c:v>
                </c:pt>
                <c:pt idx="3">
                  <c:v>6141.6595238099999</c:v>
                </c:pt>
                <c:pt idx="4">
                  <c:v>6686.43</c:v>
                </c:pt>
                <c:pt idx="5">
                  <c:v>4853.2844999999998</c:v>
                </c:pt>
                <c:pt idx="6">
                  <c:v>4256.3873913043499</c:v>
                </c:pt>
                <c:pt idx="7">
                  <c:v>5364.6855000000014</c:v>
                </c:pt>
                <c:pt idx="8">
                  <c:v>4812.4435000000003</c:v>
                </c:pt>
                <c:pt idx="9">
                  <c:v>5070.24</c:v>
                </c:pt>
                <c:pt idx="10">
                  <c:v>5306.8331578947373</c:v>
                </c:pt>
                <c:pt idx="11">
                  <c:v>4192.1342857142863</c:v>
                </c:pt>
              </c:numCache>
            </c:numRef>
          </c:val>
          <c:extLst xmlns:c16r2="http://schemas.microsoft.com/office/drawing/2015/06/chart">
            <c:ext xmlns:c16="http://schemas.microsoft.com/office/drawing/2014/chart" uri="{C3380CC4-5D6E-409C-BE32-E72D297353CC}">
              <c16:uniqueId val="{00000000-8038-4503-8ACF-D877FB3DC6F0}"/>
            </c:ext>
          </c:extLst>
        </c:ser>
        <c:dLbls>
          <c:showLegendKey val="0"/>
          <c:showVal val="0"/>
          <c:showCatName val="0"/>
          <c:showSerName val="0"/>
          <c:showPercent val="0"/>
          <c:showBubbleSize val="0"/>
        </c:dLbls>
        <c:gapWidth val="219"/>
        <c:overlap val="-27"/>
        <c:axId val="560913480"/>
        <c:axId val="560911520"/>
      </c:barChart>
      <c:lineChart>
        <c:grouping val="standard"/>
        <c:varyColors val="0"/>
        <c:ser>
          <c:idx val="0"/>
          <c:order val="1"/>
          <c:tx>
            <c:strRef>
              <c:f>ADT!$C$4</c:f>
              <c:strCache>
                <c:ptCount val="1"/>
                <c:pt idx="0">
                  <c:v>ADT at NSE (LHS)</c:v>
                </c:pt>
              </c:strCache>
            </c:strRef>
          </c:tx>
          <c:spPr>
            <a:ln w="28575" cap="rnd">
              <a:solidFill>
                <a:srgbClr val="ED7D31"/>
              </a:solidFill>
              <a:round/>
            </a:ln>
            <a:effectLst/>
          </c:spPr>
          <c:marker>
            <c:symbol val="none"/>
          </c:marker>
          <c:cat>
            <c:numRef>
              <c:f>ADT!$A$8:$A$19</c:f>
              <c:numCache>
                <c:formatCode>[$-409]mmm\-yy</c:formatCode>
                <c:ptCount val="12"/>
                <c:pt idx="0">
                  <c:v>44348</c:v>
                </c:pt>
                <c:pt idx="1">
                  <c:v>44378</c:v>
                </c:pt>
                <c:pt idx="2">
                  <c:v>44409</c:v>
                </c:pt>
                <c:pt idx="3">
                  <c:v>44440</c:v>
                </c:pt>
                <c:pt idx="4">
                  <c:v>44471</c:v>
                </c:pt>
                <c:pt idx="5">
                  <c:v>44501</c:v>
                </c:pt>
                <c:pt idx="6">
                  <c:v>44531</c:v>
                </c:pt>
                <c:pt idx="7">
                  <c:v>44562</c:v>
                </c:pt>
                <c:pt idx="8">
                  <c:v>44593</c:v>
                </c:pt>
                <c:pt idx="9">
                  <c:v>44621</c:v>
                </c:pt>
                <c:pt idx="10">
                  <c:v>44652</c:v>
                </c:pt>
                <c:pt idx="11">
                  <c:v>44682</c:v>
                </c:pt>
              </c:numCache>
            </c:numRef>
          </c:cat>
          <c:val>
            <c:numRef>
              <c:f>ADT!$C$8:$C$19</c:f>
              <c:numCache>
                <c:formatCode>#,##0;\-#,##0;0</c:formatCode>
                <c:ptCount val="12"/>
                <c:pt idx="0">
                  <c:v>70667.895154310216</c:v>
                </c:pt>
                <c:pt idx="1">
                  <c:v>62653.139047681041</c:v>
                </c:pt>
                <c:pt idx="2">
                  <c:v>62923</c:v>
                </c:pt>
                <c:pt idx="3">
                  <c:v>68525</c:v>
                </c:pt>
                <c:pt idx="4">
                  <c:v>81360.84</c:v>
                </c:pt>
                <c:pt idx="5">
                  <c:v>66982</c:v>
                </c:pt>
                <c:pt idx="6">
                  <c:v>53597</c:v>
                </c:pt>
                <c:pt idx="7">
                  <c:v>64177.537499999999</c:v>
                </c:pt>
                <c:pt idx="8">
                  <c:v>58442.168107528145</c:v>
                </c:pt>
                <c:pt idx="9">
                  <c:v>65945.761904761908</c:v>
                </c:pt>
                <c:pt idx="10">
                  <c:v>68012.775326950039</c:v>
                </c:pt>
                <c:pt idx="11">
                  <c:v>57677.142857142855</c:v>
                </c:pt>
              </c:numCache>
            </c:numRef>
          </c:val>
          <c:smooth val="0"/>
          <c:extLst xmlns:c16r2="http://schemas.microsoft.com/office/drawing/2015/06/chart">
            <c:ext xmlns:c16="http://schemas.microsoft.com/office/drawing/2014/chart" uri="{C3380CC4-5D6E-409C-BE32-E72D297353CC}">
              <c16:uniqueId val="{00000001-8038-4503-8ACF-D877FB3DC6F0}"/>
            </c:ext>
          </c:extLst>
        </c:ser>
        <c:dLbls>
          <c:showLegendKey val="0"/>
          <c:showVal val="0"/>
          <c:showCatName val="0"/>
          <c:showSerName val="0"/>
          <c:showPercent val="0"/>
          <c:showBubbleSize val="0"/>
        </c:dLbls>
        <c:marker val="1"/>
        <c:smooth val="0"/>
        <c:axId val="560910344"/>
        <c:axId val="560910736"/>
        <c:extLst xmlns:c16r2="http://schemas.microsoft.com/office/drawing/2015/06/chart"/>
      </c:lineChart>
      <c:dateAx>
        <c:axId val="560910344"/>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Palatino Linotype" panose="02040502050505030304" pitchFamily="18" charset="0"/>
                <a:ea typeface="+mn-ea"/>
                <a:cs typeface="+mn-cs"/>
              </a:defRPr>
            </a:pPr>
            <a:endParaRPr lang="en-US"/>
          </a:p>
        </c:txPr>
        <c:crossAx val="560910736"/>
        <c:crosses val="autoZero"/>
        <c:auto val="1"/>
        <c:lblOffset val="100"/>
        <c:baseTimeUnit val="months"/>
      </c:dateAx>
      <c:valAx>
        <c:axId val="56091073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560910344"/>
        <c:crosses val="autoZero"/>
        <c:crossBetween val="between"/>
      </c:valAx>
      <c:valAx>
        <c:axId val="560911520"/>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560913480"/>
        <c:crosses val="max"/>
        <c:crossBetween val="between"/>
      </c:valAx>
      <c:dateAx>
        <c:axId val="560913480"/>
        <c:scaling>
          <c:orientation val="minMax"/>
        </c:scaling>
        <c:delete val="1"/>
        <c:axPos val="b"/>
        <c:numFmt formatCode="[$-409]mmm\-yy" sourceLinked="1"/>
        <c:majorTickMark val="out"/>
        <c:minorTickMark val="none"/>
        <c:tickLblPos val="nextTo"/>
        <c:crossAx val="560911520"/>
        <c:crosses val="autoZero"/>
        <c:auto val="1"/>
        <c:lblOffset val="100"/>
        <c:baseTimeUnit val="month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31889763779523E-2"/>
          <c:y val="5.1524036469125567E-2"/>
          <c:w val="0.82362510936132982"/>
          <c:h val="0.5385510594959414"/>
        </c:manualLayout>
      </c:layout>
      <c:barChart>
        <c:barDir val="col"/>
        <c:grouping val="clustered"/>
        <c:varyColors val="0"/>
        <c:ser>
          <c:idx val="0"/>
          <c:order val="0"/>
          <c:tx>
            <c:strRef>
              <c:f>'Rtn, Volt'!$F$5</c:f>
              <c:strCache>
                <c:ptCount val="1"/>
                <c:pt idx="0">
                  <c:v>Return (LHS)</c:v>
                </c:pt>
              </c:strCache>
            </c:strRef>
          </c:tx>
          <c:spPr>
            <a:solidFill>
              <a:srgbClr val="00B050"/>
            </a:solidFill>
            <a:ln>
              <a:noFill/>
            </a:ln>
            <a:effectLst/>
          </c:spPr>
          <c:invertIfNegative val="0"/>
          <c:cat>
            <c:strRef>
              <c:f>'Rtn, Volt'!$E$7:$E$16</c:f>
              <c:strCache>
                <c:ptCount val="10"/>
                <c:pt idx="0">
                  <c:v>BSE Auto</c:v>
                </c:pt>
                <c:pt idx="1">
                  <c:v>BSE Capital Goods</c:v>
                </c:pt>
                <c:pt idx="2">
                  <c:v>BSE Bank</c:v>
                </c:pt>
                <c:pt idx="3">
                  <c:v>BSE PSU</c:v>
                </c:pt>
                <c:pt idx="4">
                  <c:v>BSE Oil&amp;Gas</c:v>
                </c:pt>
                <c:pt idx="5">
                  <c:v>BSE Teck</c:v>
                </c:pt>
                <c:pt idx="6">
                  <c:v>BSE Realty</c:v>
                </c:pt>
                <c:pt idx="7">
                  <c:v>BSECons.Dur.</c:v>
                </c:pt>
                <c:pt idx="8">
                  <c:v>BSE Power</c:v>
                </c:pt>
                <c:pt idx="9">
                  <c:v>BSE Metal</c:v>
                </c:pt>
              </c:strCache>
            </c:strRef>
          </c:cat>
          <c:val>
            <c:numRef>
              <c:f>'Rtn, Volt'!$F$7:$F$16</c:f>
              <c:numCache>
                <c:formatCode>0.00</c:formatCode>
                <c:ptCount val="10"/>
                <c:pt idx="0">
                  <c:v>4.932572846593275</c:v>
                </c:pt>
                <c:pt idx="1">
                  <c:v>-0.82599336224018494</c:v>
                </c:pt>
                <c:pt idx="2">
                  <c:v>-1.5086708667688686</c:v>
                </c:pt>
                <c:pt idx="3">
                  <c:v>-4.1304035811598254</c:v>
                </c:pt>
                <c:pt idx="4">
                  <c:v>-4.56891869505478</c:v>
                </c:pt>
                <c:pt idx="5">
                  <c:v>-4.9488737724056486</c:v>
                </c:pt>
                <c:pt idx="6">
                  <c:v>-7.104075988393177</c:v>
                </c:pt>
                <c:pt idx="7">
                  <c:v>-10.940316533381257</c:v>
                </c:pt>
                <c:pt idx="8">
                  <c:v>-11.499714166654451</c:v>
                </c:pt>
                <c:pt idx="9">
                  <c:v>-16.414828155485516</c:v>
                </c:pt>
              </c:numCache>
            </c:numRef>
          </c:val>
          <c:extLst xmlns:c16r2="http://schemas.microsoft.com/office/drawing/2015/06/chart">
            <c:ext xmlns:c16="http://schemas.microsoft.com/office/drawing/2014/chart" uri="{C3380CC4-5D6E-409C-BE32-E72D297353CC}">
              <c16:uniqueId val="{00000000-BD83-48A9-B9B4-1AEFE3F78917}"/>
            </c:ext>
          </c:extLst>
        </c:ser>
        <c:dLbls>
          <c:showLegendKey val="0"/>
          <c:showVal val="0"/>
          <c:showCatName val="0"/>
          <c:showSerName val="0"/>
          <c:showPercent val="0"/>
          <c:showBubbleSize val="0"/>
        </c:dLbls>
        <c:gapWidth val="219"/>
        <c:overlap val="-27"/>
        <c:axId val="560911128"/>
        <c:axId val="560911912"/>
      </c:barChart>
      <c:lineChart>
        <c:grouping val="standard"/>
        <c:varyColors val="0"/>
        <c:ser>
          <c:idx val="1"/>
          <c:order val="1"/>
          <c:tx>
            <c:strRef>
              <c:f>'Rtn, Volt'!$G$5</c:f>
              <c:strCache>
                <c:ptCount val="1"/>
                <c:pt idx="0">
                  <c:v>Volatility (RHS)</c:v>
                </c:pt>
              </c:strCache>
            </c:strRef>
          </c:tx>
          <c:spPr>
            <a:ln w="28575" cap="rnd">
              <a:solidFill>
                <a:srgbClr val="FF0000"/>
              </a:solidFill>
              <a:round/>
            </a:ln>
            <a:effectLst/>
          </c:spPr>
          <c:marker>
            <c:symbol val="none"/>
          </c:marker>
          <c:cat>
            <c:strRef>
              <c:f>'Rtn, Volt'!$E$7:$E$16</c:f>
              <c:strCache>
                <c:ptCount val="10"/>
                <c:pt idx="0">
                  <c:v>BSE Auto</c:v>
                </c:pt>
                <c:pt idx="1">
                  <c:v>BSE Capital Goods</c:v>
                </c:pt>
                <c:pt idx="2">
                  <c:v>BSE Bank</c:v>
                </c:pt>
                <c:pt idx="3">
                  <c:v>BSE PSU</c:v>
                </c:pt>
                <c:pt idx="4">
                  <c:v>BSE Oil&amp;Gas</c:v>
                </c:pt>
                <c:pt idx="5">
                  <c:v>BSE Teck</c:v>
                </c:pt>
                <c:pt idx="6">
                  <c:v>BSE Realty</c:v>
                </c:pt>
                <c:pt idx="7">
                  <c:v>BSECons.Dur.</c:v>
                </c:pt>
                <c:pt idx="8">
                  <c:v>BSE Power</c:v>
                </c:pt>
                <c:pt idx="9">
                  <c:v>BSE Metal</c:v>
                </c:pt>
              </c:strCache>
            </c:strRef>
          </c:cat>
          <c:val>
            <c:numRef>
              <c:f>'Rtn, Volt'!$G$7:$G$16</c:f>
              <c:numCache>
                <c:formatCode>0.00</c:formatCode>
                <c:ptCount val="10"/>
                <c:pt idx="0">
                  <c:v>1.6364446918376185</c:v>
                </c:pt>
                <c:pt idx="1">
                  <c:v>1.7247276320622507</c:v>
                </c:pt>
                <c:pt idx="2">
                  <c:v>1.5578235954434665</c:v>
                </c:pt>
                <c:pt idx="3">
                  <c:v>1.3675554048413177</c:v>
                </c:pt>
                <c:pt idx="4">
                  <c:v>1.4979582468968478</c:v>
                </c:pt>
                <c:pt idx="5">
                  <c:v>1.8922288721522764</c:v>
                </c:pt>
                <c:pt idx="6">
                  <c:v>2.3111219804449061</c:v>
                </c:pt>
                <c:pt idx="7">
                  <c:v>1.9424892826976896</c:v>
                </c:pt>
                <c:pt idx="8">
                  <c:v>1.8526217946612762</c:v>
                </c:pt>
                <c:pt idx="9">
                  <c:v>3.4088647959107305</c:v>
                </c:pt>
              </c:numCache>
            </c:numRef>
          </c:val>
          <c:smooth val="0"/>
          <c:extLst xmlns:c16r2="http://schemas.microsoft.com/office/drawing/2015/06/chart">
            <c:ext xmlns:c16="http://schemas.microsoft.com/office/drawing/2014/chart" uri="{C3380CC4-5D6E-409C-BE32-E72D297353CC}">
              <c16:uniqueId val="{00000001-BD83-48A9-B9B4-1AEFE3F78917}"/>
            </c:ext>
          </c:extLst>
        </c:ser>
        <c:dLbls>
          <c:showLegendKey val="0"/>
          <c:showVal val="0"/>
          <c:showCatName val="0"/>
          <c:showSerName val="0"/>
          <c:showPercent val="0"/>
          <c:showBubbleSize val="0"/>
        </c:dLbls>
        <c:marker val="1"/>
        <c:smooth val="0"/>
        <c:axId val="560912696"/>
        <c:axId val="560912304"/>
      </c:lineChart>
      <c:catAx>
        <c:axId val="5609111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560911912"/>
        <c:crosses val="autoZero"/>
        <c:auto val="1"/>
        <c:lblAlgn val="ctr"/>
        <c:lblOffset val="100"/>
        <c:noMultiLvlLbl val="0"/>
      </c:catAx>
      <c:valAx>
        <c:axId val="560911912"/>
        <c:scaling>
          <c:orientation val="minMax"/>
          <c:max val="20"/>
          <c:min val="-20"/>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560911128"/>
        <c:crosses val="autoZero"/>
        <c:crossBetween val="between"/>
      </c:valAx>
      <c:valAx>
        <c:axId val="560912304"/>
        <c:scaling>
          <c:orientation val="minMax"/>
          <c:max val="4"/>
          <c:min val="-4"/>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560912696"/>
        <c:crosses val="max"/>
        <c:crossBetween val="between"/>
        <c:majorUnit val="1"/>
      </c:valAx>
      <c:catAx>
        <c:axId val="560912696"/>
        <c:scaling>
          <c:orientation val="minMax"/>
        </c:scaling>
        <c:delete val="1"/>
        <c:axPos val="b"/>
        <c:numFmt formatCode="General" sourceLinked="1"/>
        <c:majorTickMark val="out"/>
        <c:minorTickMark val="none"/>
        <c:tickLblPos val="nextTo"/>
        <c:crossAx val="560912304"/>
        <c:crosses val="autoZero"/>
        <c:auto val="1"/>
        <c:lblAlgn val="ctr"/>
        <c:lblOffset val="100"/>
        <c:noMultiLvlLbl val="0"/>
      </c:catAx>
      <c:spPr>
        <a:noFill/>
        <a:ln>
          <a:solidFill>
            <a:sysClr val="window" lastClr="FFFFFF">
              <a:lumMod val="65000"/>
            </a:sysClr>
          </a:solidFill>
        </a:ln>
        <a:effectLst/>
      </c:spPr>
    </c:plotArea>
    <c:legend>
      <c:legendPos val="b"/>
      <c:layout>
        <c:manualLayout>
          <c:xMode val="edge"/>
          <c:yMode val="edge"/>
          <c:x val="0.27430122225597919"/>
          <c:y val="0.86225527962850801"/>
          <c:w val="0.4960808735333041"/>
          <c:h val="9.966537966537966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31889763779523E-2"/>
          <c:y val="5.4386482939632545E-2"/>
          <c:w val="0.82362510936132982"/>
          <c:h val="0.59328943312690896"/>
        </c:manualLayout>
      </c:layout>
      <c:barChart>
        <c:barDir val="col"/>
        <c:grouping val="clustered"/>
        <c:varyColors val="0"/>
        <c:ser>
          <c:idx val="0"/>
          <c:order val="0"/>
          <c:tx>
            <c:strRef>
              <c:f>'Rtn, Volt'!$B$5</c:f>
              <c:strCache>
                <c:ptCount val="1"/>
                <c:pt idx="0">
                  <c:v>Return (LHS)</c:v>
                </c:pt>
              </c:strCache>
            </c:strRef>
          </c:tx>
          <c:spPr>
            <a:solidFill>
              <a:srgbClr val="00B050"/>
            </a:solidFill>
            <a:ln>
              <a:noFill/>
            </a:ln>
            <a:effectLst/>
          </c:spPr>
          <c:invertIfNegative val="0"/>
          <c:cat>
            <c:strRef>
              <c:f>'Rtn, Volt'!$A$7:$A$16</c:f>
              <c:strCache>
                <c:ptCount val="10"/>
                <c:pt idx="0">
                  <c:v>NIFTY FMCG</c:v>
                </c:pt>
                <c:pt idx="1">
                  <c:v>NIFTY Bank</c:v>
                </c:pt>
                <c:pt idx="2">
                  <c:v>NIFTY Service Sector</c:v>
                </c:pt>
                <c:pt idx="3">
                  <c:v>NIFTY PSE</c:v>
                </c:pt>
                <c:pt idx="4">
                  <c:v>NIFTY Infra</c:v>
                </c:pt>
                <c:pt idx="5">
                  <c:v>NIFTY IT</c:v>
                </c:pt>
                <c:pt idx="6">
                  <c:v>NIFTY Pharma</c:v>
                </c:pt>
                <c:pt idx="7">
                  <c:v>NIFTY PSU</c:v>
                </c:pt>
                <c:pt idx="8">
                  <c:v>NIFTY Realty</c:v>
                </c:pt>
                <c:pt idx="9">
                  <c:v>NIFTY Energy</c:v>
                </c:pt>
              </c:strCache>
            </c:strRef>
          </c:cat>
          <c:val>
            <c:numRef>
              <c:f>'Rtn, Volt'!$B$7:$B$16</c:f>
              <c:numCache>
                <c:formatCode>0.00</c:formatCode>
                <c:ptCount val="10"/>
                <c:pt idx="0">
                  <c:v>1.3331012468540626</c:v>
                </c:pt>
                <c:pt idx="1">
                  <c:v>-1.6646738610873624</c:v>
                </c:pt>
                <c:pt idx="2">
                  <c:v>-3.3246617994185934</c:v>
                </c:pt>
                <c:pt idx="3">
                  <c:v>-3.5957205611449661</c:v>
                </c:pt>
                <c:pt idx="4">
                  <c:v>-4.8860633598876717</c:v>
                </c:pt>
                <c:pt idx="5">
                  <c:v>-6.1454854786480499</c:v>
                </c:pt>
                <c:pt idx="6">
                  <c:v>-6.3760645034298014</c:v>
                </c:pt>
                <c:pt idx="7">
                  <c:v>-6.6321074477533548</c:v>
                </c:pt>
                <c:pt idx="8">
                  <c:v>-7.2225352112676111</c:v>
                </c:pt>
                <c:pt idx="9">
                  <c:v>-10.327462085776295</c:v>
                </c:pt>
              </c:numCache>
            </c:numRef>
          </c:val>
          <c:extLst xmlns:c16r2="http://schemas.microsoft.com/office/drawing/2015/06/chart">
            <c:ext xmlns:c16="http://schemas.microsoft.com/office/drawing/2014/chart" uri="{C3380CC4-5D6E-409C-BE32-E72D297353CC}">
              <c16:uniqueId val="{00000000-4960-4CF9-BC5A-DDAA9EE7CBDE}"/>
            </c:ext>
          </c:extLst>
        </c:ser>
        <c:dLbls>
          <c:showLegendKey val="0"/>
          <c:showVal val="0"/>
          <c:showCatName val="0"/>
          <c:showSerName val="0"/>
          <c:showPercent val="0"/>
          <c:showBubbleSize val="0"/>
        </c:dLbls>
        <c:gapWidth val="219"/>
        <c:overlap val="-27"/>
        <c:axId val="558999656"/>
        <c:axId val="558996128"/>
      </c:barChart>
      <c:lineChart>
        <c:grouping val="standard"/>
        <c:varyColors val="0"/>
        <c:ser>
          <c:idx val="1"/>
          <c:order val="1"/>
          <c:tx>
            <c:strRef>
              <c:f>'Rtn, Volt'!$C$5</c:f>
              <c:strCache>
                <c:ptCount val="1"/>
                <c:pt idx="0">
                  <c:v>Volatility (RHS)</c:v>
                </c:pt>
              </c:strCache>
            </c:strRef>
          </c:tx>
          <c:spPr>
            <a:ln w="28575" cap="rnd">
              <a:solidFill>
                <a:srgbClr val="FF0000"/>
              </a:solidFill>
              <a:round/>
            </a:ln>
            <a:effectLst/>
          </c:spPr>
          <c:marker>
            <c:symbol val="none"/>
          </c:marker>
          <c:cat>
            <c:strRef>
              <c:f>'Rtn, Volt'!$A$7:$A$16</c:f>
              <c:strCache>
                <c:ptCount val="10"/>
                <c:pt idx="0">
                  <c:v>NIFTY FMCG</c:v>
                </c:pt>
                <c:pt idx="1">
                  <c:v>NIFTY Bank</c:v>
                </c:pt>
                <c:pt idx="2">
                  <c:v>NIFTY Service Sector</c:v>
                </c:pt>
                <c:pt idx="3">
                  <c:v>NIFTY PSE</c:v>
                </c:pt>
                <c:pt idx="4">
                  <c:v>NIFTY Infra</c:v>
                </c:pt>
                <c:pt idx="5">
                  <c:v>NIFTY IT</c:v>
                </c:pt>
                <c:pt idx="6">
                  <c:v>NIFTY Pharma</c:v>
                </c:pt>
                <c:pt idx="7">
                  <c:v>NIFTY PSU</c:v>
                </c:pt>
                <c:pt idx="8">
                  <c:v>NIFTY Realty</c:v>
                </c:pt>
                <c:pt idx="9">
                  <c:v>NIFTY Energy</c:v>
                </c:pt>
              </c:strCache>
            </c:strRef>
          </c:cat>
          <c:val>
            <c:numRef>
              <c:f>'Rtn, Volt'!$C$7:$C$16</c:f>
              <c:numCache>
                <c:formatCode>0.00</c:formatCode>
                <c:ptCount val="10"/>
                <c:pt idx="0">
                  <c:v>1.1068178687375332</c:v>
                </c:pt>
                <c:pt idx="1">
                  <c:v>1.5949392085740262</c:v>
                </c:pt>
                <c:pt idx="2">
                  <c:v>1.496896197524888</c:v>
                </c:pt>
                <c:pt idx="3">
                  <c:v>1.3812266775116993</c:v>
                </c:pt>
                <c:pt idx="4">
                  <c:v>1.405747936339568</c:v>
                </c:pt>
                <c:pt idx="5">
                  <c:v>2.1771267078524605</c:v>
                </c:pt>
                <c:pt idx="6">
                  <c:v>1.395762686038863</c:v>
                </c:pt>
                <c:pt idx="7">
                  <c:v>2.193183908635794</c:v>
                </c:pt>
                <c:pt idx="8">
                  <c:v>2.2968381987330795</c:v>
                </c:pt>
                <c:pt idx="9">
                  <c:v>1.6188932849615225</c:v>
                </c:pt>
              </c:numCache>
            </c:numRef>
          </c:val>
          <c:smooth val="0"/>
          <c:extLst xmlns:c16r2="http://schemas.microsoft.com/office/drawing/2015/06/chart">
            <c:ext xmlns:c16="http://schemas.microsoft.com/office/drawing/2014/chart" uri="{C3380CC4-5D6E-409C-BE32-E72D297353CC}">
              <c16:uniqueId val="{00000001-4960-4CF9-BC5A-DDAA9EE7CBDE}"/>
            </c:ext>
          </c:extLst>
        </c:ser>
        <c:dLbls>
          <c:showLegendKey val="0"/>
          <c:showVal val="0"/>
          <c:showCatName val="0"/>
          <c:showSerName val="0"/>
          <c:showPercent val="0"/>
          <c:showBubbleSize val="0"/>
        </c:dLbls>
        <c:marker val="1"/>
        <c:smooth val="0"/>
        <c:axId val="401041976"/>
        <c:axId val="415014968"/>
      </c:lineChart>
      <c:catAx>
        <c:axId val="55899965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558996128"/>
        <c:crosses val="autoZero"/>
        <c:auto val="1"/>
        <c:lblAlgn val="ctr"/>
        <c:lblOffset val="100"/>
        <c:noMultiLvlLbl val="0"/>
      </c:catAx>
      <c:valAx>
        <c:axId val="558996128"/>
        <c:scaling>
          <c:orientation val="minMax"/>
          <c:max val="15"/>
          <c:min val="-15"/>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558999656"/>
        <c:crosses val="autoZero"/>
        <c:crossBetween val="between"/>
      </c:valAx>
      <c:valAx>
        <c:axId val="415014968"/>
        <c:scaling>
          <c:orientation val="minMax"/>
          <c:max val="3"/>
          <c:min val="-3"/>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401041976"/>
        <c:crosses val="max"/>
        <c:crossBetween val="between"/>
      </c:valAx>
      <c:catAx>
        <c:axId val="401041976"/>
        <c:scaling>
          <c:orientation val="minMax"/>
        </c:scaling>
        <c:delete val="1"/>
        <c:axPos val="b"/>
        <c:numFmt formatCode="General" sourceLinked="1"/>
        <c:majorTickMark val="out"/>
        <c:minorTickMark val="none"/>
        <c:tickLblPos val="nextTo"/>
        <c:crossAx val="415014968"/>
        <c:crossesAt val="0"/>
        <c:auto val="1"/>
        <c:lblAlgn val="ctr"/>
        <c:lblOffset val="100"/>
        <c:noMultiLvlLbl val="0"/>
      </c:catAx>
      <c:spPr>
        <a:noFill/>
        <a:ln>
          <a:solidFill>
            <a:schemeClr val="bg1">
              <a:lumMod val="65000"/>
            </a:schemeClr>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1000"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69247594050744"/>
          <c:y val="4.4647379978606329E-2"/>
          <c:w val="0.79026115485564319"/>
          <c:h val="0.66413792684669015"/>
        </c:manualLayout>
      </c:layout>
      <c:barChart>
        <c:barDir val="col"/>
        <c:grouping val="clustered"/>
        <c:varyColors val="0"/>
        <c:ser>
          <c:idx val="0"/>
          <c:order val="0"/>
          <c:tx>
            <c:strRef>
              <c:f>Sheet1!$F$20</c:f>
              <c:strCache>
                <c:ptCount val="1"/>
                <c:pt idx="0">
                  <c:v>NSDL</c:v>
                </c:pt>
              </c:strCache>
            </c:strRef>
          </c:tx>
          <c:spPr>
            <a:solidFill>
              <a:schemeClr val="accent1"/>
            </a:solidFill>
            <a:ln>
              <a:noFill/>
            </a:ln>
            <a:effectLst/>
          </c:spPr>
          <c:invertIfNegative val="0"/>
          <c:cat>
            <c:numRef>
              <c:f>Sheet1!$E$21:$E$32</c:f>
              <c:numCache>
                <c:formatCode>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Sheet1!$F$21:$F$32</c:f>
              <c:numCache>
                <c:formatCode>_ * #,##0_ ;_ * \-#,##0_ ;_ * "-"??_ ;_ @_ </c:formatCode>
                <c:ptCount val="12"/>
                <c:pt idx="0">
                  <c:v>3.4983399999999998</c:v>
                </c:pt>
                <c:pt idx="1">
                  <c:v>3.6983799999999998</c:v>
                </c:pt>
                <c:pt idx="2">
                  <c:v>4.0605500000000001</c:v>
                </c:pt>
                <c:pt idx="3">
                  <c:v>4.5772000000000004</c:v>
                </c:pt>
                <c:pt idx="4">
                  <c:v>4.4481000000000002</c:v>
                </c:pt>
                <c:pt idx="5">
                  <c:v>3.86693</c:v>
                </c:pt>
                <c:pt idx="6">
                  <c:v>4.2314600000000002</c:v>
                </c:pt>
                <c:pt idx="7">
                  <c:v>4.5336699999999999</c:v>
                </c:pt>
                <c:pt idx="8">
                  <c:v>5.7967000000000004</c:v>
                </c:pt>
                <c:pt idx="9">
                  <c:v>6.0738700000000003</c:v>
                </c:pt>
                <c:pt idx="10">
                  <c:v>5.1212200000000001</c:v>
                </c:pt>
                <c:pt idx="11">
                  <c:v>3.94231</c:v>
                </c:pt>
              </c:numCache>
            </c:numRef>
          </c:val>
        </c:ser>
        <c:ser>
          <c:idx val="1"/>
          <c:order val="1"/>
          <c:tx>
            <c:strRef>
              <c:f>Sheet1!$G$20</c:f>
              <c:strCache>
                <c:ptCount val="1"/>
                <c:pt idx="0">
                  <c:v> CDSL</c:v>
                </c:pt>
              </c:strCache>
            </c:strRef>
          </c:tx>
          <c:spPr>
            <a:solidFill>
              <a:schemeClr val="accent2"/>
            </a:solidFill>
            <a:ln>
              <a:noFill/>
            </a:ln>
            <a:effectLst/>
          </c:spPr>
          <c:invertIfNegative val="0"/>
          <c:cat>
            <c:numRef>
              <c:f>Sheet1!$E$21:$E$32</c:f>
              <c:numCache>
                <c:formatCode>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Sheet1!$G$21:$G$32</c:f>
              <c:numCache>
                <c:formatCode>_ * #,##0_ ;_ * \-#,##0_ ;_ * "-"??_ ;_ @_ </c:formatCode>
                <c:ptCount val="12"/>
                <c:pt idx="0">
                  <c:v>21.832470000000001</c:v>
                </c:pt>
                <c:pt idx="1">
                  <c:v>23.371510000000001</c:v>
                </c:pt>
                <c:pt idx="2">
                  <c:v>21.092849999999999</c:v>
                </c:pt>
                <c:pt idx="3">
                  <c:v>23.63871</c:v>
                </c:pt>
                <c:pt idx="4">
                  <c:v>31.350660000000001</c:v>
                </c:pt>
                <c:pt idx="5">
                  <c:v>30.33053</c:v>
                </c:pt>
                <c:pt idx="6">
                  <c:v>29.27797</c:v>
                </c:pt>
                <c:pt idx="7">
                  <c:v>29.286650000000002</c:v>
                </c:pt>
                <c:pt idx="8">
                  <c:v>22.630970000000001</c:v>
                </c:pt>
                <c:pt idx="9">
                  <c:v>22.318000000000001</c:v>
                </c:pt>
                <c:pt idx="10">
                  <c:v>21.795670000000001</c:v>
                </c:pt>
                <c:pt idx="11">
                  <c:v>21.2</c:v>
                </c:pt>
              </c:numCache>
            </c:numRef>
          </c:val>
        </c:ser>
        <c:dLbls>
          <c:showLegendKey val="0"/>
          <c:showVal val="0"/>
          <c:showCatName val="0"/>
          <c:showSerName val="0"/>
          <c:showPercent val="0"/>
          <c:showBubbleSize val="0"/>
        </c:dLbls>
        <c:gapWidth val="219"/>
        <c:overlap val="-27"/>
        <c:axId val="405877568"/>
        <c:axId val="648856824"/>
      </c:barChart>
      <c:dateAx>
        <c:axId val="40587756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856824"/>
        <c:crosses val="autoZero"/>
        <c:auto val="1"/>
        <c:lblOffset val="100"/>
        <c:baseTimeUnit val="months"/>
      </c:dateAx>
      <c:valAx>
        <c:axId val="648856824"/>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877568"/>
        <c:crosses val="autoZero"/>
        <c:crossBetween val="between"/>
      </c:valAx>
      <c:spPr>
        <a:noFill/>
        <a:ln>
          <a:noFill/>
        </a:ln>
        <a:effectLst/>
      </c:spPr>
    </c:plotArea>
    <c:legend>
      <c:legendPos val="r"/>
      <c:layout>
        <c:manualLayout>
          <c:xMode val="edge"/>
          <c:yMode val="edge"/>
          <c:x val="0.33284251968503942"/>
          <c:y val="0.89827428448338964"/>
          <c:w val="0.36160192475940511"/>
          <c:h val="0.100457563735972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1333257938808"/>
          <c:y val="5.3641462625391004E-2"/>
          <c:w val="0.69482934920388084"/>
          <c:h val="0.59820767267105301"/>
        </c:manualLayout>
      </c:layout>
      <c:barChart>
        <c:barDir val="col"/>
        <c:grouping val="clustered"/>
        <c:varyColors val="0"/>
        <c:ser>
          <c:idx val="1"/>
          <c:order val="1"/>
          <c:tx>
            <c:strRef>
              <c:f>ADNT!$C$1</c:f>
              <c:strCache>
                <c:ptCount val="1"/>
                <c:pt idx="0">
                  <c:v>ADNT at NSE (RHS)</c:v>
                </c:pt>
              </c:strCache>
            </c:strRef>
          </c:tx>
          <c:spPr>
            <a:solidFill>
              <a:schemeClr val="accent2"/>
            </a:solidFill>
            <a:ln>
              <a:noFill/>
            </a:ln>
            <a:effectLst/>
          </c:spPr>
          <c:invertIfNegative val="0"/>
          <c:cat>
            <c:numRef>
              <c:f>ADNT!$A$5:$A$16</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ADNT!$C$5:$C$16</c:f>
              <c:numCache>
                <c:formatCode>#,##0</c:formatCode>
                <c:ptCount val="12"/>
                <c:pt idx="0">
                  <c:v>4608723.0909090908</c:v>
                </c:pt>
                <c:pt idx="1">
                  <c:v>5386820.5952380951</c:v>
                </c:pt>
                <c:pt idx="2">
                  <c:v>5739759</c:v>
                </c:pt>
                <c:pt idx="3">
                  <c:v>6860710.1618907135</c:v>
                </c:pt>
                <c:pt idx="4">
                  <c:v>7019570.4000000004</c:v>
                </c:pt>
                <c:pt idx="5">
                  <c:v>7312334.5</c:v>
                </c:pt>
                <c:pt idx="6">
                  <c:v>7553061</c:v>
                </c:pt>
                <c:pt idx="7">
                  <c:v>8987038.0999999996</c:v>
                </c:pt>
                <c:pt idx="8">
                  <c:v>10008863.325401936</c:v>
                </c:pt>
                <c:pt idx="9">
                  <c:v>9549681.3119047619</c:v>
                </c:pt>
                <c:pt idx="10">
                  <c:v>10445339.736842105</c:v>
                </c:pt>
                <c:pt idx="11">
                  <c:v>10410860.044285715</c:v>
                </c:pt>
              </c:numCache>
            </c:numRef>
          </c:val>
          <c:extLst xmlns:c16r2="http://schemas.microsoft.com/office/drawing/2015/06/chart">
            <c:ext xmlns:c16="http://schemas.microsoft.com/office/drawing/2014/chart" uri="{C3380CC4-5D6E-409C-BE32-E72D297353CC}">
              <c16:uniqueId val="{00000001-5616-43DE-909E-DE03B6C2F9C2}"/>
            </c:ext>
          </c:extLst>
        </c:ser>
        <c:dLbls>
          <c:showLegendKey val="0"/>
          <c:showVal val="0"/>
          <c:showCatName val="0"/>
          <c:showSerName val="0"/>
          <c:showPercent val="0"/>
          <c:showBubbleSize val="0"/>
        </c:dLbls>
        <c:gapWidth val="219"/>
        <c:overlap val="-27"/>
        <c:axId val="648856432"/>
        <c:axId val="648858000"/>
      </c:barChart>
      <c:lineChart>
        <c:grouping val="standard"/>
        <c:varyColors val="0"/>
        <c:ser>
          <c:idx val="0"/>
          <c:order val="0"/>
          <c:tx>
            <c:strRef>
              <c:f>ADNT!$B$1</c:f>
              <c:strCache>
                <c:ptCount val="1"/>
                <c:pt idx="0">
                  <c:v>ADNT at BSE (LHS)</c:v>
                </c:pt>
              </c:strCache>
            </c:strRef>
          </c:tx>
          <c:spPr>
            <a:ln w="28575" cap="rnd">
              <a:solidFill>
                <a:schemeClr val="accent1"/>
              </a:solidFill>
              <a:round/>
            </a:ln>
            <a:effectLst/>
          </c:spPr>
          <c:marker>
            <c:symbol val="none"/>
          </c:marker>
          <c:cat>
            <c:numRef>
              <c:f>ADNT!$A$5:$A$16</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ADNT!$B$5:$B$16</c:f>
              <c:numCache>
                <c:formatCode>#,##0</c:formatCode>
                <c:ptCount val="12"/>
                <c:pt idx="0">
                  <c:v>303244.85652462277</c:v>
                </c:pt>
                <c:pt idx="1">
                  <c:v>302849.34979702381</c:v>
                </c:pt>
                <c:pt idx="2">
                  <c:v>303377.24</c:v>
                </c:pt>
                <c:pt idx="3">
                  <c:v>162415.96650452382</c:v>
                </c:pt>
                <c:pt idx="4">
                  <c:v>230084.4</c:v>
                </c:pt>
                <c:pt idx="5">
                  <c:v>254708.6</c:v>
                </c:pt>
                <c:pt idx="6">
                  <c:v>257503.52173913043</c:v>
                </c:pt>
                <c:pt idx="7">
                  <c:v>253228.22257352498</c:v>
                </c:pt>
                <c:pt idx="8">
                  <c:v>241224.5151263625</c:v>
                </c:pt>
                <c:pt idx="9">
                  <c:v>249537.90285714285</c:v>
                </c:pt>
                <c:pt idx="10">
                  <c:v>151869.73210526316</c:v>
                </c:pt>
                <c:pt idx="11">
                  <c:v>13842.711428571429</c:v>
                </c:pt>
              </c:numCache>
            </c:numRef>
          </c:val>
          <c:smooth val="0"/>
          <c:extLst xmlns:c16r2="http://schemas.microsoft.com/office/drawing/2015/06/chart">
            <c:ext xmlns:c16="http://schemas.microsoft.com/office/drawing/2014/chart" uri="{C3380CC4-5D6E-409C-BE32-E72D297353CC}">
              <c16:uniqueId val="{00000000-5616-43DE-909E-DE03B6C2F9C2}"/>
            </c:ext>
          </c:extLst>
        </c:ser>
        <c:dLbls>
          <c:showLegendKey val="0"/>
          <c:showVal val="0"/>
          <c:showCatName val="0"/>
          <c:showSerName val="0"/>
          <c:showPercent val="0"/>
          <c:showBubbleSize val="0"/>
        </c:dLbls>
        <c:marker val="1"/>
        <c:smooth val="0"/>
        <c:axId val="648856040"/>
        <c:axId val="648863096"/>
      </c:lineChart>
      <c:dateAx>
        <c:axId val="648856040"/>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648863096"/>
        <c:crosses val="autoZero"/>
        <c:auto val="1"/>
        <c:lblOffset val="100"/>
        <c:baseTimeUnit val="months"/>
      </c:dateAx>
      <c:valAx>
        <c:axId val="64886309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r>
                  <a:rPr lang="en-US"/>
                  <a:t>BSE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648856040"/>
        <c:crosses val="autoZero"/>
        <c:crossBetween val="between"/>
      </c:valAx>
      <c:valAx>
        <c:axId val="648858000"/>
        <c:scaling>
          <c:orientation val="minMax"/>
          <c:min val="1000000"/>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r>
                  <a:rPr lang="en-US"/>
                  <a:t>NSE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648856432"/>
        <c:crosses val="max"/>
        <c:crossBetween val="between"/>
      </c:valAx>
      <c:dateAx>
        <c:axId val="648856432"/>
        <c:scaling>
          <c:orientation val="minMax"/>
        </c:scaling>
        <c:delete val="1"/>
        <c:axPos val="b"/>
        <c:numFmt formatCode="[$-409]mmm\-yy" sourceLinked="1"/>
        <c:majorTickMark val="out"/>
        <c:minorTickMark val="none"/>
        <c:tickLblPos val="nextTo"/>
        <c:crossAx val="648858000"/>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19050" cap="flat" cmpd="sng" algn="ctr">
      <a:solidFill>
        <a:schemeClr val="tx1">
          <a:lumMod val="15000"/>
          <a:lumOff val="85000"/>
        </a:schemeClr>
      </a:solidFill>
      <a:round/>
    </a:ln>
    <a:effectLst/>
  </c:spPr>
  <c:txPr>
    <a:bodyPr/>
    <a:lstStyle/>
    <a:p>
      <a:pPr>
        <a:defRPr sz="900" b="0">
          <a:latin typeface="Garamond" panose="02020404030301010803"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33028303894446"/>
          <c:y val="5.4292215724884213E-2"/>
          <c:w val="0.75736946395214111"/>
          <c:h val="0.62586375083681345"/>
        </c:manualLayout>
      </c:layout>
      <c:lineChart>
        <c:grouping val="standard"/>
        <c:varyColors val="0"/>
        <c:ser>
          <c:idx val="0"/>
          <c:order val="0"/>
          <c:tx>
            <c:strRef>
              <c:f>CD!$B$3</c:f>
              <c:strCache>
                <c:ptCount val="1"/>
                <c:pt idx="0">
                  <c:v>BSE  (LHS)</c:v>
                </c:pt>
              </c:strCache>
            </c:strRef>
          </c:tx>
          <c:spPr>
            <a:ln w="28575" cap="rnd">
              <a:solidFill>
                <a:srgbClr val="5B9BD5"/>
              </a:solidFill>
              <a:round/>
            </a:ln>
            <a:effectLst/>
          </c:spPr>
          <c:marker>
            <c:symbol val="none"/>
          </c:marker>
          <c:cat>
            <c:numRef>
              <c:f>CD!$A$6:$A$17</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CD!$B$6:$B$17</c:f>
              <c:numCache>
                <c:formatCode>[&gt;=10000000]#\,##\,##\,##0;[&gt;=100000]#\,##\,##0;##,##0</c:formatCode>
                <c:ptCount val="12"/>
                <c:pt idx="0" formatCode="0\,00\,000;\-0\,00\,000;0">
                  <c:v>503265.83970000001</c:v>
                </c:pt>
                <c:pt idx="1">
                  <c:v>500963.52590000007</c:v>
                </c:pt>
                <c:pt idx="2">
                  <c:v>478902.13159999996</c:v>
                </c:pt>
                <c:pt idx="3">
                  <c:v>531555.85820000002</c:v>
                </c:pt>
                <c:pt idx="4">
                  <c:v>515735.00710000005</c:v>
                </c:pt>
                <c:pt idx="5" formatCode="_(* #,##0_);_(* \(#,##0\);_(* &quot;-&quot;??_);_(@_)">
                  <c:v>527481.43999999994</c:v>
                </c:pt>
                <c:pt idx="6">
                  <c:v>638502.38</c:v>
                </c:pt>
                <c:pt idx="7">
                  <c:v>565634.80999999994</c:v>
                </c:pt>
                <c:pt idx="8">
                  <c:v>599325.55330000003</c:v>
                </c:pt>
                <c:pt idx="9">
                  <c:v>726577.97</c:v>
                </c:pt>
                <c:pt idx="10">
                  <c:v>529398</c:v>
                </c:pt>
                <c:pt idx="11">
                  <c:v>434632.5002999999</c:v>
                </c:pt>
              </c:numCache>
            </c:numRef>
          </c:val>
          <c:smooth val="0"/>
          <c:extLst xmlns:c16r2="http://schemas.microsoft.com/office/drawing/2015/06/chart">
            <c:ext xmlns:c16="http://schemas.microsoft.com/office/drawing/2014/chart" uri="{C3380CC4-5D6E-409C-BE32-E72D297353CC}">
              <c16:uniqueId val="{00000000-EAC8-45FD-A324-C6A090AC78AC}"/>
            </c:ext>
          </c:extLst>
        </c:ser>
        <c:ser>
          <c:idx val="1"/>
          <c:order val="1"/>
          <c:tx>
            <c:strRef>
              <c:f>CD!$C$3</c:f>
              <c:strCache>
                <c:ptCount val="1"/>
                <c:pt idx="0">
                  <c:v>NSE (LHS)</c:v>
                </c:pt>
              </c:strCache>
            </c:strRef>
          </c:tx>
          <c:spPr>
            <a:ln w="28575" cap="rnd">
              <a:solidFill>
                <a:srgbClr val="ED7D31"/>
              </a:solidFill>
              <a:round/>
            </a:ln>
            <a:effectLst/>
          </c:spPr>
          <c:marker>
            <c:symbol val="none"/>
          </c:marker>
          <c:cat>
            <c:numRef>
              <c:f>CD!$A$6:$A$17</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CD!$C$6:$C$17</c:f>
              <c:numCache>
                <c:formatCode>[&gt;=10000000]#\,##\,##\,##0;[&gt;=100000]#\,##\,##0;##,##0</c:formatCode>
                <c:ptCount val="12"/>
                <c:pt idx="0" formatCode="0\,00\,000;\-0\,00\,000;0">
                  <c:v>1378693.62</c:v>
                </c:pt>
                <c:pt idx="1">
                  <c:v>1386768.69</c:v>
                </c:pt>
                <c:pt idx="2">
                  <c:v>1076862.0382310494</c:v>
                </c:pt>
                <c:pt idx="3">
                  <c:v>1489316.15</c:v>
                </c:pt>
                <c:pt idx="4">
                  <c:v>1737277.2801382274</c:v>
                </c:pt>
                <c:pt idx="5" formatCode="_(* #,##0_);_(* \(#,##0\);_(* &quot;-&quot;??_);_(@_)">
                  <c:v>1619217.61</c:v>
                </c:pt>
                <c:pt idx="6">
                  <c:v>2326399.94</c:v>
                </c:pt>
                <c:pt idx="7">
                  <c:v>2157261.44</c:v>
                </c:pt>
                <c:pt idx="8">
                  <c:v>2630773.5400900235</c:v>
                </c:pt>
                <c:pt idx="9">
                  <c:v>2776403.23</c:v>
                </c:pt>
                <c:pt idx="10">
                  <c:v>2334570.2726751631</c:v>
                </c:pt>
                <c:pt idx="11">
                  <c:v>2210791.7000000002</c:v>
                </c:pt>
              </c:numCache>
            </c:numRef>
          </c:val>
          <c:smooth val="0"/>
          <c:extLst xmlns:c16r2="http://schemas.microsoft.com/office/drawing/2015/06/chart">
            <c:ext xmlns:c16="http://schemas.microsoft.com/office/drawing/2014/chart" uri="{C3380CC4-5D6E-409C-BE32-E72D297353CC}">
              <c16:uniqueId val="{00000001-EAC8-45FD-A324-C6A090AC78AC}"/>
            </c:ext>
          </c:extLst>
        </c:ser>
        <c:dLbls>
          <c:showLegendKey val="0"/>
          <c:showVal val="0"/>
          <c:showCatName val="0"/>
          <c:showSerName val="0"/>
          <c:showPercent val="0"/>
          <c:showBubbleSize val="0"/>
        </c:dLbls>
        <c:marker val="1"/>
        <c:smooth val="0"/>
        <c:axId val="648867408"/>
        <c:axId val="648862312"/>
      </c:lineChart>
      <c:lineChart>
        <c:grouping val="standard"/>
        <c:varyColors val="0"/>
        <c:ser>
          <c:idx val="3"/>
          <c:order val="2"/>
          <c:tx>
            <c:strRef>
              <c:f>CD!$D$3</c:f>
              <c:strCache>
                <c:ptCount val="1"/>
                <c:pt idx="0">
                  <c:v>MSEI (RHS)</c:v>
                </c:pt>
              </c:strCache>
            </c:strRef>
          </c:tx>
          <c:spPr>
            <a:ln w="28575" cap="rnd">
              <a:solidFill>
                <a:srgbClr val="00B050"/>
              </a:solidFill>
              <a:round/>
            </a:ln>
            <a:effectLst/>
          </c:spPr>
          <c:marker>
            <c:symbol val="none"/>
          </c:marker>
          <c:cat>
            <c:numRef>
              <c:f>CD!$A$6:$A$17</c:f>
              <c:numCache>
                <c:formatCode>[$-409]mmm\-yy</c:formatCode>
                <c:ptCount val="12"/>
                <c:pt idx="0">
                  <c:v>44348</c:v>
                </c:pt>
                <c:pt idx="1">
                  <c:v>44378</c:v>
                </c:pt>
                <c:pt idx="2">
                  <c:v>44409</c:v>
                </c:pt>
                <c:pt idx="3">
                  <c:v>44440</c:v>
                </c:pt>
                <c:pt idx="4">
                  <c:v>44470</c:v>
                </c:pt>
                <c:pt idx="5">
                  <c:v>44501</c:v>
                </c:pt>
                <c:pt idx="6">
                  <c:v>44531</c:v>
                </c:pt>
                <c:pt idx="7">
                  <c:v>44562</c:v>
                </c:pt>
                <c:pt idx="8">
                  <c:v>44593</c:v>
                </c:pt>
                <c:pt idx="9">
                  <c:v>44621</c:v>
                </c:pt>
                <c:pt idx="10">
                  <c:v>44652</c:v>
                </c:pt>
                <c:pt idx="11">
                  <c:v>44682</c:v>
                </c:pt>
              </c:numCache>
            </c:numRef>
          </c:cat>
          <c:val>
            <c:numRef>
              <c:f>CD!$D$6:$D$17</c:f>
              <c:numCache>
                <c:formatCode>[&gt;=10000000]#\,##\,##\,##0;[&gt;=100000]#\,##\,##0;##,##0</c:formatCode>
                <c:ptCount val="12"/>
                <c:pt idx="0" formatCode="#,##0;\-#,##0;0">
                  <c:v>14464.578571</c:v>
                </c:pt>
                <c:pt idx="1">
                  <c:v>6391.1461387500003</c:v>
                </c:pt>
                <c:pt idx="2">
                  <c:v>5395</c:v>
                </c:pt>
                <c:pt idx="3">
                  <c:v>4618.395657</c:v>
                </c:pt>
                <c:pt idx="4">
                  <c:v>4432</c:v>
                </c:pt>
                <c:pt idx="5" formatCode="_(* #,##0_);_(* \(#,##0\);_(* &quot;-&quot;??_);_(@_)">
                  <c:v>4277.6000000000004</c:v>
                </c:pt>
                <c:pt idx="6">
                  <c:v>10055.84</c:v>
                </c:pt>
                <c:pt idx="7">
                  <c:v>4405.5900000000011</c:v>
                </c:pt>
                <c:pt idx="8">
                  <c:v>4794.3500000000004</c:v>
                </c:pt>
                <c:pt idx="9">
                  <c:v>9202.7699999999986</c:v>
                </c:pt>
                <c:pt idx="10">
                  <c:v>6106.4610874999998</c:v>
                </c:pt>
                <c:pt idx="11">
                  <c:v>4865.0455575000005</c:v>
                </c:pt>
              </c:numCache>
            </c:numRef>
          </c:val>
          <c:smooth val="0"/>
          <c:extLst xmlns:c16r2="http://schemas.microsoft.com/office/drawing/2015/06/chart">
            <c:ext xmlns:c16="http://schemas.microsoft.com/office/drawing/2014/chart" uri="{C3380CC4-5D6E-409C-BE32-E72D297353CC}">
              <c16:uniqueId val="{00000002-EAC8-45FD-A324-C6A090AC78AC}"/>
            </c:ext>
          </c:extLst>
        </c:ser>
        <c:dLbls>
          <c:showLegendKey val="0"/>
          <c:showVal val="0"/>
          <c:showCatName val="0"/>
          <c:showSerName val="0"/>
          <c:showPercent val="0"/>
          <c:showBubbleSize val="0"/>
        </c:dLbls>
        <c:marker val="1"/>
        <c:smooth val="0"/>
        <c:axId val="648863488"/>
        <c:axId val="648857216"/>
      </c:lineChart>
      <c:dateAx>
        <c:axId val="648867408"/>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48862312"/>
        <c:crosses val="autoZero"/>
        <c:auto val="1"/>
        <c:lblOffset val="100"/>
        <c:baseTimeUnit val="months"/>
      </c:dateAx>
      <c:valAx>
        <c:axId val="648862312"/>
        <c:scaling>
          <c:orientation val="minMax"/>
          <c:min val="200000"/>
        </c:scaling>
        <c:delete val="0"/>
        <c:axPos val="l"/>
        <c:numFmt formatCode="0\,00\,000;\-0\,00\,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48867408"/>
        <c:crosses val="autoZero"/>
        <c:crossBetween val="between"/>
      </c:valAx>
      <c:valAx>
        <c:axId val="64885721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48863488"/>
        <c:crosses val="max"/>
        <c:crossBetween val="between"/>
      </c:valAx>
      <c:dateAx>
        <c:axId val="648863488"/>
        <c:scaling>
          <c:orientation val="minMax"/>
        </c:scaling>
        <c:delete val="1"/>
        <c:axPos val="b"/>
        <c:numFmt formatCode="[$-409]mmm\-yy" sourceLinked="1"/>
        <c:majorTickMark val="out"/>
        <c:minorTickMark val="none"/>
        <c:tickLblPos val="nextTo"/>
        <c:crossAx val="648857216"/>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IRD!$B$2</c:f>
              <c:strCache>
                <c:ptCount val="1"/>
                <c:pt idx="0">
                  <c:v>BSE</c:v>
                </c:pt>
              </c:strCache>
            </c:strRef>
          </c:tx>
          <c:spPr>
            <a:ln w="28575" cap="rnd">
              <a:solidFill>
                <a:srgbClr val="5B9BD5"/>
              </a:solidFill>
              <a:round/>
            </a:ln>
            <a:effectLst/>
          </c:spPr>
          <c:marker>
            <c:symbol val="none"/>
          </c:marker>
          <c:cat>
            <c:numRef>
              <c:f>IRD!$A$6:$A$17</c:f>
              <c:numCache>
                <c:formatCode>[$-409]mmm\-yy</c:formatCode>
                <c:ptCount val="12"/>
                <c:pt idx="0">
                  <c:v>44348</c:v>
                </c:pt>
                <c:pt idx="1">
                  <c:v>44379</c:v>
                </c:pt>
                <c:pt idx="2">
                  <c:v>44410</c:v>
                </c:pt>
                <c:pt idx="3">
                  <c:v>44441</c:v>
                </c:pt>
                <c:pt idx="4">
                  <c:v>44471</c:v>
                </c:pt>
                <c:pt idx="5">
                  <c:v>44501</c:v>
                </c:pt>
                <c:pt idx="6">
                  <c:v>44531</c:v>
                </c:pt>
                <c:pt idx="7">
                  <c:v>44562</c:v>
                </c:pt>
                <c:pt idx="8">
                  <c:v>44593</c:v>
                </c:pt>
                <c:pt idx="9">
                  <c:v>44621</c:v>
                </c:pt>
                <c:pt idx="10">
                  <c:v>44652</c:v>
                </c:pt>
                <c:pt idx="11">
                  <c:v>44682</c:v>
                </c:pt>
              </c:numCache>
            </c:numRef>
          </c:cat>
          <c:val>
            <c:numRef>
              <c:f>IRD!$B$6:$B$17</c:f>
              <c:numCache>
                <c:formatCode>_(* #,##0_);_(* \(#,##0\);_(* "-"??_);_(@_)</c:formatCode>
                <c:ptCount val="12"/>
                <c:pt idx="0" formatCode="#,##0;\-#,##0;0">
                  <c:v>3124.1062999999999</c:v>
                </c:pt>
                <c:pt idx="1">
                  <c:v>2288.64</c:v>
                </c:pt>
                <c:pt idx="2">
                  <c:v>3833</c:v>
                </c:pt>
                <c:pt idx="3">
                  <c:v>4252</c:v>
                </c:pt>
                <c:pt idx="4">
                  <c:v>3297.4011000000005</c:v>
                </c:pt>
                <c:pt idx="5">
                  <c:v>2277</c:v>
                </c:pt>
                <c:pt idx="6">
                  <c:v>2030.91</c:v>
                </c:pt>
                <c:pt idx="7">
                  <c:v>3825.81</c:v>
                </c:pt>
                <c:pt idx="8" formatCode="#,##0">
                  <c:v>5088.8701999999994</c:v>
                </c:pt>
                <c:pt idx="9" formatCode="#,##0">
                  <c:v>10715.44</c:v>
                </c:pt>
                <c:pt idx="10" formatCode="#,##0">
                  <c:v>1200</c:v>
                </c:pt>
                <c:pt idx="11" formatCode="#,##0">
                  <c:v>937.76</c:v>
                </c:pt>
              </c:numCache>
            </c:numRef>
          </c:val>
          <c:smooth val="0"/>
          <c:extLst xmlns:c16r2="http://schemas.microsoft.com/office/drawing/2015/06/chart">
            <c:ext xmlns:c16="http://schemas.microsoft.com/office/drawing/2014/chart" uri="{C3380CC4-5D6E-409C-BE32-E72D297353CC}">
              <c16:uniqueId val="{00000000-04EF-4539-871E-279B3CCEAC66}"/>
            </c:ext>
          </c:extLst>
        </c:ser>
        <c:ser>
          <c:idx val="1"/>
          <c:order val="1"/>
          <c:tx>
            <c:strRef>
              <c:f>IRD!$C$2</c:f>
              <c:strCache>
                <c:ptCount val="1"/>
                <c:pt idx="0">
                  <c:v>NSE</c:v>
                </c:pt>
              </c:strCache>
            </c:strRef>
          </c:tx>
          <c:spPr>
            <a:ln w="28575" cap="rnd">
              <a:solidFill>
                <a:srgbClr val="ED7D31"/>
              </a:solidFill>
              <a:round/>
            </a:ln>
            <a:effectLst/>
          </c:spPr>
          <c:marker>
            <c:symbol val="none"/>
          </c:marker>
          <c:cat>
            <c:numRef>
              <c:f>IRD!$A$6:$A$17</c:f>
              <c:numCache>
                <c:formatCode>[$-409]mmm\-yy</c:formatCode>
                <c:ptCount val="12"/>
                <c:pt idx="0">
                  <c:v>44348</c:v>
                </c:pt>
                <c:pt idx="1">
                  <c:v>44379</c:v>
                </c:pt>
                <c:pt idx="2">
                  <c:v>44410</c:v>
                </c:pt>
                <c:pt idx="3">
                  <c:v>44441</c:v>
                </c:pt>
                <c:pt idx="4">
                  <c:v>44471</c:v>
                </c:pt>
                <c:pt idx="5">
                  <c:v>44501</c:v>
                </c:pt>
                <c:pt idx="6">
                  <c:v>44531</c:v>
                </c:pt>
                <c:pt idx="7">
                  <c:v>44562</c:v>
                </c:pt>
                <c:pt idx="8">
                  <c:v>44593</c:v>
                </c:pt>
                <c:pt idx="9">
                  <c:v>44621</c:v>
                </c:pt>
                <c:pt idx="10">
                  <c:v>44652</c:v>
                </c:pt>
                <c:pt idx="11">
                  <c:v>44682</c:v>
                </c:pt>
              </c:numCache>
            </c:numRef>
          </c:cat>
          <c:val>
            <c:numRef>
              <c:f>IRD!$C$6:$C$17</c:f>
              <c:numCache>
                <c:formatCode>_(* #,##0_);_(* \(#,##0\);_(* "-"??_);_(@_)</c:formatCode>
                <c:ptCount val="12"/>
                <c:pt idx="0" formatCode="#,##0;\-#,##0;0">
                  <c:v>1965.78</c:v>
                </c:pt>
                <c:pt idx="1">
                  <c:v>2141</c:v>
                </c:pt>
                <c:pt idx="2">
                  <c:v>1569</c:v>
                </c:pt>
                <c:pt idx="3">
                  <c:v>1971</c:v>
                </c:pt>
                <c:pt idx="4">
                  <c:v>2279.9407679999995</c:v>
                </c:pt>
                <c:pt idx="5">
                  <c:v>1603</c:v>
                </c:pt>
                <c:pt idx="6">
                  <c:v>1757.03</c:v>
                </c:pt>
                <c:pt idx="7">
                  <c:v>1994.74</c:v>
                </c:pt>
                <c:pt idx="8" formatCode="#,##0">
                  <c:v>3742.3274135000001</c:v>
                </c:pt>
                <c:pt idx="9" formatCode="#,##0">
                  <c:v>2580.58</c:v>
                </c:pt>
                <c:pt idx="10" formatCode="#,##0">
                  <c:v>3564.1888820000004</c:v>
                </c:pt>
                <c:pt idx="11" formatCode="#,##0">
                  <c:v>1642.25</c:v>
                </c:pt>
              </c:numCache>
            </c:numRef>
          </c:val>
          <c:smooth val="0"/>
          <c:extLst xmlns:c16r2="http://schemas.microsoft.com/office/drawing/2015/06/chart">
            <c:ext xmlns:c16="http://schemas.microsoft.com/office/drawing/2014/chart" uri="{C3380CC4-5D6E-409C-BE32-E72D297353CC}">
              <c16:uniqueId val="{00000001-04EF-4539-871E-279B3CCEAC66}"/>
            </c:ext>
          </c:extLst>
        </c:ser>
        <c:dLbls>
          <c:showLegendKey val="0"/>
          <c:showVal val="0"/>
          <c:showCatName val="0"/>
          <c:showSerName val="0"/>
          <c:showPercent val="0"/>
          <c:showBubbleSize val="0"/>
        </c:dLbls>
        <c:smooth val="0"/>
        <c:axId val="648859960"/>
        <c:axId val="648862704"/>
      </c:lineChart>
      <c:dateAx>
        <c:axId val="648859960"/>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48862704"/>
        <c:crosses val="autoZero"/>
        <c:auto val="1"/>
        <c:lblOffset val="100"/>
        <c:baseTimeUnit val="months"/>
      </c:dateAx>
      <c:valAx>
        <c:axId val="64886270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48859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Corpdebt!$B$25</c:f>
              <c:strCache>
                <c:ptCount val="1"/>
                <c:pt idx="0">
                  <c:v>BSE</c:v>
                </c:pt>
              </c:strCache>
            </c:strRef>
          </c:tx>
          <c:spPr>
            <a:solidFill>
              <a:srgbClr val="FF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Corpdebt!$A$36:$A$47</c:f>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f>Corpdebt!$B$36:$B$47</c:f>
              <c:numCache>
                <c:formatCode>#,##0;\-#,##0;0</c:formatCode>
                <c:ptCount val="12"/>
                <c:pt idx="0">
                  <c:v>61390.57</c:v>
                </c:pt>
                <c:pt idx="1">
                  <c:v>48404.689310000002</c:v>
                </c:pt>
                <c:pt idx="2">
                  <c:v>55957.11</c:v>
                </c:pt>
                <c:pt idx="3">
                  <c:v>63765.96701</c:v>
                </c:pt>
                <c:pt idx="4">
                  <c:v>49075.25</c:v>
                </c:pt>
                <c:pt idx="5">
                  <c:v>39177.12846</c:v>
                </c:pt>
                <c:pt idx="6">
                  <c:v>51214.41</c:v>
                </c:pt>
                <c:pt idx="7">
                  <c:v>45282.34</c:v>
                </c:pt>
                <c:pt idx="8">
                  <c:v>60640</c:v>
                </c:pt>
                <c:pt idx="9">
                  <c:v>77798</c:v>
                </c:pt>
                <c:pt idx="10">
                  <c:v>48740.24</c:v>
                </c:pt>
                <c:pt idx="11">
                  <c:v>40958</c:v>
                </c:pt>
              </c:numCache>
            </c:numRef>
          </c:val>
          <c:extLst xmlns:c15="http://schemas.microsoft.com/office/drawing/2012/chart" xmlns:c16r2="http://schemas.microsoft.com/office/drawing/2015/06/chart">
            <c:ext xmlns:c16="http://schemas.microsoft.com/office/drawing/2014/chart" uri="{C3380CC4-5D6E-409C-BE32-E72D297353CC}">
              <c16:uniqueId val="{00000003-9291-4745-8D2C-F662DB98C007}"/>
            </c:ext>
          </c:extLst>
        </c:ser>
        <c:ser>
          <c:idx val="1"/>
          <c:order val="1"/>
          <c:tx>
            <c:strRef>
              <c:f>Corpdebt!$C$25</c:f>
              <c:strCache>
                <c:ptCount val="1"/>
                <c:pt idx="0">
                  <c:v>NSE</c:v>
                </c:pt>
              </c:strCache>
            </c:strRef>
          </c:tx>
          <c:spPr>
            <a:solidFill>
              <a:srgbClr val="00B05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Corpdebt!$A$36:$A$47</c:f>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f>Corpdebt!$C$36:$C$47</c:f>
              <c:numCache>
                <c:formatCode>#,##0;\-#,##0;0</c:formatCode>
                <c:ptCount val="12"/>
                <c:pt idx="0">
                  <c:v>91924.45</c:v>
                </c:pt>
                <c:pt idx="1">
                  <c:v>66672.289999999994</c:v>
                </c:pt>
                <c:pt idx="2">
                  <c:v>88259.38</c:v>
                </c:pt>
                <c:pt idx="3" formatCode="0\,00\,000;\-0\,00\,000;0">
                  <c:v>126974.72</c:v>
                </c:pt>
                <c:pt idx="4">
                  <c:v>97201.37</c:v>
                </c:pt>
                <c:pt idx="5">
                  <c:v>71902.03</c:v>
                </c:pt>
                <c:pt idx="6">
                  <c:v>94733.69</c:v>
                </c:pt>
                <c:pt idx="7">
                  <c:v>82333.559999999954</c:v>
                </c:pt>
                <c:pt idx="8">
                  <c:v>81448</c:v>
                </c:pt>
                <c:pt idx="9">
                  <c:v>133288</c:v>
                </c:pt>
                <c:pt idx="10">
                  <c:v>72866.599999999991</c:v>
                </c:pt>
                <c:pt idx="11">
                  <c:v>66483.520000000004</c:v>
                </c:pt>
              </c:numCache>
            </c:numRef>
          </c:val>
          <c:extLst xmlns:c16r2="http://schemas.microsoft.com/office/drawing/2015/06/chart">
            <c:ext xmlns:c16="http://schemas.microsoft.com/office/drawing/2014/chart" uri="{C3380CC4-5D6E-409C-BE32-E72D297353CC}">
              <c16:uniqueId val="{00000000-9291-4745-8D2C-F662DB98C007}"/>
            </c:ext>
          </c:extLst>
        </c:ser>
        <c:dLbls>
          <c:showLegendKey val="0"/>
          <c:showVal val="0"/>
          <c:showCatName val="0"/>
          <c:showSerName val="0"/>
          <c:showPercent val="0"/>
          <c:showBubbleSize val="0"/>
        </c:dLbls>
        <c:gapWidth val="219"/>
        <c:overlap val="-27"/>
        <c:axId val="648863880"/>
        <c:axId val="648858392"/>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Corpdebt!$D$25</c15:sqref>
                        </c15:formulaRef>
                      </c:ext>
                    </c:extLst>
                    <c:strCache>
                      <c:ptCount val="1"/>
                      <c:pt idx="0">
                        <c:v>Total</c:v>
                      </c:pt>
                    </c:strCache>
                  </c:strRef>
                </c:tx>
                <c:spPr>
                  <a:solidFill>
                    <a:schemeClr val="accent3"/>
                  </a:solidFill>
                  <a:ln>
                    <a:noFill/>
                  </a:ln>
                  <a:effectLst/>
                </c:spPr>
                <c:invertIfNegative val="0"/>
                <c:cat>
                  <c:numRef>
                    <c:extLst xmlns:c16r2="http://schemas.microsoft.com/office/drawing/2015/06/chart">
                      <c:ext uri="{02D57815-91ED-43cb-92C2-25804820EDAC}">
                        <c15:formulaRef>
                          <c15:sqref>Corpdebt!$A$36:$A$47</c15:sqref>
                        </c15:formulaRef>
                      </c:ext>
                    </c:extLst>
                    <c:numCache>
                      <c:formatCode>[$-409]mmm\-yy</c:formatCode>
                      <c:ptCount val="12"/>
                      <c:pt idx="0">
                        <c:v>44357</c:v>
                      </c:pt>
                      <c:pt idx="1">
                        <c:v>44387</c:v>
                      </c:pt>
                      <c:pt idx="2">
                        <c:v>44418</c:v>
                      </c:pt>
                      <c:pt idx="3">
                        <c:v>44449</c:v>
                      </c:pt>
                      <c:pt idx="4">
                        <c:v>44479</c:v>
                      </c:pt>
                      <c:pt idx="5">
                        <c:v>44510</c:v>
                      </c:pt>
                      <c:pt idx="6">
                        <c:v>44540</c:v>
                      </c:pt>
                      <c:pt idx="7">
                        <c:v>44571</c:v>
                      </c:pt>
                      <c:pt idx="8">
                        <c:v>44602</c:v>
                      </c:pt>
                      <c:pt idx="9">
                        <c:v>44630</c:v>
                      </c:pt>
                      <c:pt idx="10">
                        <c:v>44661</c:v>
                      </c:pt>
                      <c:pt idx="11">
                        <c:v>44691</c:v>
                      </c:pt>
                    </c:numCache>
                  </c:numRef>
                </c:cat>
                <c:val>
                  <c:numRef>
                    <c:extLst xmlns:c16r2="http://schemas.microsoft.com/office/drawing/2015/06/chart">
                      <c:ext uri="{02D57815-91ED-43cb-92C2-25804820EDAC}">
                        <c15:formulaRef>
                          <c15:sqref>Corpdebt!$D$36:$D$47</c15:sqref>
                        </c15:formulaRef>
                      </c:ext>
                    </c:extLst>
                    <c:numCache>
                      <c:formatCode>0\,00\,000;\-0\,00\,000;0</c:formatCode>
                      <c:ptCount val="12"/>
                      <c:pt idx="0">
                        <c:v>153315.01999999999</c:v>
                      </c:pt>
                      <c:pt idx="1">
                        <c:v>115076.97930000001</c:v>
                      </c:pt>
                      <c:pt idx="2">
                        <c:v>144216.49</c:v>
                      </c:pt>
                      <c:pt idx="3">
                        <c:v>190740.68700000001</c:v>
                      </c:pt>
                      <c:pt idx="4">
                        <c:v>146276.62</c:v>
                      </c:pt>
                      <c:pt idx="5">
                        <c:v>111079.15850000001</c:v>
                      </c:pt>
                      <c:pt idx="6">
                        <c:v>145948.1</c:v>
                      </c:pt>
                      <c:pt idx="7">
                        <c:v>127615.89999999995</c:v>
                      </c:pt>
                      <c:pt idx="8">
                        <c:v>142088</c:v>
                      </c:pt>
                      <c:pt idx="9">
                        <c:v>211086</c:v>
                      </c:pt>
                      <c:pt idx="10">
                        <c:v>121606.84</c:v>
                      </c:pt>
                      <c:pt idx="11" formatCode="#,##0;\-#,##0;0">
                        <c:v>107441.52</c:v>
                      </c:pt>
                    </c:numCache>
                  </c:numRef>
                </c:val>
                <c:extLst xmlns:c16r2="http://schemas.microsoft.com/office/drawing/2015/06/chart">
                  <c:ext xmlns:c16="http://schemas.microsoft.com/office/drawing/2014/chart" uri="{C3380CC4-5D6E-409C-BE32-E72D297353CC}">
                    <c16:uniqueId val="{00000004-9291-4745-8D2C-F662DB98C007}"/>
                  </c:ext>
                </c:extLst>
              </c15:ser>
            </c15:filteredBarSeries>
          </c:ext>
        </c:extLst>
      </c:barChart>
      <c:dateAx>
        <c:axId val="648863880"/>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648858392"/>
        <c:crosses val="autoZero"/>
        <c:auto val="1"/>
        <c:lblOffset val="100"/>
        <c:baseTimeUnit val="months"/>
      </c:dateAx>
      <c:valAx>
        <c:axId val="648858392"/>
        <c:scaling>
          <c:orientation val="minMax"/>
          <c:min val="30000"/>
        </c:scaling>
        <c:delete val="1"/>
        <c:axPos val="l"/>
        <c:numFmt formatCode="#,##0;\-#,##0;0" sourceLinked="1"/>
        <c:majorTickMark val="none"/>
        <c:minorTickMark val="none"/>
        <c:tickLblPos val="nextTo"/>
        <c:crossAx val="648863880"/>
        <c:crosses val="autoZero"/>
        <c:crossBetween val="between"/>
      </c:valAx>
      <c:spPr>
        <a:noFill/>
        <a:ln>
          <a:solidFill>
            <a:sysClr val="window" lastClr="FFFFFF">
              <a:lumMod val="75000"/>
            </a:sysClr>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12700" cap="flat" cmpd="sng" algn="ctr">
      <a:solidFill>
        <a:sysClr val="window" lastClr="FFFFFF">
          <a:lumMod val="50000"/>
        </a:sys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
</file>

<file path=customXml/item2.xml><?xml version="1.0" encoding="utf-8"?>
<Klassify>
  <SNO>3</SNO>
  <KDate>2021-03-03 12:56:47</KDate>
  <Classification>SEBI-INTERNAL</Classification>
  <HostName>MUM0111564</HostName>
  <Domain_User>SEBINT/1564</Domain_User>
  <IPAdd>10.88.101.238</IPAdd>
  <FilePath>C:\Users\1564\AppData\Roaming\Klassify\47103\Bulletin-February 2021.docx</FilePath>
  <KID>7427EA48EFCA637066619672483538</KID>
</Klassify>
</file>

<file path=customXml/item3.xml>
</file>

<file path=customXml/item4.xml><?xml version="1.0" encoding="utf-8"?>
<Klassify>
  <SNO>6</SNO>
  <KDate>2021-03-04 13:03:23</KDate>
  <Classification>SEBI-PUBLIC</Classification>
  <HostName>MUM0111649</HostName>
  <Domain_User>SEBINT/1649</Domain_User>
  <IPAdd>10.88.99.116</IPAdd>
  <FilePath>C:\Users\1649\Desktop\Bulletin Feb 2021\Bulletin Files\Bulletin-February 2021 Revised.docx</FilePath>
  <KID>7427EA48EFCA637066619672483538</KID>
  <UniqueName/>
  <Suggested/>
  <Justification/>
</Klassify>
</file>

<file path=customXml/item5.xml>
</file>

<file path=customXml/item6.xml><?xml version="1.0" encoding="utf-8"?>
<Klassify>
  <SNO>1</SNO>
  <KDate>2019-10-14 14:59:27</KDate>
  <Classification>SEBI-CONFIDENTIAL</Classification>
  <HostName>MUM0111832</HostName>
  <Domain_User>SEBINT/1832</Domain_User>
  <IPAdd>10.21.77.31</IPAdd>
  <FilePath>C:\Users\1832\Documents\Work_HO_DEPA\2019-20\Bulletin\October 2019\SEBI Bulletin October 2019 Issue.docx</FilePath>
  <KID>7427EA48EFCA637066619672483538</KID>
  <UniqueName/>
  <Suggested/>
  <Justification/>
</Klassify>
</file>

<file path=customXml/item7.xml><?xml version="1.0" encoding="utf-8"?>
<Klassify>
  <SNO>2</SNO>
  <KDate>2019-10-17 16:00:03</KDate>
  <Classification>SEBI-PUBLIC</Classification>
  <HostName>MUM0111515A</HostName>
  <Domain_User>SEBINT/1515</Domain_User>
  <IPAdd>10.21.53.15</IPAdd>
  <FilePath>E:\C Drive Data 19.12.2017\DEPA 2019\10. October 2019\SEBI Bulletin October 2019 Issue.docx</FilePath>
  <KID>7427EA48EFCA637066619672483538</KID>
  <UniqueName/>
  <Suggested/>
  <Justification/>
</Klassif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DC47-2152-406C-A3E3-98A02192763B}"/>
</file>

<file path=customXml/itemProps2.xml><?xml version="1.0" encoding="utf-8"?>
<ds:datastoreItem xmlns:ds="http://schemas.openxmlformats.org/officeDocument/2006/customXml" ds:itemID="{D7543C77-5EBC-46F2-AC21-5D702358D3EF}">
  <ds:schemaRefs/>
</ds:datastoreItem>
</file>

<file path=customXml/itemProps3.xml><?xml version="1.0" encoding="utf-8"?>
<ds:datastoreItem xmlns:ds="http://schemas.openxmlformats.org/officeDocument/2006/customXml" ds:itemID="{8A5DE7B4-0207-485C-AD2D-76752FDBC33F}"/>
</file>

<file path=customXml/itemProps4.xml><?xml version="1.0" encoding="utf-8"?>
<ds:datastoreItem xmlns:ds="http://schemas.openxmlformats.org/officeDocument/2006/customXml" ds:itemID="{2C38164C-8094-471D-AC2C-77D018C8E0F2}">
  <ds:schemaRefs/>
</ds:datastoreItem>
</file>

<file path=customXml/itemProps5.xml><?xml version="1.0" encoding="utf-8"?>
<ds:datastoreItem xmlns:ds="http://schemas.openxmlformats.org/officeDocument/2006/customXml" ds:itemID="{F1A90E88-F8CE-47CC-B1F2-2802B9D4F2FE}"/>
</file>

<file path=customXml/itemProps6.xml><?xml version="1.0" encoding="utf-8"?>
<ds:datastoreItem xmlns:ds="http://schemas.openxmlformats.org/officeDocument/2006/customXml" ds:itemID="{AC874CF5-52D4-4685-80EC-6F1B86646A89}">
  <ds:schemaRefs/>
</ds:datastoreItem>
</file>

<file path=customXml/itemProps7.xml><?xml version="1.0" encoding="utf-8"?>
<ds:datastoreItem xmlns:ds="http://schemas.openxmlformats.org/officeDocument/2006/customXml" ds:itemID="{982F008C-5608-4977-B1FB-BF780A09BDC2}">
  <ds:schemaRefs/>
</ds:datastoreItem>
</file>

<file path=customXml/itemProps8.xml><?xml version="1.0" encoding="utf-8"?>
<ds:datastoreItem xmlns:ds="http://schemas.openxmlformats.org/officeDocument/2006/customXml" ds:itemID="{4AAE9CD3-F95C-4B40-9CEB-6F3A703C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9045</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Tathagata Biswas</dc:creator>
  <cp:keywords/>
  <dc:description/>
  <cp:lastModifiedBy>Meena Ramesh Gupta</cp:lastModifiedBy>
  <cp:revision>2</cp:revision>
  <cp:lastPrinted>2022-06-23T12:04:00Z</cp:lastPrinted>
  <dcterms:created xsi:type="dcterms:W3CDTF">2022-07-19T10:39:00Z</dcterms:created>
  <dcterms:modified xsi:type="dcterms:W3CDTF">2022-07-19T10:39:00Z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vt:lpwstr/>
  </property>
  <property fmtid="{D5CDD505-2E9C-101B-9397-08002B2CF9AE}" pid="3" name="Classification">
    <vt:lpwstr>SEBI-PUBLIC</vt:lpwstr>
  </property>
  <property fmtid="{D5CDD505-2E9C-101B-9397-08002B2CF9AE}" pid="4" name="KID">
    <vt:lpwstr>7427EA48EFCA637066619672483538</vt:lpwstr>
  </property>
</Properties>
</file>